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October 5,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Federal Realty Investment Trust</w:t>
      </w:r>
    </w:p>
    <w:p>
      <w:pPr>
        <w:spacing w:after="0" w:line="6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Federal Realty OP LP</w:t>
      </w: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tbl>
      <w:tblPr>
        <w:tblLayout w:type="fixed"/>
        <w:tblInd w:w="684" w:type="dxa"/>
        <w:tblCellMar>
          <w:top w:w="0" w:type="dxa"/>
          <w:left w:w="0" w:type="dxa"/>
          <w:bottom w:w="0" w:type="dxa"/>
          <w:right w:w="0" w:type="dxa"/>
        </w:tblCellMar>
      </w:tblPr>
      <w:tr>
        <w:trPr>
          <w:trHeight w:val="238"/>
        </w:trPr>
        <w:tc>
          <w:tcPr>
            <w:tcW w:w="2980" w:type="dxa"/>
            <w:vAlign w:val="bottom"/>
          </w:tcPr>
          <w:p>
            <w:pPr>
              <w:spacing w:after="0"/>
              <w:rPr>
                <w:sz w:val="20"/>
                <w:szCs w:val="20"/>
                <w:color w:val="auto"/>
              </w:rPr>
            </w:pPr>
          </w:p>
        </w:tc>
        <w:tc>
          <w:tcPr>
            <w:tcW w:w="4060" w:type="dxa"/>
            <w:vAlign w:val="bottom"/>
          </w:tcPr>
          <w:p>
            <w:pPr>
              <w:ind w:left="60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tc>
        <w:tc>
          <w:tcPr>
            <w:tcW w:w="2100" w:type="dxa"/>
            <w:vAlign w:val="bottom"/>
          </w:tcPr>
          <w:p>
            <w:pPr>
              <w:spacing w:after="0"/>
              <w:rPr>
                <w:sz w:val="20"/>
                <w:szCs w:val="20"/>
                <w:color w:val="auto"/>
              </w:rPr>
            </w:pPr>
          </w:p>
        </w:tc>
      </w:tr>
      <w:tr>
        <w:trPr>
          <w:trHeight w:val="583"/>
        </w:trPr>
        <w:tc>
          <w:tcPr>
            <w:tcW w:w="2980" w:type="dxa"/>
            <w:vAlign w:val="bottom"/>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Maryland</w:t>
            </w:r>
          </w:p>
        </w:tc>
        <w:tc>
          <w:tcPr>
            <w:tcW w:w="4060" w:type="dxa"/>
            <w:vAlign w:val="bottom"/>
          </w:tcPr>
          <w:p>
            <w:pPr>
              <w:jc w:val="right"/>
              <w:ind w:right="1719"/>
              <w:spacing w:after="0"/>
              <w:rPr>
                <w:sz w:val="20"/>
                <w:szCs w:val="20"/>
                <w:color w:val="auto"/>
              </w:rPr>
            </w:pPr>
            <w:r>
              <w:rPr>
                <w:rFonts w:ascii="Times New Roman" w:cs="Times New Roman" w:eastAsia="Times New Roman" w:hAnsi="Times New Roman"/>
                <w:sz w:val="18"/>
                <w:szCs w:val="18"/>
                <w:b w:val="1"/>
                <w:bCs w:val="1"/>
                <w:color w:val="auto"/>
              </w:rPr>
              <w:t>1-07533</w:t>
            </w:r>
          </w:p>
        </w:tc>
        <w:tc>
          <w:tcPr>
            <w:tcW w:w="2100" w:type="dxa"/>
            <w:vAlign w:val="bottom"/>
          </w:tcPr>
          <w:p>
            <w:pPr>
              <w:jc w:val="center"/>
              <w:ind w:left="881"/>
              <w:spacing w:after="0"/>
              <w:rPr>
                <w:sz w:val="20"/>
                <w:szCs w:val="20"/>
                <w:color w:val="auto"/>
              </w:rPr>
            </w:pPr>
            <w:r>
              <w:rPr>
                <w:rFonts w:ascii="Times New Roman" w:cs="Times New Roman" w:eastAsia="Times New Roman" w:hAnsi="Times New Roman"/>
                <w:sz w:val="18"/>
                <w:szCs w:val="18"/>
                <w:b w:val="1"/>
                <w:bCs w:val="1"/>
                <w:color w:val="auto"/>
                <w:w w:val="98"/>
              </w:rPr>
              <w:t>87-3916363</w:t>
            </w:r>
          </w:p>
        </w:tc>
      </w:tr>
      <w:tr>
        <w:trPr>
          <w:trHeight w:val="149"/>
        </w:trPr>
        <w:tc>
          <w:tcPr>
            <w:tcW w:w="2980" w:type="dxa"/>
            <w:vAlign w:val="bottom"/>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4060" w:type="dxa"/>
            <w:vAlign w:val="bottom"/>
          </w:tcPr>
          <w:p>
            <w:pPr>
              <w:ind w:left="156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100" w:type="dxa"/>
            <w:vAlign w:val="bottom"/>
          </w:tcPr>
          <w:p>
            <w:pPr>
              <w:jc w:val="center"/>
              <w:ind w:left="8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980" w:type="dxa"/>
            <w:vAlign w:val="bottom"/>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4060" w:type="dxa"/>
            <w:vAlign w:val="bottom"/>
          </w:tcPr>
          <w:p>
            <w:pPr>
              <w:ind w:left="15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100" w:type="dxa"/>
            <w:vAlign w:val="bottom"/>
          </w:tcPr>
          <w:p>
            <w:pPr>
              <w:jc w:val="center"/>
              <w:ind w:left="8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55"/>
        </w:trPr>
        <w:tc>
          <w:tcPr>
            <w:tcW w:w="2980" w:type="dxa"/>
            <w:vAlign w:val="bottom"/>
          </w:tcPr>
          <w:p>
            <w:pPr>
              <w:spacing w:after="0"/>
              <w:rPr>
                <w:sz w:val="24"/>
                <w:szCs w:val="24"/>
                <w:color w:val="auto"/>
              </w:rPr>
            </w:pPr>
          </w:p>
        </w:tc>
        <w:tc>
          <w:tcPr>
            <w:tcW w:w="4060" w:type="dxa"/>
            <w:vAlign w:val="bottom"/>
          </w:tcPr>
          <w:p>
            <w:pPr>
              <w:ind w:left="1000"/>
              <w:spacing w:after="0"/>
              <w:rPr>
                <w:sz w:val="20"/>
                <w:szCs w:val="20"/>
                <w:color w:val="auto"/>
              </w:rPr>
            </w:pPr>
            <w:r>
              <w:rPr>
                <w:rFonts w:ascii="Times New Roman" w:cs="Times New Roman" w:eastAsia="Times New Roman" w:hAnsi="Times New Roman"/>
                <w:sz w:val="18"/>
                <w:szCs w:val="18"/>
                <w:b w:val="1"/>
                <w:bCs w:val="1"/>
                <w:color w:val="auto"/>
              </w:rPr>
              <w:t>Federal Realty OP LP</w:t>
            </w:r>
          </w:p>
        </w:tc>
        <w:tc>
          <w:tcPr>
            <w:tcW w:w="2100" w:type="dxa"/>
            <w:vAlign w:val="bottom"/>
          </w:tcPr>
          <w:p>
            <w:pPr>
              <w:spacing w:after="0"/>
              <w:rPr>
                <w:sz w:val="24"/>
                <w:szCs w:val="24"/>
                <w:color w:val="auto"/>
              </w:rPr>
            </w:pPr>
          </w:p>
        </w:tc>
      </w:tr>
      <w:tr>
        <w:trPr>
          <w:trHeight w:val="448"/>
        </w:trPr>
        <w:tc>
          <w:tcPr>
            <w:tcW w:w="2980" w:type="dxa"/>
            <w:vAlign w:val="bottom"/>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060" w:type="dxa"/>
            <w:vAlign w:val="bottom"/>
          </w:tcPr>
          <w:p>
            <w:pPr>
              <w:jc w:val="right"/>
              <w:ind w:right="1459"/>
              <w:spacing w:after="0"/>
              <w:rPr>
                <w:sz w:val="20"/>
                <w:szCs w:val="20"/>
                <w:color w:val="auto"/>
              </w:rPr>
            </w:pPr>
            <w:r>
              <w:rPr>
                <w:rFonts w:ascii="Times New Roman" w:cs="Times New Roman" w:eastAsia="Times New Roman" w:hAnsi="Times New Roman"/>
                <w:sz w:val="18"/>
                <w:szCs w:val="18"/>
                <w:b w:val="1"/>
                <w:bCs w:val="1"/>
                <w:color w:val="auto"/>
              </w:rPr>
              <w:t>333-262016-01</w:t>
            </w:r>
          </w:p>
        </w:tc>
        <w:tc>
          <w:tcPr>
            <w:tcW w:w="2100" w:type="dxa"/>
            <w:vAlign w:val="bottom"/>
          </w:tcPr>
          <w:p>
            <w:pPr>
              <w:jc w:val="center"/>
              <w:ind w:left="881"/>
              <w:spacing w:after="0"/>
              <w:rPr>
                <w:sz w:val="20"/>
                <w:szCs w:val="20"/>
                <w:color w:val="auto"/>
              </w:rPr>
            </w:pPr>
            <w:r>
              <w:rPr>
                <w:rFonts w:ascii="Times New Roman" w:cs="Times New Roman" w:eastAsia="Times New Roman" w:hAnsi="Times New Roman"/>
                <w:sz w:val="18"/>
                <w:szCs w:val="18"/>
                <w:b w:val="1"/>
                <w:bCs w:val="1"/>
                <w:color w:val="auto"/>
                <w:w w:val="98"/>
              </w:rPr>
              <w:t>52-0782497</w:t>
            </w:r>
          </w:p>
        </w:tc>
      </w:tr>
      <w:tr>
        <w:trPr>
          <w:trHeight w:val="148"/>
        </w:trPr>
        <w:tc>
          <w:tcPr>
            <w:tcW w:w="2980" w:type="dxa"/>
            <w:vAlign w:val="bottom"/>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4060" w:type="dxa"/>
            <w:vAlign w:val="bottom"/>
          </w:tcPr>
          <w:p>
            <w:pPr>
              <w:ind w:left="156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100" w:type="dxa"/>
            <w:vAlign w:val="bottom"/>
          </w:tcPr>
          <w:p>
            <w:pPr>
              <w:jc w:val="center"/>
              <w:ind w:left="8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980" w:type="dxa"/>
            <w:vAlign w:val="bottom"/>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4060" w:type="dxa"/>
            <w:vAlign w:val="bottom"/>
          </w:tcPr>
          <w:p>
            <w:pPr>
              <w:ind w:left="15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100" w:type="dxa"/>
            <w:vAlign w:val="bottom"/>
          </w:tcPr>
          <w:p>
            <w:pPr>
              <w:jc w:val="center"/>
              <w:ind w:left="8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2980" w:type="dxa"/>
            <w:vAlign w:val="bottom"/>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909 Rose Avenue, Suite 200,</w:t>
            </w:r>
          </w:p>
        </w:tc>
        <w:tc>
          <w:tcPr>
            <w:tcW w:w="406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27"/>
        </w:trPr>
        <w:tc>
          <w:tcPr>
            <w:tcW w:w="2980" w:type="dxa"/>
            <w:vAlign w:val="bottom"/>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North Bethesda, Maryland</w:t>
            </w:r>
          </w:p>
        </w:tc>
        <w:tc>
          <w:tcPr>
            <w:tcW w:w="4060" w:type="dxa"/>
            <w:vAlign w:val="bottom"/>
          </w:tcPr>
          <w:p>
            <w:pPr>
              <w:spacing w:after="0"/>
              <w:rPr>
                <w:sz w:val="19"/>
                <w:szCs w:val="19"/>
                <w:color w:val="auto"/>
              </w:rPr>
            </w:pPr>
          </w:p>
        </w:tc>
        <w:tc>
          <w:tcPr>
            <w:tcW w:w="2100" w:type="dxa"/>
            <w:vAlign w:val="bottom"/>
          </w:tcPr>
          <w:p>
            <w:pPr>
              <w:jc w:val="center"/>
              <w:ind w:left="881"/>
              <w:spacing w:after="0"/>
              <w:rPr>
                <w:sz w:val="20"/>
                <w:szCs w:val="20"/>
                <w:color w:val="auto"/>
              </w:rPr>
            </w:pPr>
            <w:r>
              <w:rPr>
                <w:rFonts w:ascii="Times New Roman" w:cs="Times New Roman" w:eastAsia="Times New Roman" w:hAnsi="Times New Roman"/>
                <w:sz w:val="18"/>
                <w:szCs w:val="18"/>
                <w:b w:val="1"/>
                <w:bCs w:val="1"/>
                <w:color w:val="auto"/>
                <w:w w:val="98"/>
              </w:rPr>
              <w:t>20852-4041</w:t>
            </w:r>
          </w:p>
        </w:tc>
      </w:tr>
      <w:tr>
        <w:trPr>
          <w:trHeight w:val="190"/>
        </w:trPr>
        <w:tc>
          <w:tcPr>
            <w:tcW w:w="2980" w:type="dxa"/>
            <w:vAlign w:val="bottom"/>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060" w:type="dxa"/>
            <w:vAlign w:val="bottom"/>
          </w:tcPr>
          <w:p>
            <w:pPr>
              <w:spacing w:after="0"/>
              <w:rPr>
                <w:sz w:val="16"/>
                <w:szCs w:val="16"/>
                <w:color w:val="auto"/>
              </w:rPr>
            </w:pPr>
          </w:p>
        </w:tc>
        <w:tc>
          <w:tcPr>
            <w:tcW w:w="2100" w:type="dxa"/>
            <w:vAlign w:val="bottom"/>
          </w:tcPr>
          <w:p>
            <w:pPr>
              <w:jc w:val="center"/>
              <w:ind w:left="8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301/998-8100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242570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200" w:lineRule="exact"/>
        <w:rPr>
          <w:sz w:val="24"/>
          <w:szCs w:val="24"/>
          <w:color w:val="auto"/>
        </w:rPr>
      </w:pPr>
    </w:p>
    <w:p>
      <w:pPr>
        <w:spacing w:after="0" w:line="25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87"/>
        </w:trPr>
        <w:tc>
          <w:tcPr>
            <w:tcW w:w="37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Common Shares of Beneficial Interest $.01 par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FRT</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value per share, with associated Common 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Purchase Rights</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Depositary Shares, each representing 1/1000 of a</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4"/>
              </w:rPr>
              <w:t>FRT-C</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 of 5.00% Series C Cumulative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Redeemable Preferred Stock, $.01 par value per</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20" w:type="dxa"/>
            <w:vAlign w:val="bottom"/>
            <w:gridSpan w:val="2"/>
          </w:tcPr>
          <w:p>
            <w:pPr>
              <w:ind w:left="800"/>
              <w:spacing w:after="0"/>
              <w:rPr>
                <w:sz w:val="20"/>
                <w:szCs w:val="20"/>
                <w:color w:val="auto"/>
              </w:rPr>
            </w:pPr>
            <w:r>
              <w:rPr>
                <w:rFonts w:ascii="Times New Roman" w:cs="Times New Roman" w:eastAsia="Times New Roman" w:hAnsi="Times New Roman"/>
                <w:sz w:val="18"/>
                <w:szCs w:val="18"/>
                <w:b w:val="1"/>
                <w:bCs w:val="1"/>
                <w:color w:val="auto"/>
              </w:rPr>
              <w:t>Federal Realty OP LP</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4"/>
          </w:cols>
          <w:pgMar w:left="436" w:top="376" w:right="439" w:bottom="204"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N/A</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jc w:val="right"/>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Federal Realty Investment Trust </w:t>
      </w:r>
      <w:r>
        <w:rPr>
          <w:rFonts w:ascii="MS PGothic" w:cs="MS PGothic" w:eastAsia="MS PGothic" w:hAnsi="MS PGothic"/>
          <w:sz w:val="18"/>
          <w:szCs w:val="18"/>
          <w:color w:val="auto"/>
        </w:rPr>
        <w:t>☐</w:t>
      </w:r>
    </w:p>
    <w:p>
      <w:pPr>
        <w:spacing w:after="0" w:line="9" w:lineRule="exact"/>
        <w:rPr>
          <w:sz w:val="20"/>
          <w:szCs w:val="20"/>
          <w:color w:val="auto"/>
        </w:rPr>
      </w:pPr>
    </w:p>
    <w:p>
      <w:pPr>
        <w:jc w:val="right"/>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Federal Realty OP LP </w:t>
      </w:r>
      <w:r>
        <w:rPr>
          <w:rFonts w:ascii="MS PGothic" w:cs="MS PGothic" w:eastAsia="MS PGothic" w:hAnsi="MS PGothic"/>
          <w:sz w:val="18"/>
          <w:szCs w:val="18"/>
          <w:color w:val="auto"/>
        </w:rPr>
        <w:t>☐</w:t>
      </w:r>
    </w:p>
    <w:p>
      <w:pPr>
        <w:spacing w:after="0" w:line="212" w:lineRule="exact"/>
        <w:rPr>
          <w:sz w:val="20"/>
          <w:szCs w:val="20"/>
          <w:color w:val="auto"/>
        </w:rPr>
      </w:pPr>
    </w:p>
    <w:p>
      <w:pPr>
        <w:ind w:right="18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checkmark if the registrant has elected not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142240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185420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102" w:right="439" w:bottom="1440" w:gutter="0" w:footer="0" w:header="0"/>
        </w:sectPr>
      </w:pPr>
    </w:p>
    <w:bookmarkStart w:id="2" w:name="page3"/>
    <w:bookmarkEnd w:id="2"/>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7"/>
          <w:szCs w:val="17"/>
          <w:b w:val="1"/>
          <w:bCs w:val="1"/>
          <w:color w:val="auto"/>
        </w:rPr>
        <w:t>Entry into Material Definitive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and Restatement of Credit Agreement</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On October 5, 2022, Federal Realty OP LP (the “Partnership”) entered into a Second Amended and Restated Credit Agreement (the “New Credit Agreement”), by and among the Partnership, as Borrower, the financial institutions party thereto and their permitted assignees, as Lenders, Wells Fargo Bank, National Association, as Administrative Agent (the “Credit Agreement Administrative Agent”), and the other parties thereto.</w:t>
      </w:r>
    </w:p>
    <w:p>
      <w:pPr>
        <w:spacing w:after="0" w:line="176"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7"/>
          <w:szCs w:val="17"/>
          <w:color w:val="auto"/>
        </w:rPr>
        <w:t>The New Credit Agreement replaces that certain Amended and Restated Credit Agreement, dated as of July 25, 2019 (the “Old Credit Agreement”), by and among the Partnership, as Borrower, and the financial institutions party thereto. The Old Credit Agreement consisted of a $1.0 billion unsecured revolving credit facility (the “Old Facility”) with a maturity date of January 19, 2024. As of June 30, 2022, the Old Facility had no balance outstanding.</w:t>
      </w:r>
    </w:p>
    <w:p>
      <w:pPr>
        <w:spacing w:after="0" w:line="158"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New Credit Agreement consists of a $1.25 billion unsecured revolving credit facility (the “New Facility”) with a maturity date of April 5, 2027, subject to two six-month extensions at the option of the Partnership. The New Credit Agreement effected the transition of the interest rate provisions under Old Credit Agreement from LIBOR to the secured overnight financing rate, determined as provided therein (“SOFR”). Generally, the New Facility bears interest, at the Partnership’s option, at a rate based on (i) SOFR, plus 0.10%, or (ii) a Base Rate (as defined therein), in each case plus an applicable margin that depends on the Partnership’s credit rating. The applicable margins for SOFR loans under the New Credit Agreement range from 70 basis points to 140 basis points, and the applicable margins for Base Rate loans under the New Credit Agreement range from 0 basis points to 40 basis points. Initially, the applicable margin for SOFR loans will be 77.5 basis points. Under an accordion feature, the Partnership has the option to expand the borrowing capacity under the New Facility to up to $1.75 billion.</w:t>
      </w:r>
    </w:p>
    <w:p>
      <w:pPr>
        <w:spacing w:after="0" w:line="192"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7"/>
          <w:szCs w:val="17"/>
          <w:color w:val="auto"/>
        </w:rPr>
        <w:t>The New Credit Agreement provides that it may be amended by the Partnership and the Lenders to establish key performance indicators (“KPIs”) with respect to certain environmental, social and governance (“ESG”) targets of the Partnership and its subsidiaries, or to establish external ESG ratings targets, all to be developed by the Partnership in consultation with PNC Capital Markets LLC acting as Sustainability Structuring Agent. Following the effectiveness of any such amendment, based on the Partnership’s performance against such KPIs or its obtainment of such ESG ratings, the applicable margin and/or letter of credit fee may be reduced by up to 4.0 basis points, and/or the applicable facility fee may be reduced by up to 1.0 basis point.</w:t>
      </w:r>
    </w:p>
    <w:p>
      <w:pPr>
        <w:spacing w:after="0" w:line="168"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The New Credit Agreement contains a number of restrictions on the Partnership’s business that are similar to the restrictions contained in the Old Credit Agreement, including, but not limited to, restrictions on the Partnership’s ability to incur indebtedness, make investments, incur liens, engage in certain affiliate transactions, and engage in major transactions such as mergers. In addition, the Partnership is subject to various financial maintenance covenants, including, but not limited to, a minimum fixed charge coverage ratio, a maximum secured indebtedness ratio, and a minimum unencumbered leverage ratio. The New Credit Agreement also contains affirmative covenants and events of default, including, but not limited to, a cross default to the Partnership’s other indebtedness and the occurrence of a change of control. The Partnership’s failure to comply with these covenants, or the occurrence of an event of default, could result in acceleration of the Partnership’s debt and other financial obligations under the New Credit Agreement.</w:t>
      </w:r>
    </w:p>
    <w:p>
      <w:pPr>
        <w:spacing w:after="0" w:line="17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foregoing does not constitute a complete summary of the terms and conditions of the New Credit Agreement, which is attached hereto as Exhibit 10.1, or of the Old Credit Agreement, which was included as Exhibit 10.27 to the Partnership’s Annual Report on Form 10-K filed with the Securities and Exchange Commission on February 10, 2022. The descriptions contained herein of the terms and conditions of the New Credit Agreement and Old Credit Agreement are qualified in their entirety by reference to the New Credit Agreement and Old Credit Agreement,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of Term Loan Agreement</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October 5, 2022, the Partnership entered into the third amendment (the “Amendment”) to its Term Loan Agreement, dated May 6, 2020, among the Partnership, as Borrower, the financial institutions party thereto and their permitted assignees, as Lenders, PNC Bank, National Association, as Administrative Agent, and the other parties thereto (as amended, the “Term Loan Agreement”). In connection with the Amendment, the Partnership borrowed an additional $300 million under the Term Loan Agreement. As a result, as of October 5, 2022 the principal amount outstanding under the Term Loan Agreement was $600 million. As amended by the Amendment, the Term Loan Agreement does not have a further accordion feature.</w:t>
      </w:r>
    </w:p>
    <w:p>
      <w:pPr>
        <w:sectPr>
          <w:pgSz w:w="11900" w:h="16838" w:orient="portrait"/>
          <w:cols w:equalWidth="0" w:num="1">
            <w:col w:w="10960"/>
          </w:cols>
          <w:pgMar w:left="440" w:top="293" w:right="499" w:bottom="1440" w:gutter="0" w:footer="0" w:header="0"/>
        </w:sectPr>
      </w:pPr>
    </w:p>
    <w:bookmarkStart w:id="3" w:name="page4"/>
    <w:bookmarkEnd w:id="3"/>
    <w:p>
      <w:pPr>
        <w:ind w:right="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Amendment also amended the interest rate definitions and other provisions under the Term Loan Agreement to be similar to those used in the New Credit Agreement as described above. The applicable margins under the Term Loan Agreement depend on the Partnership’s credit rating and, for SOFR loans, range from 75 basis points to 165 basis points and, for Base Rate loans, range from 0 basis points to 65 basis points. As of October 5, 2022, the outstanding principal balance under the Term Loan Agreement bears interest at a rate of approximately 4.05%.</w:t>
      </w:r>
    </w:p>
    <w:p>
      <w:pPr>
        <w:spacing w:after="0" w:line="18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maturity date under the Term Loan Agreement remains April 16, 2024 notwithstanding the Amendment. The Partnership has the right, exercisable two times, to extend the maturity date by twelve months.</w:t>
      </w:r>
    </w:p>
    <w:p>
      <w:pPr>
        <w:spacing w:after="0" w:line="16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foregoing summary of the Amendment does not constitute a complete description of, and is qualified in its entirety by reference to, the terms and conditions of the Amendment, which is filed herewith as Exhibit 10.2.</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Affiliates of certain lenders under the New Credit Agreement and the Term Loan Agreement have served, and may serve in the future, as underwriters in connection with public offerings of equity and debt securities by Federal Realty Investment Trust (the “Parent Company”) and/or the Partnership, and an affiliate of the Credit Agreement Administrative Agent serves as agent and/or principal pursuant to an equity distribution agreement in connection with the Parent Company’s “at the market” equity program. In addition, affiliates of certain lenders under the New Credit Agreement and the Term Loan Agreement have provided from time to time, and may provide in the future, investment and commercial banking and financial advisory services to the Parent Company, the Partnership or their affiliates in the ordinary course of business for which they have received and may continue to receive customary fees and commissions.</w:t>
      </w:r>
    </w:p>
    <w:p>
      <w:pPr>
        <w:spacing w:after="0" w:line="333"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1.02.</w:t>
      </w:r>
      <w:r>
        <w:rPr>
          <w:sz w:val="20"/>
          <w:szCs w:val="20"/>
          <w:color w:val="auto"/>
        </w:rPr>
        <w:tab/>
      </w:r>
      <w:r>
        <w:rPr>
          <w:rFonts w:ascii="Times New Roman" w:cs="Times New Roman" w:eastAsia="Times New Roman" w:hAnsi="Times New Roman"/>
          <w:sz w:val="17"/>
          <w:szCs w:val="17"/>
          <w:b w:val="1"/>
          <w:bCs w:val="1"/>
          <w:color w:val="auto"/>
        </w:rPr>
        <w:t>Termination of a Material Definitive Agreement.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disclosure required by this Item 1.02 is included in Item 1.01 and incorporated herein by reference.</w:t>
      </w:r>
    </w:p>
    <w:p>
      <w:pPr>
        <w:spacing w:after="0" w:line="37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7"/>
          <w:szCs w:val="17"/>
          <w:b w:val="1"/>
          <w:bCs w:val="1"/>
          <w:color w:val="auto"/>
        </w:rPr>
        <w:t>Creation of a Direct Financial Obligation or an Obligation under an Off-Balance Sheet Arrangement of a Registrant.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disclosure required by this Item 2.03 is included in Item 1.01 and incorporated herein by reference.</w:t>
      </w:r>
    </w:p>
    <w:p>
      <w:pPr>
        <w:spacing w:after="0" w:line="37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 Exhibits</w:t>
      </w:r>
    </w:p>
    <w:p>
      <w:pPr>
        <w:spacing w:after="0" w:line="200" w:lineRule="exact"/>
        <w:rPr>
          <w:sz w:val="20"/>
          <w:szCs w:val="20"/>
          <w:color w:val="auto"/>
        </w:rPr>
      </w:pPr>
    </w:p>
    <w:p>
      <w:pPr>
        <w:spacing w:after="0" w:line="268" w:lineRule="exact"/>
        <w:rPr>
          <w:sz w:val="20"/>
          <w:szCs w:val="20"/>
          <w:color w:val="auto"/>
        </w:rPr>
      </w:pPr>
    </w:p>
    <w:p>
      <w:pPr>
        <w:ind w:left="1040" w:right="940" w:hanging="607"/>
        <w:spacing w:after="0" w:line="266" w:lineRule="auto"/>
        <w:tabs>
          <w:tab w:leader="none" w:pos="102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u w:val="single" w:color="auto"/>
          <w:color w:val="0000EE"/>
        </w:rPr>
        <w:t>Second Amended and Restated Credit Agreement, dated as of October 5, 2022, by and among the Partnership, the financial institutions party thereto, as Lenders, Wells Fargo Bank, National Association, as Administrative Agent, and the other parties thereto.</w:t>
      </w:r>
    </w:p>
    <w:p>
      <w:pPr>
        <w:spacing w:after="0" w:line="68" w:lineRule="exact"/>
        <w:rPr>
          <w:sz w:val="20"/>
          <w:szCs w:val="20"/>
          <w:color w:val="auto"/>
        </w:rPr>
      </w:pPr>
    </w:p>
    <w:p>
      <w:pPr>
        <w:ind w:left="1040" w:right="800" w:hanging="607"/>
        <w:spacing w:after="0" w:line="282" w:lineRule="auto"/>
        <w:tabs>
          <w:tab w:leader="none" w:pos="102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8"/>
          <w:szCs w:val="18"/>
          <w:u w:val="single" w:color="auto"/>
          <w:color w:val="0000EE"/>
        </w:rPr>
        <w:t>Third Amendment to Term Loan Agreement, dated as of October 5, 2022, by and among the Partnership, the Lenders, the New Lenders (as each such term is defined therein) and PNC Bank, National Association, as Administrative Agent.</w:t>
      </w:r>
    </w:p>
    <w:p>
      <w:pPr>
        <w:spacing w:after="0" w:line="54" w:lineRule="exact"/>
        <w:rPr>
          <w:sz w:val="20"/>
          <w:szCs w:val="20"/>
          <w:color w:val="auto"/>
        </w:rPr>
      </w:pPr>
    </w:p>
    <w:p>
      <w:pPr>
        <w:ind w:left="440"/>
        <w:spacing w:after="0"/>
        <w:tabs>
          <w:tab w:leader="none" w:pos="10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(the Cover Page Interactive Data File is embedded within the Inline XBRL document)</w:t>
      </w:r>
    </w:p>
    <w:p>
      <w:pPr>
        <w:sectPr>
          <w:pgSz w:w="11900" w:h="16838" w:orient="portrait"/>
          <w:cols w:equalWidth="0" w:num="1">
            <w:col w:w="11000"/>
          </w:cols>
          <w:pgMar w:left="440" w:top="297" w:right="459" w:bottom="1440" w:gutter="0" w:footer="0" w:header="0"/>
        </w:sectPr>
      </w:pPr>
    </w:p>
    <w:bookmarkStart w:id="4" w:name="page5"/>
    <w:bookmarkEnd w:id="4"/>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registrants have duly caused this report to be signed on their behalf by the undersigned hereunto duly authorized.</w:t>
      </w:r>
    </w:p>
    <w:p>
      <w:pPr>
        <w:spacing w:after="0" w:line="200" w:lineRule="exact"/>
        <w:rPr>
          <w:sz w:val="20"/>
          <w:szCs w:val="20"/>
          <w:color w:val="auto"/>
        </w:rPr>
      </w:pPr>
    </w:p>
    <w:p>
      <w:pPr>
        <w:spacing w:after="0" w:line="201"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b w:val="1"/>
          <w:bCs w:val="1"/>
          <w:color w:val="auto"/>
        </w:rPr>
        <w:t>FEDERAL REALTY OP LP</w:t>
      </w:r>
    </w:p>
    <w:p>
      <w:pPr>
        <w:spacing w:after="0" w:line="207" w:lineRule="exact"/>
        <w:rPr>
          <w:sz w:val="20"/>
          <w:szCs w:val="20"/>
          <w:color w:val="auto"/>
        </w:rPr>
      </w:pPr>
    </w:p>
    <w:p>
      <w:pPr>
        <w:spacing w:after="0"/>
        <w:tabs>
          <w:tab w:leader="none" w:pos="6960" w:val="left"/>
        </w:tabs>
        <w:rPr>
          <w:sz w:val="20"/>
          <w:szCs w:val="20"/>
          <w:color w:val="auto"/>
        </w:rPr>
      </w:pPr>
      <w:r>
        <w:rPr>
          <w:rFonts w:ascii="Times New Roman" w:cs="Times New Roman" w:eastAsia="Times New Roman" w:hAnsi="Times New Roman"/>
          <w:sz w:val="18"/>
          <w:szCs w:val="18"/>
          <w:color w:val="auto"/>
        </w:rPr>
        <w:t>Date: October 11, 2022</w:t>
      </w:r>
      <w:r>
        <w:rPr>
          <w:sz w:val="20"/>
          <w:szCs w:val="20"/>
          <w:color w:val="auto"/>
        </w:rPr>
        <w:tab/>
      </w:r>
      <w:r>
        <w:rPr>
          <w:rFonts w:ascii="Times New Roman" w:cs="Times New Roman" w:eastAsia="Times New Roman" w:hAnsi="Times New Roman"/>
          <w:sz w:val="18"/>
          <w:szCs w:val="18"/>
          <w:color w:val="auto"/>
        </w:rPr>
        <w:t>/s/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17145</wp:posOffset>
            </wp:positionV>
            <wp:extent cx="255460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34"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Dawn M. Becker</w:t>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Executive Vice President-General Counsel</w:t>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and Secretary</w:t>
      </w:r>
    </w:p>
    <w:p>
      <w:pPr>
        <w:sectPr>
          <w:pgSz w:w="11900" w:h="16838" w:orient="portrait"/>
          <w:cols w:equalWidth="0" w:num="1">
            <w:col w:w="10780"/>
          </w:cols>
          <w:pgMar w:left="440" w:top="293" w:right="67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173990</wp:posOffset>
            </wp:positionV>
            <wp:extent cx="617220" cy="6172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722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Loan Number: 1004039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445770</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488950</wp:posOffset>
            </wp:positionV>
            <wp:extent cx="69951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SECOND AMENDED AND RESTATED CREDIT AGREEMENT</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Dated as of October 5, 2022</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by and among</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FEDERAL REALTY OP LP,</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Borrower,</w:t>
      </w:r>
    </w:p>
    <w:p>
      <w:pPr>
        <w:spacing w:after="0" w:line="202"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20"/>
          <w:szCs w:val="20"/>
          <w:color w:val="auto"/>
        </w:rPr>
        <w:t>THE FINANCIAL INSTITUTIONS PARTY HERETO</w:t>
      </w:r>
    </w:p>
    <w:p>
      <w:pPr>
        <w:spacing w:after="0" w:line="22"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9"/>
          <w:szCs w:val="19"/>
          <w:color w:val="auto"/>
        </w:rPr>
        <w:t>AND THEIR PERMITTED ASSIGNEES UNDER SECTION 12.6.,</w:t>
      </w:r>
    </w:p>
    <w:p>
      <w:pPr>
        <w:spacing w:after="0" w:line="1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as Lenders,</w:t>
      </w:r>
    </w:p>
    <w:p>
      <w:pPr>
        <w:spacing w:after="0" w:line="205"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color w:val="auto"/>
        </w:rPr>
        <w:t>WELLS FARGO BANK, NATIONAL ASSOCIATION,</w:t>
      </w:r>
    </w:p>
    <w:p>
      <w:pPr>
        <w:spacing w:after="0" w:line="2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as Administrative Agent,</w:t>
      </w:r>
    </w:p>
    <w:p>
      <w:pPr>
        <w:spacing w:after="0" w:line="207"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PNC BANK, NATIONAL ASSOCIATION,</w:t>
      </w:r>
    </w:p>
    <w:p>
      <w:pPr>
        <w:spacing w:after="0" w:line="27"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as Syndication Agent,</w:t>
      </w:r>
    </w:p>
    <w:p>
      <w:pPr>
        <w:spacing w:after="0" w:line="207"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WELLS FARGO SECURITIES, LLC,</w:t>
      </w:r>
    </w:p>
    <w:p>
      <w:pPr>
        <w:spacing w:after="0" w:line="2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PNC CAPITAL MARKETS LLC,</w:t>
      </w:r>
    </w:p>
    <w:p>
      <w:pPr>
        <w:spacing w:after="0" w:line="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JPMORGAN CHASE BANK, N.A.,</w:t>
      </w:r>
    </w:p>
    <w:p>
      <w:pPr>
        <w:spacing w:after="0" w:line="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as Joint Book Managers,</w:t>
      </w:r>
    </w:p>
    <w:p>
      <w:pPr>
        <w:spacing w:after="0" w:line="207"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WELLS FARGO SECURITIES, LLC,</w:t>
      </w:r>
    </w:p>
    <w:p>
      <w:pPr>
        <w:spacing w:after="0" w:line="2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PNC CAPITAL MARKETS LLC,</w:t>
      </w:r>
    </w:p>
    <w:p>
      <w:pPr>
        <w:spacing w:after="0" w:line="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U.S. BANK NATIONAL ASSOCIATION,</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TRUIST SECURITIES, INC.,</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REGIONS CAPITAL MARKETS,</w:t>
      </w:r>
    </w:p>
    <w:p>
      <w:pPr>
        <w:spacing w:after="0" w:line="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TD SECURITIES (USA) LLC,</w:t>
      </w:r>
    </w:p>
    <w:p>
      <w:pPr>
        <w:spacing w:after="0" w:line="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JPMORGAN CHASE BANK, N.A.,</w:t>
      </w:r>
    </w:p>
    <w:p>
      <w:pPr>
        <w:spacing w:after="0" w:line="9"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as Joint Lead Arrangers,</w:t>
      </w:r>
    </w:p>
    <w:p>
      <w:pPr>
        <w:spacing w:after="0" w:line="207"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U.S. BANK NATIONAL ASSOCIATION,</w:t>
      </w:r>
    </w:p>
    <w:p>
      <w:pPr>
        <w:spacing w:after="0" w:line="27"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color w:val="auto"/>
        </w:rPr>
        <w:t>TRUIST BANK,</w:t>
      </w:r>
    </w:p>
    <w:p>
      <w:pPr>
        <w:spacing w:after="0" w:line="9"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color w:val="auto"/>
        </w:rPr>
        <w:t>TD BANK, N.A.,</w:t>
      </w:r>
    </w:p>
    <w:p>
      <w:pPr>
        <w:spacing w:after="0" w:line="9"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REGIONS BANK,</w:t>
      </w:r>
    </w:p>
    <w:p>
      <w:pPr>
        <w:spacing w:after="0" w:line="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JPMORGAN CHASE BANK, N.A.,</w:t>
      </w:r>
    </w:p>
    <w:p>
      <w:pPr>
        <w:spacing w:after="0" w:line="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as Documentation Agents</w:t>
      </w:r>
    </w:p>
    <w:p>
      <w:pPr>
        <w:spacing w:after="0" w:line="20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PNC CAPITAL MARKETS LLC</w:t>
      </w:r>
    </w:p>
    <w:p>
      <w:pPr>
        <w:spacing w:after="0" w:line="27"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as Sustainability Structuring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160020</wp:posOffset>
            </wp:positionV>
            <wp:extent cx="699516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20"/>
          </w:cols>
          <w:pgMar w:left="1440" w:top="117" w:right="4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8880" w:type="dxa"/>
            <w:vAlign w:val="bottom"/>
          </w:tcPr>
          <w:p>
            <w:pPr>
              <w:ind w:left="4600"/>
              <w:spacing w:after="0"/>
              <w:rPr>
                <w:sz w:val="20"/>
                <w:szCs w:val="20"/>
                <w:color w:val="auto"/>
              </w:rPr>
            </w:pPr>
            <w:r>
              <w:rPr>
                <w:rFonts w:ascii="Times New Roman" w:cs="Times New Roman" w:eastAsia="Times New Roman" w:hAnsi="Times New Roman"/>
                <w:sz w:val="18"/>
                <w:szCs w:val="18"/>
                <w:color w:val="auto"/>
              </w:rPr>
              <w:t>TABLE OF CONTENTS</w:t>
            </w:r>
          </w:p>
        </w:tc>
        <w:tc>
          <w:tcPr>
            <w:tcW w:w="2080" w:type="dxa"/>
            <w:vAlign w:val="bottom"/>
          </w:tcPr>
          <w:p>
            <w:pPr>
              <w:spacing w:after="0"/>
              <w:rPr>
                <w:sz w:val="20"/>
                <w:szCs w:val="20"/>
                <w:color w:val="auto"/>
              </w:rPr>
            </w:pPr>
          </w:p>
        </w:tc>
      </w:tr>
      <w:tr>
        <w:trPr>
          <w:trHeight w:val="567"/>
        </w:trPr>
        <w:tc>
          <w:tcPr>
            <w:tcW w:w="8880" w:type="dxa"/>
            <w:vAlign w:val="bottom"/>
          </w:tcPr>
          <w:p>
            <w:pPr>
              <w:spacing w:after="0"/>
              <w:rPr>
                <w:sz w:val="20"/>
                <w:szCs w:val="20"/>
                <w:color w:val="auto"/>
              </w:rPr>
            </w:pPr>
            <w:r>
              <w:rPr>
                <w:rFonts w:ascii="Times New Roman" w:cs="Times New Roman" w:eastAsia="Times New Roman" w:hAnsi="Times New Roman"/>
                <w:sz w:val="18"/>
                <w:szCs w:val="18"/>
                <w:color w:val="auto"/>
              </w:rPr>
              <w:t>Article I. Definitions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6"/>
        </w:trPr>
        <w:tc>
          <w:tcPr>
            <w:tcW w:w="8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 Definitions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1.2. General; References to Pacific Time</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8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 Financial Attributes of Non-Wholly Owned Subsidiaries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8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1.4. Rates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4"/>
        </w:trPr>
        <w:tc>
          <w:tcPr>
            <w:tcW w:w="8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1.5. Divisions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24"/>
        </w:trPr>
        <w:tc>
          <w:tcPr>
            <w:tcW w:w="8880" w:type="dxa"/>
            <w:vAlign w:val="bottom"/>
          </w:tcPr>
          <w:p>
            <w:pPr>
              <w:spacing w:after="0"/>
              <w:rPr>
                <w:sz w:val="20"/>
                <w:szCs w:val="20"/>
                <w:color w:val="auto"/>
              </w:rPr>
            </w:pPr>
            <w:r>
              <w:rPr>
                <w:rFonts w:ascii="Times New Roman" w:cs="Times New Roman" w:eastAsia="Times New Roman" w:hAnsi="Times New Roman"/>
                <w:sz w:val="18"/>
                <w:szCs w:val="18"/>
                <w:color w:val="auto"/>
              </w:rPr>
              <w:t>Article II. Credit Facility</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06"/>
        </w:trPr>
        <w:tc>
          <w:tcPr>
            <w:tcW w:w="8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 Revolving Loans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8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2.2. Bid Rate Loans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8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2.3. Letters of Credit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8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2.4. Swingline Loans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8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2.5. Rates and Payment of Interest on Loans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8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2.6. Number of Interest Periods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8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2.7. Repayment of Loans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8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2.8. Prepayments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8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2.9. Continuation</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8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2.10. Conversion</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8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2.11. Notes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8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2.12. Voluntary Reductions of the Revolving Commitment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8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2.13. Extension of Revolving Termination Date</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8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2.14. Expiration Date of Letters of Credit Past Revolving Commitment Termination</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8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2.15. Amount Limitations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8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2.16. Increase in Revolving Commitments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34"/>
        </w:trPr>
        <w:tc>
          <w:tcPr>
            <w:tcW w:w="8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2.17. Funds Transfer Disbursements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324"/>
        </w:trPr>
        <w:tc>
          <w:tcPr>
            <w:tcW w:w="8880" w:type="dxa"/>
            <w:vAlign w:val="bottom"/>
          </w:tcPr>
          <w:p>
            <w:pPr>
              <w:spacing w:after="0"/>
              <w:rPr>
                <w:sz w:val="20"/>
                <w:szCs w:val="20"/>
                <w:color w:val="auto"/>
              </w:rPr>
            </w:pPr>
            <w:r>
              <w:rPr>
                <w:rFonts w:ascii="Times New Roman" w:cs="Times New Roman" w:eastAsia="Times New Roman" w:hAnsi="Times New Roman"/>
                <w:sz w:val="18"/>
                <w:szCs w:val="18"/>
                <w:color w:val="auto"/>
              </w:rPr>
              <w:t>Article III. Payments, Fees and Other General Provisions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306"/>
        </w:trPr>
        <w:tc>
          <w:tcPr>
            <w:tcW w:w="8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 Payments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8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3.2. Pro Rata Treatment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8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3.3. Sharing of Payments, Etc.</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8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3.4. Several Obligations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8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3.5. Fees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8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3.6. Computations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8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3.7. Usury</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8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3.8. Statements of Account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8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3.9. Defaulting Lenders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34"/>
        </w:trPr>
        <w:tc>
          <w:tcPr>
            <w:tcW w:w="8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3.10. Taxes; Foreign Lenders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324"/>
        </w:trPr>
        <w:tc>
          <w:tcPr>
            <w:tcW w:w="8880" w:type="dxa"/>
            <w:vAlign w:val="bottom"/>
          </w:tcPr>
          <w:p>
            <w:pPr>
              <w:spacing w:after="0"/>
              <w:rPr>
                <w:sz w:val="20"/>
                <w:szCs w:val="20"/>
                <w:color w:val="auto"/>
              </w:rPr>
            </w:pPr>
            <w:r>
              <w:rPr>
                <w:rFonts w:ascii="Times New Roman" w:cs="Times New Roman" w:eastAsia="Times New Roman" w:hAnsi="Times New Roman"/>
                <w:sz w:val="18"/>
                <w:szCs w:val="18"/>
                <w:color w:val="auto"/>
              </w:rPr>
              <w:t>Article IV. Yield Protection, Etc.</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306"/>
        </w:trPr>
        <w:tc>
          <w:tcPr>
            <w:tcW w:w="8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4.1. Additional Costs; Capital Adequacy</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8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4.2. Inability to Determine Interest Rates; Alternative Rate of Interest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8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4.3. Illegality</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8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4.4. Compensation</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8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4.5. Treatment of Affected Loans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8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4.6. Affected Lenders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8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4.7. Change of Lending Office</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34"/>
        </w:trPr>
        <w:tc>
          <w:tcPr>
            <w:tcW w:w="8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4.8. Assumptions Concerning Funding of SOFR Loans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 i -</w:t>
      </w:r>
    </w:p>
    <w:p>
      <w:pPr>
        <w:sectPr>
          <w:pgSz w:w="11900" w:h="16838" w:orient="portrait"/>
          <w:cols w:equalWidth="0" w:num="1">
            <w:col w:w="10960"/>
          </w:cols>
          <w:pgMar w:left="440" w:top="270" w:right="49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10420" w:type="dxa"/>
            <w:vAlign w:val="bottom"/>
          </w:tcPr>
          <w:p>
            <w:pPr>
              <w:spacing w:after="0"/>
              <w:rPr>
                <w:sz w:val="20"/>
                <w:szCs w:val="20"/>
                <w:color w:val="auto"/>
              </w:rPr>
            </w:pPr>
            <w:r>
              <w:rPr>
                <w:rFonts w:ascii="Times New Roman" w:cs="Times New Roman" w:eastAsia="Times New Roman" w:hAnsi="Times New Roman"/>
                <w:sz w:val="18"/>
                <w:szCs w:val="18"/>
                <w:color w:val="auto"/>
              </w:rPr>
              <w:t>Article V. Conditions Precedent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306"/>
        </w:trPr>
        <w:tc>
          <w:tcPr>
            <w:tcW w:w="10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 Initial Conditions Precedent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10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5.2. Conditions Precedent to All Loans and Letters of Credit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10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Article VI. Representations and Warranties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10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 Representations and Warranties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34"/>
        </w:trPr>
        <w:tc>
          <w:tcPr>
            <w:tcW w:w="10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6.2. Survival of Representations and Warranties, Etc.</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324"/>
        </w:trPr>
        <w:tc>
          <w:tcPr>
            <w:tcW w:w="10420" w:type="dxa"/>
            <w:vAlign w:val="bottom"/>
          </w:tcPr>
          <w:p>
            <w:pPr>
              <w:spacing w:after="0"/>
              <w:rPr>
                <w:sz w:val="20"/>
                <w:szCs w:val="20"/>
                <w:color w:val="auto"/>
              </w:rPr>
            </w:pPr>
            <w:r>
              <w:rPr>
                <w:rFonts w:ascii="Times New Roman" w:cs="Times New Roman" w:eastAsia="Times New Roman" w:hAnsi="Times New Roman"/>
                <w:sz w:val="18"/>
                <w:szCs w:val="18"/>
                <w:color w:val="auto"/>
              </w:rPr>
              <w:t>Article VII. Affirmative Covenants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306"/>
        </w:trPr>
        <w:tc>
          <w:tcPr>
            <w:tcW w:w="10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7.1. Preservation of Existence and Similar Matters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10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7.2. Compliance with Applicable Law and Material Contracts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10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7.3. Maintenance of Property</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10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7.4. Conduct of Business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10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7.5. Insurance</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10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7.6. Payment of Taxes and Claims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10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7.7. Books and Records; Inspections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10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7.8. Use of Proceeds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10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7.9. Environmental Matters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10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7.10. Further Assurances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10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7.11. Compliance with Anti-Corruption Laws; Beneficial Ownership Regulation, Anti-Money Laundering Laws and Sanctions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10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7.12. REIT Status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10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7.13. Exchange Listing</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34"/>
        </w:trPr>
        <w:tc>
          <w:tcPr>
            <w:tcW w:w="10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7.14. Guarantors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324"/>
        </w:trPr>
        <w:tc>
          <w:tcPr>
            <w:tcW w:w="10420" w:type="dxa"/>
            <w:vAlign w:val="bottom"/>
          </w:tcPr>
          <w:p>
            <w:pPr>
              <w:spacing w:after="0"/>
              <w:rPr>
                <w:sz w:val="20"/>
                <w:szCs w:val="20"/>
                <w:color w:val="auto"/>
              </w:rPr>
            </w:pPr>
            <w:r>
              <w:rPr>
                <w:rFonts w:ascii="Times New Roman" w:cs="Times New Roman" w:eastAsia="Times New Roman" w:hAnsi="Times New Roman"/>
                <w:sz w:val="18"/>
                <w:szCs w:val="18"/>
                <w:color w:val="auto"/>
              </w:rPr>
              <w:t>Article VIII. Information</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306"/>
        </w:trPr>
        <w:tc>
          <w:tcPr>
            <w:tcW w:w="10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8.1. Quarterly Financial Statements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10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8.2. Year-End Statements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10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8.3. Compliance Certificate</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10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8.4. Other Information</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10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8.5. Electronic Delivery of Certain Information</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10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8.6. Public/Private Information</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34"/>
        </w:trPr>
        <w:tc>
          <w:tcPr>
            <w:tcW w:w="10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8.7. USA Patriot Act Notice; Compliance</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324"/>
        </w:trPr>
        <w:tc>
          <w:tcPr>
            <w:tcW w:w="10420" w:type="dxa"/>
            <w:vAlign w:val="bottom"/>
          </w:tcPr>
          <w:p>
            <w:pPr>
              <w:spacing w:after="0"/>
              <w:rPr>
                <w:sz w:val="20"/>
                <w:szCs w:val="20"/>
                <w:color w:val="auto"/>
              </w:rPr>
            </w:pPr>
            <w:r>
              <w:rPr>
                <w:rFonts w:ascii="Times New Roman" w:cs="Times New Roman" w:eastAsia="Times New Roman" w:hAnsi="Times New Roman"/>
                <w:sz w:val="18"/>
                <w:szCs w:val="18"/>
                <w:color w:val="auto"/>
              </w:rPr>
              <w:t>Article IX. Negative Covenants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306"/>
        </w:trPr>
        <w:tc>
          <w:tcPr>
            <w:tcW w:w="10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9.1. Financial Covenants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10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9.2. [Intentionally Omitted]</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10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9.3. Liens; Negative Pledges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10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9.4. Restrictions on Intercompany Transfers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10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9.5. Merger, Consolidation, Sales of Assets and Other Arrangements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10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9.6. Plans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10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9.7. Fiscal Year</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10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9.8. Modifications of Organizational Documents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10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9.9. Transactions with Affiliates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10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9.10. Environmental Matters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10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9.11. Non-Controlled Properties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10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9.12. Derivatives Contracts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10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9.13. Use of Proceeds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34"/>
        </w:trPr>
        <w:tc>
          <w:tcPr>
            <w:tcW w:w="10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9.14. Parent and General Partner</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 ii -</w:t>
      </w:r>
    </w:p>
    <w:p>
      <w:pPr>
        <w:sectPr>
          <w:pgSz w:w="11900" w:h="16838" w:orient="portrait"/>
          <w:cols w:equalWidth="0" w:num="1">
            <w:col w:w="10960"/>
          </w:cols>
          <w:pgMar w:left="440" w:top="270" w:right="49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Article X. Default</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306"/>
        </w:trPr>
        <w:tc>
          <w:tcPr>
            <w:tcW w:w="8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10.1. Events of Default</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8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10.2. Remedies Upon Event of Default</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16"/>
        </w:trPr>
        <w:tc>
          <w:tcPr>
            <w:tcW w:w="8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10.3. Remedies Upon Default</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8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10.4. Marshaling; Payments Set Aside</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8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10.5. Allocation of Proceeds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8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10.6. Letter of Credit Collateral Account</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8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10.7. Rescission of Acceleration by Requisite Lenders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8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10.8. Performance by Administrative Agent</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34"/>
        </w:trPr>
        <w:tc>
          <w:tcPr>
            <w:tcW w:w="8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10.9. Rights Cumulative</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324"/>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Article XI. The Administrative Agent</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306"/>
        </w:trPr>
        <w:tc>
          <w:tcPr>
            <w:tcW w:w="8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11.1. Appointment and Authorization</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8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11.2. Wells Fargo as Lender</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8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11.3. Approvals of Lenders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8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11.4. Notice of Events of Default</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16"/>
        </w:trPr>
        <w:tc>
          <w:tcPr>
            <w:tcW w:w="8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11.5. Administrative Agent’s Reliance</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16"/>
        </w:trPr>
        <w:tc>
          <w:tcPr>
            <w:tcW w:w="8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11.6. Indemnification of Administrative Agent</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16"/>
        </w:trPr>
        <w:tc>
          <w:tcPr>
            <w:tcW w:w="8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11.7. Lender Credit Decision, Etc.</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8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11.8. Successor Administrative Agent</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8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11.9. Titled Agents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34"/>
        </w:trPr>
        <w:tc>
          <w:tcPr>
            <w:tcW w:w="8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11.10. Erroneous Payments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324"/>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Article XII. Miscellaneous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306"/>
        </w:trPr>
        <w:tc>
          <w:tcPr>
            <w:tcW w:w="8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12.1. Notices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16"/>
        </w:trPr>
        <w:tc>
          <w:tcPr>
            <w:tcW w:w="8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12.2. Expenses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16"/>
        </w:trPr>
        <w:tc>
          <w:tcPr>
            <w:tcW w:w="8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12.3. Stamp, Intangible and Recording Taxes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16"/>
        </w:trPr>
        <w:tc>
          <w:tcPr>
            <w:tcW w:w="8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12.4. Setoff</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16"/>
        </w:trPr>
        <w:tc>
          <w:tcPr>
            <w:tcW w:w="8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12.5. Litigation; Jurisdiction; Other Matters; Waivers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16"/>
        </w:trPr>
        <w:tc>
          <w:tcPr>
            <w:tcW w:w="8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12.6. Successors and Assigns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16"/>
        </w:trPr>
        <w:tc>
          <w:tcPr>
            <w:tcW w:w="8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12.7. Amendments and Waivers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8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12.8. Nonliability of Administrative Agent and Lenders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16"/>
        </w:trPr>
        <w:tc>
          <w:tcPr>
            <w:tcW w:w="8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12.9. Confidentiality</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16"/>
        </w:trPr>
        <w:tc>
          <w:tcPr>
            <w:tcW w:w="8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12.10. Indemnification</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16"/>
        </w:trPr>
        <w:tc>
          <w:tcPr>
            <w:tcW w:w="8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12.11. Termination; Survival</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16"/>
        </w:trPr>
        <w:tc>
          <w:tcPr>
            <w:tcW w:w="8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12.12. Severability of Provisions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16"/>
        </w:trPr>
        <w:tc>
          <w:tcPr>
            <w:tcW w:w="8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12.13. GOVERNING LAW</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8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12.14. Counterparts; Integration; Effectiveness; Electronic Execution</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8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12.15. Obligations with Respect to Loan Parties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16"/>
        </w:trPr>
        <w:tc>
          <w:tcPr>
            <w:tcW w:w="8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12.16. Independence of Covenants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16"/>
        </w:trPr>
        <w:tc>
          <w:tcPr>
            <w:tcW w:w="8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12.17. Limitation of Liability</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16"/>
        </w:trPr>
        <w:tc>
          <w:tcPr>
            <w:tcW w:w="8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12.18. Entire Agreement</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16"/>
        </w:trPr>
        <w:tc>
          <w:tcPr>
            <w:tcW w:w="8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12.19. Construction</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16"/>
        </w:trPr>
        <w:tc>
          <w:tcPr>
            <w:tcW w:w="8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12.20. Headings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16"/>
        </w:trPr>
        <w:tc>
          <w:tcPr>
            <w:tcW w:w="8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12.21. Limitation of Liability of Trustees, Etc.</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16"/>
        </w:trPr>
        <w:tc>
          <w:tcPr>
            <w:tcW w:w="8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12.22. Acknowledgement and Consent to Bail-In of EEA Financial Institutions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16"/>
        </w:trPr>
        <w:tc>
          <w:tcPr>
            <w:tcW w:w="8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12.23. Effect of Amendment and Restatement</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16"/>
        </w:trPr>
        <w:tc>
          <w:tcPr>
            <w:tcW w:w="8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12.24. Acknowledgement Regarding Any Supported QFCs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34"/>
        </w:trPr>
        <w:tc>
          <w:tcPr>
            <w:tcW w:w="8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12.25 ESG Amendment</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 iii -</w:t>
      </w:r>
    </w:p>
    <w:p>
      <w:pPr>
        <w:sectPr>
          <w:pgSz w:w="11900" w:h="16838" w:orient="portrait"/>
          <w:cols w:equalWidth="0" w:num="1">
            <w:col w:w="10960"/>
          </w:cols>
          <w:pgMar w:left="440" w:top="270" w:right="499" w:bottom="1440" w:gutter="0" w:footer="0" w:header="0"/>
        </w:sectPr>
      </w:pPr>
    </w:p>
    <w:bookmarkStart w:id="9" w:name="page10"/>
    <w:bookmarkEnd w:id="9"/>
    <w:p>
      <w:pPr>
        <w:ind w:right="40"/>
        <w:spacing w:after="0" w:line="272" w:lineRule="auto"/>
        <w:rPr>
          <w:sz w:val="20"/>
          <w:szCs w:val="20"/>
          <w:color w:val="auto"/>
        </w:rPr>
      </w:pPr>
      <w:r>
        <w:rPr>
          <w:rFonts w:ascii="Times New Roman" w:cs="Times New Roman" w:eastAsia="Times New Roman" w:hAnsi="Times New Roman"/>
          <w:sz w:val="17"/>
          <w:szCs w:val="17"/>
          <w:color w:val="auto"/>
        </w:rPr>
        <w:t>SCHEDULE I SCHEDULE 1.1.(a) SCHEDULE 1.1.(b) SCHEDULE 6.1.(b) SCHEDULE 6.1.(f) SCHEDULE 6.1.(g) SCHEDULE 6.1.(i) SCHEDULE 6.1.(z)</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-1492885</wp:posOffset>
            </wp:positionH>
            <wp:positionV relativeFrom="paragraph">
              <wp:posOffset>-213360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List of Loan Parties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Existing Letters of Credit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Ownership Structure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Indebtedness and Guaranties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Litigation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Unencumbered Assets</w:t>
      </w:r>
    </w:p>
    <w:p>
      <w:pPr>
        <w:spacing w:after="0" w:line="207" w:lineRule="exact"/>
        <w:rPr>
          <w:sz w:val="20"/>
          <w:szCs w:val="20"/>
          <w:color w:val="auto"/>
        </w:rPr>
      </w:pPr>
    </w:p>
    <w:p>
      <w:pPr>
        <w:sectPr>
          <w:pgSz w:w="11900" w:h="16838" w:orient="portrait"/>
          <w:cols w:equalWidth="0" w:num="2">
            <w:col w:w="1500" w:space="720"/>
            <w:col w:w="7799"/>
          </w:cols>
          <w:pgMar w:left="440" w:top="270" w:right="1440"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EXHIBIT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J</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EXHIBIT Q-1</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EXHIBIT Q-2</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EXHIBIT Q-3</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EXHIBIT Q-4</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Form of Assignment and Assumption Agreement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Bid Rate Note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Designation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Guaranty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Notice of Borrowing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Notice of Continuation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Notice of Conversion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Notice of Swingline Borrowing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Revolving Note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Swingline Note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Disbursement Instruction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Bid Rate Quote Request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Bid Rate Quote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Bid Rate Quote Acceptance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Opinion of Counsel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Compliance Certificate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U.S. Tax Compliance Certificates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U.S. Tax Compliance Certificates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U.S. Tax Compliance Certificates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U.S. Tax Compliance Certificates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Parent/General Partner Guaranty</w:t>
      </w:r>
    </w:p>
    <w:p>
      <w:pPr>
        <w:spacing w:after="0" w:line="139" w:lineRule="exact"/>
        <w:rPr>
          <w:sz w:val="20"/>
          <w:szCs w:val="20"/>
          <w:color w:val="auto"/>
        </w:rPr>
      </w:pPr>
    </w:p>
    <w:p>
      <w:pPr>
        <w:sectPr>
          <w:pgSz w:w="11900" w:h="16838" w:orient="portrait"/>
          <w:cols w:equalWidth="0" w:num="2">
            <w:col w:w="1500" w:space="720"/>
            <w:col w:w="7799"/>
          </w:cols>
          <w:pgMar w:left="440" w:top="270" w:right="1440" w:bottom="1440" w:gutter="0" w:footer="0" w:header="0"/>
          <w:type w:val="continuous"/>
        </w:sectPr>
      </w:pPr>
    </w:p>
    <w:p>
      <w:pPr>
        <w:ind w:left="5320"/>
        <w:spacing w:after="0"/>
        <w:rPr>
          <w:sz w:val="20"/>
          <w:szCs w:val="20"/>
          <w:color w:val="auto"/>
        </w:rPr>
      </w:pPr>
      <w:r>
        <w:rPr>
          <w:rFonts w:ascii="Times New Roman" w:cs="Times New Roman" w:eastAsia="Times New Roman" w:hAnsi="Times New Roman"/>
          <w:sz w:val="18"/>
          <w:szCs w:val="18"/>
          <w:color w:val="auto"/>
        </w:rPr>
        <w:t>- iv -</w:t>
      </w:r>
    </w:p>
    <w:p>
      <w:pPr>
        <w:sectPr>
          <w:pgSz w:w="11900" w:h="16838" w:orient="portrait"/>
          <w:cols w:equalWidth="0" w:num="1">
            <w:col w:w="10019"/>
          </w:cols>
          <w:pgMar w:left="440" w:top="270" w:right="1440" w:bottom="1440" w:gutter="0" w:footer="0" w:header="0"/>
          <w:type w:val="continuous"/>
        </w:sectPr>
      </w:pPr>
    </w:p>
    <w:bookmarkStart w:id="10" w:name="page11"/>
    <w:bookmarkEnd w:id="10"/>
    <w:p>
      <w:pPr>
        <w:ind w:firstLine="440"/>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SECOND AMENDED AND RESTATED CREDIT AGREEMENT (this “</w:t>
      </w:r>
      <w:r>
        <w:rPr>
          <w:rFonts w:ascii="Times New Roman" w:cs="Times New Roman" w:eastAsia="Times New Roman" w:hAnsi="Times New Roman"/>
          <w:sz w:val="17"/>
          <w:szCs w:val="17"/>
          <w:b w:val="1"/>
          <w:bCs w:val="1"/>
          <w:color w:val="auto"/>
        </w:rPr>
        <w:t>Agreement</w:t>
      </w:r>
      <w:r>
        <w:rPr>
          <w:rFonts w:ascii="Times New Roman" w:cs="Times New Roman" w:eastAsia="Times New Roman" w:hAnsi="Times New Roman"/>
          <w:sz w:val="17"/>
          <w:szCs w:val="17"/>
          <w:color w:val="auto"/>
        </w:rPr>
        <w:t>”) dated as of October 5, 2022, by and among FEDERAL REALTY OP LP, a Delaware limited partnership (the “</w:t>
      </w:r>
      <w:r>
        <w:rPr>
          <w:rFonts w:ascii="Times New Roman" w:cs="Times New Roman" w:eastAsia="Times New Roman" w:hAnsi="Times New Roman"/>
          <w:sz w:val="17"/>
          <w:szCs w:val="17"/>
          <w:b w:val="1"/>
          <w:bCs w:val="1"/>
          <w:color w:val="auto"/>
        </w:rPr>
        <w:t>Borrower</w:t>
      </w:r>
      <w:r>
        <w:rPr>
          <w:rFonts w:ascii="Times New Roman" w:cs="Times New Roman" w:eastAsia="Times New Roman" w:hAnsi="Times New Roman"/>
          <w:sz w:val="17"/>
          <w:szCs w:val="17"/>
          <w:color w:val="auto"/>
        </w:rPr>
        <w:t>”), each of the financial institutions initially a signatory hereto together with their successors and permitted assignees under Section 12.6. (the “</w:t>
      </w:r>
      <w:r>
        <w:rPr>
          <w:rFonts w:ascii="Times New Roman" w:cs="Times New Roman" w:eastAsia="Times New Roman" w:hAnsi="Times New Roman"/>
          <w:sz w:val="17"/>
          <w:szCs w:val="17"/>
          <w:b w:val="1"/>
          <w:bCs w:val="1"/>
          <w:color w:val="auto"/>
        </w:rPr>
        <w:t>Lenders</w:t>
      </w:r>
      <w:r>
        <w:rPr>
          <w:rFonts w:ascii="Times New Roman" w:cs="Times New Roman" w:eastAsia="Times New Roman" w:hAnsi="Times New Roman"/>
          <w:sz w:val="17"/>
          <w:szCs w:val="17"/>
          <w:color w:val="auto"/>
        </w:rPr>
        <w:t>”), WELLS FARGO BANK, NATIONAL ASSOCIATION, as Administrative Agent (together with its successors and permitted assigns, the “</w:t>
      </w:r>
      <w:r>
        <w:rPr>
          <w:rFonts w:ascii="Times New Roman" w:cs="Times New Roman" w:eastAsia="Times New Roman" w:hAnsi="Times New Roman"/>
          <w:sz w:val="17"/>
          <w:szCs w:val="17"/>
          <w:b w:val="1"/>
          <w:bCs w:val="1"/>
          <w:color w:val="auto"/>
        </w:rPr>
        <w:t>Administrative Agent</w:t>
      </w:r>
      <w:r>
        <w:rPr>
          <w:rFonts w:ascii="Times New Roman" w:cs="Times New Roman" w:eastAsia="Times New Roman" w:hAnsi="Times New Roman"/>
          <w:sz w:val="17"/>
          <w:szCs w:val="17"/>
          <w:color w:val="auto"/>
        </w:rPr>
        <w:t>”) and PNC BANK, NATIONAL ASSOCIATION, as Syndication Agent (the “</w:t>
      </w:r>
      <w:r>
        <w:rPr>
          <w:rFonts w:ascii="Times New Roman" w:cs="Times New Roman" w:eastAsia="Times New Roman" w:hAnsi="Times New Roman"/>
          <w:sz w:val="17"/>
          <w:szCs w:val="17"/>
          <w:b w:val="1"/>
          <w:bCs w:val="1"/>
          <w:color w:val="auto"/>
        </w:rPr>
        <w:t>Syndication Agent</w:t>
      </w:r>
      <w:r>
        <w:rPr>
          <w:rFonts w:ascii="Times New Roman" w:cs="Times New Roman" w:eastAsia="Times New Roman" w:hAnsi="Times New Roman"/>
          <w:sz w:val="17"/>
          <w:szCs w:val="17"/>
          <w:color w:val="auto"/>
        </w:rPr>
        <w:t>”), each of U.S. BANK NATIONAL ASSOCIATION, TRUIST BANK, TD BANK, N.A., REGIONS BANK and JPMORGAN CHASE BANK, N.A., as Documentation Agents (each a “</w:t>
      </w:r>
      <w:r>
        <w:rPr>
          <w:rFonts w:ascii="Times New Roman" w:cs="Times New Roman" w:eastAsia="Times New Roman" w:hAnsi="Times New Roman"/>
          <w:sz w:val="17"/>
          <w:szCs w:val="17"/>
          <w:b w:val="1"/>
          <w:bCs w:val="1"/>
          <w:color w:val="auto"/>
        </w:rPr>
        <w:t>Documentation Agent</w:t>
      </w:r>
      <w:r>
        <w:rPr>
          <w:rFonts w:ascii="Times New Roman" w:cs="Times New Roman" w:eastAsia="Times New Roman" w:hAnsi="Times New Roman"/>
          <w:sz w:val="17"/>
          <w:szCs w:val="17"/>
          <w:color w:val="auto"/>
        </w:rPr>
        <w:t>”), PNC CAPITAL MARKETS LLC, as Sustainability Structuring Agent (the “</w:t>
      </w:r>
      <w:r>
        <w:rPr>
          <w:rFonts w:ascii="Times New Roman" w:cs="Times New Roman" w:eastAsia="Times New Roman" w:hAnsi="Times New Roman"/>
          <w:sz w:val="17"/>
          <w:szCs w:val="17"/>
          <w:b w:val="1"/>
          <w:bCs w:val="1"/>
          <w:color w:val="auto"/>
        </w:rPr>
        <w:t>Sustainability Structuring Agent</w:t>
      </w:r>
      <w:r>
        <w:rPr>
          <w:rFonts w:ascii="Times New Roman" w:cs="Times New Roman" w:eastAsia="Times New Roman" w:hAnsi="Times New Roman"/>
          <w:sz w:val="17"/>
          <w:szCs w:val="17"/>
          <w:color w:val="auto"/>
        </w:rPr>
        <w:t>”), each of WELLS FARGO SECURITIES, LLC, PNC CAPITAL MARKETS LLC and JPMORGAN CHASE BANK, N.A., as Joint Book Managers (each a “</w:t>
      </w:r>
      <w:r>
        <w:rPr>
          <w:rFonts w:ascii="Times New Roman" w:cs="Times New Roman" w:eastAsia="Times New Roman" w:hAnsi="Times New Roman"/>
          <w:sz w:val="17"/>
          <w:szCs w:val="17"/>
          <w:b w:val="1"/>
          <w:bCs w:val="1"/>
          <w:color w:val="auto"/>
        </w:rPr>
        <w:t>Book Manager</w:t>
      </w:r>
      <w:r>
        <w:rPr>
          <w:rFonts w:ascii="Times New Roman" w:cs="Times New Roman" w:eastAsia="Times New Roman" w:hAnsi="Times New Roman"/>
          <w:sz w:val="17"/>
          <w:szCs w:val="17"/>
          <w:color w:val="auto"/>
        </w:rPr>
        <w:t>”) and each of WELLS FARGO SECURITIES, LLC,</w:t>
      </w:r>
    </w:p>
    <w:p>
      <w:pPr>
        <w:spacing w:after="0" w:line="4"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8"/>
          <w:szCs w:val="18"/>
          <w:color w:val="auto"/>
        </w:rPr>
        <w:t>PNC CAPITAL MARKETS LLC, U.S. BANK NATIONAL ASSOCIATION, TRUIST SECURITIES, INC., REGIONS CAPITAL MARKETS, TD SECURITIES (USA) LLC and JPMORGAN CHASE BANK, N.A., as Joint Lead Arrangers (each an “</w:t>
      </w:r>
      <w:r>
        <w:rPr>
          <w:rFonts w:ascii="Times New Roman" w:cs="Times New Roman" w:eastAsia="Times New Roman" w:hAnsi="Times New Roman"/>
          <w:sz w:val="18"/>
          <w:szCs w:val="18"/>
          <w:b w:val="1"/>
          <w:bCs w:val="1"/>
          <w:color w:val="auto"/>
        </w:rPr>
        <w:t>Arranger</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jc w:val="both"/>
        <w:ind w:right="160" w:firstLine="440"/>
        <w:spacing w:after="0" w:line="266" w:lineRule="auto"/>
        <w:rPr>
          <w:sz w:val="20"/>
          <w:szCs w:val="20"/>
          <w:color w:val="auto"/>
        </w:rPr>
      </w:pPr>
      <w:r>
        <w:rPr>
          <w:rFonts w:ascii="Times New Roman" w:cs="Times New Roman" w:eastAsia="Times New Roman" w:hAnsi="Times New Roman"/>
          <w:sz w:val="18"/>
          <w:szCs w:val="18"/>
          <w:color w:val="auto"/>
        </w:rPr>
        <w:t>WHEREAS, the Borrower, each of the financial institutions party thereto as a “Lender”, the Administrative Agent and certain other parties have entered into that certain Amended and Restated Credit Agreement dated as of July 25, 2019 (as amended and as in effect immediately prior to the date hereof, the “</w:t>
      </w:r>
      <w:r>
        <w:rPr>
          <w:rFonts w:ascii="Times New Roman" w:cs="Times New Roman" w:eastAsia="Times New Roman" w:hAnsi="Times New Roman"/>
          <w:sz w:val="18"/>
          <w:szCs w:val="18"/>
          <w:b w:val="1"/>
          <w:bCs w:val="1"/>
          <w:color w:val="auto"/>
        </w:rPr>
        <w:t>Existing Credit Agreement</w:t>
      </w:r>
      <w:r>
        <w:rPr>
          <w:rFonts w:ascii="Times New Roman" w:cs="Times New Roman" w:eastAsia="Times New Roman" w:hAnsi="Times New Roman"/>
          <w:sz w:val="18"/>
          <w:szCs w:val="18"/>
          <w:color w:val="auto"/>
        </w:rPr>
        <w:t>”); and</w:t>
      </w:r>
    </w:p>
    <w:p>
      <w:pPr>
        <w:spacing w:after="0" w:line="176" w:lineRule="exact"/>
        <w:rPr>
          <w:sz w:val="20"/>
          <w:szCs w:val="20"/>
          <w:color w:val="auto"/>
        </w:rPr>
      </w:pPr>
    </w:p>
    <w:p>
      <w:pPr>
        <w:ind w:right="500" w:firstLine="440"/>
        <w:spacing w:after="0" w:line="266" w:lineRule="auto"/>
        <w:rPr>
          <w:sz w:val="20"/>
          <w:szCs w:val="20"/>
          <w:color w:val="auto"/>
        </w:rPr>
      </w:pPr>
      <w:r>
        <w:rPr>
          <w:rFonts w:ascii="Times New Roman" w:cs="Times New Roman" w:eastAsia="Times New Roman" w:hAnsi="Times New Roman"/>
          <w:sz w:val="18"/>
          <w:szCs w:val="18"/>
          <w:color w:val="auto"/>
        </w:rPr>
        <w:t>WHEREAS, the Borrower, the Administrative Agent, the Issuing Bank and the Lenders desire to amend and restate the Existing Credit Agreement, to, among other things, make available to the Borrower an unsecured revolving credit facility in the amount of $1,250,000,000 with a $100,000,000 swingline subfacility and a letter of credit subfacility of up to $50,000,000, on the terms and conditions contained herein.</w:t>
      </w:r>
    </w:p>
    <w:p>
      <w:pPr>
        <w:spacing w:after="0" w:line="176"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NOW, THEREFORE, for good and valuable consideration, the receipt and sufficiency of which are hereby acknowledged by the parties hereto, the parties hereto agree as follows:</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18"/>
          <w:szCs w:val="18"/>
          <w:b w:val="1"/>
          <w:bCs w:val="1"/>
          <w:color w:val="auto"/>
        </w:rPr>
        <w:t xml:space="preserve"> I. D</w:t>
      </w:r>
      <w:r>
        <w:rPr>
          <w:rFonts w:ascii="Times New Roman" w:cs="Times New Roman" w:eastAsia="Times New Roman" w:hAnsi="Times New Roman"/>
          <w:sz w:val="14"/>
          <w:szCs w:val="14"/>
          <w:b w:val="1"/>
          <w:bCs w:val="1"/>
          <w:color w:val="auto"/>
        </w:rPr>
        <w:t>EFINITIONS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1.1. Definitions.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addition to terms defined elsewhere herein, the following terms shall have the following meanings for the purposes of this Agreement:</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Absolute Rate</w:t>
      </w:r>
      <w:r>
        <w:rPr>
          <w:rFonts w:ascii="Times New Roman" w:cs="Times New Roman" w:eastAsia="Times New Roman" w:hAnsi="Times New Roman"/>
          <w:sz w:val="18"/>
          <w:szCs w:val="18"/>
          <w:color w:val="auto"/>
        </w:rPr>
        <w:t>” has the meaning given that term in Section 2.2.(c)(ii)(C).</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Absolute Rate Auction</w:t>
      </w:r>
      <w:r>
        <w:rPr>
          <w:rFonts w:ascii="Times New Roman" w:cs="Times New Roman" w:eastAsia="Times New Roman" w:hAnsi="Times New Roman"/>
          <w:sz w:val="18"/>
          <w:szCs w:val="18"/>
          <w:color w:val="auto"/>
        </w:rPr>
        <w:t>” means a solicitation of Bid Rate Quotes setting forth Absolute Rates pursuant to Section 2.2.</w:t>
      </w:r>
    </w:p>
    <w:p>
      <w:pPr>
        <w:spacing w:after="0" w:line="225" w:lineRule="exact"/>
        <w:rPr>
          <w:sz w:val="20"/>
          <w:szCs w:val="20"/>
          <w:color w:val="auto"/>
        </w:rPr>
      </w:pPr>
    </w:p>
    <w:p>
      <w:pPr>
        <w:ind w:right="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Absolute Rate Loan</w:t>
      </w:r>
      <w:r>
        <w:rPr>
          <w:rFonts w:ascii="Times New Roman" w:cs="Times New Roman" w:eastAsia="Times New Roman" w:hAnsi="Times New Roman"/>
          <w:sz w:val="18"/>
          <w:szCs w:val="18"/>
          <w:color w:val="auto"/>
        </w:rPr>
        <w:t>” means a Bid Rate Loan, the interest rate on which is determined on the basis of an Absolute Rate pursuant to an Absolute Rate Auction.</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Accession Agreement</w:t>
      </w:r>
      <w:r>
        <w:rPr>
          <w:rFonts w:ascii="Times New Roman" w:cs="Times New Roman" w:eastAsia="Times New Roman" w:hAnsi="Times New Roman"/>
          <w:sz w:val="18"/>
          <w:szCs w:val="18"/>
          <w:color w:val="auto"/>
        </w:rPr>
        <w:t>” means an Accession Agreement substantially in the form of Annex I to the Guaranty.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Costs</w:t>
      </w:r>
      <w:r>
        <w:rPr>
          <w:rFonts w:ascii="Times New Roman" w:cs="Times New Roman" w:eastAsia="Times New Roman" w:hAnsi="Times New Roman"/>
          <w:sz w:val="18"/>
          <w:szCs w:val="18"/>
          <w:color w:val="auto"/>
        </w:rPr>
        <w:t>” has the meaning given that term in Section 4.1.(b).</w:t>
      </w:r>
    </w:p>
    <w:p>
      <w:pPr>
        <w:sectPr>
          <w:pgSz w:w="11900" w:h="16838" w:orient="portrait"/>
          <w:cols w:equalWidth="0" w:num="1">
            <w:col w:w="10980"/>
          </w:cols>
          <w:pgMar w:left="440" w:top="266" w:right="479" w:bottom="1440" w:gutter="0" w:footer="0" w:header="0"/>
        </w:sectPr>
      </w:pPr>
    </w:p>
    <w:bookmarkStart w:id="11" w:name="page12"/>
    <w:bookmarkEnd w:id="11"/>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Adjusted Daily Simple SOFR</w:t>
      </w:r>
      <w:r>
        <w:rPr>
          <w:rFonts w:ascii="Times New Roman" w:cs="Times New Roman" w:eastAsia="Times New Roman" w:hAnsi="Times New Roman"/>
          <w:sz w:val="18"/>
          <w:szCs w:val="18"/>
          <w:color w:val="auto"/>
        </w:rPr>
        <w:t>” means, for any day (a “</w:t>
      </w:r>
      <w:r>
        <w:rPr>
          <w:rFonts w:ascii="Times New Roman" w:cs="Times New Roman" w:eastAsia="Times New Roman" w:hAnsi="Times New Roman"/>
          <w:sz w:val="18"/>
          <w:szCs w:val="18"/>
          <w:u w:val="single" w:color="auto"/>
          <w:color w:val="auto"/>
        </w:rPr>
        <w:t>Simple SOFR Rate Day</w:t>
      </w:r>
      <w:r>
        <w:rPr>
          <w:rFonts w:ascii="Times New Roman" w:cs="Times New Roman" w:eastAsia="Times New Roman" w:hAnsi="Times New Roman"/>
          <w:sz w:val="18"/>
          <w:szCs w:val="18"/>
          <w:color w:val="auto"/>
        </w:rPr>
        <w:t>”), a rate per annum equal to the greater of (a) the sum of</w:t>
      </w:r>
    </w:p>
    <w:p>
      <w:pPr>
        <w:spacing w:after="0" w:line="31" w:lineRule="exact"/>
        <w:rPr>
          <w:sz w:val="20"/>
          <w:szCs w:val="20"/>
          <w:color w:val="auto"/>
        </w:rPr>
      </w:pPr>
    </w:p>
    <w:p>
      <w:pPr>
        <w:ind w:left="4" w:hanging="4"/>
        <w:spacing w:after="0"/>
        <w:tabs>
          <w:tab w:leader="none" w:pos="21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SOFR for the day (such day, a “</w:t>
      </w:r>
      <w:r>
        <w:rPr>
          <w:rFonts w:ascii="Times New Roman" w:cs="Times New Roman" w:eastAsia="Times New Roman" w:hAnsi="Times New Roman"/>
          <w:sz w:val="18"/>
          <w:szCs w:val="18"/>
          <w:u w:val="single" w:color="auto"/>
          <w:color w:val="auto"/>
        </w:rPr>
        <w:t>Simple SOFR Determination Day</w:t>
      </w:r>
      <w:r>
        <w:rPr>
          <w:rFonts w:ascii="Times New Roman" w:cs="Times New Roman" w:eastAsia="Times New Roman" w:hAnsi="Times New Roman"/>
          <w:sz w:val="18"/>
          <w:szCs w:val="18"/>
          <w:color w:val="auto"/>
        </w:rPr>
        <w:t xml:space="preserve">”) that is five (5) U.S. Government Securities Business Days prior to (A) if such Simple SOFR Rate Day is a U.S. Government Securities Business Day, such Simple SOFR Rate Day or (B) if such Simple SOFR Rate Day is not a U.S. Government Securities Business Day, the U.S. Government Securities Business Day immediately preceding such Simple SOFR Rate Day, in each case, as such SOFR is published by the SOFR Administrator on the SOFR Administrator’s Website;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by 5:00 p.m. on the second (2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xml:space="preserve">) U.S. Government Securities Business Day immediately following any Simple SOFR Determination Day, SOFR in respect of such Simple SOFR Determination Day has not been published on the SOFR Administrator’s Website and a Benchmark Replacement Date with respect to Adjusted Daily Simple SOFR has not occurred, then SOFR for such Simple SOFR Determination Day will be SOFR as published in respect of the first preceding U.S. Government Securities Business Day for which such SOFR was published on the SOFR Administrator’s Website;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SOFR as determined pursuant to this proviso shall be utilized for purposes of calculation of Adjusted Daily Simple SOFR for no more than three (3) consecutive Simple SOFR Rate Days and (ii) the Simple SOFR Adjustment and (b) the Floor. Any change in Adjusted Daily Simple SOFR due to a change in SOFR shall be effective from and including the effective date of such change in SOFR without notice to the Borrower.</w:t>
      </w:r>
    </w:p>
    <w:p>
      <w:pPr>
        <w:spacing w:after="0" w:line="201" w:lineRule="exact"/>
        <w:rPr>
          <w:sz w:val="20"/>
          <w:szCs w:val="20"/>
          <w:color w:val="auto"/>
        </w:rPr>
      </w:pPr>
    </w:p>
    <w:p>
      <w:pPr>
        <w:ind w:left="4" w:right="1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Adjusted EBITDA</w:t>
      </w:r>
      <w:r>
        <w:rPr>
          <w:rFonts w:ascii="Times New Roman" w:cs="Times New Roman" w:eastAsia="Times New Roman" w:hAnsi="Times New Roman"/>
          <w:sz w:val="18"/>
          <w:szCs w:val="18"/>
          <w:color w:val="auto"/>
        </w:rPr>
        <w:t xml:space="preserve">” means, for any given period, (a) the EBITDA of the Borrower and its Subsidiaries determined on a consolidated basis for such period (including the Borrower’s Ownership Share of EBITDA of its Unconsolidated Affiliates as set forth in clause (b) of the definition of EBITDA),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(b) Capital Reserves.</w:t>
      </w:r>
    </w:p>
    <w:p>
      <w:pPr>
        <w:spacing w:after="0" w:line="171" w:lineRule="exact"/>
        <w:rPr>
          <w:sz w:val="20"/>
          <w:szCs w:val="20"/>
          <w:color w:val="auto"/>
        </w:rPr>
      </w:pPr>
    </w:p>
    <w:p>
      <w:pPr>
        <w:ind w:left="4" w:right="2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Adjusted Term SOFR</w:t>
      </w:r>
      <w:r>
        <w:rPr>
          <w:rFonts w:ascii="Times New Roman" w:cs="Times New Roman" w:eastAsia="Times New Roman" w:hAnsi="Times New Roman"/>
          <w:sz w:val="18"/>
          <w:szCs w:val="18"/>
          <w:color w:val="auto"/>
        </w:rPr>
        <w:t>” means, for purposes of any calculation, the rate per annum equal to (a) Term SOFR for such calculation plus (b) the Term SOFR Adjustment; provided that if Adjusted Term SOFR as so determined shall ever be less than the Floor, then Adjusted Term SOFR shall be deemed to be the Floor.</w:t>
      </w:r>
    </w:p>
    <w:p>
      <w:pPr>
        <w:spacing w:after="0" w:line="171" w:lineRule="exact"/>
        <w:rPr>
          <w:sz w:val="20"/>
          <w:szCs w:val="20"/>
          <w:color w:val="auto"/>
        </w:rPr>
      </w:pPr>
    </w:p>
    <w:p>
      <w:pPr>
        <w:ind w:left="4" w:right="9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Adjusted Total Asset Value</w:t>
      </w:r>
      <w:r>
        <w:rPr>
          <w:rFonts w:ascii="Times New Roman" w:cs="Times New Roman" w:eastAsia="Times New Roman" w:hAnsi="Times New Roman"/>
          <w:sz w:val="18"/>
          <w:szCs w:val="18"/>
          <w:color w:val="auto"/>
        </w:rPr>
        <w:t>” means Total Asset Value determined exclusive of assets that are owned by Excluded Subsidiaries and Unconsolidated Affiliates.</w:t>
      </w:r>
    </w:p>
    <w:p>
      <w:pPr>
        <w:spacing w:after="0" w:line="155" w:lineRule="exact"/>
        <w:rPr>
          <w:sz w:val="20"/>
          <w:szCs w:val="20"/>
          <w:color w:val="auto"/>
        </w:rPr>
      </w:pPr>
    </w:p>
    <w:p>
      <w:pPr>
        <w:ind w:left="4" w:right="2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Administrative Agent</w:t>
      </w:r>
      <w:r>
        <w:rPr>
          <w:rFonts w:ascii="Times New Roman" w:cs="Times New Roman" w:eastAsia="Times New Roman" w:hAnsi="Times New Roman"/>
          <w:sz w:val="18"/>
          <w:szCs w:val="18"/>
          <w:color w:val="auto"/>
        </w:rPr>
        <w:t>” means Wells Fargo Bank, National Association as contractual representative of the Lenders under this Agreement, or any successor Administrative Agent appointed pursuant to Section 11.8.</w:t>
      </w:r>
    </w:p>
    <w:p>
      <w:pPr>
        <w:spacing w:after="0" w:line="155" w:lineRule="exact"/>
        <w:rPr>
          <w:sz w:val="20"/>
          <w:szCs w:val="20"/>
          <w:color w:val="auto"/>
        </w:rPr>
      </w:pPr>
    </w:p>
    <w:p>
      <w:pPr>
        <w:ind w:left="4" w:right="1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Administrative Questionnaire</w:t>
      </w:r>
      <w:r>
        <w:rPr>
          <w:rFonts w:ascii="Times New Roman" w:cs="Times New Roman" w:eastAsia="Times New Roman" w:hAnsi="Times New Roman"/>
          <w:sz w:val="18"/>
          <w:szCs w:val="18"/>
          <w:color w:val="auto"/>
        </w:rPr>
        <w:t>” means the Administrative Questionnaire completed by each Lender and delivered to the Administrative Agent in a form supplied by the Administrative Agent to the Lenders from time to time.</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Affected Financial Institution</w:t>
      </w:r>
      <w:r>
        <w:rPr>
          <w:rFonts w:ascii="Times New Roman" w:cs="Times New Roman" w:eastAsia="Times New Roman" w:hAnsi="Times New Roman"/>
          <w:sz w:val="18"/>
          <w:szCs w:val="18"/>
          <w:color w:val="auto"/>
        </w:rPr>
        <w:t>” means (a) any EEA Financial Institution or (b) any UK Financial Institution.</w:t>
      </w:r>
    </w:p>
    <w:p>
      <w:pPr>
        <w:spacing w:after="0" w:line="225" w:lineRule="exact"/>
        <w:rPr>
          <w:sz w:val="20"/>
          <w:szCs w:val="20"/>
          <w:color w:val="auto"/>
        </w:rPr>
      </w:pPr>
    </w:p>
    <w:p>
      <w:pPr>
        <w:ind w:left="4" w:right="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with respect to a specified Person, another Person that directly, or indirectly through one or more intermediaries, Controls or is Controlled by or is under common Control with the Person specified. In no event shall the Administrative Agent or any Lender be deemed to be an Affiliate of the Borrower.</w:t>
      </w:r>
    </w:p>
    <w:p>
      <w:pPr>
        <w:spacing w:after="0" w:line="17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 Date</w:t>
      </w:r>
      <w:r>
        <w:rPr>
          <w:rFonts w:ascii="Times New Roman" w:cs="Times New Roman" w:eastAsia="Times New Roman" w:hAnsi="Times New Roman"/>
          <w:sz w:val="18"/>
          <w:szCs w:val="18"/>
          <w:color w:val="auto"/>
        </w:rPr>
        <w:t>” means the date as of which this Agreement is dated.</w:t>
      </w:r>
    </w:p>
    <w:p>
      <w:pPr>
        <w:spacing w:after="0" w:line="225" w:lineRule="exact"/>
        <w:rPr>
          <w:sz w:val="20"/>
          <w:szCs w:val="20"/>
          <w:color w:val="auto"/>
        </w:rPr>
      </w:pPr>
    </w:p>
    <w:p>
      <w:pPr>
        <w:ind w:left="4" w:right="80" w:firstLine="440"/>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Anti-Corruption Laws</w:t>
      </w:r>
      <w:r>
        <w:rPr>
          <w:rFonts w:ascii="Times New Roman" w:cs="Times New Roman" w:eastAsia="Times New Roman" w:hAnsi="Times New Roman"/>
          <w:sz w:val="17"/>
          <w:szCs w:val="17"/>
          <w:color w:val="auto"/>
        </w:rPr>
        <w:t>” means all laws, rules, and regulations of any jurisdiction applicable to the Parent, the General Partner, the Borrower or their respective Subsidiaries from time to time concerning or relating to bribery or corruption, including, without limitation, the United States Foreign Corrupt Practices Act of 1977 and the rules and regulations thereunder and the U.K. Bribery Act 2010 and the rules and regulations thereunder.</w:t>
      </w:r>
    </w:p>
    <w:p>
      <w:pPr>
        <w:spacing w:after="0" w:line="33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- 2 -</w:t>
      </w:r>
    </w:p>
    <w:p>
      <w:pPr>
        <w:sectPr>
          <w:pgSz w:w="11900" w:h="16838" w:orient="portrait"/>
          <w:cols w:equalWidth="0" w:num="1">
            <w:col w:w="10984"/>
          </w:cols>
          <w:pgMar w:left="436" w:top="266" w:right="479" w:bottom="1440" w:gutter="0" w:footer="0" w:header="0"/>
        </w:sectPr>
      </w:pPr>
    </w:p>
    <w:bookmarkStart w:id="12" w:name="page13"/>
    <w:bookmarkEnd w:id="12"/>
    <w:p>
      <w:pPr>
        <w:ind w:right="280" w:firstLine="44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Anti-Money Laundering Laws</w:t>
      </w:r>
      <w:r>
        <w:rPr>
          <w:rFonts w:ascii="Times New Roman" w:cs="Times New Roman" w:eastAsia="Times New Roman" w:hAnsi="Times New Roman"/>
          <w:sz w:val="18"/>
          <w:szCs w:val="18"/>
          <w:color w:val="auto"/>
        </w:rPr>
        <w:t>” means any and all laws, statutes, regulations or obligatory government orders, decrees, ordinances or rules applicable to a Loan Party, its Subsidiaries or Affiliates related to terrorism financing or money laundering, including any applicable provision of the PATRIOT Act and The Currency and Foreign Transactions Reporting Act (also known as the “Bank Secrecy Act,” 31 U.S.C. §§ 5311-5330 and 12U.S.C. §§ 1818(s), 1820(b) and 1951-1959).</w:t>
      </w:r>
    </w:p>
    <w:p>
      <w:pPr>
        <w:spacing w:after="0" w:line="176" w:lineRule="exact"/>
        <w:rPr>
          <w:sz w:val="20"/>
          <w:szCs w:val="20"/>
          <w:color w:val="auto"/>
        </w:rPr>
      </w:pPr>
    </w:p>
    <w:p>
      <w:pPr>
        <w:ind w:right="4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Facility Fee</w:t>
      </w:r>
      <w:r>
        <w:rPr>
          <w:rFonts w:ascii="Times New Roman" w:cs="Times New Roman" w:eastAsia="Times New Roman" w:hAnsi="Times New Roman"/>
          <w:sz w:val="18"/>
          <w:szCs w:val="18"/>
          <w:color w:val="auto"/>
        </w:rPr>
        <w:t>” means the percentage set forth in the table below corresponding to the Level at which the “Applicable Margin” is determined in accordance with the definition thereof:</w:t>
      </w:r>
    </w:p>
    <w:p>
      <w:pPr>
        <w:spacing w:after="0" w:line="179" w:lineRule="exact"/>
        <w:rPr>
          <w:sz w:val="20"/>
          <w:szCs w:val="20"/>
          <w:color w:val="auto"/>
        </w:rPr>
      </w:pPr>
    </w:p>
    <w:tbl>
      <w:tblPr>
        <w:tblLayout w:type="fixed"/>
        <w:tblInd w:w="1760" w:type="dxa"/>
        <w:tblCellMar>
          <w:top w:w="0" w:type="dxa"/>
          <w:left w:w="0" w:type="dxa"/>
          <w:bottom w:w="0" w:type="dxa"/>
          <w:right w:w="0" w:type="dxa"/>
        </w:tblCellMar>
      </w:tblPr>
      <w:tr>
        <w:trPr>
          <w:trHeight w:val="173"/>
        </w:trPr>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Level</w:t>
            </w:r>
          </w:p>
        </w:tc>
        <w:tc>
          <w:tcPr>
            <w:tcW w:w="6220" w:type="dxa"/>
            <w:vAlign w:val="bottom"/>
          </w:tcPr>
          <w:p>
            <w:pPr>
              <w:spacing w:after="0"/>
              <w:rPr>
                <w:sz w:val="15"/>
                <w:szCs w:val="15"/>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Facility Fee</w:t>
            </w:r>
          </w:p>
        </w:tc>
        <w:tc>
          <w:tcPr>
            <w:tcW w:w="0" w:type="dxa"/>
            <w:vAlign w:val="bottom"/>
          </w:tcPr>
          <w:p>
            <w:pPr>
              <w:spacing w:after="0"/>
              <w:rPr>
                <w:sz w:val="1"/>
                <w:szCs w:val="1"/>
                <w:color w:val="auto"/>
              </w:rPr>
            </w:pPr>
          </w:p>
        </w:tc>
      </w:tr>
      <w:tr>
        <w:trPr>
          <w:trHeight w:val="20"/>
        </w:trPr>
        <w:tc>
          <w:tcPr>
            <w:tcW w:w="3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1</w:t>
            </w:r>
          </w:p>
        </w:tc>
        <w:tc>
          <w:tcPr>
            <w:tcW w:w="6220" w:type="dxa"/>
            <w:vAlign w:val="bottom"/>
            <w:vMerge w:val="restart"/>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40" w:type="dxa"/>
            <w:vAlign w:val="bottom"/>
            <w:vMerge w:val="continue"/>
            <w:shd w:val="clear" w:color="auto" w:fill="CCEEFF"/>
          </w:tcPr>
          <w:p>
            <w:pPr>
              <w:spacing w:after="0"/>
              <w:rPr>
                <w:sz w:val="17"/>
                <w:szCs w:val="17"/>
                <w:color w:val="auto"/>
              </w:rPr>
            </w:pPr>
          </w:p>
        </w:tc>
        <w:tc>
          <w:tcPr>
            <w:tcW w:w="6220" w:type="dxa"/>
            <w:vAlign w:val="bottom"/>
            <w:vMerge w:val="continue"/>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0.100%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7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0.125%</w:t>
            </w: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w:t>
            </w:r>
          </w:p>
        </w:tc>
        <w:tc>
          <w:tcPr>
            <w:tcW w:w="71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0.150%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7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0.200%</w:t>
            </w: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w:t>
            </w:r>
          </w:p>
        </w:tc>
        <w:tc>
          <w:tcPr>
            <w:tcW w:w="71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0.250%</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7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0.300%</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Any change in the applicable Level at which the Applicable Margin is determined shall result in a corresponding and simultaneous change in the Applicable Facility Fee. The provisions of this definition shall be subject to Section 2.5.(c).</w:t>
      </w:r>
    </w:p>
    <w:p>
      <w:pPr>
        <w:spacing w:after="0" w:line="158"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Law</w:t>
      </w:r>
      <w:r>
        <w:rPr>
          <w:rFonts w:ascii="Times New Roman" w:cs="Times New Roman" w:eastAsia="Times New Roman" w:hAnsi="Times New Roman"/>
          <w:sz w:val="18"/>
          <w:szCs w:val="18"/>
          <w:color w:val="auto"/>
        </w:rPr>
        <w:t>” means all applicable provisions of international, foreign, federal, state and local statutes, treaties, rules, guidelines, regulations, ordinances, codes, executive orders, and administrative or judicial precedents or authorities, including the interpretation, implementation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w:t>
      </w:r>
    </w:p>
    <w:p>
      <w:pPr>
        <w:spacing w:after="0" w:line="176"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Margin</w:t>
      </w:r>
      <w:r>
        <w:rPr>
          <w:rFonts w:ascii="Times New Roman" w:cs="Times New Roman" w:eastAsia="Times New Roman" w:hAnsi="Times New Roman"/>
          <w:sz w:val="18"/>
          <w:szCs w:val="18"/>
          <w:color w:val="auto"/>
        </w:rPr>
        <w:t>” means the percentage rate set forth in the table below corresponding to the level (each a “</w:t>
      </w:r>
      <w:r>
        <w:rPr>
          <w:rFonts w:ascii="Times New Roman" w:cs="Times New Roman" w:eastAsia="Times New Roman" w:hAnsi="Times New Roman"/>
          <w:sz w:val="18"/>
          <w:szCs w:val="18"/>
          <w:b w:val="1"/>
          <w:bCs w:val="1"/>
          <w:color w:val="auto"/>
        </w:rPr>
        <w:t>Level</w:t>
      </w:r>
      <w:r>
        <w:rPr>
          <w:rFonts w:ascii="Times New Roman" w:cs="Times New Roman" w:eastAsia="Times New Roman" w:hAnsi="Times New Roman"/>
          <w:sz w:val="18"/>
          <w:szCs w:val="18"/>
          <w:color w:val="auto"/>
        </w:rPr>
        <w:t>”) into which the Borrower’s Credit Rating then falls. As of the Agreement Date, the Applicable Margin is determined based on Level 3. Any change in the Borrower’s Credit Rating which would cause it to move to a different Level shall be effective as of the first Business Day of the first calendar month immediately following receipt by the Administrative Agent of written notice delivered by the Borrower in accordance with Section 8.4.(n) that the Borrower’s Credit Rating has changed; provided, however, if the Borrower has not delivered the notice required by such Section but the Administrative Agent becomes aware that the Borrower’s Credit Rating has changed, then the Administrative Agent may, in its sole discretion, adjust the Level by written notice to the Borrower (provided, however, that the Administrative Agent’s failure to give such notice shall not change the effectiveness of the adjustment of the Level) effective as of the first Business Day of the first calendar month following the date the Administrative Agent becomes aware that the Borrower’s Credit Rating has changed. During any period that the Borrower has received two Credit Ratings that are not equivalent, the Applicable Margin shall be determined based on the Level corresponding to the higher of such two Credit Ratings unless the difference in the Credit Ratings is greater than one ratings level, in which case the Applicable Margin shall be determined by reference to the ratings level immediately below the higher of the two Credit Ratings. During any period for which the Borrower has received a Credit Rating from only one Rating Agency, then the Applicable Margin shall be determined based on such Credit Rating. During any period that the Borrower has not received a Credit Rating from any Rating Agency, the Applicable Margin shall be determined based on Level 6. The provisions of this definition shall be subject to Section 2.5.(c).</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- 3 -</w:t>
      </w:r>
    </w:p>
    <w:p>
      <w:pPr>
        <w:sectPr>
          <w:pgSz w:w="11900" w:h="16838" w:orient="portrait"/>
          <w:cols w:equalWidth="0" w:num="1">
            <w:col w:w="10980"/>
          </w:cols>
          <w:pgMar w:left="440" w:top="266" w:right="479" w:bottom="1440" w:gutter="0" w:footer="0" w:header="0"/>
        </w:sectPr>
      </w:pPr>
    </w:p>
    <w:bookmarkStart w:id="13" w:name="page14"/>
    <w:bookmarkEnd w:id="13"/>
    <w:tbl>
      <w:tblPr>
        <w:tblLayout w:type="fixed"/>
        <w:tblInd w:w="880" w:type="dxa"/>
        <w:tblCellMar>
          <w:top w:w="0" w:type="dxa"/>
          <w:left w:w="0" w:type="dxa"/>
          <w:bottom w:w="0" w:type="dxa"/>
          <w:right w:w="0" w:type="dxa"/>
        </w:tblCellMar>
      </w:tblPr>
      <w:tr>
        <w:trPr>
          <w:trHeight w:val="161"/>
        </w:trPr>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Borrower’s Credit Rating</w:t>
            </w:r>
          </w:p>
        </w:tc>
        <w:tc>
          <w:tcPr>
            <w:tcW w:w="2320" w:type="dxa"/>
            <w:vAlign w:val="bottom"/>
            <w:gridSpan w:val="3"/>
          </w:tcPr>
          <w:p>
            <w:pPr>
              <w:jc w:val="center"/>
              <w:ind w:left="53"/>
              <w:spacing w:after="0"/>
              <w:rPr>
                <w:sz w:val="20"/>
                <w:szCs w:val="20"/>
                <w:color w:val="auto"/>
              </w:rPr>
            </w:pPr>
            <w:r>
              <w:rPr>
                <w:rFonts w:ascii="Times New Roman" w:cs="Times New Roman" w:eastAsia="Times New Roman" w:hAnsi="Times New Roman"/>
                <w:sz w:val="14"/>
                <w:szCs w:val="14"/>
                <w:b w:val="1"/>
                <w:bCs w:val="1"/>
                <w:color w:val="auto"/>
              </w:rPr>
              <w:t>Applicable Margin for</w:t>
            </w:r>
          </w:p>
        </w:tc>
        <w:tc>
          <w:tcPr>
            <w:tcW w:w="260" w:type="dxa"/>
            <w:vAlign w:val="bottom"/>
          </w:tcPr>
          <w:p>
            <w:pPr>
              <w:spacing w:after="0"/>
              <w:rPr>
                <w:sz w:val="13"/>
                <w:szCs w:val="13"/>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Applicable</w:t>
            </w:r>
          </w:p>
        </w:tc>
        <w:tc>
          <w:tcPr>
            <w:tcW w:w="0" w:type="dxa"/>
            <w:vAlign w:val="bottom"/>
          </w:tcPr>
          <w:p>
            <w:pPr>
              <w:spacing w:after="0"/>
              <w:rPr>
                <w:sz w:val="1"/>
                <w:szCs w:val="1"/>
                <w:color w:val="auto"/>
              </w:rPr>
            </w:pPr>
          </w:p>
        </w:tc>
      </w:tr>
      <w:tr>
        <w:trPr>
          <w:trHeight w:val="148"/>
        </w:trPr>
        <w:tc>
          <w:tcPr>
            <w:tcW w:w="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Level</w:t>
            </w:r>
          </w:p>
        </w:tc>
        <w:tc>
          <w:tcPr>
            <w:tcW w:w="540" w:type="dxa"/>
            <w:vAlign w:val="bottom"/>
          </w:tcPr>
          <w:p>
            <w:pPr>
              <w:spacing w:after="0"/>
              <w:rPr>
                <w:sz w:val="12"/>
                <w:szCs w:val="12"/>
                <w:color w:val="auto"/>
              </w:rPr>
            </w:pPr>
          </w:p>
        </w:tc>
        <w:tc>
          <w:tcPr>
            <w:tcW w:w="4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(S&amp;P/Moody’s or</w:t>
            </w:r>
          </w:p>
        </w:tc>
        <w:tc>
          <w:tcPr>
            <w:tcW w:w="540" w:type="dxa"/>
            <w:vAlign w:val="bottom"/>
          </w:tcPr>
          <w:p>
            <w:pPr>
              <w:spacing w:after="0"/>
              <w:rPr>
                <w:sz w:val="12"/>
                <w:szCs w:val="12"/>
                <w:color w:val="auto"/>
              </w:rPr>
            </w:pPr>
          </w:p>
        </w:tc>
        <w:tc>
          <w:tcPr>
            <w:tcW w:w="17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Revolving Loans that</w:t>
            </w:r>
          </w:p>
        </w:tc>
        <w:tc>
          <w:tcPr>
            <w:tcW w:w="26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Margin for all</w:t>
            </w:r>
          </w:p>
        </w:tc>
        <w:tc>
          <w:tcPr>
            <w:tcW w:w="0" w:type="dxa"/>
            <w:vAlign w:val="bottom"/>
          </w:tcPr>
          <w:p>
            <w:pPr>
              <w:spacing w:after="0"/>
              <w:rPr>
                <w:sz w:val="1"/>
                <w:szCs w:val="1"/>
                <w:color w:val="auto"/>
              </w:rPr>
            </w:pPr>
          </w:p>
        </w:tc>
      </w:tr>
      <w:tr>
        <w:trPr>
          <w:trHeight w:val="167"/>
        </w:trPr>
        <w:tc>
          <w:tcPr>
            <w:tcW w:w="340" w:type="dxa"/>
            <w:vAlign w:val="bottom"/>
            <w:tcBorders>
              <w:bottom w:val="single" w:sz="8" w:color="auto"/>
            </w:tcBorders>
            <w:vMerge w:val="continue"/>
          </w:tcPr>
          <w:p>
            <w:pPr>
              <w:spacing w:after="0"/>
              <w:rPr>
                <w:sz w:val="14"/>
                <w:szCs w:val="14"/>
                <w:color w:val="auto"/>
              </w:rPr>
            </w:pPr>
          </w:p>
        </w:tc>
        <w:tc>
          <w:tcPr>
            <w:tcW w:w="540" w:type="dxa"/>
            <w:vAlign w:val="bottom"/>
          </w:tcPr>
          <w:p>
            <w:pPr>
              <w:spacing w:after="0"/>
              <w:rPr>
                <w:sz w:val="14"/>
                <w:szCs w:val="14"/>
                <w:color w:val="auto"/>
              </w:rPr>
            </w:pPr>
          </w:p>
        </w:tc>
        <w:tc>
          <w:tcPr>
            <w:tcW w:w="4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equivalent)</w:t>
            </w:r>
          </w:p>
        </w:tc>
        <w:tc>
          <w:tcPr>
            <w:tcW w:w="540" w:type="dxa"/>
            <w:vAlign w:val="bottom"/>
          </w:tcPr>
          <w:p>
            <w:pPr>
              <w:spacing w:after="0"/>
              <w:rPr>
                <w:sz w:val="14"/>
                <w:szCs w:val="14"/>
                <w:color w:val="auto"/>
              </w:rPr>
            </w:pPr>
          </w:p>
        </w:tc>
        <w:tc>
          <w:tcPr>
            <w:tcW w:w="17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are SOFR Loans</w:t>
            </w:r>
          </w:p>
        </w:tc>
        <w:tc>
          <w:tcPr>
            <w:tcW w:w="15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Base Rate Loans</w:t>
            </w:r>
          </w:p>
        </w:tc>
        <w:tc>
          <w:tcPr>
            <w:tcW w:w="0" w:type="dxa"/>
            <w:vAlign w:val="bottom"/>
          </w:tcPr>
          <w:p>
            <w:pPr>
              <w:spacing w:after="0"/>
              <w:rPr>
                <w:sz w:val="1"/>
                <w:szCs w:val="1"/>
                <w:color w:val="auto"/>
              </w:rPr>
            </w:pPr>
          </w:p>
        </w:tc>
      </w:tr>
      <w:tr>
        <w:trPr>
          <w:trHeight w:val="20"/>
        </w:trPr>
        <w:tc>
          <w:tcPr>
            <w:tcW w:w="3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1</w:t>
            </w:r>
          </w:p>
        </w:tc>
        <w:tc>
          <w:tcPr>
            <w:tcW w:w="540" w:type="dxa"/>
            <w:vAlign w:val="bottom"/>
            <w:vMerge w:val="restart"/>
            <w:shd w:val="clear" w:color="auto" w:fill="CCEEFF"/>
          </w:tcPr>
          <w:p>
            <w:pPr>
              <w:spacing w:after="0" w:line="20" w:lineRule="exact"/>
              <w:rPr>
                <w:sz w:val="1"/>
                <w:szCs w:val="1"/>
                <w:color w:val="auto"/>
              </w:rPr>
            </w:pPr>
          </w:p>
        </w:tc>
        <w:tc>
          <w:tcPr>
            <w:tcW w:w="4560" w:type="dxa"/>
            <w:vAlign w:val="bottom"/>
            <w:shd w:val="clear" w:color="auto" w:fill="000000"/>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40" w:type="dxa"/>
            <w:vAlign w:val="bottom"/>
            <w:vMerge w:val="continue"/>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45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A/A2 (or equivalent) or better</w:t>
            </w:r>
          </w:p>
        </w:tc>
        <w:tc>
          <w:tcPr>
            <w:tcW w:w="540" w:type="dxa"/>
            <w:vAlign w:val="bottom"/>
            <w:vMerge w:val="continue"/>
            <w:shd w:val="clear" w:color="auto" w:fill="CCEEFF"/>
          </w:tcPr>
          <w:p>
            <w:pPr>
              <w:spacing w:after="0"/>
              <w:rPr>
                <w:sz w:val="17"/>
                <w:szCs w:val="17"/>
                <w:color w:val="auto"/>
              </w:rPr>
            </w:pPr>
          </w:p>
        </w:tc>
        <w:tc>
          <w:tcPr>
            <w:tcW w:w="1780" w:type="dxa"/>
            <w:vAlign w:val="bottom"/>
            <w:gridSpan w:val="2"/>
            <w:shd w:val="clear" w:color="auto" w:fill="CCEEFF"/>
          </w:tcPr>
          <w:p>
            <w:pPr>
              <w:jc w:val="right"/>
              <w:ind w:right="260"/>
              <w:spacing w:after="0" w:line="203" w:lineRule="exact"/>
              <w:rPr>
                <w:sz w:val="20"/>
                <w:szCs w:val="20"/>
                <w:color w:val="auto"/>
              </w:rPr>
            </w:pPr>
            <w:r>
              <w:rPr>
                <w:rFonts w:ascii="Times New Roman" w:cs="Times New Roman" w:eastAsia="Times New Roman" w:hAnsi="Times New Roman"/>
                <w:sz w:val="18"/>
                <w:szCs w:val="18"/>
                <w:color w:val="auto"/>
              </w:rPr>
              <w:t>0.700%</w:t>
            </w:r>
          </w:p>
        </w:tc>
        <w:tc>
          <w:tcPr>
            <w:tcW w:w="260" w:type="dxa"/>
            <w:vAlign w:val="bottom"/>
            <w:vMerge w:val="continue"/>
            <w:shd w:val="clear" w:color="auto" w:fill="CCEEFF"/>
          </w:tcPr>
          <w:p>
            <w:pPr>
              <w:spacing w:after="0"/>
              <w:rPr>
                <w:sz w:val="17"/>
                <w:szCs w:val="17"/>
                <w:color w:val="auto"/>
              </w:rPr>
            </w:pPr>
          </w:p>
        </w:tc>
        <w:tc>
          <w:tcPr>
            <w:tcW w:w="124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0.000%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51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A-/A3 (or equivalent)</w:t>
            </w:r>
          </w:p>
        </w:tc>
        <w:tc>
          <w:tcPr>
            <w:tcW w:w="2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0.725%</w:t>
            </w:r>
          </w:p>
        </w:tc>
        <w:tc>
          <w:tcPr>
            <w:tcW w:w="15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0.000%</w:t>
            </w: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w:t>
            </w:r>
          </w:p>
        </w:tc>
        <w:tc>
          <w:tcPr>
            <w:tcW w:w="51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BBB+/Baa1 (or equivalent)</w:t>
            </w:r>
          </w:p>
        </w:tc>
        <w:tc>
          <w:tcPr>
            <w:tcW w:w="23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0.775%</w:t>
            </w:r>
          </w:p>
        </w:tc>
        <w:tc>
          <w:tcPr>
            <w:tcW w:w="15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0.000%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51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BBB/Baa2 (or equivalent)</w:t>
            </w:r>
          </w:p>
        </w:tc>
        <w:tc>
          <w:tcPr>
            <w:tcW w:w="2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0.850%</w:t>
            </w:r>
          </w:p>
        </w:tc>
        <w:tc>
          <w:tcPr>
            <w:tcW w:w="15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0.000%</w:t>
            </w: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w:t>
            </w:r>
          </w:p>
        </w:tc>
        <w:tc>
          <w:tcPr>
            <w:tcW w:w="51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BBB-/Baa3 (or equivalent)</w:t>
            </w:r>
          </w:p>
        </w:tc>
        <w:tc>
          <w:tcPr>
            <w:tcW w:w="23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1.050%</w:t>
            </w:r>
          </w:p>
        </w:tc>
        <w:tc>
          <w:tcPr>
            <w:tcW w:w="15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0.050%</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51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Lower than BBB-/Baa3 (or equivalent)</w:t>
            </w:r>
          </w:p>
        </w:tc>
        <w:tc>
          <w:tcPr>
            <w:tcW w:w="2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1.400%</w:t>
            </w:r>
          </w:p>
        </w:tc>
        <w:tc>
          <w:tcPr>
            <w:tcW w:w="15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0.400%</w:t>
            </w:r>
          </w:p>
        </w:tc>
        <w:tc>
          <w:tcPr>
            <w:tcW w:w="0" w:type="dxa"/>
            <w:vAlign w:val="bottom"/>
          </w:tcPr>
          <w:p>
            <w:pPr>
              <w:spacing w:after="0"/>
              <w:rPr>
                <w:sz w:val="1"/>
                <w:szCs w:val="1"/>
                <w:color w:val="auto"/>
              </w:rPr>
            </w:pPr>
          </w:p>
        </w:tc>
      </w:tr>
    </w:tbl>
    <w:p>
      <w:pPr>
        <w:spacing w:after="0" w:line="1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right="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Approved Fund</w:t>
      </w:r>
      <w:r>
        <w:rPr>
          <w:rFonts w:ascii="Times New Roman" w:cs="Times New Roman" w:eastAsia="Times New Roman" w:hAnsi="Times New Roman"/>
          <w:sz w:val="18"/>
          <w:szCs w:val="18"/>
          <w:color w:val="auto"/>
        </w:rPr>
        <w:t>” means any Fund that is administered or managed by (a) a Lender, (b) an Affiliate of a Lender, or (c) an entity or an Affiliate of any entity that administers or manages a Lender.</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Arranger</w:t>
      </w:r>
      <w:r>
        <w:rPr>
          <w:rFonts w:ascii="Times New Roman" w:cs="Times New Roman" w:eastAsia="Times New Roman" w:hAnsi="Times New Roman"/>
          <w:sz w:val="18"/>
          <w:szCs w:val="18"/>
          <w:color w:val="auto"/>
        </w:rPr>
        <w:t>” has the meaning set forth in the introductory paragraph hereof and shall include each Arranger’s successors and permitted assigns.</w:t>
      </w:r>
    </w:p>
    <w:p>
      <w:pPr>
        <w:spacing w:after="0" w:line="225" w:lineRule="exact"/>
        <w:rPr>
          <w:sz w:val="20"/>
          <w:szCs w:val="20"/>
          <w:color w:val="auto"/>
        </w:rPr>
      </w:pPr>
    </w:p>
    <w:p>
      <w:pPr>
        <w:ind w:right="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Assignment and Assumption</w:t>
      </w:r>
      <w:r>
        <w:rPr>
          <w:rFonts w:ascii="Times New Roman" w:cs="Times New Roman" w:eastAsia="Times New Roman" w:hAnsi="Times New Roman"/>
          <w:sz w:val="18"/>
          <w:szCs w:val="18"/>
          <w:color w:val="auto"/>
        </w:rPr>
        <w:t>” means an Assignment and Assumption Agreement among a Lender, an Eligible Assignee and the Administrative Agent, substantially in the form of Exhibit A.</w:t>
      </w:r>
    </w:p>
    <w:p>
      <w:pPr>
        <w:spacing w:after="0" w:line="155" w:lineRule="exact"/>
        <w:rPr>
          <w:sz w:val="20"/>
          <w:szCs w:val="20"/>
          <w:color w:val="auto"/>
        </w:rPr>
      </w:pPr>
    </w:p>
    <w:p>
      <w:pPr>
        <w:ind w:right="10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Available Tenor</w:t>
      </w:r>
      <w:r>
        <w:rPr>
          <w:rFonts w:ascii="Times New Roman" w:cs="Times New Roman" w:eastAsia="Times New Roman" w:hAnsi="Times New Roman"/>
          <w:sz w:val="18"/>
          <w:szCs w:val="18"/>
          <w:color w:val="auto"/>
        </w:rPr>
        <w:t>” means, as of any date of determination and with respect to any then-current Benchmark, as applicable, (a) if such Benchmark is a term rate, any tenor for such Benchmark (or component thereof) that is or may be used for determining the length of an Interest Period pursuant to this Agreement or (b) otherwise, any payment period for interest calculated with reference to such Benchmark (or component thereof) that is or may be used for determining any frequency of making payments of interest calculated with reference to such Benchmark, in each case, as of such date and not including, for the avoidance of doubt, any tenor for such Benchmark that is then-removed from the definition of “Interest Period” pursuant to Section 4.2.(b)(iv).</w:t>
      </w:r>
    </w:p>
    <w:p>
      <w:pPr>
        <w:spacing w:after="0" w:line="182"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Bail-In Action</w:t>
      </w:r>
      <w:r>
        <w:rPr>
          <w:rFonts w:ascii="Times New Roman" w:cs="Times New Roman" w:eastAsia="Times New Roman" w:hAnsi="Times New Roman"/>
          <w:sz w:val="18"/>
          <w:szCs w:val="18"/>
          <w:color w:val="auto"/>
        </w:rPr>
        <w:t>” means the exercise of any Write-Down and Conversion Powers by the applicable Resolution Authority in respect of any liability of an Affected Financial Institution.</w:t>
      </w:r>
    </w:p>
    <w:p>
      <w:pPr>
        <w:spacing w:after="0" w:line="155" w:lineRule="exact"/>
        <w:rPr>
          <w:sz w:val="20"/>
          <w:szCs w:val="20"/>
          <w:color w:val="auto"/>
        </w:rPr>
      </w:pPr>
    </w:p>
    <w:p>
      <w:pPr>
        <w:ind w:right="8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Bail-In Legislation</w:t>
      </w:r>
      <w:r>
        <w:rPr>
          <w:rFonts w:ascii="Times New Roman" w:cs="Times New Roman" w:eastAsia="Times New Roman" w:hAnsi="Times New Roman"/>
          <w:sz w:val="18"/>
          <w:szCs w:val="18"/>
          <w:color w:val="auto"/>
        </w:rPr>
        <w:t>” means (a) with respect to any EEA Member Country implementing Article 55 of Directive 2014/59/EU of the European Parliament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Bankruptcy Code</w:t>
      </w:r>
      <w:r>
        <w:rPr>
          <w:rFonts w:ascii="Times New Roman" w:cs="Times New Roman" w:eastAsia="Times New Roman" w:hAnsi="Times New Roman"/>
          <w:sz w:val="18"/>
          <w:szCs w:val="18"/>
          <w:color w:val="auto"/>
        </w:rPr>
        <w:t>” means the Bankruptcy Code of 1978, as amended.</w:t>
      </w:r>
    </w:p>
    <w:p>
      <w:pPr>
        <w:spacing w:after="0" w:line="225"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Base Rate</w:t>
      </w:r>
      <w:r>
        <w:rPr>
          <w:rFonts w:ascii="Times New Roman" w:cs="Times New Roman" w:eastAsia="Times New Roman" w:hAnsi="Times New Roman"/>
          <w:sz w:val="18"/>
          <w:szCs w:val="18"/>
          <w:color w:val="auto"/>
        </w:rPr>
        <w:t>” means, at any time, the highest of (a) the Prime Rate, (b) the Federal Funds Rate plus 0.50% and (c) Adjusted Term SOFR for a one-month tenor in effect on such day plus 1.00%; each change in the Base Rate shall take effect simultaneously with the corresponding change or changes in the Prime Rate, the Federal Funds Rate or Adjusted Term SOFR, as applicable (provided that clause (c) shall not be applicable during any period in which Adjusted Term SOFR is unavailable or unascertainable). Notwithstanding the foregoing, in no event shall the Base Rate be less than 1.00%.</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- 4 -</w:t>
      </w:r>
    </w:p>
    <w:p>
      <w:pPr>
        <w:sectPr>
          <w:pgSz w:w="11900" w:h="16838" w:orient="portrait"/>
          <w:cols w:equalWidth="0" w:num="1">
            <w:col w:w="10980"/>
          </w:cols>
          <w:pgMar w:left="440" w:top="262" w:right="479" w:bottom="1440" w:gutter="0" w:footer="0" w:header="0"/>
        </w:sectPr>
      </w:pPr>
    </w:p>
    <w:bookmarkStart w:id="14" w:name="page15"/>
    <w:bookmarkEnd w:id="14"/>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Base Rate Loan</w:t>
      </w:r>
      <w:r>
        <w:rPr>
          <w:rFonts w:ascii="Times New Roman" w:cs="Times New Roman" w:eastAsia="Times New Roman" w:hAnsi="Times New Roman"/>
          <w:sz w:val="18"/>
          <w:szCs w:val="18"/>
          <w:color w:val="auto"/>
        </w:rPr>
        <w:t>” means a Revolving Loan bearing interest at a rate based on the Base Rate.</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Base Rate Term SOFR Determination Day</w:t>
      </w:r>
      <w:r>
        <w:rPr>
          <w:rFonts w:ascii="Times New Roman" w:cs="Times New Roman" w:eastAsia="Times New Roman" w:hAnsi="Times New Roman"/>
          <w:sz w:val="18"/>
          <w:szCs w:val="18"/>
          <w:color w:val="auto"/>
        </w:rPr>
        <w:t>” has the meaning given that term in the definition of the term “Term SOFR.”</w:t>
      </w:r>
    </w:p>
    <w:p>
      <w:pPr>
        <w:spacing w:after="0" w:line="225" w:lineRule="exact"/>
        <w:rPr>
          <w:sz w:val="20"/>
          <w:szCs w:val="20"/>
          <w:color w:val="auto"/>
        </w:rPr>
      </w:pPr>
    </w:p>
    <w:p>
      <w:pPr>
        <w:ind w:left="4" w:right="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w:t>
      </w:r>
      <w:r>
        <w:rPr>
          <w:rFonts w:ascii="Times New Roman" w:cs="Times New Roman" w:eastAsia="Times New Roman" w:hAnsi="Times New Roman"/>
          <w:sz w:val="18"/>
          <w:szCs w:val="18"/>
          <w:color w:val="auto"/>
        </w:rPr>
        <w:t xml:space="preserve">” means, initially, Adjusted Daily Simple SOFR or Adjusted Term SOFR,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Benchmark Transition Event has occurred with respect to Adjusted Daily Simple SOFR or Adjusted Term SOFR, as applicable, or the applicable then-current Benchmark, then “Benchmark” means the applicable Benchmark Replacement to the extent that such Benchmark Replacement has replaced such prior benchmark rate pursuant to </w:t>
      </w:r>
      <w:r>
        <w:rPr>
          <w:rFonts w:ascii="Times New Roman" w:cs="Times New Roman" w:eastAsia="Times New Roman" w:hAnsi="Times New Roman"/>
          <w:sz w:val="18"/>
          <w:szCs w:val="18"/>
          <w:u w:val="single" w:color="auto"/>
          <w:color w:val="auto"/>
        </w:rPr>
        <w:t>Section 4.2.(b)(i)</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 w:right="14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 Replacement</w:t>
      </w:r>
      <w:r>
        <w:rPr>
          <w:rFonts w:ascii="Times New Roman" w:cs="Times New Roman" w:eastAsia="Times New Roman" w:hAnsi="Times New Roman"/>
          <w:sz w:val="18"/>
          <w:szCs w:val="18"/>
          <w:color w:val="auto"/>
        </w:rPr>
        <w:t>” means, with respect to any Benchmark Transition Event for any then-current Benchmark, the sum of: (a) the alternate benchmark rate that has been selected by the Administrative Agent and the Borrower as the replacement for such Benchmark giving due consideration to (i) any selection or recommendation of a replacement benchmark rate or the mechanism for determining such a rate by the Relevant Governmental Body or (ii) any evolving or then-prevailing market convention for determining a benchmark rate of interest as a replacement to such then-current Benchmark for Dollar-denominated syndicated credit facilities and (b) the Benchmark Replacement Adjustment; provided that, if such Benchmark Replacement as so determined would be less than the Floor, such Benchmark Replacement will be deemed to be the Floor for the purposes of this Agreement and the other Loan Documents.</w:t>
      </w:r>
    </w:p>
    <w:p>
      <w:pPr>
        <w:spacing w:after="0" w:line="183" w:lineRule="exact"/>
        <w:rPr>
          <w:sz w:val="20"/>
          <w:szCs w:val="20"/>
          <w:color w:val="auto"/>
        </w:rPr>
      </w:pPr>
    </w:p>
    <w:p>
      <w:pPr>
        <w:jc w:val="both"/>
        <w:ind w:left="4" w:firstLine="440"/>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Benchmark Replacement Adjustment</w:t>
      </w:r>
      <w:r>
        <w:rPr>
          <w:rFonts w:ascii="Times New Roman" w:cs="Times New Roman" w:eastAsia="Times New Roman" w:hAnsi="Times New Roman"/>
          <w:sz w:val="17"/>
          <w:szCs w:val="17"/>
          <w:color w:val="auto"/>
        </w:rPr>
        <w:t>” means, with respect to any replacement of any then-current Benchmark with an Unadjusted Benchmark Replacement for any applicable Available Tenor (if applicable), the spread adjustment, or method for calculating or determining such spread adjustment, (which may be a positive or negative value or zero) that has been selected by the Administrative Agent and the Borrower giving due consideration to</w:t>
      </w:r>
    </w:p>
    <w:p>
      <w:pPr>
        <w:spacing w:after="0" w:line="1" w:lineRule="exact"/>
        <w:rPr>
          <w:sz w:val="20"/>
          <w:szCs w:val="20"/>
          <w:color w:val="auto"/>
        </w:rPr>
      </w:pPr>
    </w:p>
    <w:p>
      <w:pPr>
        <w:ind w:left="4" w:right="200" w:hanging="4"/>
        <w:spacing w:after="0" w:line="273" w:lineRule="auto"/>
        <w:tabs>
          <w:tab w:leader="none" w:pos="219"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selection or recommendation of a spread adjustment, or method for calculating or determining such spread adjustment, for the replacement of such Benchmark with the applicable Unadjusted Benchmark Replacement by the Relevant Governmental Body or (ii)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w:t>
      </w:r>
    </w:p>
    <w:p>
      <w:pPr>
        <w:spacing w:after="0" w:line="16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 Replacement Date</w:t>
      </w:r>
      <w:r>
        <w:rPr>
          <w:rFonts w:ascii="Times New Roman" w:cs="Times New Roman" w:eastAsia="Times New Roman" w:hAnsi="Times New Roman"/>
          <w:sz w:val="18"/>
          <w:szCs w:val="18"/>
          <w:color w:val="auto"/>
        </w:rPr>
        <w:t>” means the earlier to occur of the following events with respect to any then-current Benchmark:</w:t>
      </w:r>
    </w:p>
    <w:p>
      <w:pPr>
        <w:spacing w:after="0" w:line="135" w:lineRule="exact"/>
        <w:rPr>
          <w:sz w:val="20"/>
          <w:szCs w:val="20"/>
          <w:color w:val="auto"/>
        </w:rPr>
      </w:pPr>
    </w:p>
    <w:p>
      <w:pPr>
        <w:ind w:left="964" w:right="80" w:hanging="532"/>
        <w:spacing w:after="0" w:line="261" w:lineRule="auto"/>
        <w:tabs>
          <w:tab w:leader="none" w:pos="96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(if applicable) of such Benchmark (or such component thereof); or</w:t>
      </w:r>
    </w:p>
    <w:p>
      <w:pPr>
        <w:spacing w:after="0" w:line="85" w:lineRule="exact"/>
        <w:rPr>
          <w:rFonts w:ascii="Times New Roman" w:cs="Times New Roman" w:eastAsia="Times New Roman" w:hAnsi="Times New Roman"/>
          <w:sz w:val="18"/>
          <w:szCs w:val="18"/>
          <w:color w:val="auto"/>
        </w:rPr>
      </w:pPr>
    </w:p>
    <w:p>
      <w:pPr>
        <w:ind w:left="964" w:right="140" w:hanging="532"/>
        <w:spacing w:after="0" w:line="258" w:lineRule="auto"/>
        <w:tabs>
          <w:tab w:leader="none" w:pos="96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clause (c)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non-representativeness will be determined by reference to the most recent statement or publication referenced in such clause (c) and even if any Available Tenor (if applicable) of such Benchmark (or such component thereof) continues to be provided on such date.</w:t>
      </w:r>
    </w:p>
    <w:p>
      <w:pPr>
        <w:spacing w:after="0" w:line="115" w:lineRule="exact"/>
        <w:rPr>
          <w:rFonts w:ascii="Times New Roman" w:cs="Times New Roman" w:eastAsia="Times New Roman" w:hAnsi="Times New Roman"/>
          <w:sz w:val="18"/>
          <w:szCs w:val="18"/>
          <w:color w:val="auto"/>
        </w:rPr>
      </w:pPr>
    </w:p>
    <w:p>
      <w:pPr>
        <w:ind w:left="5464" w:hanging="106"/>
        <w:spacing w:after="0"/>
        <w:tabs>
          <w:tab w:leader="none" w:pos="546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w:t>
      </w:r>
    </w:p>
    <w:p>
      <w:pPr>
        <w:sectPr>
          <w:pgSz w:w="11900" w:h="16838" w:orient="portrait"/>
          <w:cols w:equalWidth="0" w:num="1">
            <w:col w:w="11004"/>
          </w:cols>
          <w:pgMar w:left="436" w:top="266" w:right="459" w:bottom="1440" w:gutter="0" w:footer="0" w:header="0"/>
        </w:sectPr>
      </w:pPr>
    </w:p>
    <w:bookmarkStart w:id="15" w:name="page16"/>
    <w:bookmarkEnd w:id="15"/>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the avoidance of doubt, if the applicable then-current Benchmark has any Available Tenors,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spacing w:after="0" w:line="17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 Transition Event</w:t>
      </w:r>
      <w:r>
        <w:rPr>
          <w:rFonts w:ascii="Times New Roman" w:cs="Times New Roman" w:eastAsia="Times New Roman" w:hAnsi="Times New Roman"/>
          <w:sz w:val="18"/>
          <w:szCs w:val="18"/>
          <w:color w:val="auto"/>
        </w:rPr>
        <w:t>” means the occurrence of one or more of the following events with respect to any then-current Benchmark:</w:t>
      </w:r>
    </w:p>
    <w:p>
      <w:pPr>
        <w:spacing w:after="0" w:line="135" w:lineRule="exact"/>
        <w:rPr>
          <w:sz w:val="20"/>
          <w:szCs w:val="20"/>
          <w:color w:val="auto"/>
        </w:rPr>
      </w:pPr>
    </w:p>
    <w:p>
      <w:pPr>
        <w:ind w:left="960" w:right="60" w:hanging="532"/>
        <w:spacing w:after="0" w:line="258"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(if applicable) of such Benchmark (or such component thereof), permanently or indefinitely;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such statement or publication, there is no successor administrator that will continue to provide any Available Tenor (if applicable) of such Benchmark (or such component thereof);</w:t>
      </w:r>
    </w:p>
    <w:p>
      <w:pPr>
        <w:spacing w:after="0" w:line="88" w:lineRule="exact"/>
        <w:rPr>
          <w:rFonts w:ascii="Times New Roman" w:cs="Times New Roman" w:eastAsia="Times New Roman" w:hAnsi="Times New Roman"/>
          <w:sz w:val="18"/>
          <w:szCs w:val="18"/>
          <w:color w:val="auto"/>
        </w:rPr>
      </w:pPr>
    </w:p>
    <w:p>
      <w:pPr>
        <w:ind w:left="960" w:right="100" w:hanging="532"/>
        <w:spacing w:after="0" w:line="254"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public statement or publication of information by the regulatory supervisor for the administrator of such Benchmark (or the published component used in the calculation thereof), the FRB,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(if applicable)of such Benchmark (or such component thereof) permanently or indefinitely;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such statement or publication, there is no successor administrator that will continue to provide any Available Tenor (if applicable) of such Benchmark (or such component thereof); or</w:t>
      </w:r>
    </w:p>
    <w:p>
      <w:pPr>
        <w:spacing w:after="0" w:line="97" w:lineRule="exact"/>
        <w:rPr>
          <w:rFonts w:ascii="Times New Roman" w:cs="Times New Roman" w:eastAsia="Times New Roman" w:hAnsi="Times New Roman"/>
          <w:sz w:val="18"/>
          <w:szCs w:val="18"/>
          <w:color w:val="auto"/>
        </w:rPr>
      </w:pPr>
    </w:p>
    <w:p>
      <w:pPr>
        <w:jc w:val="both"/>
        <w:ind w:left="960" w:right="280" w:hanging="532"/>
        <w:spacing w:after="0" w:line="266"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the regulatory supervisor for the administrator of such Benchmark (or the published component used in the calculation thereof) announcing that all Available Tenors (if applicable) of such Benchmark (or such component thereof) are not, or as of a specified future date will not be, representative.</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For the avoidance of doubt, if the applicable then-current Benchmark has any Available Tenors,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72" w:lineRule="exact"/>
        <w:rPr>
          <w:sz w:val="20"/>
          <w:szCs w:val="20"/>
          <w:color w:val="auto"/>
        </w:rPr>
      </w:pPr>
    </w:p>
    <w:p>
      <w:pPr>
        <w:ind w:right="20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 Transition Start Date</w:t>
      </w:r>
      <w:r>
        <w:rPr>
          <w:rFonts w:ascii="Times New Roman" w:cs="Times New Roman" w:eastAsia="Times New Roman" w:hAnsi="Times New Roman"/>
          <w:sz w:val="18"/>
          <w:szCs w:val="18"/>
          <w:color w:val="auto"/>
        </w:rPr>
        <w:t>” means, in the case of a Benchmark Transition Event, the earlier of (a) the applicable Benchmark Replacement Date and (b)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- 6 -</w:t>
      </w:r>
    </w:p>
    <w:p>
      <w:pPr>
        <w:sectPr>
          <w:pgSz w:w="11900" w:h="16838" w:orient="portrait"/>
          <w:cols w:equalWidth="0" w:num="1">
            <w:col w:w="11000"/>
          </w:cols>
          <w:pgMar w:left="440" w:top="270" w:right="459" w:bottom="1440" w:gutter="0" w:footer="0" w:header="0"/>
        </w:sectPr>
      </w:pPr>
    </w:p>
    <w:bookmarkStart w:id="16" w:name="page17"/>
    <w:bookmarkEnd w:id="16"/>
    <w:p>
      <w:pPr>
        <w:ind w:right="20" w:firstLine="44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Benchmark Unavailability Period</w:t>
      </w:r>
      <w:r>
        <w:rPr>
          <w:rFonts w:ascii="Times New Roman" w:cs="Times New Roman" w:eastAsia="Times New Roman" w:hAnsi="Times New Roman"/>
          <w:sz w:val="18"/>
          <w:szCs w:val="18"/>
          <w:color w:val="auto"/>
        </w:rPr>
        <w:t xml:space="preserve">” means, with respect to any then-current Benchmark, the period (if any) (x) beginning at the time that a Benchmark Replacement Date with respect to such Benchmark has occurred if, at such time, no Benchmark Replacement has replaced such Benchmark for all purposes hereunder and under any Loan Document in accordance with </w:t>
      </w:r>
      <w:r>
        <w:rPr>
          <w:rFonts w:ascii="Times New Roman" w:cs="Times New Roman" w:eastAsia="Times New Roman" w:hAnsi="Times New Roman"/>
          <w:sz w:val="18"/>
          <w:szCs w:val="18"/>
          <w:u w:val="single" w:color="auto"/>
          <w:color w:val="auto"/>
        </w:rPr>
        <w:t>Section 4.2.(b)</w:t>
      </w:r>
      <w:r>
        <w:rPr>
          <w:rFonts w:ascii="Times New Roman" w:cs="Times New Roman" w:eastAsia="Times New Roman" w:hAnsi="Times New Roman"/>
          <w:sz w:val="18"/>
          <w:szCs w:val="18"/>
          <w:color w:val="auto"/>
        </w:rPr>
        <w:t xml:space="preserve"> and (y) ending at the time that a Benchmark Replacement has replaced such Benchmark for all purposes hereunder and under any Loan Document in accordance with </w:t>
      </w:r>
      <w:r>
        <w:rPr>
          <w:rFonts w:ascii="Times New Roman" w:cs="Times New Roman" w:eastAsia="Times New Roman" w:hAnsi="Times New Roman"/>
          <w:sz w:val="18"/>
          <w:szCs w:val="18"/>
          <w:u w:val="single" w:color="auto"/>
          <w:color w:val="auto"/>
        </w:rPr>
        <w:t>Section 4.2.(b)</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Beneficial Ownership Certification</w:t>
      </w:r>
      <w:r>
        <w:rPr>
          <w:rFonts w:ascii="Times New Roman" w:cs="Times New Roman" w:eastAsia="Times New Roman" w:hAnsi="Times New Roman"/>
          <w:sz w:val="18"/>
          <w:szCs w:val="18"/>
          <w:color w:val="auto"/>
        </w:rPr>
        <w:t>” means a certification regarding beneficial ownership as required by the Beneficial Ownership Regulation.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Beneficial Ownership Regulation</w:t>
      </w:r>
      <w:r>
        <w:rPr>
          <w:rFonts w:ascii="Times New Roman" w:cs="Times New Roman" w:eastAsia="Times New Roman" w:hAnsi="Times New Roman"/>
          <w:sz w:val="18"/>
          <w:szCs w:val="18"/>
          <w:color w:val="auto"/>
        </w:rPr>
        <w:t>” means 31 CFR § 1010.230.</w:t>
      </w:r>
    </w:p>
    <w:p>
      <w:pPr>
        <w:spacing w:after="0" w:line="225" w:lineRule="exact"/>
        <w:rPr>
          <w:sz w:val="20"/>
          <w:szCs w:val="20"/>
          <w:color w:val="auto"/>
        </w:rPr>
      </w:pPr>
    </w:p>
    <w:p>
      <w:pPr>
        <w:ind w:right="4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Benefit Arrangement</w:t>
      </w:r>
      <w:r>
        <w:rPr>
          <w:rFonts w:ascii="Times New Roman" w:cs="Times New Roman" w:eastAsia="Times New Roman" w:hAnsi="Times New Roman"/>
          <w:sz w:val="18"/>
          <w:szCs w:val="18"/>
          <w:color w:val="auto"/>
        </w:rPr>
        <w:t>” means at any time an employee benefit plan within the meaning of Section 3(3) of ERISA which is not a Plan or a Multiemployer Plan and which is maintained or otherwise contributed to by any member of the ERISA Group.</w:t>
      </w:r>
    </w:p>
    <w:p>
      <w:pPr>
        <w:spacing w:after="0" w:line="155" w:lineRule="exact"/>
        <w:rPr>
          <w:sz w:val="20"/>
          <w:szCs w:val="20"/>
          <w:color w:val="auto"/>
        </w:rPr>
      </w:pPr>
    </w:p>
    <w:p>
      <w:pPr>
        <w:ind w:right="3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BHC Act Affiliate</w:t>
      </w:r>
      <w:r>
        <w:rPr>
          <w:rFonts w:ascii="Times New Roman" w:cs="Times New Roman" w:eastAsia="Times New Roman" w:hAnsi="Times New Roman"/>
          <w:sz w:val="18"/>
          <w:szCs w:val="18"/>
          <w:color w:val="auto"/>
        </w:rPr>
        <w:t>” of a party means an “affiliate” (as such term is defined under, and interpreted in accordance with, 12 U.S.C. 1841(k)) of such party.</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Bid Rate Borrowing</w:t>
      </w:r>
      <w:r>
        <w:rPr>
          <w:rFonts w:ascii="Times New Roman" w:cs="Times New Roman" w:eastAsia="Times New Roman" w:hAnsi="Times New Roman"/>
          <w:sz w:val="18"/>
          <w:szCs w:val="18"/>
          <w:color w:val="auto"/>
        </w:rPr>
        <w:t>” has the meaning given that term in Section 2.2.(b).</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Bid Rate Loan</w:t>
      </w:r>
      <w:r>
        <w:rPr>
          <w:rFonts w:ascii="Times New Roman" w:cs="Times New Roman" w:eastAsia="Times New Roman" w:hAnsi="Times New Roman"/>
          <w:sz w:val="18"/>
          <w:szCs w:val="18"/>
          <w:color w:val="auto"/>
        </w:rPr>
        <w:t>” means a loan made by a Lender under Section 2.2.(f).</w:t>
      </w:r>
    </w:p>
    <w:p>
      <w:pPr>
        <w:spacing w:after="0" w:line="22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Bid Rate Note</w:t>
      </w:r>
      <w:r>
        <w:rPr>
          <w:rFonts w:ascii="Times New Roman" w:cs="Times New Roman" w:eastAsia="Times New Roman" w:hAnsi="Times New Roman"/>
          <w:sz w:val="18"/>
          <w:szCs w:val="18"/>
          <w:color w:val="auto"/>
        </w:rPr>
        <w:t>” means a promissory note of the Borrower substantially in the form of Exhibit B, payable to the order of a Lender as originally in effect and otherwise duly completed.</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Bid Rate Quote</w:t>
      </w:r>
      <w:r>
        <w:rPr>
          <w:rFonts w:ascii="Times New Roman" w:cs="Times New Roman" w:eastAsia="Times New Roman" w:hAnsi="Times New Roman"/>
          <w:sz w:val="18"/>
          <w:szCs w:val="18"/>
          <w:color w:val="auto"/>
        </w:rPr>
        <w:t>” means an offer in accordance with Section 2.2.(c) by a Lender to make a Bid Rate Loan with one single specified interest rate.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Bid Rate Quote Request</w:t>
      </w:r>
      <w:r>
        <w:rPr>
          <w:rFonts w:ascii="Times New Roman" w:cs="Times New Roman" w:eastAsia="Times New Roman" w:hAnsi="Times New Roman"/>
          <w:sz w:val="18"/>
          <w:szCs w:val="18"/>
          <w:color w:val="auto"/>
        </w:rPr>
        <w:t>” has the meaning given that term in Section 2.2.(b).</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has the meaning set forth in the introductory paragraph hereof and shall include the Borrower’s successors and permitted assigns.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Borrower Information</w:t>
      </w:r>
      <w:r>
        <w:rPr>
          <w:rFonts w:ascii="Times New Roman" w:cs="Times New Roman" w:eastAsia="Times New Roman" w:hAnsi="Times New Roman"/>
          <w:sz w:val="18"/>
          <w:szCs w:val="18"/>
          <w:color w:val="auto"/>
        </w:rPr>
        <w:t>” has the meaning given that term in Section 2.5.(c).</w:t>
      </w:r>
    </w:p>
    <w:p>
      <w:pPr>
        <w:spacing w:after="0" w:line="225" w:lineRule="exact"/>
        <w:rPr>
          <w:sz w:val="20"/>
          <w:szCs w:val="20"/>
          <w:color w:val="auto"/>
        </w:rPr>
      </w:pPr>
    </w:p>
    <w:p>
      <w:pPr>
        <w:ind w:right="3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that (a) is not a Saturday, Sunday or other day on which the Federal Reserve Bank of New York is closed and (b) is not a day on which commercial banks in Charlotte, North Carolina are closed.</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 Reserves</w:t>
      </w:r>
      <w:r>
        <w:rPr>
          <w:rFonts w:ascii="Times New Roman" w:cs="Times New Roman" w:eastAsia="Times New Roman" w:hAnsi="Times New Roman"/>
          <w:sz w:val="18"/>
          <w:szCs w:val="18"/>
          <w:color w:val="auto"/>
        </w:rPr>
        <w:t>” means, for any period and with respect to any: (i) portion of a Property developed with improvements utilized for the retail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 of goods or services, office space or other use (other than residential apartments and Hotel Properties), an amount equal to (a) $0.15 per square foot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times, (b) a fraction, the numerator of which is the number of days in such period and the denominator of which is 365; provided, however, no capital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reserves shall be required with respect to any portion of any such Property which is leased under a ground lease to a third party that owns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improvements on such portion of such Property; (ii) Multifamily Property or any portion of a Property developed with improvements utilized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residential apartments (other than Properties having less than 20 residential units), an amount equal to (a) $200 per apartment unit in such Multifamily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Property </w:t>
      </w:r>
      <w:r>
        <w:rPr>
          <w:rFonts w:ascii="Times New Roman" w:cs="Times New Roman" w:eastAsia="Times New Roman" w:hAnsi="Times New Roman"/>
          <w:sz w:val="18"/>
          <w:szCs w:val="18"/>
          <w:u w:val="single" w:color="auto"/>
          <w:color w:val="auto"/>
        </w:rPr>
        <w:t>times,</w:t>
      </w:r>
      <w:r>
        <w:rPr>
          <w:rFonts w:ascii="Times New Roman" w:cs="Times New Roman" w:eastAsia="Times New Roman" w:hAnsi="Times New Roman"/>
          <w:sz w:val="18"/>
          <w:szCs w:val="18"/>
          <w:color w:val="auto"/>
        </w:rPr>
        <w:t xml:space="preserve"> (b) a fraction, the numerator of which is the number of days in such period and the denominator of which is 365 or (iii) Hotel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Property an amount equal to the greater of (a) 4.0% of total gross revenues for such Property for such period and (b) the aggregate amount of reserves in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 to furniture, fixtures and equipment required under any Property Management Agreement or Franchise Agreement applicable to such Property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such period. If the term</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- 7 -</w:t>
      </w:r>
    </w:p>
    <w:p>
      <w:pPr>
        <w:sectPr>
          <w:pgSz w:w="11900" w:h="16838" w:orient="portrait"/>
          <w:cols w:equalWidth="0" w:num="1">
            <w:col w:w="10960"/>
          </w:cols>
          <w:pgMar w:left="440" w:top="266" w:right="499" w:bottom="1440" w:gutter="0" w:footer="0" w:header="0"/>
        </w:sectPr>
      </w:pPr>
    </w:p>
    <w:bookmarkStart w:id="17" w:name="page18"/>
    <w:bookmarkEnd w:id="17"/>
    <w:p>
      <w:pPr>
        <w:ind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Capital Reserves is used without reference to any specific Property, then the amount shall be determined on an aggregate basis with respect to all Office Properties, Retail Properties, Multifamily Properties and Hotel Properties of the Borrower and its Subsidiaries and a proportionate share of all Office Properties, Retail Properties, Multifamily Properties and Hotel Properties of all Unconsolidated Affiliates.</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Capitalization Rate</w:t>
      </w:r>
      <w:r>
        <w:rPr>
          <w:rFonts w:ascii="Times New Roman" w:cs="Times New Roman" w:eastAsia="Times New Roman" w:hAnsi="Times New Roman"/>
          <w:sz w:val="18"/>
          <w:szCs w:val="18"/>
          <w:color w:val="auto"/>
        </w:rPr>
        <w:t>” means 6.00% for all Properties.</w:t>
      </w:r>
    </w:p>
    <w:p>
      <w:pPr>
        <w:spacing w:after="0" w:line="225" w:lineRule="exact"/>
        <w:rPr>
          <w:sz w:val="20"/>
          <w:szCs w:val="20"/>
          <w:color w:val="auto"/>
        </w:rPr>
      </w:pPr>
    </w:p>
    <w:p>
      <w:pPr>
        <w:jc w:val="both"/>
        <w:ind w:right="20" w:firstLine="440"/>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Capitalized Lease Obligation</w:t>
      </w:r>
      <w:r>
        <w:rPr>
          <w:rFonts w:ascii="Times New Roman" w:cs="Times New Roman" w:eastAsia="Times New Roman" w:hAnsi="Times New Roman"/>
          <w:sz w:val="17"/>
          <w:szCs w:val="17"/>
          <w:color w:val="auto"/>
        </w:rPr>
        <w:t>” means obligations under a lease that are required to be capitalized for financial reporting purposes in accordance with GAAP (subject to the provisions of Section 1.2. hereof). The amount of a Capitalized Lease Obligation is the capitalized amount of such obligation as would be required to be reflected on a balance sheet of the applicable Person prepared in accordance with GAAP as of the applicable date.</w:t>
      </w:r>
    </w:p>
    <w:p>
      <w:pPr>
        <w:spacing w:after="0" w:line="153"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Collateralize</w:t>
      </w:r>
      <w:r>
        <w:rPr>
          <w:rFonts w:ascii="Times New Roman" w:cs="Times New Roman" w:eastAsia="Times New Roman" w:hAnsi="Times New Roman"/>
          <w:sz w:val="18"/>
          <w:szCs w:val="18"/>
          <w:color w:val="auto"/>
        </w:rPr>
        <w:t>” means, to pledge and deposit with or deliver to the Administrative Agent, for the benefit of the Issuing Bank or the Lenders, as collateral for Letter of Credit Liabilities or obligations of Lenders to fund participations in respect of Letter of Credit Liabilities, cash, or deposit account balances or, if the Administrative Agent and the Issuing Bank shall agree in their sole discretion, other credit support, in each case pursuant to documentation in form and substance satisfactory to the Administrative Agent and the Issuing Bank. “Cash Collateral” shall have a meaning correlative to the foregoing and shall include the proceeds of such cash collateral and other credit support, but shall not include any deposit accounts (or other assets) of Borrower not specifically designated by the Borrower as “Cash Collateral.”</w:t>
      </w:r>
    </w:p>
    <w:p>
      <w:pPr>
        <w:spacing w:after="0" w:line="182"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Equivalents</w:t>
      </w:r>
      <w:r>
        <w:rPr>
          <w:rFonts w:ascii="Times New Roman" w:cs="Times New Roman" w:eastAsia="Times New Roman" w:hAnsi="Times New Roman"/>
          <w:sz w:val="18"/>
          <w:szCs w:val="18"/>
          <w:color w:val="auto"/>
        </w:rPr>
        <w:t>” means: (a) securities issued, guaranteed or insured by the United States of America or any of its agencies with maturities of not more than one year from the date acquired; (b) certificates of deposit with maturities of not more than one year from the date acquired issued by a United States federal or state chartered commercial bank of recognized standing, or a commercial bank organized under the laws of any other country which is a member of the Organisation for Economic Cooperation and Development, or a political subdivision of any such country, acting through a branch or agency, which bank has capital and unimpaired surplus in excess of $500,000,000 and which bank or its holding company has a short-term commercial paper rating of at least A-2 or the equivalent by S&amp;P or at least P-2 or the equivalent by Moody’s; (c) reverse repurchase agreements with terms of not more than seven days from the date acquired, for securities of the type described in clause (a) above and entered into only with commercial banks having the qualifications described in clause (b) above; (d) commercial paper issued by any Person incorporated under the laws of the United States of America or any State thereof and rated at least A-2 or the equivalent thereof by S&amp;P or at least P-2 or the equivalent thereof by Moody’s, in each case with maturities of not more than one year from the date acquired; and (e) investments in money market funds registered under the Investment Company Act of 1940, as amended, which have net assets of at least $500,000,000 and at least 85% of whose assets consist of securities and other obligations of the type described in clauses (a) through (d) above.</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Commitment</w:t>
      </w:r>
      <w:r>
        <w:rPr>
          <w:rFonts w:ascii="Times New Roman" w:cs="Times New Roman" w:eastAsia="Times New Roman" w:hAnsi="Times New Roman"/>
          <w:sz w:val="18"/>
          <w:szCs w:val="18"/>
          <w:color w:val="auto"/>
        </w:rPr>
        <w:t>” means, as to a Lender, such Lender’s Revolving Commitment.</w:t>
      </w:r>
    </w:p>
    <w:p>
      <w:pPr>
        <w:spacing w:after="0" w:line="225" w:lineRule="exact"/>
        <w:rPr>
          <w:sz w:val="20"/>
          <w:szCs w:val="20"/>
          <w:color w:val="auto"/>
        </w:rPr>
      </w:pPr>
    </w:p>
    <w:p>
      <w:pPr>
        <w:ind w:right="4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Commodity Exchange Act</w:t>
      </w:r>
      <w:r>
        <w:rPr>
          <w:rFonts w:ascii="Times New Roman" w:cs="Times New Roman" w:eastAsia="Times New Roman" w:hAnsi="Times New Roman"/>
          <w:sz w:val="18"/>
          <w:szCs w:val="18"/>
          <w:color w:val="auto"/>
        </w:rPr>
        <w:t>” means the Commodity Exchange Act (7 U.S.C. §1 et seq.), as amended from time to time, and any successor statute.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Compliance Certificate</w:t>
      </w:r>
      <w:r>
        <w:rPr>
          <w:rFonts w:ascii="Times New Roman" w:cs="Times New Roman" w:eastAsia="Times New Roman" w:hAnsi="Times New Roman"/>
          <w:sz w:val="18"/>
          <w:szCs w:val="18"/>
          <w:color w:val="auto"/>
        </w:rPr>
        <w:t>” has the meaning given that term in Section 8.3.</w:t>
      </w:r>
    </w:p>
    <w:p>
      <w:pPr>
        <w:spacing w:after="0" w:line="225" w:lineRule="exact"/>
        <w:rPr>
          <w:sz w:val="20"/>
          <w:szCs w:val="20"/>
          <w:color w:val="auto"/>
        </w:rPr>
      </w:pPr>
    </w:p>
    <w:p>
      <w:pPr>
        <w:ind w:right="2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Conforming Changes</w:t>
      </w:r>
      <w:r>
        <w:rPr>
          <w:rFonts w:ascii="Times New Roman" w:cs="Times New Roman" w:eastAsia="Times New Roman" w:hAnsi="Times New Roman"/>
          <w:sz w:val="18"/>
          <w:szCs w:val="18"/>
          <w:color w:val="auto"/>
        </w:rPr>
        <w:t>” means, with respect to either the use or administration of an initial Benchmark or the use, administration, adoption or implementation of any Benchmark Replacement, any technical, administrative or operational changes (including changes to the definition of “Base Rate,” the definition of “Business Day,” the definition of “U.S. Government Securities Business Day,” the definition</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- 8 -</w:t>
      </w:r>
    </w:p>
    <w:p>
      <w:pPr>
        <w:sectPr>
          <w:pgSz w:w="11900" w:h="16838" w:orient="portrait"/>
          <w:cols w:equalWidth="0" w:num="1">
            <w:col w:w="10980"/>
          </w:cols>
          <w:pgMar w:left="440" w:top="270" w:right="479" w:bottom="1440" w:gutter="0" w:footer="0" w:header="0"/>
        </w:sectPr>
      </w:pPr>
    </w:p>
    <w:bookmarkStart w:id="18" w:name="page19"/>
    <w:bookmarkEnd w:id="18"/>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and other technical, administrative or operational matters) that the Administrative Agent decides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decides is reasonably necessary in connection with the administration of this Agreement and the other Loan Documents).</w:t>
      </w:r>
    </w:p>
    <w:p>
      <w:pPr>
        <w:spacing w:after="0" w:line="188" w:lineRule="exact"/>
        <w:rPr>
          <w:sz w:val="20"/>
          <w:szCs w:val="20"/>
          <w:color w:val="auto"/>
        </w:rPr>
      </w:pPr>
    </w:p>
    <w:p>
      <w:pPr>
        <w:ind w:right="1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Connection Income Taxes</w:t>
      </w:r>
      <w:r>
        <w:rPr>
          <w:rFonts w:ascii="Times New Roman" w:cs="Times New Roman" w:eastAsia="Times New Roman" w:hAnsi="Times New Roman"/>
          <w:sz w:val="18"/>
          <w:szCs w:val="18"/>
          <w:color w:val="auto"/>
        </w:rPr>
        <w:t>” means Other Connection Taxes that are imposed on or measured by net income (however denominated) or that are franchise Taxes or branch profits Taxes.</w:t>
      </w:r>
    </w:p>
    <w:p>
      <w:pPr>
        <w:spacing w:after="0" w:line="155" w:lineRule="exact"/>
        <w:rPr>
          <w:sz w:val="20"/>
          <w:szCs w:val="20"/>
          <w:color w:val="auto"/>
        </w:rPr>
      </w:pPr>
    </w:p>
    <w:p>
      <w:pPr>
        <w:ind w:right="5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Continuation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Continued</w:t>
      </w:r>
      <w:r>
        <w:rPr>
          <w:rFonts w:ascii="Times New Roman" w:cs="Times New Roman" w:eastAsia="Times New Roman" w:hAnsi="Times New Roman"/>
          <w:sz w:val="18"/>
          <w:szCs w:val="18"/>
          <w:color w:val="auto"/>
        </w:rPr>
        <w:t>” each refers to the continuation of a SOFR Loan from one Interest Period to another Interest Period pursuant to Section 2.9.</w:t>
      </w:r>
    </w:p>
    <w:p>
      <w:pPr>
        <w:spacing w:after="0" w:line="155" w:lineRule="exact"/>
        <w:rPr>
          <w:sz w:val="20"/>
          <w:szCs w:val="20"/>
          <w:color w:val="auto"/>
        </w:rPr>
      </w:pPr>
    </w:p>
    <w:p>
      <w:pPr>
        <w:ind w:right="2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Construction-in-Process”</w:t>
      </w:r>
      <w:r>
        <w:rPr>
          <w:rFonts w:ascii="Times New Roman" w:cs="Times New Roman" w:eastAsia="Times New Roman" w:hAnsi="Times New Roman"/>
          <w:sz w:val="18"/>
          <w:szCs w:val="18"/>
          <w:color w:val="auto"/>
        </w:rPr>
        <w:t xml:space="preserve"> means cash expenditures for land and improvements (including indirect costs internally allocated and development costs) in accordance with GAAP on all Development Properties.</w:t>
      </w:r>
    </w:p>
    <w:p>
      <w:pPr>
        <w:spacing w:after="0" w:line="155" w:lineRule="exact"/>
        <w:rPr>
          <w:sz w:val="20"/>
          <w:szCs w:val="20"/>
          <w:color w:val="auto"/>
        </w:rPr>
      </w:pPr>
    </w:p>
    <w:p>
      <w:pPr>
        <w:ind w:right="320" w:firstLine="4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Control</w:t>
      </w:r>
      <w:r>
        <w:rPr>
          <w:rFonts w:ascii="Times New Roman" w:cs="Times New Roman" w:eastAsia="Times New Roman" w:hAnsi="Times New Roman"/>
          <w:sz w:val="17"/>
          <w:szCs w:val="17"/>
          <w:color w:val="auto"/>
        </w:rPr>
        <w:t>” means the possession, directly or indirectly, of the power to direct or cause the direction of the management or policies of a Person, whether through the ability to exercise voting power, by contract or otherwise. “Controlling” and “Controlled” have meanings correlative thereto.</w:t>
      </w:r>
    </w:p>
    <w:p>
      <w:pPr>
        <w:spacing w:after="0" w:line="132" w:lineRule="exact"/>
        <w:rPr>
          <w:sz w:val="20"/>
          <w:szCs w:val="20"/>
          <w:color w:val="auto"/>
        </w:rPr>
      </w:pPr>
    </w:p>
    <w:p>
      <w:pPr>
        <w:ind w:right="8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Controlled Property</w:t>
      </w:r>
      <w:r>
        <w:rPr>
          <w:rFonts w:ascii="Times New Roman" w:cs="Times New Roman" w:eastAsia="Times New Roman" w:hAnsi="Times New Roman"/>
          <w:sz w:val="18"/>
          <w:szCs w:val="18"/>
          <w:color w:val="auto"/>
        </w:rPr>
        <w:t>” means a Property which is an Eligible Property that is owned in fee simple (or leased under a Ground Lease) by a Subsidiary that is not a Wholly Owned Subsidiary and with respect to which the Borrower or such Subsidiary has the right to take the following actions without the need to obtain the consent of any Person (other than the Requisite Lenders if required pursuant to the Loan Documents): (A) to create Liens on such Property as security for Indebtedness of the Borrower or such Subsidiary, as applicable and (B) to sell, convey, transfer or otherwise dispose of such Property.</w:t>
      </w:r>
    </w:p>
    <w:p>
      <w:pPr>
        <w:spacing w:after="0" w:line="179" w:lineRule="exact"/>
        <w:rPr>
          <w:sz w:val="20"/>
          <w:szCs w:val="20"/>
          <w:color w:val="auto"/>
        </w:rPr>
      </w:pPr>
    </w:p>
    <w:p>
      <w:pPr>
        <w:ind w:right="6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Conversion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Converted</w:t>
      </w:r>
      <w:r>
        <w:rPr>
          <w:rFonts w:ascii="Times New Roman" w:cs="Times New Roman" w:eastAsia="Times New Roman" w:hAnsi="Times New Roman"/>
          <w:sz w:val="18"/>
          <w:szCs w:val="18"/>
          <w:color w:val="auto"/>
        </w:rPr>
        <w:t>” each refers to the conversion of a Loan of one Type into a Loan of another Type pursuant to Section 2.10.</w:t>
      </w:r>
    </w:p>
    <w:p>
      <w:pPr>
        <w:spacing w:after="0" w:line="155" w:lineRule="exact"/>
        <w:rPr>
          <w:sz w:val="20"/>
          <w:szCs w:val="20"/>
          <w:color w:val="auto"/>
        </w:rPr>
      </w:pPr>
    </w:p>
    <w:p>
      <w:pPr>
        <w:ind w:right="1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Covered Entity”</w:t>
      </w:r>
      <w:r>
        <w:rPr>
          <w:rFonts w:ascii="Times New Roman" w:cs="Times New Roman" w:eastAsia="Times New Roman" w:hAnsi="Times New Roman"/>
          <w:sz w:val="18"/>
          <w:szCs w:val="18"/>
          <w:color w:val="auto"/>
        </w:rPr>
        <w:t xml:space="preserve"> means any of the following: (i) a “covered entity” as that term is defined in, and interpreted in accordance with, 12 C.F.R. §252.82(b); (ii) a “covered bank” as that term is defined in, and interpreted in accordance with, 12 C.F.R. §47.3(b); or (iii) a “covered FSI” as that term is defined in, and interpreted in accordance with, 12 C.F.R. §382.2(b).</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Covered Party</w:t>
      </w:r>
      <w:r>
        <w:rPr>
          <w:rFonts w:ascii="Times New Roman" w:cs="Times New Roman" w:eastAsia="Times New Roman" w:hAnsi="Times New Roman"/>
          <w:sz w:val="18"/>
          <w:szCs w:val="18"/>
          <w:color w:val="auto"/>
        </w:rPr>
        <w:t>” has the meaning given that term in Section 12.24.</w:t>
      </w:r>
    </w:p>
    <w:p>
      <w:pPr>
        <w:spacing w:after="0" w:line="225" w:lineRule="exact"/>
        <w:rPr>
          <w:sz w:val="20"/>
          <w:szCs w:val="20"/>
          <w:color w:val="auto"/>
        </w:rPr>
      </w:pPr>
    </w:p>
    <w:p>
      <w:pPr>
        <w:ind w:right="4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Credit Event</w:t>
      </w:r>
      <w:r>
        <w:rPr>
          <w:rFonts w:ascii="Times New Roman" w:cs="Times New Roman" w:eastAsia="Times New Roman" w:hAnsi="Times New Roman"/>
          <w:sz w:val="18"/>
          <w:szCs w:val="18"/>
          <w:color w:val="auto"/>
        </w:rPr>
        <w:t>” means any of the following: (a) the making (or deemed making) of any Loan, (b) the Conversion of a Base Rate Loan into a SOFR Loan, (c) the Continuation of a SOFR Loan and (d) the issuance of a Letter of Credit.</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Credit Rating</w:t>
      </w:r>
      <w:r>
        <w:rPr>
          <w:rFonts w:ascii="Times New Roman" w:cs="Times New Roman" w:eastAsia="Times New Roman" w:hAnsi="Times New Roman"/>
          <w:sz w:val="18"/>
          <w:szCs w:val="18"/>
          <w:color w:val="auto"/>
        </w:rPr>
        <w:t>” means the rating assigned by a Rating Agency to the senior unsecured long term Indebtedness of a Person.</w:t>
      </w:r>
    </w:p>
    <w:p>
      <w:pPr>
        <w:spacing w:after="0" w:line="16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- 9 -</w:t>
      </w:r>
    </w:p>
    <w:p>
      <w:pPr>
        <w:sectPr>
          <w:pgSz w:w="11900" w:h="16838" w:orient="portrait"/>
          <w:cols w:equalWidth="0" w:num="1">
            <w:col w:w="11000"/>
          </w:cols>
          <w:pgMar w:left="440" w:top="270" w:right="459" w:bottom="1440" w:gutter="0" w:footer="0" w:header="0"/>
        </w:sectPr>
      </w:pPr>
    </w:p>
    <w:bookmarkStart w:id="19" w:name="page20"/>
    <w:bookmarkEnd w:id="1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Daily Simple SOFR Loan</w:t>
      </w:r>
      <w:r>
        <w:rPr>
          <w:rFonts w:ascii="Times New Roman" w:cs="Times New Roman" w:eastAsia="Times New Roman" w:hAnsi="Times New Roman"/>
          <w:sz w:val="18"/>
          <w:szCs w:val="18"/>
          <w:color w:val="auto"/>
        </w:rPr>
        <w:t>” means any Loan bearing interest at a rate based on Adjusted Daily Simple SOFR.</w:t>
      </w:r>
    </w:p>
    <w:p>
      <w:pPr>
        <w:spacing w:after="0" w:line="225"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Debtor Relief Laws</w:t>
      </w:r>
      <w:r>
        <w:rPr>
          <w:rFonts w:ascii="Times New Roman" w:cs="Times New Roman" w:eastAsia="Times New Roman" w:hAnsi="Times New Roman"/>
          <w:sz w:val="18"/>
          <w:szCs w:val="18"/>
          <w:color w:val="auto"/>
        </w:rPr>
        <w:t>” means the Bankruptcy Code, and all other liquidation, conservatorship, bankruptcy, assignment for the benefit of creditors, moratorium, rearrangement, receivership, insolvency, reorganization, or similar Applicable Laws relating to the relief of debtors in the United States of America or other applicable jurisdictions from time to time in effect.</w:t>
      </w:r>
    </w:p>
    <w:p>
      <w:pPr>
        <w:spacing w:after="0" w:line="171" w:lineRule="exact"/>
        <w:rPr>
          <w:sz w:val="20"/>
          <w:szCs w:val="20"/>
          <w:color w:val="auto"/>
        </w:rPr>
      </w:pPr>
    </w:p>
    <w:p>
      <w:pPr>
        <w:ind w:right="1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w:t>
      </w:r>
      <w:r>
        <w:rPr>
          <w:rFonts w:ascii="Times New Roman" w:cs="Times New Roman" w:eastAsia="Times New Roman" w:hAnsi="Times New Roman"/>
          <w:sz w:val="18"/>
          <w:szCs w:val="18"/>
          <w:color w:val="auto"/>
        </w:rPr>
        <w:t>” means any of the events specified in Section 10.1., whether or not there has been satisfied any requirement for the giving of notice, the lapse of time, or both.</w:t>
      </w:r>
    </w:p>
    <w:p>
      <w:pPr>
        <w:spacing w:after="0" w:line="155" w:lineRule="exact"/>
        <w:rPr>
          <w:sz w:val="20"/>
          <w:szCs w:val="20"/>
          <w:color w:val="auto"/>
        </w:rPr>
      </w:pPr>
    </w:p>
    <w:p>
      <w:pPr>
        <w:ind w:firstLine="440"/>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Defaulting Lender</w:t>
      </w:r>
      <w:r>
        <w:rPr>
          <w:rFonts w:ascii="Times New Roman" w:cs="Times New Roman" w:eastAsia="Times New Roman" w:hAnsi="Times New Roman"/>
          <w:sz w:val="18"/>
          <w:szCs w:val="18"/>
          <w:color w:val="auto"/>
        </w:rPr>
        <w:t>” means, subject to Section 3.9.(f), any Lender that (a) has failed to (i) fund all or any portion of its Loans within 2 Business Days of the date such Loans were required to be funded hereunder unless such Lender notifies the Administrative Agent and the Borrower in writing that such failure is the result of such Lender’s reasonable determination (such reasonableness to be confirmed by the Administrative Agent) that one or more conditions precedent to funding (each of which conditions precedent, together with any applicable default, shall be specifically identified in such writing furnished to the Administrative Agent and the Borrower on or prior to the date which is one Business Day before the request for such funding is submitted by the Borrower in order to be effective to exclude such Lender from being a “Defaulting Lender” hereunder with respect to such requested funding) has not been satisfied, or (ii) pay to the Administrative Agent, the Issuing Bank, the Swingline Lender or any other Lender any other amount required to be paid by it hereunder (including in respect of its participation in Letters of Credit or Swingline Loans) within 2 Business Days of the date when due, (b) has notified the Borrower, the Administrative Agent, the Issuing Bank or the Swingline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reasonable determination (such reasonableness to be confirmed by the Administrative Agent) that a condition precedent to funding (which condition precedent, together with any applicable default, shall be specifically identified in such writing or public statement furnished to the Administrative Agent and the Borrower on or prior to the date which is one Business Day before the request for such funding is submitted by the Borrower) cannot be satisfied in order to be effective to exclude such Lender from being a “Defaulting Lender” hereunder with respect to such requested funding), (c) has failed, within 3 Business Days after written request by the Administrative Agent or the Borrower, to confirm in writing to the Administrative Agent and the Borrower that it will comply with its prospective funding obligations hereunder (provided that such Lender shall cease to be a Defaulting Lender pursuant to this clause (c) upon receipt of such written confirmation by the Administrative Agent and the Borrower),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provided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of America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clauses (a) through (d) above shall be conclusive and binding absent manifest error, and such Lender shall be deemed to be a Defaulting Lender (subject to Section 3.9.(f)) upon delivery of written notice of such determination to the Borrower, the Issuing Bank, the Swingline Lender and each Lender.</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- 10 -</w:t>
      </w:r>
    </w:p>
    <w:p>
      <w:pPr>
        <w:sectPr>
          <w:pgSz w:w="11900" w:h="16838" w:orient="portrait"/>
          <w:cols w:equalWidth="0" w:num="1">
            <w:col w:w="11000"/>
          </w:cols>
          <w:pgMar w:left="440" w:top="266" w:right="459" w:bottom="1440" w:gutter="0" w:footer="0" w:header="0"/>
        </w:sectPr>
      </w:pPr>
    </w:p>
    <w:bookmarkStart w:id="20" w:name="page21"/>
    <w:bookmarkEnd w:id="20"/>
    <w:p>
      <w:pPr>
        <w:ind w:left="4" w:right="46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w:t>
      </w:r>
    </w:p>
    <w:p>
      <w:pPr>
        <w:spacing w:after="0" w:line="155" w:lineRule="exact"/>
        <w:rPr>
          <w:sz w:val="20"/>
          <w:szCs w:val="20"/>
          <w:color w:val="auto"/>
        </w:rPr>
      </w:pPr>
    </w:p>
    <w:p>
      <w:pPr>
        <w:ind w:left="4" w:right="4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Derivatives Contract</w:t>
      </w:r>
      <w:r>
        <w:rPr>
          <w:rFonts w:ascii="Times New Roman" w:cs="Times New Roman" w:eastAsia="Times New Roman" w:hAnsi="Times New Roman"/>
          <w:sz w:val="18"/>
          <w:szCs w:val="18"/>
          <w:color w:val="auto"/>
        </w:rPr>
        <w:t>” means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commitment on the part of a Loan Party to enter into any of the foregoing), whether or not any such transaction is governed by or subject to any master agreement. Not in limitation of the foregoing, the term “Derivatives Contract” includes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including any such obligations or liabilities under any such master agreement.</w:t>
      </w:r>
    </w:p>
    <w:p>
      <w:pPr>
        <w:spacing w:after="0" w:line="188" w:lineRule="exact"/>
        <w:rPr>
          <w:sz w:val="20"/>
          <w:szCs w:val="20"/>
          <w:color w:val="auto"/>
        </w:rPr>
      </w:pPr>
    </w:p>
    <w:p>
      <w:pPr>
        <w:ind w:left="4"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Derivatives Support Document</w:t>
      </w:r>
      <w:r>
        <w:rPr>
          <w:rFonts w:ascii="Times New Roman" w:cs="Times New Roman" w:eastAsia="Times New Roman" w:hAnsi="Times New Roman"/>
          <w:sz w:val="18"/>
          <w:szCs w:val="18"/>
          <w:color w:val="auto"/>
        </w:rPr>
        <w:t>” means (i) any Credit Support Annex comprising part of (and as defined in) any Specified Derivatives Contract, and (ii) any document or agreement pursuant to which cash, deposit accounts, securities accounts or similar financial asset collateral are pledged to or made available for set-off by, a Specified Derivatives Provider, including any banker’s lien or similar right, securing or supporting Specified Derivatives Obligation.</w:t>
      </w:r>
    </w:p>
    <w:p>
      <w:pPr>
        <w:spacing w:after="0" w:line="176" w:lineRule="exact"/>
        <w:rPr>
          <w:sz w:val="20"/>
          <w:szCs w:val="20"/>
          <w:color w:val="auto"/>
        </w:rPr>
      </w:pPr>
    </w:p>
    <w:p>
      <w:pPr>
        <w:jc w:val="both"/>
        <w:ind w:left="4" w:right="160" w:firstLine="440"/>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Derivatives Termination Value</w:t>
      </w:r>
      <w:r>
        <w:rPr>
          <w:rFonts w:ascii="Times New Roman" w:cs="Times New Roman" w:eastAsia="Times New Roman" w:hAnsi="Times New Roman"/>
          <w:sz w:val="17"/>
          <w:szCs w:val="17"/>
          <w:color w:val="auto"/>
        </w:rPr>
        <w:t>” means, in respect of any one or more Derivatives Contracts, after taking into account the effect of any legally enforceable netting agreement relating to such Derivatives Contracts, (a) for any date on or after the date such Derivatives Contracts have been closed out and termination value(s) determined in accordance therewith, such termination value(s), and (b) for any date prior to the date referenced in clause</w:t>
      </w:r>
    </w:p>
    <w:p>
      <w:pPr>
        <w:spacing w:after="0" w:line="1" w:lineRule="exact"/>
        <w:rPr>
          <w:sz w:val="20"/>
          <w:szCs w:val="20"/>
          <w:color w:val="auto"/>
        </w:rPr>
      </w:pPr>
    </w:p>
    <w:p>
      <w:pPr>
        <w:ind w:left="4" w:right="60" w:hanging="4"/>
        <w:spacing w:after="0" w:line="255" w:lineRule="auto"/>
        <w:tabs>
          <w:tab w:leader="none" w:pos="24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determined as the mark-to-market value(s) for such Derivatives Contracts, as determined based upon one or more mid-market or other readily available quotations provided by any recognized dealer in such Derivatives Contracts (which may include the Administrative Agent or any Lender).</w:t>
      </w:r>
    </w:p>
    <w:p>
      <w:pPr>
        <w:spacing w:after="0" w:line="182" w:lineRule="exact"/>
        <w:rPr>
          <w:sz w:val="20"/>
          <w:szCs w:val="20"/>
          <w:color w:val="auto"/>
        </w:rPr>
      </w:pPr>
    </w:p>
    <w:p>
      <w:pPr>
        <w:ind w:left="4" w:right="16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Designated Lender</w:t>
      </w:r>
      <w:r>
        <w:rPr>
          <w:rFonts w:ascii="Times New Roman" w:cs="Times New Roman" w:eastAsia="Times New Roman" w:hAnsi="Times New Roman"/>
          <w:sz w:val="18"/>
          <w:szCs w:val="18"/>
          <w:color w:val="auto"/>
        </w:rPr>
        <w:t>” means a special purpose corporation which is an Affiliate of, or sponsored by, a Lender, that is engaged in making, purchasing or otherwise investing in commercial loans in the ordinary course of its business and that issues (or the parent of which issues) commercial paper rated at least P-1 (or the then equivalent grade) by Moody’s or A-1 (or the then equivalent grade) by S&amp;P that, in either case, (a) is organized under the laws of the United States of America or any state thereof, (b) shall have become a party to this Agreement pursuant to Section 12.6.(h) and (c) is not otherwise a Lender.</w:t>
      </w:r>
    </w:p>
    <w:p>
      <w:pPr>
        <w:spacing w:after="0" w:line="17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Designating Lender</w:t>
      </w:r>
      <w:r>
        <w:rPr>
          <w:rFonts w:ascii="Times New Roman" w:cs="Times New Roman" w:eastAsia="Times New Roman" w:hAnsi="Times New Roman"/>
          <w:sz w:val="18"/>
          <w:szCs w:val="18"/>
          <w:color w:val="auto"/>
        </w:rPr>
        <w:t>” has the meaning given that term in Section 12.6.(h).</w:t>
      </w:r>
    </w:p>
    <w:p>
      <w:pPr>
        <w:spacing w:after="0" w:line="225" w:lineRule="exact"/>
        <w:rPr>
          <w:sz w:val="20"/>
          <w:szCs w:val="20"/>
          <w:color w:val="auto"/>
        </w:rPr>
      </w:pPr>
    </w:p>
    <w:p>
      <w:pPr>
        <w:ind w:left="4" w:right="2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Designation Agreement</w:t>
      </w:r>
      <w:r>
        <w:rPr>
          <w:rFonts w:ascii="Times New Roman" w:cs="Times New Roman" w:eastAsia="Times New Roman" w:hAnsi="Times New Roman"/>
          <w:sz w:val="18"/>
          <w:szCs w:val="18"/>
          <w:color w:val="auto"/>
        </w:rPr>
        <w:t>” means a Designation Agreement between a Lender and a Designated Lender and accepted by the Administrative Agent, substantially in the form of Exhibit C or such other form as may be agreed to by such Lender, such Designated Lender and the Administrative Agent.</w:t>
      </w:r>
    </w:p>
    <w:p>
      <w:pPr>
        <w:spacing w:after="0" w:line="171" w:lineRule="exact"/>
        <w:rPr>
          <w:sz w:val="20"/>
          <w:szCs w:val="20"/>
          <w:color w:val="auto"/>
        </w:rPr>
      </w:pPr>
    </w:p>
    <w:p>
      <w:pPr>
        <w:ind w:left="4" w:right="60" w:firstLine="440"/>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Development Property</w:t>
      </w:r>
      <w:r>
        <w:rPr>
          <w:rFonts w:ascii="Times New Roman" w:cs="Times New Roman" w:eastAsia="Times New Roman" w:hAnsi="Times New Roman"/>
          <w:sz w:val="17"/>
          <w:szCs w:val="17"/>
          <w:color w:val="auto"/>
        </w:rPr>
        <w:t>” means a Property that is not yet a Retail Property, an Office Property, a Multifamily Property or a Hotel Property but is being developed, or will have development commencing within 12 months of any date of determination, to become one. A Development Property will cease to constitute a Development Property upon the earlier to occur of (x) in the case of a Retail Property, Office Property or Multifamily Property</w:t>
      </w:r>
    </w:p>
    <w:p>
      <w:pPr>
        <w:spacing w:after="0" w:line="1" w:lineRule="exact"/>
        <w:rPr>
          <w:sz w:val="20"/>
          <w:szCs w:val="20"/>
          <w:color w:val="auto"/>
        </w:rPr>
      </w:pPr>
    </w:p>
    <w:p>
      <w:pPr>
        <w:ind w:left="4" w:right="60" w:hanging="4"/>
        <w:spacing w:after="0" w:line="260" w:lineRule="auto"/>
        <w:tabs>
          <w:tab w:leader="none" w:pos="24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that is six months past substantial completion of such Property and (b) achieving an Occupancy Rate of 85.0% and (y) in the case of a Hotel Property, the date that is 12 months past substantial completion of such Property.</w:t>
      </w:r>
    </w:p>
    <w:p>
      <w:pPr>
        <w:spacing w:after="0" w:line="113" w:lineRule="exact"/>
        <w:rPr>
          <w:rFonts w:ascii="Times New Roman" w:cs="Times New Roman" w:eastAsia="Times New Roman" w:hAnsi="Times New Roman"/>
          <w:sz w:val="18"/>
          <w:szCs w:val="18"/>
          <w:color w:val="auto"/>
        </w:rPr>
      </w:pPr>
    </w:p>
    <w:p>
      <w:pPr>
        <w:ind w:left="5424" w:hanging="108"/>
        <w:spacing w:after="0"/>
        <w:tabs>
          <w:tab w:leader="none" w:pos="542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11 -</w:t>
      </w:r>
    </w:p>
    <w:p>
      <w:pPr>
        <w:sectPr>
          <w:pgSz w:w="11900" w:h="16838" w:orient="portrait"/>
          <w:cols w:equalWidth="0" w:num="1">
            <w:col w:w="11004"/>
          </w:cols>
          <w:pgMar w:left="436" w:top="266" w:right="459" w:bottom="1440" w:gutter="0" w:footer="0" w:header="0"/>
        </w:sectPr>
      </w:pPr>
    </w:p>
    <w:bookmarkStart w:id="21" w:name="page22"/>
    <w:bookmarkEnd w:id="21"/>
    <w:p>
      <w:pPr>
        <w:ind w:right="680" w:firstLine="440"/>
        <w:spacing w:after="0" w:line="31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7"/>
          <w:szCs w:val="17"/>
          <w:b w:val="1"/>
          <w:bCs w:val="1"/>
          <w:color w:val="auto"/>
        </w:rPr>
        <w:t>Disbursement Instruction Agreement</w:t>
      </w:r>
      <w:r>
        <w:rPr>
          <w:rFonts w:ascii="Times New Roman" w:cs="Times New Roman" w:eastAsia="Times New Roman" w:hAnsi="Times New Roman"/>
          <w:sz w:val="17"/>
          <w:szCs w:val="17"/>
          <w:color w:val="auto"/>
        </w:rPr>
        <w:t>” means an agreement substantially in the form of Exhibit K to be executed and delivered by the Borrower, as the same may be amended, restated or modified from time to time with the prior written approval of the Administrative Agent.</w:t>
      </w:r>
    </w:p>
    <w:p>
      <w:pPr>
        <w:spacing w:after="0" w:line="13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Dollars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means the lawful currency of the United States of America.</w:t>
      </w:r>
    </w:p>
    <w:p>
      <w:pPr>
        <w:spacing w:after="0" w:line="225"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EBITDA</w:t>
      </w:r>
      <w:r>
        <w:rPr>
          <w:rFonts w:ascii="Times New Roman" w:cs="Times New Roman" w:eastAsia="Times New Roman" w:hAnsi="Times New Roman"/>
          <w:sz w:val="18"/>
          <w:szCs w:val="18"/>
          <w:color w:val="auto"/>
        </w:rPr>
        <w:t xml:space="preserve">” means, with respect to a Person for any period: (a) net income (or loss) of such Person for such period determined on a consolidated basis, in accordance with GAAP, exclusive of the following (but only to the extent included in determination of such net income (loss)): (i) depreciation and amortization expense; (ii) Interest Expense; (iii) income tax expense; and (iv) extraordinary or non-recurring gains and losses;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such Person’s Ownership Share of EBITDA (as determined in a manner consistent with the foregoing clause (a)) of its Unconsolidated Affiliates. EBITDA will be adjusted to remove all impact of straight lining of rents required under GAAP and amortization of intangibles pursuant to FASB ASC 805.</w:t>
      </w:r>
    </w:p>
    <w:p>
      <w:pPr>
        <w:spacing w:after="0" w:line="179" w:lineRule="exact"/>
        <w:rPr>
          <w:sz w:val="20"/>
          <w:szCs w:val="20"/>
          <w:color w:val="auto"/>
        </w:rPr>
      </w:pPr>
    </w:p>
    <w:p>
      <w:pPr>
        <w:ind w:right="8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EEA Financial Institution</w:t>
      </w:r>
      <w:r>
        <w:rPr>
          <w:rFonts w:ascii="Times New Roman" w:cs="Times New Roman" w:eastAsia="Times New Roman" w:hAnsi="Times New Roman"/>
          <w:sz w:val="18"/>
          <w:szCs w:val="18"/>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EEA Member Country</w:t>
      </w:r>
      <w:r>
        <w:rPr>
          <w:rFonts w:ascii="Times New Roman" w:cs="Times New Roman" w:eastAsia="Times New Roman" w:hAnsi="Times New Roman"/>
          <w:sz w:val="18"/>
          <w:szCs w:val="18"/>
          <w:color w:val="auto"/>
        </w:rPr>
        <w:t>” means any of the member states of the European Union, Iceland, Liechtenstein, and Norway.</w:t>
      </w:r>
    </w:p>
    <w:p>
      <w:pPr>
        <w:spacing w:after="0" w:line="225" w:lineRule="exact"/>
        <w:rPr>
          <w:sz w:val="20"/>
          <w:szCs w:val="20"/>
          <w:color w:val="auto"/>
        </w:rPr>
      </w:pPr>
    </w:p>
    <w:p>
      <w:pPr>
        <w:ind w:right="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EEA Resolution Authority</w:t>
      </w:r>
      <w:r>
        <w:rPr>
          <w:rFonts w:ascii="Times New Roman" w:cs="Times New Roman" w:eastAsia="Times New Roman" w:hAnsi="Times New Roman"/>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55" w:lineRule="exact"/>
        <w:rPr>
          <w:sz w:val="20"/>
          <w:szCs w:val="20"/>
          <w:color w:val="auto"/>
        </w:rPr>
      </w:pPr>
    </w:p>
    <w:p>
      <w:pPr>
        <w:ind w:right="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means the later of (a) the Agreement Date and (b) the date on which all of the conditions precedent set forth in Section 5.1. shall have been fulfilled or waived by all of the Lenders.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Electronic Record</w:t>
      </w:r>
      <w:r>
        <w:rPr>
          <w:rFonts w:ascii="Times New Roman" w:cs="Times New Roman" w:eastAsia="Times New Roman" w:hAnsi="Times New Roman"/>
          <w:sz w:val="18"/>
          <w:szCs w:val="18"/>
          <w:color w:val="auto"/>
        </w:rPr>
        <w:t>” has the meaning assigned to that term in, and shall be interpreted in accordance with, 15 U.S.C. 7006.</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Electronic Signature</w:t>
      </w:r>
      <w:r>
        <w:rPr>
          <w:rFonts w:ascii="Times New Roman" w:cs="Times New Roman" w:eastAsia="Times New Roman" w:hAnsi="Times New Roman"/>
          <w:sz w:val="18"/>
          <w:szCs w:val="18"/>
          <w:color w:val="auto"/>
        </w:rPr>
        <w:t>” has the meaning assigned to that term in, and shall be interpreted in accordance with, 15 U.S.C. 7006.</w:t>
      </w:r>
    </w:p>
    <w:p>
      <w:pPr>
        <w:spacing w:after="0" w:line="225" w:lineRule="exact"/>
        <w:rPr>
          <w:sz w:val="20"/>
          <w:szCs w:val="20"/>
          <w:color w:val="auto"/>
        </w:rPr>
      </w:pPr>
    </w:p>
    <w:p>
      <w:pPr>
        <w:ind w:right="6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Assignee</w:t>
      </w:r>
      <w:r>
        <w:rPr>
          <w:rFonts w:ascii="Times New Roman" w:cs="Times New Roman" w:eastAsia="Times New Roman" w:hAnsi="Times New Roman"/>
          <w:sz w:val="18"/>
          <w:szCs w:val="18"/>
          <w:color w:val="auto"/>
        </w:rPr>
        <w:t>” means (a) a Lender, (b) an Affiliate of a Lender, (c) an Approved Fund and (d) any other Person (other than a natural person) approved by the Administrative Agent (such approval not to be unreasonably withheld or delayed); provided that notwithstanding the foregoing, “Eligible Assignee” shall not include the Parent, the General Partner, the Borrower, any of the Parent’s, the General Partner’s or the Borrower’s Affiliates or Subsidiaries or any Defaulting Lender.</w:t>
      </w:r>
    </w:p>
    <w:p>
      <w:pPr>
        <w:spacing w:after="0" w:line="176" w:lineRule="exact"/>
        <w:rPr>
          <w:sz w:val="20"/>
          <w:szCs w:val="20"/>
          <w:color w:val="auto"/>
        </w:rPr>
      </w:pPr>
    </w:p>
    <w:p>
      <w:pPr>
        <w:ind w:right="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Property</w:t>
      </w:r>
      <w:r>
        <w:rPr>
          <w:rFonts w:ascii="Times New Roman" w:cs="Times New Roman" w:eastAsia="Times New Roman" w:hAnsi="Times New Roman"/>
          <w:sz w:val="18"/>
          <w:szCs w:val="18"/>
          <w:color w:val="auto"/>
        </w:rPr>
        <w:t>” means a Property which satisfies all of the following requirements: (a) such Property is a Retail Property, an Office Property, a Multifamily Property or Hotel Property; (b) neither such Property, nor any interest of the Borrower, any Subsidiary or any Unconsolidated Affiliate therein (and if such Property is owned by a Subsidiary or Unconsolidated Affiliate, none of the Borrower’s direct or</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- 12 -</w:t>
      </w:r>
    </w:p>
    <w:p>
      <w:pPr>
        <w:sectPr>
          <w:pgSz w:w="11900" w:h="16838" w:orient="portrait"/>
          <w:cols w:equalWidth="0" w:num="1">
            <w:col w:w="11000"/>
          </w:cols>
          <w:pgMar w:left="440" w:top="266" w:right="459" w:bottom="1440" w:gutter="0" w:footer="0" w:header="0"/>
        </w:sectPr>
      </w:pPr>
    </w:p>
    <w:bookmarkStart w:id="22" w:name="page23"/>
    <w:bookmarkEnd w:id="22"/>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indirect ownership interests in such Subsidiary or Unconsolidated Affiliate) is subject to any (i) Lien other than (x) Permitted Liens (excluding Permitted Liens of the type described in clauses (g) and (h) of the definition thereof) and (y) in the case of a Property leased under a Ground Lease, the interest of the lessor under such Ground Lease (regardless of whether the lessee’s obligations under such Ground Lease constitute Capitalized Lease Obligations) or (ii) Negative Pledge; (c) such Property is free of all structural defects or major architectural deficiencies, title defects, environmental conditions or other adverse matters except for defects, deficiencies, conditions or other matters individually or collectively which are not material to the profitable operation of such Property; and (d) if (i) such Property is leased by the Borrower, a Subsidiary or Unconsolidated Affiliate pursuant to a Ground Lease or other lease, (ii) the lessor’s interest in such Property is subject to a mortgage and (iii) such Ground Lease or lease is subordinate to such mortgage, then the mortgagee shall have executed a customary non-disturbance agreement with respect to the rights of the Borrower, such Subsidiary or Unconsolidated Affiliate under the Ground Lease or other lease.</w:t>
      </w:r>
    </w:p>
    <w:p>
      <w:pPr>
        <w:spacing w:after="0" w:line="184" w:lineRule="exact"/>
        <w:rPr>
          <w:sz w:val="20"/>
          <w:szCs w:val="20"/>
          <w:color w:val="auto"/>
        </w:rPr>
      </w:pPr>
    </w:p>
    <w:p>
      <w:pPr>
        <w:ind w:right="16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means any Applicable Law relating to environmental protection or the manufacture, storage, remediation, disposal or clean-up of Hazardous Materials including, without limitation, the following: Clean Air Act, 42 U.S.C. § 7401 et seq.; Federal Water Pollution Control Act, 33 U.S.C. § 1251 et seq.; Solid Waste Disposal Act, as amended by the Resource Conservation and Recovery Act, 42 U.S.C. § 6901 et seq.; Comprehensive Environmental Response, Compensation and Liability Act, 42 U.S.C. § 9601 et seq.; National Environmental Policy Act, 42 U.S.C. § 4321 et seq.; regulations of the Environmental Protection Agency, any applicable rule of common law and any judicial interpretation thereof relating primarily to the environment or Hazardous Materials, and, to the extent constituting Applicable Law, any analogous or comparable state or local laws, regulations or ordinances that concern Hazardous Materials or protection of the environment.</w:t>
      </w:r>
    </w:p>
    <w:p>
      <w:pPr>
        <w:spacing w:after="0" w:line="183" w:lineRule="exact"/>
        <w:rPr>
          <w:sz w:val="20"/>
          <w:szCs w:val="20"/>
          <w:color w:val="auto"/>
        </w:rPr>
      </w:pPr>
    </w:p>
    <w:p>
      <w:pPr>
        <w:ind w:right="18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Interest</w:t>
      </w:r>
      <w:r>
        <w:rPr>
          <w:rFonts w:ascii="Times New Roman" w:cs="Times New Roman" w:eastAsia="Times New Roman" w:hAnsi="Times New Roman"/>
          <w:sz w:val="18"/>
          <w:szCs w:val="18"/>
          <w:color w:val="auto"/>
        </w:rPr>
        <w:t>” means, with respect to any Person, any share of capital stock of (or other ownership or profit interests in) such Person, any warrant, option or other right for the purchase or other acquisition from such Person of any share of capital stock of (or other ownership or profit interests in) such Person whether or not certificated, any security convertible into or exchangeable for any share of capital stock of (or other ownership or profit interests in) such Person or warrant, right or option for the purchase or other acquisition from such Person of such shares (or such other interests), and any other ownership or profit interest in such Person (including, without limitation, partnership, member or trust interests therein), whether voting or nonvoting, and whether or not such share, warrant, option, right or other interest is authorized or otherwise existing on any date of determination.</w:t>
      </w:r>
    </w:p>
    <w:p>
      <w:pPr>
        <w:spacing w:after="0" w:line="183"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Issuance</w:t>
      </w:r>
      <w:r>
        <w:rPr>
          <w:rFonts w:ascii="Times New Roman" w:cs="Times New Roman" w:eastAsia="Times New Roman" w:hAnsi="Times New Roman"/>
          <w:sz w:val="18"/>
          <w:szCs w:val="18"/>
          <w:color w:val="auto"/>
        </w:rPr>
        <w:t>” means any issuance or sale by a Person of any Equity Interest in such Person and shall in any event include the issuance of any Equity Interest upon the conversion or exchange of any security constituting Indebtedness that is convertible or exchangeable, or is being converted or exchanged, for Equity Interests.</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means the Employee Retirement Income Security Act of 1974, as in effect from time to time.</w:t>
      </w:r>
    </w:p>
    <w:p>
      <w:pPr>
        <w:spacing w:after="0" w:line="225" w:lineRule="exact"/>
        <w:rPr>
          <w:sz w:val="20"/>
          <w:szCs w:val="20"/>
          <w:color w:val="auto"/>
        </w:rPr>
      </w:pPr>
    </w:p>
    <w:p>
      <w:pPr>
        <w:ind w:right="12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 Event</w:t>
      </w:r>
      <w:r>
        <w:rPr>
          <w:rFonts w:ascii="Times New Roman" w:cs="Times New Roman" w:eastAsia="Times New Roman" w:hAnsi="Times New Roman"/>
          <w:sz w:val="18"/>
          <w:szCs w:val="18"/>
          <w:color w:val="auto"/>
        </w:rPr>
        <w:t>” means, with respect to the ERISA Group, (a) any “reportable event” as defined in Section 4043 of ERISA with respect to a Plan (other than an event for which the 30-day notice period is waived); (b) the withdrawal of a member of the ERISA Group from a Plan subject to Section 4063 of ERISA during a plan year in which it was a “substantial employer” as defined in Section 4001(a)(2) of ERISA or a cessation of operations that is treated as such a withdrawal under Section 4062(e) of ERISA; (c) the incurrence by a member of the ERISA Group of any liability with respect to the withdrawal or partial withdrawal from any Multiemployer Plan; (d) the incurrence by any member of the ERISA Group of any liability under Title IV of ERISA with respect to the termination of any Plan or Multiemployer Plan; (e) the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- 13 -</w:t>
      </w:r>
    </w:p>
    <w:p>
      <w:pPr>
        <w:sectPr>
          <w:pgSz w:w="11900" w:h="16838" w:orient="portrait"/>
          <w:cols w:equalWidth="0" w:num="1">
            <w:col w:w="11020"/>
          </w:cols>
          <w:pgMar w:left="440" w:top="270" w:right="439" w:bottom="1440" w:gutter="0" w:footer="0" w:header="0"/>
        </w:sectPr>
      </w:pPr>
    </w:p>
    <w:bookmarkStart w:id="23" w:name="page24"/>
    <w:bookmarkEnd w:id="23"/>
    <w:p>
      <w:pPr>
        <w:ind w:left="4" w:right="4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ERISA group receives notice of the institution of proceedings to terminate a Plan or Multiemployer Plan by the PBGC; (f) the failure by any member of the ERISA Group to make when due required contributions to a Multiemployer Plan or Plan unless such failure is cured within 30 days or the filing pursuant to Section 412(c) of the Internal Revenue Code or Section 302(c) of ERISA of an application for a waiver of the minimum funding standard;</w:t>
      </w:r>
    </w:p>
    <w:p>
      <w:pPr>
        <w:spacing w:after="0" w:line="1" w:lineRule="exact"/>
        <w:rPr>
          <w:sz w:val="20"/>
          <w:szCs w:val="20"/>
          <w:color w:val="auto"/>
        </w:rPr>
      </w:pPr>
    </w:p>
    <w:p>
      <w:pPr>
        <w:ind w:left="4" w:right="60" w:hanging="4"/>
        <w:spacing w:after="0" w:line="251" w:lineRule="auto"/>
        <w:tabs>
          <w:tab w:leader="none" w:pos="25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or condition that might reasonably be expected to constitute grounds under Section 4042 of ERISA for the termination of, or the appointment of a trustee to administer, any Plan or Multiemployer Plan or the imposition of liability under Section 4069 or 4212(c) of ERISA; (h) the receipt by any member of the ERISA Group of any notice or the receipt by any Multiemployer Plan from any member of the ERISA Group of any notice, concerning the imposition of Withdrawal Liability or a determination that a Multiemployer Plan is, or is expected to be, insolvent (within the meaning of Section 4245 of ERISA), in reorganization (within the meaning of Section 4241 of ERISA), or in “critical” status (within the meaning of Section 432 of the Internal Revenue Code or Section 305 of ERISA); (i) the ERISA Group receives notice of the imposition of any liability under Title IV of ERISA, other than for PBGC premiums due but not delinquent under Section 4007 of ERISA, upon any member of the ERISA Group or the imposition of any Lien in favor of the PBGC under Title IV of ERISA; or (j) the ERISA Group receives notice of a determination that a Plan is, or is reasonably expected to be, in “at risk” status (within the meaning of Section 430 of the Internal Revenue Code or Section 303 of ERISA).</w:t>
      </w:r>
    </w:p>
    <w:p>
      <w:pPr>
        <w:spacing w:after="0" w:line="189" w:lineRule="exact"/>
        <w:rPr>
          <w:sz w:val="20"/>
          <w:szCs w:val="20"/>
          <w:color w:val="auto"/>
        </w:rPr>
      </w:pPr>
    </w:p>
    <w:p>
      <w:pPr>
        <w:ind w:left="4"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 Group</w:t>
      </w:r>
      <w:r>
        <w:rPr>
          <w:rFonts w:ascii="Times New Roman" w:cs="Times New Roman" w:eastAsia="Times New Roman" w:hAnsi="Times New Roman"/>
          <w:sz w:val="18"/>
          <w:szCs w:val="18"/>
          <w:color w:val="auto"/>
        </w:rPr>
        <w:t>” means the Borrower, any Subsidiary and all members of a controlled group of corporations and all trades or businesses (whether or not incorporated) under common control which, together with the Borrower or any Subsidiary, are treated as a single employer under Section 414 of the Internal Revenue Code.</w:t>
      </w:r>
    </w:p>
    <w:p>
      <w:pPr>
        <w:spacing w:after="0" w:line="17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Erroneous Payment</w:t>
      </w:r>
      <w:r>
        <w:rPr>
          <w:rFonts w:ascii="Times New Roman" w:cs="Times New Roman" w:eastAsia="Times New Roman" w:hAnsi="Times New Roman"/>
          <w:sz w:val="18"/>
          <w:szCs w:val="18"/>
          <w:color w:val="auto"/>
        </w:rPr>
        <w:t>” has the meaning assigned thereto in Section 11.10(a).</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Erroneous Payment Deficiency Assignment</w:t>
      </w:r>
      <w:r>
        <w:rPr>
          <w:rFonts w:ascii="Times New Roman" w:cs="Times New Roman" w:eastAsia="Times New Roman" w:hAnsi="Times New Roman"/>
          <w:sz w:val="18"/>
          <w:szCs w:val="18"/>
          <w:color w:val="auto"/>
        </w:rPr>
        <w:t>” has the meaning assigned thereto in Section 11.10(d).</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Erroneous Payment Impact Class</w:t>
      </w:r>
      <w:r>
        <w:rPr>
          <w:rFonts w:ascii="Times New Roman" w:cs="Times New Roman" w:eastAsia="Times New Roman" w:hAnsi="Times New Roman"/>
          <w:sz w:val="18"/>
          <w:szCs w:val="18"/>
          <w:color w:val="auto"/>
        </w:rPr>
        <w:t>” has the meaning assigned thereto in Section 11.10(d).</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Erroneous Payment Return Deficiency</w:t>
      </w:r>
      <w:r>
        <w:rPr>
          <w:rFonts w:ascii="Times New Roman" w:cs="Times New Roman" w:eastAsia="Times New Roman" w:hAnsi="Times New Roman"/>
          <w:sz w:val="18"/>
          <w:szCs w:val="18"/>
          <w:color w:val="auto"/>
        </w:rPr>
        <w:t>” has the meaning assigned thereto in Section 11.10(d).</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ESG</w:t>
      </w:r>
      <w:r>
        <w:rPr>
          <w:rFonts w:ascii="Times New Roman" w:cs="Times New Roman" w:eastAsia="Times New Roman" w:hAnsi="Times New Roman"/>
          <w:sz w:val="18"/>
          <w:szCs w:val="18"/>
          <w:color w:val="auto"/>
        </w:rPr>
        <w:t>” has the meaning assigned thereto in Section 12.25(a).</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ESG Amendment</w:t>
      </w:r>
      <w:r>
        <w:rPr>
          <w:rFonts w:ascii="Times New Roman" w:cs="Times New Roman" w:eastAsia="Times New Roman" w:hAnsi="Times New Roman"/>
          <w:sz w:val="18"/>
          <w:szCs w:val="18"/>
          <w:color w:val="auto"/>
        </w:rPr>
        <w:t>” has the meaning assigned thereto in Section 12.25(a).</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ESG Pricing Provisions</w:t>
      </w:r>
      <w:r>
        <w:rPr>
          <w:rFonts w:ascii="Times New Roman" w:cs="Times New Roman" w:eastAsia="Times New Roman" w:hAnsi="Times New Roman"/>
          <w:sz w:val="18"/>
          <w:szCs w:val="18"/>
          <w:color w:val="auto"/>
        </w:rPr>
        <w:t>” has the meaning assigned thereto in Section 12.25(a).</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ESG Ratings</w:t>
      </w:r>
      <w:r>
        <w:rPr>
          <w:rFonts w:ascii="Times New Roman" w:cs="Times New Roman" w:eastAsia="Times New Roman" w:hAnsi="Times New Roman"/>
          <w:sz w:val="18"/>
          <w:szCs w:val="18"/>
          <w:color w:val="auto"/>
        </w:rPr>
        <w:t>” has the meaning assigned thereto in Section 12.25(a).</w:t>
      </w:r>
    </w:p>
    <w:p>
      <w:pPr>
        <w:spacing w:after="0" w:line="225" w:lineRule="exact"/>
        <w:rPr>
          <w:sz w:val="20"/>
          <w:szCs w:val="20"/>
          <w:color w:val="auto"/>
        </w:rPr>
      </w:pPr>
    </w:p>
    <w:p>
      <w:pPr>
        <w:ind w:left="4" w:right="3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EU Bail-In Legislation Schedule</w:t>
      </w:r>
      <w:r>
        <w:rPr>
          <w:rFonts w:ascii="Times New Roman" w:cs="Times New Roman" w:eastAsia="Times New Roman" w:hAnsi="Times New Roman"/>
          <w:sz w:val="18"/>
          <w:szCs w:val="18"/>
          <w:color w:val="auto"/>
        </w:rPr>
        <w:t>” means the EU Bail-In Legislation Schedule published by the Loan Market Association (or any successor person), as in effect from time to time.</w:t>
      </w:r>
    </w:p>
    <w:p>
      <w:pPr>
        <w:spacing w:after="0" w:line="155" w:lineRule="exact"/>
        <w:rPr>
          <w:sz w:val="20"/>
          <w:szCs w:val="20"/>
          <w:color w:val="auto"/>
        </w:rPr>
      </w:pPr>
    </w:p>
    <w:p>
      <w:pPr>
        <w:ind w:left="4" w:right="4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means any of the events specified in Section 10.1., provided that any requirement for notice or lapse of time or any other condition has been satisfied.</w:t>
      </w:r>
    </w:p>
    <w:p>
      <w:pPr>
        <w:spacing w:after="0" w:line="155" w:lineRule="exact"/>
        <w:rPr>
          <w:sz w:val="20"/>
          <w:szCs w:val="20"/>
          <w:color w:val="auto"/>
        </w:rPr>
      </w:pPr>
    </w:p>
    <w:p>
      <w:pPr>
        <w:ind w:left="4" w:right="8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Subsidiary</w:t>
      </w:r>
      <w:r>
        <w:rPr>
          <w:rFonts w:ascii="Times New Roman" w:cs="Times New Roman" w:eastAsia="Times New Roman" w:hAnsi="Times New Roman"/>
          <w:sz w:val="18"/>
          <w:szCs w:val="18"/>
          <w:color w:val="auto"/>
        </w:rPr>
        <w:t>” means any Subsidiary (a) holding title to assets that are or are to become collateral for any Secured Indebtedness of such Subsidiary and (b) that is prohibited from Guarantying the Indebtedness of any other Person pursuant to (i) any document, instrument, or agreement evidencing such Secured Indebtedness or (ii) a provision of such Subsidiary’s organizational documents which provision was included in such Subsidiary’s organizational documents as a condition to the extension of such Secured Indebtedness.</w:t>
      </w:r>
    </w:p>
    <w:p>
      <w:pPr>
        <w:spacing w:after="0" w:line="35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- 14 -</w:t>
      </w:r>
    </w:p>
    <w:p>
      <w:pPr>
        <w:sectPr>
          <w:pgSz w:w="11900" w:h="16838" w:orient="portrait"/>
          <w:cols w:equalWidth="0" w:num="1">
            <w:col w:w="10984"/>
          </w:cols>
          <w:pgMar w:left="436" w:top="270" w:right="479" w:bottom="1440" w:gutter="0" w:footer="0" w:header="0"/>
        </w:sectPr>
      </w:pPr>
    </w:p>
    <w:bookmarkStart w:id="24" w:name="page25"/>
    <w:bookmarkEnd w:id="24"/>
    <w:p>
      <w:pPr>
        <w:ind w:left="4" w:firstLine="440"/>
        <w:spacing w:after="0" w:line="27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7"/>
          <w:szCs w:val="17"/>
          <w:b w:val="1"/>
          <w:bCs w:val="1"/>
          <w:color w:val="auto"/>
        </w:rPr>
        <w:t>Excluded Swap Obligation</w:t>
      </w:r>
      <w:r>
        <w:rPr>
          <w:rFonts w:ascii="Times New Roman" w:cs="Times New Roman" w:eastAsia="Times New Roman" w:hAnsi="Times New Roman"/>
          <w:sz w:val="17"/>
          <w:szCs w:val="17"/>
          <w:color w:val="auto"/>
        </w:rPr>
        <w:t>” means, with respect to any Guarantor, any Swap Obligation if, and to the extent that, all or a portion of the Guarantee of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and the regulations thereunder at the time the Guarantee of such Guarantor or the grant of such security interest becomes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spacing w:after="0" w:line="171" w:lineRule="exact"/>
        <w:rPr>
          <w:sz w:val="20"/>
          <w:szCs w:val="20"/>
          <w:color w:val="auto"/>
        </w:rPr>
      </w:pPr>
    </w:p>
    <w:p>
      <w:pPr>
        <w:ind w:left="4" w:right="180" w:firstLine="440"/>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Excluded Taxes</w:t>
      </w:r>
      <w:r>
        <w:rPr>
          <w:rFonts w:ascii="Times New Roman" w:cs="Times New Roman" w:eastAsia="Times New Roman" w:hAnsi="Times New Roman"/>
          <w:sz w:val="17"/>
          <w:szCs w:val="17"/>
          <w:color w:val="auto"/>
        </w:rPr>
        <w:t>”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w:t>
      </w:r>
    </w:p>
    <w:p>
      <w:pPr>
        <w:ind w:left="4" w:hanging="4"/>
        <w:spacing w:after="0" w:line="252" w:lineRule="auto"/>
        <w:tabs>
          <w:tab w:leader="none" w:pos="25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Lender, U.S. federal withholding Taxes imposed on amounts payable to or for the account of such Lender with respect to an applicable interest in a Loan or Commitment pursuant to an Applicable Law in effect on the date on which (i) such Lender acquires such interest in the Loan or Commitment (other than pursuant to an assignment request by the Borrower under Section 4.6.) or (ii) such Lender changes its lending office, except in each case to the extent that, pursuant to Section 3.10., amounts with respect to such Taxes were payable either to such Lender’s assignor immediately before such Lender became a party hereto or to such Lender immediately before it changed its lending office, (c) Taxes attributable to such Recipient’s failure to comply with Section 3.10.(g) and (d) any U.S. federal withholding Taxes imposed under FATCA.</w:t>
      </w:r>
    </w:p>
    <w:p>
      <w:pPr>
        <w:spacing w:after="0" w:line="18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Existing Credit Agreement</w:t>
      </w:r>
      <w:r>
        <w:rPr>
          <w:rFonts w:ascii="Times New Roman" w:cs="Times New Roman" w:eastAsia="Times New Roman" w:hAnsi="Times New Roman"/>
          <w:sz w:val="18"/>
          <w:szCs w:val="18"/>
          <w:color w:val="auto"/>
        </w:rPr>
        <w:t>” has the meaning set forth in the first recital hereof.</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Existing Lender</w:t>
      </w:r>
      <w:r>
        <w:rPr>
          <w:rFonts w:ascii="Times New Roman" w:cs="Times New Roman" w:eastAsia="Times New Roman" w:hAnsi="Times New Roman"/>
          <w:sz w:val="18"/>
          <w:szCs w:val="18"/>
          <w:color w:val="auto"/>
        </w:rPr>
        <w:t>” has the meaning given that term in Section 2.1.(e).</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Existing Letters of Credit</w:t>
      </w:r>
      <w:r>
        <w:rPr>
          <w:rFonts w:ascii="Times New Roman" w:cs="Times New Roman" w:eastAsia="Times New Roman" w:hAnsi="Times New Roman"/>
          <w:sz w:val="18"/>
          <w:szCs w:val="18"/>
          <w:color w:val="auto"/>
        </w:rPr>
        <w:t>” means the letters of credit described on Schedule 1.1.(b).</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Extended Letter of Credit</w:t>
      </w:r>
      <w:r>
        <w:rPr>
          <w:rFonts w:ascii="Times New Roman" w:cs="Times New Roman" w:eastAsia="Times New Roman" w:hAnsi="Times New Roman"/>
          <w:sz w:val="18"/>
          <w:szCs w:val="18"/>
          <w:color w:val="auto"/>
        </w:rPr>
        <w:t>” has the meaning given that term in Section 2.3.(b).</w:t>
      </w:r>
    </w:p>
    <w:p>
      <w:pPr>
        <w:spacing w:after="0" w:line="225" w:lineRule="exact"/>
        <w:rPr>
          <w:sz w:val="20"/>
          <w:szCs w:val="20"/>
          <w:color w:val="auto"/>
        </w:rPr>
      </w:pPr>
    </w:p>
    <w:p>
      <w:pPr>
        <w:ind w:left="4" w:right="20" w:firstLine="440"/>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Fair Market Value</w:t>
      </w:r>
      <w:r>
        <w:rPr>
          <w:rFonts w:ascii="Times New Roman" w:cs="Times New Roman" w:eastAsia="Times New Roman" w:hAnsi="Times New Roman"/>
          <w:sz w:val="17"/>
          <w:szCs w:val="17"/>
          <w:color w:val="auto"/>
        </w:rPr>
        <w:t>” means, with respect to (a) a security listed on a national securities exchange or the NASDAQ National Market, the price of such security as reported on such exchange or market by any widely recognized reporting method customarily relied upon by financial institutions and</w:t>
      </w:r>
    </w:p>
    <w:p>
      <w:pPr>
        <w:spacing w:after="0" w:line="1" w:lineRule="exact"/>
        <w:rPr>
          <w:sz w:val="20"/>
          <w:szCs w:val="20"/>
          <w:color w:val="auto"/>
        </w:rPr>
      </w:pPr>
    </w:p>
    <w:p>
      <w:pPr>
        <w:ind w:left="4" w:right="200" w:hanging="4"/>
        <w:spacing w:after="0" w:line="271" w:lineRule="auto"/>
        <w:tabs>
          <w:tab w:leader="none" w:pos="259"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property, the price which could be negotiated in an arm’s-length free market transaction, for cash, between a willing seller and a willing buyer, neither of which is under pressure or compulsion to complete the transaction. Except as otherwise provided herein, Fair Market Value shall be determined by the Board of Trustees of the Borrower (or an authorized committee thereof) acting in good faith conclusively evidenced by a board resolution or written consent thereof delivered to the Administrative Agent or, with respect to any asset valued at no more than $1,000,000, such determination may be made by the chief financial officer of the Borrower evidenced by an officer’s certificate delivered to the Administrative Agent.</w:t>
      </w:r>
    </w:p>
    <w:p>
      <w:pPr>
        <w:spacing w:after="0" w:line="17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FASB ASC</w:t>
      </w:r>
      <w:r>
        <w:rPr>
          <w:rFonts w:ascii="Times New Roman" w:cs="Times New Roman" w:eastAsia="Times New Roman" w:hAnsi="Times New Roman"/>
          <w:sz w:val="18"/>
          <w:szCs w:val="18"/>
          <w:color w:val="auto"/>
        </w:rPr>
        <w:t>” means the Accounting Standards Codification of the Financial Accounting Standards Board.</w:t>
      </w:r>
    </w:p>
    <w:p>
      <w:pPr>
        <w:spacing w:after="0" w:line="162" w:lineRule="exact"/>
        <w:rPr>
          <w:sz w:val="20"/>
          <w:szCs w:val="20"/>
          <w:color w:val="auto"/>
        </w:rPr>
      </w:pPr>
    </w:p>
    <w:p>
      <w:pPr>
        <w:ind w:left="5304"/>
        <w:spacing w:after="0"/>
        <w:rPr>
          <w:sz w:val="20"/>
          <w:szCs w:val="20"/>
          <w:color w:val="auto"/>
        </w:rPr>
      </w:pPr>
      <w:r>
        <w:rPr>
          <w:rFonts w:ascii="Times New Roman" w:cs="Times New Roman" w:eastAsia="Times New Roman" w:hAnsi="Times New Roman"/>
          <w:sz w:val="18"/>
          <w:szCs w:val="18"/>
          <w:color w:val="auto"/>
        </w:rPr>
        <w:t>- 15 -</w:t>
      </w:r>
    </w:p>
    <w:p>
      <w:pPr>
        <w:sectPr>
          <w:pgSz w:w="11900" w:h="16838" w:orient="portrait"/>
          <w:cols w:equalWidth="0" w:num="1">
            <w:col w:w="10944"/>
          </w:cols>
          <w:pgMar w:left="436" w:top="266" w:right="519" w:bottom="1440" w:gutter="0" w:footer="0" w:header="0"/>
        </w:sectPr>
      </w:pPr>
    </w:p>
    <w:bookmarkStart w:id="25" w:name="page26"/>
    <w:bookmarkEnd w:id="25"/>
    <w:p>
      <w:pPr>
        <w:ind w:firstLine="4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FATCA</w:t>
      </w:r>
      <w:r>
        <w:rPr>
          <w:rFonts w:ascii="Times New Roman" w:cs="Times New Roman" w:eastAsia="Times New Roman" w:hAnsi="Times New Roman"/>
          <w:sz w:val="18"/>
          <w:szCs w:val="18"/>
          <w:color w:val="auto"/>
        </w:rPr>
        <w:t>” means Sections 1471 through 1474 of the Internal Revenue Code, as of the date of this Agreement (or any amended or successor version that is substantively comparable and not materially more onerous to comply with) and any current or future regulations or official interpretations thereof and any agreement entered into pursuant to Section 1471(b)(1) of the Internal Revenue Code.</w:t>
      </w:r>
    </w:p>
    <w:p>
      <w:pPr>
        <w:spacing w:after="0" w:line="171" w:lineRule="exact"/>
        <w:rPr>
          <w:sz w:val="20"/>
          <w:szCs w:val="20"/>
          <w:color w:val="auto"/>
        </w:rPr>
      </w:pPr>
    </w:p>
    <w:p>
      <w:pPr>
        <w:ind w:right="14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Federal Funds Rate</w:t>
      </w:r>
      <w:r>
        <w:rPr>
          <w:rFonts w:ascii="Times New Roman" w:cs="Times New Roman" w:eastAsia="Times New Roman" w:hAnsi="Times New Roman"/>
          <w:sz w:val="18"/>
          <w:szCs w:val="18"/>
          <w:color w:val="auto"/>
        </w:rPr>
        <w:t>” means, for any day, the rate per annum equal to the weighted average of the rates on overnight federal funds transactions with members of the Federal Reserve System, as published by the Federal Reserve Bank of New York on the Business Day next succeeding such day, provided that if such rate is not so published for any day which is a Business Day, the Federal Funds Rate for such day shall be the average of the quotation for such day on such transactions received by the Administrative Agent from three federal funds brokers of recognized standing selected by the Administrative Agent. Notwithstanding the foregoing, if the Federal Funds Rate shall be less than the Floor, such rate shall be deemed to be the Floor for purposes of this Agreement.</w:t>
      </w:r>
    </w:p>
    <w:p>
      <w:pPr>
        <w:spacing w:after="0" w:line="182" w:lineRule="exact"/>
        <w:rPr>
          <w:sz w:val="20"/>
          <w:szCs w:val="20"/>
          <w:color w:val="auto"/>
        </w:rPr>
      </w:pPr>
    </w:p>
    <w:p>
      <w:pPr>
        <w:ind w:right="2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Fee Letter</w:t>
      </w:r>
      <w:r>
        <w:rPr>
          <w:rFonts w:ascii="Times New Roman" w:cs="Times New Roman" w:eastAsia="Times New Roman" w:hAnsi="Times New Roman"/>
          <w:sz w:val="18"/>
          <w:szCs w:val="18"/>
          <w:color w:val="auto"/>
        </w:rPr>
        <w:t>” means that certain fee letter dated August 16, 2022, by and between the Borrower, the Administrative Agent and the Syndication Agent and any other fee letter entered into with respect hereto.</w:t>
      </w:r>
    </w:p>
    <w:p>
      <w:pPr>
        <w:spacing w:after="0" w:line="155" w:lineRule="exact"/>
        <w:rPr>
          <w:sz w:val="20"/>
          <w:szCs w:val="20"/>
          <w:color w:val="auto"/>
        </w:rPr>
      </w:pPr>
    </w:p>
    <w:p>
      <w:pPr>
        <w:ind w:right="1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Fees</w:t>
      </w:r>
      <w:r>
        <w:rPr>
          <w:rFonts w:ascii="Times New Roman" w:cs="Times New Roman" w:eastAsia="Times New Roman" w:hAnsi="Times New Roman"/>
          <w:sz w:val="18"/>
          <w:szCs w:val="18"/>
          <w:color w:val="auto"/>
        </w:rPr>
        <w:t>” means the fees and commissions provided for or referred to in Section 3.5. and any other fees payable by the Borrower hereunder, under any other Loan Document or under the Fee Letter.</w:t>
      </w:r>
    </w:p>
    <w:p>
      <w:pPr>
        <w:spacing w:after="0" w:line="155"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Fixed Charges</w:t>
      </w:r>
      <w:r>
        <w:rPr>
          <w:rFonts w:ascii="Times New Roman" w:cs="Times New Roman" w:eastAsia="Times New Roman" w:hAnsi="Times New Roman"/>
          <w:sz w:val="18"/>
          <w:szCs w:val="18"/>
          <w:color w:val="auto"/>
        </w:rPr>
        <w:t xml:space="preserve">” means, for any period, the sum of (a) Interest Expense of the Borrower and its Subsidiaries determined on a consolidated basis and of Unconsolidated Affiliates for such period, (b) all regularly scheduled principal payments made with respect to Indebtedness of the Borrower, its Subsidiaries and its Unconsolidated Affiliates during such period, other than any balloon, bullet or similar principal payment which repays such Indebtedness in full, and (c) all Preferred Dividends paid by the Borrower, its Subsidiaries and Unconsolidated Affiliates during such period (other than such payments to the Borrower and any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only the Borrower’s Ownership Share of the amounts (other than inter-company amounts) set forth in clauses (a) through (c) above with respect to Unconsolidated Affiliates of the Borrower shall be included in determinations of Fixed Charges.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Floor</w:t>
      </w:r>
      <w:r>
        <w:rPr>
          <w:rFonts w:ascii="Times New Roman" w:cs="Times New Roman" w:eastAsia="Times New Roman" w:hAnsi="Times New Roman"/>
          <w:sz w:val="18"/>
          <w:szCs w:val="18"/>
          <w:color w:val="auto"/>
        </w:rPr>
        <w:t>” means a rate of interest equal to 0.00%.</w:t>
      </w:r>
    </w:p>
    <w:p>
      <w:pPr>
        <w:spacing w:after="0" w:line="225" w:lineRule="exact"/>
        <w:rPr>
          <w:sz w:val="20"/>
          <w:szCs w:val="20"/>
          <w:color w:val="auto"/>
        </w:rPr>
      </w:pPr>
    </w:p>
    <w:p>
      <w:pPr>
        <w:ind w:right="2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Foreign Lender</w:t>
      </w:r>
      <w:r>
        <w:rPr>
          <w:rFonts w:ascii="Times New Roman" w:cs="Times New Roman" w:eastAsia="Times New Roman" w:hAnsi="Times New Roman"/>
          <w:sz w:val="18"/>
          <w:szCs w:val="18"/>
          <w:color w:val="auto"/>
        </w:rPr>
        <w:t>” means (a) if the Borrower is a U.S. Person, a Lender that is not a U.S. Person, and (b) if the Borrower is not a U.S. Person, a Lender that is resident or organized under the laws of a jurisdiction other than that in which the Borrower is resident for tax purposes.</w:t>
      </w:r>
    </w:p>
    <w:p>
      <w:pPr>
        <w:spacing w:after="0" w:line="155" w:lineRule="exact"/>
        <w:rPr>
          <w:sz w:val="20"/>
          <w:szCs w:val="20"/>
          <w:color w:val="auto"/>
        </w:rPr>
      </w:pPr>
    </w:p>
    <w:p>
      <w:pPr>
        <w:ind w:right="2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Franchise Agreement</w:t>
      </w:r>
      <w:r>
        <w:rPr>
          <w:rFonts w:ascii="Times New Roman" w:cs="Times New Roman" w:eastAsia="Times New Roman" w:hAnsi="Times New Roman"/>
          <w:sz w:val="18"/>
          <w:szCs w:val="18"/>
          <w:color w:val="auto"/>
        </w:rPr>
        <w:t>” means an agreement permitting the use of the applicable hotel brand name, hotel system trademarks, trade names and any related rights in connection with the ownership or operation of a Property.</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FRB</w:t>
      </w:r>
      <w:r>
        <w:rPr>
          <w:rFonts w:ascii="Times New Roman" w:cs="Times New Roman" w:eastAsia="Times New Roman" w:hAnsi="Times New Roman"/>
          <w:sz w:val="18"/>
          <w:szCs w:val="18"/>
          <w:color w:val="auto"/>
        </w:rPr>
        <w:t>” means the Board of Governors of the Federal Reserve System of the United States.</w:t>
      </w:r>
    </w:p>
    <w:p>
      <w:pPr>
        <w:spacing w:after="0" w:line="225" w:lineRule="exact"/>
        <w:rPr>
          <w:sz w:val="20"/>
          <w:szCs w:val="20"/>
          <w:color w:val="auto"/>
        </w:rPr>
      </w:pPr>
    </w:p>
    <w:p>
      <w:pPr>
        <w:ind w:right="12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Fronting Exposure</w:t>
      </w:r>
      <w:r>
        <w:rPr>
          <w:rFonts w:ascii="Times New Roman" w:cs="Times New Roman" w:eastAsia="Times New Roman" w:hAnsi="Times New Roman"/>
          <w:sz w:val="18"/>
          <w:szCs w:val="18"/>
          <w:color w:val="auto"/>
        </w:rPr>
        <w:t>” means, at any time there is a Defaulting Lender, (a) with respect to the Issuing Bank, such Defaulting Lender’s Revolving Commitment Percentage of the outstanding Letter of Credit Liabilities other than Letter of Credit Liabilities as to which such Defaulting Lender’s participation obligation has been reallocated to other Lenders or Cash Collateralized in accordance with the terms hereof, and (b) with respect to the Swingline Lender, such Defaulting Lender’s Revolving Commitment Percentage of outstanding Swingline Loans other than Swingline Loans as to which such Defaulting Lender’s participation obligation has been reallocated to other Lenders.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- 16 -</w:t>
      </w:r>
    </w:p>
    <w:p>
      <w:pPr>
        <w:sectPr>
          <w:pgSz w:w="11900" w:h="16838" w:orient="portrait"/>
          <w:cols w:equalWidth="0" w:num="1">
            <w:col w:w="10980"/>
          </w:cols>
          <w:pgMar w:left="440" w:top="266" w:right="479" w:bottom="1440" w:gutter="0" w:footer="0" w:header="0"/>
        </w:sectPr>
      </w:pPr>
    </w:p>
    <w:bookmarkStart w:id="26" w:name="page27"/>
    <w:bookmarkEnd w:id="26"/>
    <w:p>
      <w:pPr>
        <w:ind w:right="42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Fund</w:t>
      </w:r>
      <w:r>
        <w:rPr>
          <w:rFonts w:ascii="Times New Roman" w:cs="Times New Roman" w:eastAsia="Times New Roman" w:hAnsi="Times New Roman"/>
          <w:sz w:val="18"/>
          <w:szCs w:val="18"/>
          <w:color w:val="auto"/>
        </w:rPr>
        <w:t>” means any Person (other than a natural person) that is (or will be) engaged in making, purchasing, holding or otherwise investing in commercial loans and similar extensions of credit in the ordinary course of its business.</w:t>
      </w:r>
    </w:p>
    <w:p>
      <w:pPr>
        <w:spacing w:after="0" w:line="155" w:lineRule="exact"/>
        <w:rPr>
          <w:sz w:val="20"/>
          <w:szCs w:val="20"/>
          <w:color w:val="auto"/>
        </w:rPr>
      </w:pPr>
    </w:p>
    <w:p>
      <w:pPr>
        <w:ind w:right="20" w:firstLine="440"/>
        <w:spacing w:after="0" w:line="27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Funds From Operations</w:t>
      </w:r>
      <w:r>
        <w:rPr>
          <w:rFonts w:ascii="Times New Roman" w:cs="Times New Roman" w:eastAsia="Times New Roman" w:hAnsi="Times New Roman"/>
          <w:sz w:val="17"/>
          <w:szCs w:val="17"/>
          <w:color w:val="auto"/>
        </w:rPr>
        <w:t>” means, with respect to a Person and for a given period, (a) net income (loss) of such Person, excluding gains (or losses) from debt restructuring and sales of property, plus (b) depreciation with respect to such Person’s real estate assets and amortization (other than amortization of deferred financing costs), and after adjustments for unconsolidated partnerships and joint ventures. Adjustments for unconsolidated partnership and joint ventures will be calculated to reflect funds from operations on the same basis. For purposes of this Agreement, Funds From Operations shall be calculated consistent with the Funds from Operations White Paper – 2018 Restatement issued by National Association of Real Estate Investment Trusts, Inc., but without giving effect to any supplements, amendments or other modifications promulgated after the Agreement Date.</w:t>
      </w:r>
    </w:p>
    <w:p>
      <w:pPr>
        <w:spacing w:after="0" w:line="168"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means generally accepted accounting principles in the United States of America set forth in the opinions and pronouncements of the Accounting Principles Board of the American Institute of Certified Public Accountants and statements and pronouncements of the Financial Accounting Standards Board (including Statement of Financial Accounting Standards No. 168, “The FASB Accounting Standards Codification”) or in such other statements by such other entity as may be approved by a significant segment of the accounting profession in the United States of America, which are applicable to the circumstances as of the date of determination.</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General Partner</w:t>
      </w:r>
      <w:r>
        <w:rPr>
          <w:rFonts w:ascii="Times New Roman" w:cs="Times New Roman" w:eastAsia="Times New Roman" w:hAnsi="Times New Roman"/>
          <w:sz w:val="18"/>
          <w:szCs w:val="18"/>
          <w:color w:val="auto"/>
        </w:rPr>
        <w:t>” means Federal Realty GP LLC, a limited liability company formed under the laws of the State of Delaware.</w:t>
      </w:r>
    </w:p>
    <w:p>
      <w:pPr>
        <w:spacing w:after="0" w:line="225" w:lineRule="exact"/>
        <w:rPr>
          <w:sz w:val="20"/>
          <w:szCs w:val="20"/>
          <w:color w:val="auto"/>
        </w:rPr>
      </w:pPr>
    </w:p>
    <w:p>
      <w:pPr>
        <w:ind w:right="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Approvals</w:t>
      </w:r>
      <w:r>
        <w:rPr>
          <w:rFonts w:ascii="Times New Roman" w:cs="Times New Roman" w:eastAsia="Times New Roman" w:hAnsi="Times New Roman"/>
          <w:sz w:val="18"/>
          <w:szCs w:val="18"/>
          <w:color w:val="auto"/>
        </w:rPr>
        <w:t>” means all authorizations, consents, approvals, licenses and exemptions of, registrations and filings with, and reports to, all Governmental Authorities.</w:t>
      </w:r>
    </w:p>
    <w:p>
      <w:pPr>
        <w:spacing w:after="0" w:line="15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means any national, state or local government (whether domestic or foreign), any political subdivision thereof or any other governmental, quasi-governmental, judicial, administrative, public or statutory instrumentality, authority, body, agency, bureau, commission, board, department or other entity (including, without limitation, the Federal Deposit Insurance Corporation, the Comptroller of the Currency or the Federal Reserve Board, any central bank or any comparable authority) or any arbitrator with authority to bind a party at law and any group or body charged with setting financial, accounting, or regulatory capital rules or standards (including, without limitation, the Financial Accounting Standards Board, the Bank for International Settlements, or the Basel Committee on Banking Supervision or similar authority to any of the foregoing).</w:t>
      </w:r>
    </w:p>
    <w:p>
      <w:pPr>
        <w:spacing w:after="0" w:line="182"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Ground Lease</w:t>
      </w:r>
      <w:r>
        <w:rPr>
          <w:rFonts w:ascii="Times New Roman" w:cs="Times New Roman" w:eastAsia="Times New Roman" w:hAnsi="Times New Roman"/>
          <w:sz w:val="18"/>
          <w:szCs w:val="18"/>
          <w:color w:val="auto"/>
        </w:rPr>
        <w:t>” means a ground lease or master lease containing the following terms and conditions: (a) a remaining term (exclusive of any unexercised extension options) of thirty (30) years or more from the Agreement Date; (b) the right of the lessee to mortgage and encumber its interest in the leased property without the consent of the lessor; (c) the obligation of the lessor to give the holder of any mortgage Lien on such leased property written notice of any defaults on the part of the lessee and agreement of such lessor that such lease will not be terminated until such holder has had a reasonable opportunity to cure or complete foreclosures, and fails to do so; (d) reasonable transferability of the lessee’s interest under such lease, including ability to sublease; and (e) such other rights customarily required by mortgagees making a loan secured by the interest of the holder of the leasehold estate demised pursuant to a ground lease or master lease.</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- 17 -</w:t>
      </w:r>
    </w:p>
    <w:p>
      <w:pPr>
        <w:sectPr>
          <w:pgSz w:w="11900" w:h="16838" w:orient="portrait"/>
          <w:cols w:equalWidth="0" w:num="1">
            <w:col w:w="10960"/>
          </w:cols>
          <w:pgMar w:left="440" w:top="266" w:right="499" w:bottom="1440" w:gutter="0" w:footer="0" w:header="0"/>
        </w:sectPr>
      </w:pPr>
    </w:p>
    <w:bookmarkStart w:id="27" w:name="page28"/>
    <w:bookmarkEnd w:id="27"/>
    <w:p>
      <w:pPr>
        <w:ind w:left="4" w:right="460" w:firstLine="440"/>
        <w:spacing w:after="0" w:line="31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7"/>
          <w:szCs w:val="17"/>
          <w:b w:val="1"/>
          <w:bCs w:val="1"/>
          <w:color w:val="auto"/>
        </w:rPr>
        <w:t>Guarantor</w:t>
      </w:r>
      <w:r>
        <w:rPr>
          <w:rFonts w:ascii="Times New Roman" w:cs="Times New Roman" w:eastAsia="Times New Roman" w:hAnsi="Times New Roman"/>
          <w:sz w:val="17"/>
          <w:szCs w:val="17"/>
          <w:color w:val="auto"/>
        </w:rPr>
        <w:t>” means any Person that guarantees all or a portion of the Obligations including, at all times after delivery of the Parent/General Partner Guaranty (if ever), the Parent and, at all times after delivery of the Parent/General Partner Guaranty (if ever), the General Partner.</w:t>
      </w:r>
    </w:p>
    <w:p>
      <w:pPr>
        <w:spacing w:after="0" w:line="132" w:lineRule="exact"/>
        <w:rPr>
          <w:sz w:val="20"/>
          <w:szCs w:val="20"/>
          <w:color w:val="auto"/>
        </w:rPr>
      </w:pPr>
    </w:p>
    <w:p>
      <w:pPr>
        <w:ind w:left="4" w:firstLine="440"/>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Guaranty</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Guaranteed</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Guarantying</w:t>
      </w:r>
      <w:r>
        <w:rPr>
          <w:rFonts w:ascii="Times New Roman" w:cs="Times New Roman" w:eastAsia="Times New Roman" w:hAnsi="Times New Roman"/>
          <w:sz w:val="17"/>
          <w:szCs w:val="17"/>
          <w:color w:val="auto"/>
        </w:rPr>
        <w:t>” or to “</w:t>
      </w:r>
      <w:r>
        <w:rPr>
          <w:rFonts w:ascii="Times New Roman" w:cs="Times New Roman" w:eastAsia="Times New Roman" w:hAnsi="Times New Roman"/>
          <w:sz w:val="17"/>
          <w:szCs w:val="17"/>
          <w:b w:val="1"/>
          <w:bCs w:val="1"/>
          <w:color w:val="auto"/>
        </w:rPr>
        <w:t>Guarantee</w:t>
      </w:r>
      <w:r>
        <w:rPr>
          <w:rFonts w:ascii="Times New Roman" w:cs="Times New Roman" w:eastAsia="Times New Roman" w:hAnsi="Times New Roman"/>
          <w:sz w:val="17"/>
          <w:szCs w:val="17"/>
          <w:color w:val="auto"/>
        </w:rPr>
        <w:t>” as applied to any obligation means and includes: (a) a guaranty (other than by endorsement of negotiable instruments for collection or deposit in the ordinary course of business), directly or indirectly, in any manner, of any part or all of such obligation, or (b) an agreement, direct or indirect, contingent or otherwise, and whether or not constituting a guaranty, the practical effect of which is to assure the payment or performance (or payment of damages in the event of nonperformance) of any part or all of such obligation whether by:</w:t>
      </w:r>
    </w:p>
    <w:p>
      <w:pPr>
        <w:ind w:left="4" w:right="40" w:hanging="4"/>
        <w:spacing w:after="0" w:line="251" w:lineRule="auto"/>
        <w:tabs>
          <w:tab w:leader="none" w:pos="21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of securities or obligations, (ii) the purchase, sale or lease (as lessee or lessor) of property or the purchase or sale of services primarily for the purpose of enabling the obligor with respect to such obligation to make any payment or performance (or payment of damages in the event of nonperformance) of or on account of any part or all of such obligation, or to assure the owner of such obligation against loss, (iii) the supplying of funds to or in any other manner investing in the obligor with respect to such obligation, (iv) repayment of amounts drawn down by beneficiaries of letters of credit (including Letters of Credit), or (v) the supplying of funds to or investing in a Person on account of all or any part of such Person’s obligation under a Guaranty of any obligation or indemnifying or holding harmless, in any way, such Person against any part or all of such obligation. As the context requires, “Guaranty” shall also mean the amended and restated guaranty executed and delivered pursuant to Section 5.1. or 7.14. and substantially in the form of Exhibit D.</w:t>
      </w:r>
    </w:p>
    <w:p>
      <w:pPr>
        <w:spacing w:after="0" w:line="190" w:lineRule="exact"/>
        <w:rPr>
          <w:sz w:val="20"/>
          <w:szCs w:val="20"/>
          <w:color w:val="auto"/>
        </w:rPr>
      </w:pPr>
    </w:p>
    <w:p>
      <w:pPr>
        <w:ind w:left="4" w:right="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Hazardous Materials</w:t>
      </w:r>
      <w:r>
        <w:rPr>
          <w:rFonts w:ascii="Times New Roman" w:cs="Times New Roman" w:eastAsia="Times New Roman" w:hAnsi="Times New Roman"/>
          <w:sz w:val="18"/>
          <w:szCs w:val="18"/>
          <w:color w:val="auto"/>
        </w:rPr>
        <w:t>” means all or any of the following: (a) substances that are defined or listed in, or otherwise classified pursuant to, any applicable Environmental Laws as “hazardous substances”, “hazardous materials”, “hazardous wastes”, “toxic substances” or any other formulation intended to define, list or classify substances by reason of deleterious properties such as ignitability, corrosivity, reactivity, carcinogenicity, reproductive toxicity, “TCLP” toxicity, or “EP toxicity”; (b) oil, petroleum or petroleum derived substances, natural gas, natural gas liquids or synthetic gas and drilling fluids, produced waters and other wastes associated with the exploration, development or production of crude oil, natural gas or geothermal resources; (c) any flammable substances or explosives or any radioactive materials; (d) asbestos in any form; (e) toxic mold; and (f) electrical equipment which contains any oil or dielectric fluid containing levels of polychlorinated biphenyls in excess of fifty parts per million.</w:t>
      </w:r>
    </w:p>
    <w:p>
      <w:pPr>
        <w:spacing w:after="0" w:line="183" w:lineRule="exact"/>
        <w:rPr>
          <w:sz w:val="20"/>
          <w:szCs w:val="20"/>
          <w:color w:val="auto"/>
        </w:rPr>
      </w:pPr>
    </w:p>
    <w:p>
      <w:pPr>
        <w:ind w:left="4" w:right="3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Hotel Property</w:t>
      </w:r>
      <w:r>
        <w:rPr>
          <w:rFonts w:ascii="Times New Roman" w:cs="Times New Roman" w:eastAsia="Times New Roman" w:hAnsi="Times New Roman"/>
          <w:sz w:val="18"/>
          <w:szCs w:val="18"/>
          <w:color w:val="auto"/>
        </w:rPr>
        <w:t>” means any Property, the improvements on which are operated as a hotel, inn or the providing of lodging or leisure services, together with any incidental improvements on such Property operated in connection with such hotel, inn, lodging or leisure facility.</w:t>
      </w:r>
    </w:p>
    <w:p>
      <w:pPr>
        <w:spacing w:after="0" w:line="155" w:lineRule="exact"/>
        <w:rPr>
          <w:sz w:val="20"/>
          <w:szCs w:val="20"/>
          <w:color w:val="auto"/>
        </w:rPr>
      </w:pPr>
    </w:p>
    <w:p>
      <w:pPr>
        <w:ind w:left="4" w:right="6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Indebtedness</w:t>
      </w:r>
      <w:r>
        <w:rPr>
          <w:rFonts w:ascii="Times New Roman" w:cs="Times New Roman" w:eastAsia="Times New Roman" w:hAnsi="Times New Roman"/>
          <w:sz w:val="18"/>
          <w:szCs w:val="18"/>
          <w:color w:val="auto"/>
        </w:rPr>
        <w:t>” means, with respect to a Person, at the time of computation thereof, all of the following (without duplication): (a) all obligations of such Person in respect of money borrowed; (b) all obligations of such Person (other than trade debt incurred in the ordinary course of business), whether or not for money borrowed (i) represented by notes payable, or drafts accepted, in each case representing extensions of credit, (ii) evidenced by bonds, debentures, notes or similar instruments, or (iii) constituting purchase money indebtedness, conditional sales contracts, title retention debt instruments or other similar instruments, upon which interest charges are customarily paid or that are issued or assumed as full or partial payment for property or services rendered; (c) accounts payable and dividends payable; (d) Capitalized Lease Obligations of such Person (including ground leases to the extent required under GAAP (subject to the provisions of Section 1.2. hereof) to be reported as a liability) and any sale leaseback transactions or other transaction by which such Person shall remain liable as lessee (or the economic equivalent thereof) of any real or personal property that it has sold or leased to another Person; (e) all reimbursement obligations of such Person under any letters of credit or acceptances (whether or not the same have been presented for payment); (f) all Off-Balance Sheet Obligations of such Person; (g) all obligations of such Person to</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- 18 -</w:t>
      </w:r>
    </w:p>
    <w:p>
      <w:pPr>
        <w:sectPr>
          <w:pgSz w:w="11900" w:h="16838" w:orient="portrait"/>
          <w:cols w:equalWidth="0" w:num="1">
            <w:col w:w="11004"/>
          </w:cols>
          <w:pgMar w:left="436" w:top="266" w:right="459" w:bottom="1440" w:gutter="0" w:footer="0" w:header="0"/>
        </w:sectPr>
      </w:pPr>
    </w:p>
    <w:bookmarkStart w:id="28" w:name="page29"/>
    <w:bookmarkEnd w:id="28"/>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purchase, redeem, retire, defease or otherwise make any payment in respect of any Mandatorily Redeemable Stock issued by such Person or any other Person, valued at the greater of its voluntary or involuntary liquidation preference plus accrued and unpaid dividends; (h) all obligations of such Person in respect of any purchase obligation, repurchase obligation, takeout commitment or forward equity commitment, in each case evidenced by a binding agreement (excluding any such obligation to the extent the obligation can be satisfied by the issuance of Equity Interests (other than Mandatorily Redeemable Stock)); (i) net obligations under any Derivatives Contract not entered into as a hedge against existing Indebtedness (which shall be deemed to have an amount equal to the Derivatives Termination Value thereof at such time but in no event shall be less than zero); (j) all Indebtedness of other Persons which such Person has guaranteed or is otherwise recourse to such Person (except for guaranties of customary exceptions for fraud, misapplication of funds, environmental indemnities and other similar exceptions to recourse liability (but not exceptions relating to bankruptcy, insolvency, receivership or other similar events)); (k) all Indebtedness of another Person secured by (or for which the holder of such Indebtedness has an existing right, contingent or otherwise, to be secured by) any Lien on property or assets owned by such Person, even though such Person has not assumed or become liable for the payment of such Indebtedness or other payment obligation; and (l) such Person’s Ownership Share of the Indebtedness of any Unconsolidated Affiliate of such Person. By way of example only and not in limitation of the preceding sentence, Indebtedness of any Person shall include Indebtedness of any partnership or joint venture in which such Person is a general partner or joint venturer to the extent of such Person’s Ownership Share of such partnership or joint venture (except if such Indebtedness, or any portion thereof, is recourse to such Person, in which case the greater of such Person’s Ownership Share of such Indebtedness or the amount of the recourse portion of the Indebtedness, shall be included as Indebtedness of such Person). All Loans and Letter of Credit Liabilities shall constitute Indebtedness of the Borrower.</w:t>
      </w:r>
    </w:p>
    <w:p>
      <w:pPr>
        <w:spacing w:after="0" w:line="191" w:lineRule="exact"/>
        <w:rPr>
          <w:sz w:val="20"/>
          <w:szCs w:val="20"/>
          <w:color w:val="auto"/>
        </w:rPr>
      </w:pPr>
    </w:p>
    <w:p>
      <w:pPr>
        <w:ind w:right="4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Indemnified Taxes</w:t>
      </w:r>
      <w:r>
        <w:rPr>
          <w:rFonts w:ascii="Times New Roman" w:cs="Times New Roman" w:eastAsia="Times New Roman" w:hAnsi="Times New Roman"/>
          <w:sz w:val="18"/>
          <w:szCs w:val="18"/>
          <w:color w:val="auto"/>
        </w:rPr>
        <w:t>” means (a) Taxes, other than Excluded Taxes, imposed on or with respect to any payment made by or on account of any obligation of the Borrower or any other Loan Party under any Loan Document and (b) to the extent not otherwise described in the immediately preceding clause (a), Other Taxes.</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has the meaning given that term in Section 6.1.(s).</w:t>
      </w:r>
    </w:p>
    <w:p>
      <w:pPr>
        <w:spacing w:after="0" w:line="225"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Expense</w:t>
      </w:r>
      <w:r>
        <w:rPr>
          <w:rFonts w:ascii="Times New Roman" w:cs="Times New Roman" w:eastAsia="Times New Roman" w:hAnsi="Times New Roman"/>
          <w:sz w:val="18"/>
          <w:szCs w:val="18"/>
          <w:color w:val="auto"/>
        </w:rPr>
        <w:t>” means, for any period, without duplication, (a) total interest expense of the Borrower and its Subsidiaries determined on a consolidated basis in accordance with GAAP for such period, including capitalized interest not funded under a construction loan on a consolidated basis, plus (b) the Borrower’s Ownership Share of total interest expense of Unconsolidated Affiliates determined in accordance with GAAP for such period, including capitalized interest not funded under a construction loan.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Period</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ind w:right="20" w:firstLine="436"/>
        <w:spacing w:after="0" w:line="254" w:lineRule="auto"/>
        <w:tabs>
          <w:tab w:leader="none" w:pos="68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Term SOFR Loan, each period commencing on the date such Term SOFR Loan is made, or in the case of the Continuation of a Term SOFR Loan the last day of the preceding Interest Period for such Loan, and ending on the numerically corresponding day in the first, third or sixth calendar month thereafter, as the Borrower may select in a Notice of Borrowing, Notice of Continuation or Notice of Conversion, as the case may be, except that each Interest Period that commences on the last Business Day of a calendar month (or on any day for which there is no numerically corresponding day in the appropriate subsequent calendar month) shall end on the last Business Day of the appropriate subsequent calendar month. Notwithstanding the foregoing, each Interest Period that would otherwise end on a day which is not a Business Day shall end on the immediately following Business Day (or, if such immediately following Business Day falls in the next calendar month, on the immediately preceding Business Day); and</w:t>
      </w:r>
    </w:p>
    <w:p>
      <w:pPr>
        <w:spacing w:after="0" w:line="83" w:lineRule="exact"/>
        <w:rPr>
          <w:rFonts w:ascii="Times New Roman" w:cs="Times New Roman" w:eastAsia="Times New Roman" w:hAnsi="Times New Roman"/>
          <w:sz w:val="18"/>
          <w:szCs w:val="18"/>
          <w:color w:val="auto"/>
        </w:rPr>
      </w:pPr>
    </w:p>
    <w:p>
      <w:pPr>
        <w:ind w:right="100" w:firstLine="436"/>
        <w:spacing w:after="0" w:line="282" w:lineRule="auto"/>
        <w:tabs>
          <w:tab w:leader="none" w:pos="6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Bid Rate Loan, the period commencing on the date such Bid Rate Loan is made and ending on any Business Day not less than 7 nor more than 180 days thereafter, as the Borrower may select as provided in Section 2.2.(b).</w:t>
      </w:r>
    </w:p>
    <w:p>
      <w:pPr>
        <w:spacing w:after="0" w:line="94"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19 -</w:t>
      </w:r>
    </w:p>
    <w:p>
      <w:pPr>
        <w:sectPr>
          <w:pgSz w:w="11900" w:h="16838" w:orient="portrait"/>
          <w:cols w:equalWidth="0" w:num="1">
            <w:col w:w="11000"/>
          </w:cols>
          <w:pgMar w:left="440" w:top="270" w:right="459" w:bottom="1440" w:gutter="0" w:footer="0" w:header="0"/>
        </w:sectPr>
      </w:pPr>
    </w:p>
    <w:bookmarkStart w:id="29" w:name="page30"/>
    <w:bookmarkEnd w:id="29"/>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the foregoing: (i) if any Interest Period would otherwise end after the Revolving Termination Date, such Interest Period shall end on the Revolving Termination Date; (ii) each Interest Period that would otherwise end on a day which is not a Business Day shall end on the immediately following Business Day (or, if such immediately following Business Day falls in the next calendar month, on the immediately preceding Business Day); and (iii) no tenor that has been removed from this definition pursuant to this Agreement shall be available for specification in any Notice of Borrowing, Notice of Continuation or Notice of Conversion.</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Internal Revenue Code</w:t>
      </w:r>
      <w:r>
        <w:rPr>
          <w:rFonts w:ascii="Times New Roman" w:cs="Times New Roman" w:eastAsia="Times New Roman" w:hAnsi="Times New Roman"/>
          <w:sz w:val="18"/>
          <w:szCs w:val="18"/>
          <w:color w:val="auto"/>
        </w:rPr>
        <w:t>” means the Internal Revenue Code of 1986, as amended.</w:t>
      </w:r>
    </w:p>
    <w:p>
      <w:pPr>
        <w:spacing w:after="0" w:line="225" w:lineRule="exact"/>
        <w:rPr>
          <w:sz w:val="20"/>
          <w:szCs w:val="20"/>
          <w:color w:val="auto"/>
        </w:rPr>
      </w:pPr>
    </w:p>
    <w:p>
      <w:pPr>
        <w:ind w:right="10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Investment</w:t>
      </w:r>
      <w:r>
        <w:rPr>
          <w:rFonts w:ascii="Times New Roman" w:cs="Times New Roman" w:eastAsia="Times New Roman" w:hAnsi="Times New Roman"/>
          <w:sz w:val="18"/>
          <w:szCs w:val="18"/>
          <w:color w:val="auto"/>
        </w:rPr>
        <w:t>” means, (x) with respect to any Person, any acquisition or investment (whether or not of a controlling interest) by such Person, by means of any of the following: (a) the purchase or other acquisition of any Equity Interest in another Person, (b) a loan, advance or extension of credit to, capital contribution to, Guaranty of Indebtedness of, or purchase or other acquisition of any Indebtedness of, another Person, including any partnership or joint venture interest in such other Person, or (c) the purchase or other acquisition (in one transaction or a series of transactions) of assets of another Person that constitute the business or a division or operating unit of another Person and (y) with respect to any Property or other asset, the acquisition thereof. Any binding commitment to make an Investment in any other Person, as well as any option of another Person to require an Investment in such Person, shall constitute an Investment. Except as expressly provided otherwise, for purposes of determining compliance with any covenant contained in a Loan Document, the amount of any Investment shall be the amount actually invested, without adjustment for subsequent increases or decreases in the value of such Investment.</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Investment Grade Rating</w:t>
      </w:r>
      <w:r>
        <w:rPr>
          <w:rFonts w:ascii="Times New Roman" w:cs="Times New Roman" w:eastAsia="Times New Roman" w:hAnsi="Times New Roman"/>
          <w:sz w:val="18"/>
          <w:szCs w:val="18"/>
          <w:color w:val="auto"/>
        </w:rPr>
        <w:t>” means a Credit Rating of BBB-/Baa3 (or the equivalent) or higher from a Rating Agency.</w:t>
      </w:r>
    </w:p>
    <w:p>
      <w:pPr>
        <w:spacing w:after="0" w:line="225" w:lineRule="exact"/>
        <w:rPr>
          <w:sz w:val="20"/>
          <w:szCs w:val="20"/>
          <w:color w:val="auto"/>
        </w:rPr>
      </w:pPr>
    </w:p>
    <w:p>
      <w:pPr>
        <w:ind w:right="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Issuing Bank</w:t>
      </w:r>
      <w:r>
        <w:rPr>
          <w:rFonts w:ascii="Times New Roman" w:cs="Times New Roman" w:eastAsia="Times New Roman" w:hAnsi="Times New Roman"/>
          <w:sz w:val="18"/>
          <w:szCs w:val="18"/>
          <w:color w:val="auto"/>
        </w:rPr>
        <w:t>” means each of Wells Fargo and PNC Bank, National Association, in its capacity as an issuer of Letters of Credit pursuant to Section 2.3. Any reference to “the Issuing Bank” herein shall be deemed to refer to each Issuing Bank, any Issuing Bank, the applicable Issuing Bank or all Issuing Banks, as the context may require.</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KPI</w:t>
      </w:r>
      <w:r>
        <w:rPr>
          <w:rFonts w:ascii="Times New Roman" w:cs="Times New Roman" w:eastAsia="Times New Roman" w:hAnsi="Times New Roman"/>
          <w:sz w:val="18"/>
          <w:szCs w:val="18"/>
          <w:color w:val="auto"/>
        </w:rPr>
        <w:t>” has the meaning assigned thereto in Section 12.25(a).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L/C Disbursement</w:t>
      </w:r>
      <w:r>
        <w:rPr>
          <w:rFonts w:ascii="Times New Roman" w:cs="Times New Roman" w:eastAsia="Times New Roman" w:hAnsi="Times New Roman"/>
          <w:sz w:val="18"/>
          <w:szCs w:val="18"/>
          <w:color w:val="auto"/>
        </w:rPr>
        <w:t>” has the meaning given to that term in Section 3.9.(b).</w:t>
      </w:r>
    </w:p>
    <w:p>
      <w:pPr>
        <w:spacing w:after="0" w:line="225" w:lineRule="exact"/>
        <w:rPr>
          <w:sz w:val="20"/>
          <w:szCs w:val="20"/>
          <w:color w:val="auto"/>
        </w:rPr>
      </w:pPr>
    </w:p>
    <w:p>
      <w:pPr>
        <w:ind w:right="14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 means each financial institution from time to time party hereto as a “Lender” or a “Designated Lender,” together with its respective successors and permitted assigns, and, as the context requires, includes the Swingline Lender; provided, however, that the term “Lender” (i) shall exclude each Designated Lender when used in reference to any Loan other than a Bid Rate Loan, the Commitments or terms relating to any Loan other than a Bid Rate Loan and shall further exclude each Designated Lender for all other purposes under the Loan Documents except that any Designated Lender which funds a Bid Rate Loan shall, subject to Section 12.6.(d), have only the rights (including the rights given to a Lender contained in Sections 12.2. and 12.10.) and obligations of a Lender associated with holding such Bid Rate Loan and (ii) except as otherwise expressly provided herein, shall exclude any Lender (or its Affiliates) in its capacity as a Specified Derivatives Provider.</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- 20 -</w:t>
      </w:r>
    </w:p>
    <w:p>
      <w:pPr>
        <w:sectPr>
          <w:pgSz w:w="11900" w:h="16838" w:orient="portrait"/>
          <w:cols w:equalWidth="0" w:num="1">
            <w:col w:w="11000"/>
          </w:cols>
          <w:pgMar w:left="440" w:top="270" w:right="459" w:bottom="1440" w:gutter="0" w:footer="0" w:header="0"/>
        </w:sectPr>
      </w:pPr>
    </w:p>
    <w:bookmarkStart w:id="30" w:name="page31"/>
    <w:bookmarkEnd w:id="30"/>
    <w:p>
      <w:pPr>
        <w:ind w:firstLine="4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Lending Office</w:t>
      </w:r>
      <w:r>
        <w:rPr>
          <w:rFonts w:ascii="Times New Roman" w:cs="Times New Roman" w:eastAsia="Times New Roman" w:hAnsi="Times New Roman"/>
          <w:sz w:val="18"/>
          <w:szCs w:val="18"/>
          <w:color w:val="auto"/>
        </w:rPr>
        <w:t>” means, for each Lender and for each Type of Loan, the office of such Lender specified in such Lender’s Administrative Questionnaire or in the applicable Assignment and Assumption, or such other office of such Lender as such Lender may notify the Administrative Agent in writing from time to time.</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Letter of Credit</w:t>
      </w:r>
      <w:r>
        <w:rPr>
          <w:rFonts w:ascii="Times New Roman" w:cs="Times New Roman" w:eastAsia="Times New Roman" w:hAnsi="Times New Roman"/>
          <w:sz w:val="18"/>
          <w:szCs w:val="18"/>
          <w:color w:val="auto"/>
        </w:rPr>
        <w:t>” has the meaning given that term in Section 2.3.(a).</w:t>
      </w:r>
    </w:p>
    <w:p>
      <w:pPr>
        <w:spacing w:after="0" w:line="225" w:lineRule="exact"/>
        <w:rPr>
          <w:sz w:val="20"/>
          <w:szCs w:val="20"/>
          <w:color w:val="auto"/>
        </w:rPr>
      </w:pPr>
    </w:p>
    <w:p>
      <w:pPr>
        <w:ind w:right="8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Letter of Credit Collateral Account</w:t>
      </w:r>
      <w:r>
        <w:rPr>
          <w:rFonts w:ascii="Times New Roman" w:cs="Times New Roman" w:eastAsia="Times New Roman" w:hAnsi="Times New Roman"/>
          <w:sz w:val="18"/>
          <w:szCs w:val="18"/>
          <w:color w:val="auto"/>
        </w:rPr>
        <w:t>” means a special deposit account maintained by the Administrative Agent, for the benefit of the Administrative Agent, the Issuing Bank and the Lenders, and under its sole dominion and control.</w:t>
      </w:r>
    </w:p>
    <w:p>
      <w:pPr>
        <w:spacing w:after="0" w:line="155"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Letter of Credit Documents</w:t>
      </w:r>
      <w:r>
        <w:rPr>
          <w:rFonts w:ascii="Times New Roman" w:cs="Times New Roman" w:eastAsia="Times New Roman" w:hAnsi="Times New Roman"/>
          <w:sz w:val="18"/>
          <w:szCs w:val="18"/>
          <w:color w:val="auto"/>
        </w:rPr>
        <w:t>” means, with respect to any Letter of Credit, collectively, any application therefor, any certificate or other document presented in connection with a drawing under such Letter of Credit and any other agreement, instrument or other document governing or providing for (a) the rights and obligations of the parties concerned or at risk with respect to such Letter of Credit or (b) any collateral security for any of such obligations.</w:t>
      </w:r>
    </w:p>
    <w:p>
      <w:pPr>
        <w:spacing w:after="0" w:line="176"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Letter of Credit Liabilities</w:t>
      </w:r>
      <w:r>
        <w:rPr>
          <w:rFonts w:ascii="Times New Roman" w:cs="Times New Roman" w:eastAsia="Times New Roman" w:hAnsi="Times New Roman"/>
          <w:sz w:val="18"/>
          <w:szCs w:val="18"/>
          <w:color w:val="auto"/>
        </w:rPr>
        <w:t>” means, without duplication, at any time and in respect of any Letter of Credit, the sum of (a) the Stated Amount of such Letter of Credit plus (b) the aggregate unpaid principal amount of all Reimbursement Obligations of the Borrower at such time due and payable in respect of all drawings made under such Letter of Credit. For purposes of this Agreement, a Lender (other than the Lender then acting as Issuing Bank) shall be deemed to hold a Letter of Credit Liability in an amount equal to its participation interest under Section 2.3. in the related Letter of Credit, and the Lender then acting as the Issuing Bank shall be deemed to hold a Letter of Credit Liability in an amount equal to its retained interest in the related Letter of Credit after giving effect to the acquisition by the Lenders (other than the Lender then acting as the Issuing Bank) of their participation interests under such Section.</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Level</w:t>
      </w:r>
      <w:r>
        <w:rPr>
          <w:rFonts w:ascii="Times New Roman" w:cs="Times New Roman" w:eastAsia="Times New Roman" w:hAnsi="Times New Roman"/>
          <w:sz w:val="18"/>
          <w:szCs w:val="18"/>
          <w:color w:val="auto"/>
        </w:rPr>
        <w:t>” has the meaning given that term in the definition of the term “Applicable Margin.”</w:t>
      </w:r>
    </w:p>
    <w:p>
      <w:pPr>
        <w:spacing w:after="0" w:line="225"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Lien</w:t>
      </w:r>
      <w:r>
        <w:rPr>
          <w:rFonts w:ascii="Times New Roman" w:cs="Times New Roman" w:eastAsia="Times New Roman" w:hAnsi="Times New Roman"/>
          <w:sz w:val="18"/>
          <w:szCs w:val="18"/>
          <w:color w:val="auto"/>
        </w:rPr>
        <w:t>” as applied to the property of any Person means: (a) any security interest, encumbrance, mortgage, deed to secure debt, deed of trust, assignment of leases and rents, pledge, lien, hypothecation, assignment, charge or lease constituting a Capitalized Lease Obligation, conditional sale or other title retention agreement, or other security title or encumbrance of any kind in respect of any property of such Person, or upon the income, rents or profits therefrom; (b) any arrangement, express or implied, under which any property of such Person is transferred, sequestered or otherwise identified for the purpose of subjecting the same to the payment of Indebtedness or performance of any other obligation in priority to the payment of the general, unsecured creditors of such Person; and (c) the filing of any financing statement under the UCC or its equivalent in any jurisdiction, other than any precautionary filing not otherwise constituting or giving rise to a Lien, including a financing statement filed (i) in respect of a lease not constituting a Capitalized Lease Obligation pursuant to Section 9-505 (or a successor provision) of the Uniform Commercial Code or its equivalent as in effect in an applicable jurisdiction or (ii) in connection with a sale or other disposition of accounts or other assets not prohibited by this Agreement in a transaction not otherwise constituting or giving rise to a Lien.</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w:t>
      </w:r>
      <w:r>
        <w:rPr>
          <w:rFonts w:ascii="Times New Roman" w:cs="Times New Roman" w:eastAsia="Times New Roman" w:hAnsi="Times New Roman"/>
          <w:sz w:val="18"/>
          <w:szCs w:val="18"/>
          <w:color w:val="auto"/>
        </w:rPr>
        <w:t>” means a Revolving Loan, a Bid Rate Loan or a Swingline Loan.</w:t>
      </w:r>
    </w:p>
    <w:p>
      <w:pPr>
        <w:spacing w:after="0" w:line="225" w:lineRule="exact"/>
        <w:rPr>
          <w:sz w:val="20"/>
          <w:szCs w:val="20"/>
          <w:color w:val="auto"/>
        </w:rPr>
      </w:pPr>
    </w:p>
    <w:p>
      <w:pPr>
        <w:ind w:right="1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 Document</w:t>
      </w:r>
      <w:r>
        <w:rPr>
          <w:rFonts w:ascii="Times New Roman" w:cs="Times New Roman" w:eastAsia="Times New Roman" w:hAnsi="Times New Roman"/>
          <w:sz w:val="18"/>
          <w:szCs w:val="18"/>
          <w:color w:val="auto"/>
        </w:rPr>
        <w:t>” means this Agreement, each Note, the Guaranty, each Letter of Credit Document and each other document or instrument now or hereafter executed and delivered by a Loan Party in connection with, pursuant to or relating to this Agreement (other than the Fee Letter and any Specified Derivatives Contract).</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- 21 -</w:t>
      </w:r>
    </w:p>
    <w:p>
      <w:pPr>
        <w:sectPr>
          <w:pgSz w:w="11900" w:h="16838" w:orient="portrait"/>
          <w:cols w:equalWidth="0" w:num="1">
            <w:col w:w="11000"/>
          </w:cols>
          <w:pgMar w:left="440" w:top="266" w:right="459" w:bottom="1440" w:gutter="0" w:footer="0" w:header="0"/>
        </w:sectPr>
      </w:pPr>
    </w:p>
    <w:bookmarkStart w:id="31" w:name="page32"/>
    <w:bookmarkEnd w:id="31"/>
    <w:p>
      <w:pPr>
        <w:ind w:left="4" w:right="24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Loan Party</w:t>
      </w:r>
      <w:r>
        <w:rPr>
          <w:rFonts w:ascii="Times New Roman" w:cs="Times New Roman" w:eastAsia="Times New Roman" w:hAnsi="Times New Roman"/>
          <w:sz w:val="18"/>
          <w:szCs w:val="18"/>
          <w:color w:val="auto"/>
        </w:rPr>
        <w:t>” means each of the Borrower, each other Person who guarantees all or a portion of the Obligations. Schedule 1.1.(a) sets forth the Loan Parties in addition to the Borrower as of the Agreement Date.</w:t>
      </w:r>
    </w:p>
    <w:p>
      <w:pPr>
        <w:spacing w:after="0" w:line="155" w:lineRule="exact"/>
        <w:rPr>
          <w:sz w:val="20"/>
          <w:szCs w:val="20"/>
          <w:color w:val="auto"/>
        </w:rPr>
      </w:pPr>
    </w:p>
    <w:p>
      <w:pPr>
        <w:ind w:left="4" w:right="9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Major Default</w:t>
      </w:r>
      <w:r>
        <w:rPr>
          <w:rFonts w:ascii="Times New Roman" w:cs="Times New Roman" w:eastAsia="Times New Roman" w:hAnsi="Times New Roman"/>
          <w:sz w:val="18"/>
          <w:szCs w:val="18"/>
          <w:color w:val="auto"/>
        </w:rPr>
        <w:t>” means a Default resulting from the occurrence of any of the events described in Section 10.1.(a), Section 10.1.(e) or Section 10.1.(f).</w:t>
      </w:r>
    </w:p>
    <w:p>
      <w:pPr>
        <w:spacing w:after="0" w:line="155" w:lineRule="exact"/>
        <w:rPr>
          <w:sz w:val="20"/>
          <w:szCs w:val="20"/>
          <w:color w:val="auto"/>
        </w:rPr>
      </w:pPr>
    </w:p>
    <w:p>
      <w:pPr>
        <w:ind w:left="4" w:firstLine="440"/>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Mandatorily Redeemable Stock</w:t>
      </w:r>
      <w:r>
        <w:rPr>
          <w:rFonts w:ascii="Times New Roman" w:cs="Times New Roman" w:eastAsia="Times New Roman" w:hAnsi="Times New Roman"/>
          <w:sz w:val="17"/>
          <w:szCs w:val="17"/>
          <w:color w:val="auto"/>
        </w:rPr>
        <w:t>” means, with respect to a Person, any Equity Interest of such Person which by the terms of such Equity Interest (or by the terms of any security into which it is convertible or for which it is exchangeable or exercisable), upon the happening of any event or otherwise</w:t>
      </w:r>
    </w:p>
    <w:p>
      <w:pPr>
        <w:spacing w:after="0" w:line="1" w:lineRule="exact"/>
        <w:rPr>
          <w:sz w:val="20"/>
          <w:szCs w:val="20"/>
          <w:color w:val="auto"/>
        </w:rPr>
      </w:pPr>
    </w:p>
    <w:p>
      <w:pPr>
        <w:ind w:left="4" w:hanging="4"/>
        <w:spacing w:after="0" w:line="251" w:lineRule="auto"/>
        <w:tabs>
          <w:tab w:leader="none" w:pos="24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matures or is mandatorily redeemable, pursuant to a sinking fund obligation or otherwise (other than an Equity Interest to the extent redeemable in exchange for common stock or other equivalent common Equity Interests), (b) is convertible into or exchangeable or exercisable for Indebtedness or Mandatorily Redeemable Stock, or (c) is redeemable at the option of the holder thereof, in whole or in part (other than an Equity Interest (including interests in the Borrower and in “downREIT” Subsidiaries of the Borrower) which is redeemable in exchange for common stock or other equivalent common Equity Interests without the payment of any cash or other consideration); in each case, on or prior to the Revolving Termination Date. For purposes of this definition, Equity Interests in any of the following Subsidiaries which the Borrower or any Subsidiary is obligated to acquire pursuant to currently existing agreements (as in effect on the April 20, 2016) with the holders of such Equity Interest shall not be considered to be Mandatorily Redeemable Stock: Congressional Plaza Associates, LLC; NVI-Avenue, LLC; Shrewsbury Commons LP; Route 35 Shrewsbury Limited Partnership; Sea Girt Limited Partnership; 35 West LLC; and Federal Realty Partners L.P.</w:t>
      </w:r>
    </w:p>
    <w:p>
      <w:pPr>
        <w:spacing w:after="0" w:line="189" w:lineRule="exact"/>
        <w:rPr>
          <w:sz w:val="20"/>
          <w:szCs w:val="20"/>
          <w:color w:val="auto"/>
        </w:rPr>
      </w:pPr>
    </w:p>
    <w:p>
      <w:pPr>
        <w:jc w:val="both"/>
        <w:ind w:left="4" w:right="1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Acquisition</w:t>
      </w:r>
      <w:r>
        <w:rPr>
          <w:rFonts w:ascii="Times New Roman" w:cs="Times New Roman" w:eastAsia="Times New Roman" w:hAnsi="Times New Roman"/>
          <w:sz w:val="18"/>
          <w:szCs w:val="18"/>
          <w:color w:val="auto"/>
        </w:rPr>
        <w:t>” means any acquisition by the Borrower or any Subsidiary in which the GAAP book value of the assets acquired exceed 10.0% of the consolidated total assets of the Borrower and its Subsidiaries determined under GAAP as of the last day of the most recently ending fiscal quarter of the Borrower for which financial statements are publicly available.</w:t>
      </w:r>
    </w:p>
    <w:p>
      <w:pPr>
        <w:spacing w:after="0" w:line="171" w:lineRule="exact"/>
        <w:rPr>
          <w:sz w:val="20"/>
          <w:szCs w:val="20"/>
          <w:color w:val="auto"/>
        </w:rPr>
      </w:pPr>
    </w:p>
    <w:p>
      <w:pPr>
        <w:jc w:val="both"/>
        <w:ind w:left="4" w:right="2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means a materially adverse effect on (a) the business, assets, liabilities, financial condition or results of operations of the Borrower and/or the Parent and their respective Subsidiaries taken as a whole, (b) the ability of the Borrower or any other Loan Party to perform its obligations under any Loan Document to which it is a party, (c) the validity or enforceability of any of the Loan Documents, (d) the rights and remedies of the Lenders, the Issuing Bank and the Administrative Agent under any of the Loan Documents or (e) the timely payment of the principal of or interest on the Loans or other amounts payable in connection therewith or the timely payment of all Reimbursement Obligations.</w:t>
      </w:r>
    </w:p>
    <w:p>
      <w:pPr>
        <w:spacing w:after="0" w:line="179" w:lineRule="exact"/>
        <w:rPr>
          <w:sz w:val="20"/>
          <w:szCs w:val="20"/>
          <w:color w:val="auto"/>
        </w:rPr>
      </w:pPr>
    </w:p>
    <w:p>
      <w:pPr>
        <w:jc w:val="both"/>
        <w:ind w:left="4" w:right="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Contract</w:t>
      </w:r>
      <w:r>
        <w:rPr>
          <w:rFonts w:ascii="Times New Roman" w:cs="Times New Roman" w:eastAsia="Times New Roman" w:hAnsi="Times New Roman"/>
          <w:sz w:val="18"/>
          <w:szCs w:val="18"/>
          <w:color w:val="auto"/>
        </w:rPr>
        <w:t>” means any contract or other arrangement (other than Loan Documents, the Fee Letter and Specified Derivatives Contracts), whether written or oral, to which the Borrower, any Subsidiary or any other Loan Party is a party as to which the breach, nonperformance, cancellation or failure to renew (if renewable by its terms) by any party thereto could reasonably be expected to have a Material Adverse Effect.</w:t>
      </w:r>
    </w:p>
    <w:p>
      <w:pPr>
        <w:spacing w:after="0" w:line="17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Indebtedness</w:t>
      </w:r>
      <w:r>
        <w:rPr>
          <w:rFonts w:ascii="Times New Roman" w:cs="Times New Roman" w:eastAsia="Times New Roman" w:hAnsi="Times New Roman"/>
          <w:sz w:val="18"/>
          <w:szCs w:val="18"/>
          <w:color w:val="auto"/>
        </w:rPr>
        <w:t>” has the meaning given that term in Section 10.1.(d).</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“Material Subsidiary” </w:t>
      </w:r>
      <w:r>
        <w:rPr>
          <w:rFonts w:ascii="Times New Roman" w:cs="Times New Roman" w:eastAsia="Times New Roman" w:hAnsi="Times New Roman"/>
          <w:sz w:val="18"/>
          <w:szCs w:val="18"/>
          <w:color w:val="auto"/>
        </w:rPr>
        <w:t>means any Subsidiary to which more than 2% of Adjusted Total Asset Value is attributable on an individual basis.</w:t>
      </w:r>
    </w:p>
    <w:p>
      <w:pPr>
        <w:spacing w:after="0" w:line="225" w:lineRule="exact"/>
        <w:rPr>
          <w:sz w:val="20"/>
          <w:szCs w:val="20"/>
          <w:color w:val="auto"/>
        </w:rPr>
      </w:pPr>
    </w:p>
    <w:p>
      <w:pPr>
        <w:ind w:left="4" w:right="2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Mixed-Use Project</w:t>
      </w:r>
      <w:r>
        <w:rPr>
          <w:rFonts w:ascii="Times New Roman" w:cs="Times New Roman" w:eastAsia="Times New Roman" w:hAnsi="Times New Roman"/>
          <w:sz w:val="18"/>
          <w:szCs w:val="18"/>
          <w:color w:val="auto"/>
        </w:rPr>
        <w:t>” means any mixed-use project that includes or will include a Retail Property and will also include a Multifamily Property and/or an Office Property.</w:t>
      </w:r>
    </w:p>
    <w:p>
      <w:pPr>
        <w:spacing w:after="0" w:line="9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- 22 -</w:t>
      </w:r>
    </w:p>
    <w:p>
      <w:pPr>
        <w:sectPr>
          <w:pgSz w:w="11900" w:h="16838" w:orient="portrait"/>
          <w:cols w:equalWidth="0" w:num="1">
            <w:col w:w="11004"/>
          </w:cols>
          <w:pgMar w:left="436" w:top="266" w:right="459" w:bottom="1440" w:gutter="0" w:footer="0" w:header="0"/>
        </w:sectPr>
      </w:pPr>
    </w:p>
    <w:bookmarkStart w:id="32" w:name="page33"/>
    <w:bookmarkEnd w:id="3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Moody’s</w:t>
      </w:r>
      <w:r>
        <w:rPr>
          <w:rFonts w:ascii="Times New Roman" w:cs="Times New Roman" w:eastAsia="Times New Roman" w:hAnsi="Times New Roman"/>
          <w:sz w:val="18"/>
          <w:szCs w:val="18"/>
          <w:color w:val="auto"/>
        </w:rPr>
        <w:t>” means Moody’s Investors Service, Inc. and its successors.</w:t>
      </w:r>
    </w:p>
    <w:p>
      <w:pPr>
        <w:spacing w:after="0" w:line="225" w:lineRule="exact"/>
        <w:rPr>
          <w:sz w:val="20"/>
          <w:szCs w:val="20"/>
          <w:color w:val="auto"/>
        </w:rPr>
      </w:pPr>
    </w:p>
    <w:p>
      <w:pPr>
        <w:ind w:right="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Mortgage</w:t>
      </w:r>
      <w:r>
        <w:rPr>
          <w:rFonts w:ascii="Times New Roman" w:cs="Times New Roman" w:eastAsia="Times New Roman" w:hAnsi="Times New Roman"/>
          <w:sz w:val="18"/>
          <w:szCs w:val="18"/>
          <w:color w:val="auto"/>
        </w:rPr>
        <w:t>” means a mortgage, deed of trust, deed to secure debt or similar security instrument made by a Person owning an interest in real estate granting a Lien on such interest in real estate as security for the payment of Indebtedness.</w:t>
      </w:r>
    </w:p>
    <w:p>
      <w:pPr>
        <w:spacing w:after="0" w:line="155" w:lineRule="exact"/>
        <w:rPr>
          <w:sz w:val="20"/>
          <w:szCs w:val="20"/>
          <w:color w:val="auto"/>
        </w:rPr>
      </w:pPr>
    </w:p>
    <w:p>
      <w:pPr>
        <w:ind w:right="2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Mortgage Receivable</w:t>
      </w:r>
      <w:r>
        <w:rPr>
          <w:rFonts w:ascii="Times New Roman" w:cs="Times New Roman" w:eastAsia="Times New Roman" w:hAnsi="Times New Roman"/>
          <w:sz w:val="18"/>
          <w:szCs w:val="18"/>
          <w:color w:val="auto"/>
        </w:rPr>
        <w:t>” means a promissory note or similarly structured investment secured by a Mortgage of which the Borrower, its Subsidiaries or its Unconsolidated Affiliates is the holder and retains the rights of collection of all payments thereunder including, without limitation, mezzanine debt and preferred equity investments secured by individual or portfolio properties.</w:t>
      </w:r>
    </w:p>
    <w:p>
      <w:pPr>
        <w:spacing w:after="0" w:line="171" w:lineRule="exact"/>
        <w:rPr>
          <w:sz w:val="20"/>
          <w:szCs w:val="20"/>
          <w:color w:val="auto"/>
        </w:rPr>
      </w:pPr>
    </w:p>
    <w:p>
      <w:pPr>
        <w:ind w:right="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Multiemployer Plan</w:t>
      </w:r>
      <w:r>
        <w:rPr>
          <w:rFonts w:ascii="Times New Roman" w:cs="Times New Roman" w:eastAsia="Times New Roman" w:hAnsi="Times New Roman"/>
          <w:sz w:val="18"/>
          <w:szCs w:val="18"/>
          <w:color w:val="auto"/>
        </w:rPr>
        <w:t>” means at any time a multiemployer plan within the meaning of Section 4001(a)(3) of ERISA to which any member of the ERISA Group is then making or accruing an obligation to make contributions or has within the preceding six plan years made contributions, including for these purposes any Person which ceased to be a member of the ERISA Group during such six-year period.</w:t>
      </w:r>
    </w:p>
    <w:p>
      <w:pPr>
        <w:spacing w:after="0" w:line="171" w:lineRule="exact"/>
        <w:rPr>
          <w:sz w:val="20"/>
          <w:szCs w:val="20"/>
          <w:color w:val="auto"/>
        </w:rPr>
      </w:pPr>
    </w:p>
    <w:p>
      <w:pPr>
        <w:ind w:right="7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Multifamily Property</w:t>
      </w:r>
      <w:r>
        <w:rPr>
          <w:rFonts w:ascii="Times New Roman" w:cs="Times New Roman" w:eastAsia="Times New Roman" w:hAnsi="Times New Roman"/>
          <w:sz w:val="18"/>
          <w:szCs w:val="18"/>
          <w:color w:val="auto"/>
        </w:rPr>
        <w:t>” means a Property improved with, and from which at least 80% of the rental income is derived from, residential apartments, which may include a Property that is a part of a Mixed-Use Project.</w:t>
      </w:r>
    </w:p>
    <w:p>
      <w:pPr>
        <w:spacing w:after="0" w:line="155" w:lineRule="exact"/>
        <w:rPr>
          <w:sz w:val="20"/>
          <w:szCs w:val="20"/>
          <w:color w:val="auto"/>
        </w:rPr>
      </w:pPr>
    </w:p>
    <w:p>
      <w:pPr>
        <w:ind w:right="2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Negative Pledge</w:t>
      </w:r>
      <w:r>
        <w:rPr>
          <w:rFonts w:ascii="Times New Roman" w:cs="Times New Roman" w:eastAsia="Times New Roman" w:hAnsi="Times New Roman"/>
          <w:sz w:val="18"/>
          <w:szCs w:val="18"/>
          <w:color w:val="auto"/>
        </w:rPr>
        <w:t>” means, with respect to a given asset, any provision of a document, instrument or agreement (other than any Loan Document) which prohibits or purports to prohibit the creation or assumption of any Lien on such asset as security for Indebtedness of the Person owning such asset or any other Person; provided, however, that an agreement that conditions a Person’s ability to encumber its assets upon the maintenance of one or more specified ratios that limit such Person’s ability to encumber its assets but that do not generally prohibit the encumbrance of its assets, or the encumbrance of specific assets, shall not constitute a Negative Pledge.</w:t>
      </w:r>
    </w:p>
    <w:p>
      <w:pPr>
        <w:spacing w:after="0" w:line="179" w:lineRule="exact"/>
        <w:rPr>
          <w:sz w:val="20"/>
          <w:szCs w:val="20"/>
          <w:color w:val="auto"/>
        </w:rPr>
      </w:pPr>
    </w:p>
    <w:p>
      <w:pPr>
        <w:ind w:right="20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 Operating Income</w:t>
      </w:r>
      <w:r>
        <w:rPr>
          <w:rFonts w:ascii="Times New Roman" w:cs="Times New Roman" w:eastAsia="Times New Roman" w:hAnsi="Times New Roman"/>
          <w:sz w:val="18"/>
          <w:szCs w:val="18"/>
          <w:color w:val="auto"/>
        </w:rPr>
        <w:t xml:space="preserve">” means, for any Property and for a given period, the sum of the following (without duplication and determined on a consistent basis with prior periods): (a) rents and other revenues received in the ordinary course from such Property (including proceeds of rent loss insurance but excluding pre-paid rents and revenues and security deposits except to the extent applied in satisfaction of tenants’ obligations for rent)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(b) all expenses paid (excluding interest but including an appropriate accrual for taxes and insurance) related to the ownership, operation or maintenance of such Property, including but not limited to taxes, assessments and the like, insurance, utilities, payroll costs, maintenance, repair and landscaping expenses, marketing expenses, and general and administrative expenses (including an appropriate allocation for legal, accounting, advertising, marketing and other expenses incurred in connection with such Property, but specifically excluding general overhead expenses of the Borrower, its Subsidiaries or, to the extent applicable its Unconsolidated Affiliates and any property management fees)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(c) the Capital Reserves for such Property as of the end of such period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(d) the greater of (i) the actual property management fee paid during such period with respect to such Property and (ii) an imputed management fee in the amount equal to 3.0% of the gross revenues for such Property for such period.</w:t>
      </w:r>
    </w:p>
    <w:p>
      <w:pPr>
        <w:spacing w:after="0" w:line="185"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 Proceeds</w:t>
      </w:r>
      <w:r>
        <w:rPr>
          <w:rFonts w:ascii="Times New Roman" w:cs="Times New Roman" w:eastAsia="Times New Roman" w:hAnsi="Times New Roman"/>
          <w:sz w:val="18"/>
          <w:szCs w:val="18"/>
          <w:color w:val="auto"/>
        </w:rPr>
        <w:t>” means with respect to any Equity Issuance by a Person, the aggregate amount of all cash and the Fair Market Value of all other property (other than securities of such Person being converted or exchanged in connection with such Equity Issuance) received by such Person in respect of such Equity Issuance net of investment banking fees, legal fees, accountants’ fees, underwriting discounts and commissions and other customary fees and expenses actually incurred by such Person in connection with such Equity Issuance.</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- 23 -</w:t>
      </w:r>
    </w:p>
    <w:p>
      <w:pPr>
        <w:sectPr>
          <w:pgSz w:w="11900" w:h="16838" w:orient="portrait"/>
          <w:cols w:equalWidth="0" w:num="1">
            <w:col w:w="11000"/>
          </w:cols>
          <w:pgMar w:left="440" w:top="266" w:right="459" w:bottom="1440" w:gutter="0" w:footer="0" w:header="0"/>
        </w:sectPr>
      </w:pPr>
    </w:p>
    <w:bookmarkStart w:id="33" w:name="page34"/>
    <w:bookmarkEnd w:id="33"/>
    <w:p>
      <w:pPr>
        <w:ind w:left="4" w:right="2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Non-Controlled Property</w:t>
      </w:r>
      <w:r>
        <w:rPr>
          <w:rFonts w:ascii="Times New Roman" w:cs="Times New Roman" w:eastAsia="Times New Roman" w:hAnsi="Times New Roman"/>
          <w:sz w:val="18"/>
          <w:szCs w:val="18"/>
          <w:color w:val="auto"/>
        </w:rPr>
        <w:t>” means an Eligible Property owned in fee simple (or leased under a Ground Lease) by (a) an Unconsolidated Affiliate or (b) a Subsidiary that is not a Wholly Owned Subsidiary but which Property does not otherwise qualify as a Controlled Property.</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Non-Defaulting Lender</w:t>
      </w:r>
      <w:r>
        <w:rPr>
          <w:rFonts w:ascii="Times New Roman" w:cs="Times New Roman" w:eastAsia="Times New Roman" w:hAnsi="Times New Roman"/>
          <w:sz w:val="18"/>
          <w:szCs w:val="18"/>
          <w:color w:val="auto"/>
        </w:rPr>
        <w:t>” means, at any time, each Lender that is not a Defaulting Lender at such time.</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means a Revolving Note, a Bid Rate Note or a Swingline Note.</w:t>
      </w:r>
    </w:p>
    <w:p>
      <w:pPr>
        <w:spacing w:after="0" w:line="225" w:lineRule="exact"/>
        <w:rPr>
          <w:sz w:val="20"/>
          <w:szCs w:val="20"/>
          <w:color w:val="auto"/>
        </w:rPr>
      </w:pPr>
    </w:p>
    <w:p>
      <w:pPr>
        <w:ind w:left="4" w:right="2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Notice of Borrowing</w:t>
      </w:r>
      <w:r>
        <w:rPr>
          <w:rFonts w:ascii="Times New Roman" w:cs="Times New Roman" w:eastAsia="Times New Roman" w:hAnsi="Times New Roman"/>
          <w:sz w:val="18"/>
          <w:szCs w:val="18"/>
          <w:color w:val="auto"/>
        </w:rPr>
        <w:t>” means a notice substantially in the form of Exhibit E (or such other form reasonably acceptable to the Administrative Agent and containing the information required in such Exhibit) to be delivered to the Administrative Agent pursuant to Section 2.1.(b) evidencing the Borrower’s request for a borrowing of Revolving Loans.</w:t>
      </w:r>
    </w:p>
    <w:p>
      <w:pPr>
        <w:spacing w:after="0" w:line="171" w:lineRule="exact"/>
        <w:rPr>
          <w:sz w:val="20"/>
          <w:szCs w:val="20"/>
          <w:color w:val="auto"/>
        </w:rPr>
      </w:pPr>
    </w:p>
    <w:p>
      <w:pPr>
        <w:ind w:left="4" w:right="1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Notice of Continuation</w:t>
      </w:r>
      <w:r>
        <w:rPr>
          <w:rFonts w:ascii="Times New Roman" w:cs="Times New Roman" w:eastAsia="Times New Roman" w:hAnsi="Times New Roman"/>
          <w:sz w:val="18"/>
          <w:szCs w:val="18"/>
          <w:color w:val="auto"/>
        </w:rPr>
        <w:t>” means a notice substantially in the form of Exhibit F (or such other form reasonably acceptable to the Administrative Agent and containing the information required in such Exhibit) to be delivered to the Administrative Agent pursuant to Section 2.9. evidencing the Borrower’s request for the Continuation of a SOFR Loan.</w:t>
      </w:r>
    </w:p>
    <w:p>
      <w:pPr>
        <w:spacing w:after="0" w:line="171" w:lineRule="exact"/>
        <w:rPr>
          <w:sz w:val="20"/>
          <w:szCs w:val="20"/>
          <w:color w:val="auto"/>
        </w:rPr>
      </w:pPr>
    </w:p>
    <w:p>
      <w:pPr>
        <w:jc w:val="both"/>
        <w:ind w:left="4" w:right="3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Notice of Conversion</w:t>
      </w:r>
      <w:r>
        <w:rPr>
          <w:rFonts w:ascii="Times New Roman" w:cs="Times New Roman" w:eastAsia="Times New Roman" w:hAnsi="Times New Roman"/>
          <w:sz w:val="18"/>
          <w:szCs w:val="18"/>
          <w:color w:val="auto"/>
        </w:rPr>
        <w:t>” means a notice substantially in the form of Exhibit G (or such other form reasonably acceptable to the Administrative Agent and containing the information required in such Exhibit) to be delivered to the Administrative Agent pursuant to Section 2.10. evidencing the Borrower’s request for the Conversion of a Loan from one Type to another Type.</w:t>
      </w:r>
    </w:p>
    <w:p>
      <w:pPr>
        <w:spacing w:after="0" w:line="171" w:lineRule="exact"/>
        <w:rPr>
          <w:sz w:val="20"/>
          <w:szCs w:val="20"/>
          <w:color w:val="auto"/>
        </w:rPr>
      </w:pPr>
    </w:p>
    <w:p>
      <w:pPr>
        <w:ind w:left="4" w:right="4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Notice of Swingline Borrowing</w:t>
      </w:r>
      <w:r>
        <w:rPr>
          <w:rFonts w:ascii="Times New Roman" w:cs="Times New Roman" w:eastAsia="Times New Roman" w:hAnsi="Times New Roman"/>
          <w:sz w:val="18"/>
          <w:szCs w:val="18"/>
          <w:color w:val="auto"/>
        </w:rPr>
        <w:t>” means a notice substantially in the form of Exhibit H (or such other form reasonably acceptable to the Administrative Agent and containing the information required in such Exhibit) to be delivered to the Swingline Lender pursuant to Section 2.4.(b) evidencing the Borrower’s request for a Swingline Loan.</w:t>
      </w:r>
    </w:p>
    <w:p>
      <w:pPr>
        <w:spacing w:after="0" w:line="171"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Obligations</w:t>
      </w:r>
      <w:r>
        <w:rPr>
          <w:rFonts w:ascii="Times New Roman" w:cs="Times New Roman" w:eastAsia="Times New Roman" w:hAnsi="Times New Roman"/>
          <w:sz w:val="18"/>
          <w:szCs w:val="18"/>
          <w:color w:val="auto"/>
        </w:rPr>
        <w:t>” means, individually and collectively: (a) the aggregate principal balance of, and all accrued and unpaid interest on, all Loans;</w:t>
      </w:r>
    </w:p>
    <w:p>
      <w:pPr>
        <w:spacing w:after="0" w:line="31" w:lineRule="exact"/>
        <w:rPr>
          <w:sz w:val="20"/>
          <w:szCs w:val="20"/>
          <w:color w:val="auto"/>
        </w:rPr>
      </w:pPr>
    </w:p>
    <w:p>
      <w:pPr>
        <w:ind w:left="4" w:hanging="4"/>
        <w:spacing w:after="0" w:line="253" w:lineRule="auto"/>
        <w:tabs>
          <w:tab w:leader="none" w:pos="25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Reimbursement Obligations and all other Letter of Credit Liabilities; and (c) all other indebtedness, liabilities, obligations, covenants and duties of the Borrower and the other Loan Parties owing to the Administrative Agent, the Issuing Bank or any Lender of every kind, nature and description, under or in respect of this Agreement or any of the other Loan Documents, including, without limitation, the Fees and indemnification obligations, whether direct or indirect, absolute or contingent, due or not due, contractual or tortious, liquidated or unliquidated, and whether or not evidenced by any promissory note. For the avoidance of doubt, “Obligations” shall not include Specified Derivatives Obligations.</w:t>
      </w:r>
    </w:p>
    <w:p>
      <w:pPr>
        <w:spacing w:after="0" w:line="183" w:lineRule="exact"/>
        <w:rPr>
          <w:sz w:val="20"/>
          <w:szCs w:val="20"/>
          <w:color w:val="auto"/>
        </w:rPr>
      </w:pPr>
    </w:p>
    <w:p>
      <w:pPr>
        <w:ind w:left="4" w:right="30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Occupancy Rate</w:t>
      </w:r>
      <w:r>
        <w:rPr>
          <w:rFonts w:ascii="Times New Roman" w:cs="Times New Roman" w:eastAsia="Times New Roman" w:hAnsi="Times New Roman"/>
          <w:sz w:val="18"/>
          <w:szCs w:val="18"/>
          <w:color w:val="auto"/>
        </w:rPr>
        <w:t xml:space="preserve">” means, with respect to a Property at any time, the ratio, expressed as a percentage, of (a) the net rentable square footage of such Property for which the Borrower, a Subsidiary or, to the extent applicable, an Unconsolidated Affiliate, is collecting rent to (b) the total square footage of such Property available for lease;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in the case of a Multifamily Property, “Occupancy Rate” means the ratio, expressed as a percentage, of (a) the net rentable units of such Multifamily Property for which the Borrower, a Subsidiary or, to the extent applicable, an Unconsolidated Affiliate is collecting rent to (b) the total units of such Multifamily Property available for lease.</w:t>
      </w:r>
    </w:p>
    <w:p>
      <w:pPr>
        <w:spacing w:after="0" w:line="17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means the U.S. Department of the Treasury’s Office of Foreign Assets Control.</w:t>
      </w:r>
    </w:p>
    <w:p>
      <w:pPr>
        <w:spacing w:after="0" w:line="225" w:lineRule="exact"/>
        <w:rPr>
          <w:sz w:val="20"/>
          <w:szCs w:val="20"/>
          <w:color w:val="auto"/>
        </w:rPr>
      </w:pPr>
    </w:p>
    <w:p>
      <w:pPr>
        <w:ind w:left="4" w:right="4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Office Property</w:t>
      </w:r>
      <w:r>
        <w:rPr>
          <w:rFonts w:ascii="Times New Roman" w:cs="Times New Roman" w:eastAsia="Times New Roman" w:hAnsi="Times New Roman"/>
          <w:sz w:val="18"/>
          <w:szCs w:val="18"/>
          <w:color w:val="auto"/>
        </w:rPr>
        <w:t>” means a Property improved with a building or buildings the substantial use of which is office space, which may include a Property that is part of a Mixed-Use Project.</w:t>
      </w:r>
    </w:p>
    <w:p>
      <w:pPr>
        <w:spacing w:after="0" w:line="9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- 24 -</w:t>
      </w:r>
    </w:p>
    <w:p>
      <w:pPr>
        <w:sectPr>
          <w:pgSz w:w="11900" w:h="16838" w:orient="portrait"/>
          <w:cols w:equalWidth="0" w:num="1">
            <w:col w:w="11004"/>
          </w:cols>
          <w:pgMar w:left="436" w:top="266" w:right="459" w:bottom="1440" w:gutter="0" w:footer="0" w:header="0"/>
        </w:sectPr>
      </w:pPr>
    </w:p>
    <w:bookmarkStart w:id="34" w:name="page35"/>
    <w:bookmarkEnd w:id="34"/>
    <w:p>
      <w:pPr>
        <w:jc w:val="both"/>
        <w:ind w:right="20" w:firstLine="440"/>
        <w:spacing w:after="0" w:line="27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7"/>
          <w:szCs w:val="17"/>
          <w:b w:val="1"/>
          <w:bCs w:val="1"/>
          <w:color w:val="auto"/>
        </w:rPr>
        <w:t>Off-Balance Sheet Obligations</w:t>
      </w:r>
      <w:r>
        <w:rPr>
          <w:rFonts w:ascii="Times New Roman" w:cs="Times New Roman" w:eastAsia="Times New Roman" w:hAnsi="Times New Roman"/>
          <w:sz w:val="17"/>
          <w:szCs w:val="17"/>
          <w:color w:val="auto"/>
        </w:rPr>
        <w:t>” means liabilities and obligations of the Borrower, any Subsidiary or any other Person in respect of “off-balance sheet arrangements” (as defined in Item 303(a)(4)(ii) of Regulation S-K promulgated under the Securities Act) which the Borrower would be required to disclose in the “Management’s Discussion and Analysis of Financial Condition and Results of Operations” section of the Borrower’s report on Form</w:t>
      </w:r>
    </w:p>
    <w:p>
      <w:pPr>
        <w:spacing w:after="0" w:line="1"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10-Q or Form 10-K (or their equivalents) which the Borrower is required to file with the Securities and Exchange Commission (or any Governmental Authority substituted therefor).</w:t>
      </w:r>
    </w:p>
    <w:p>
      <w:pPr>
        <w:spacing w:after="0" w:line="177" w:lineRule="exact"/>
        <w:rPr>
          <w:sz w:val="20"/>
          <w:szCs w:val="20"/>
          <w:color w:val="auto"/>
        </w:rPr>
      </w:pPr>
    </w:p>
    <w:p>
      <w:pPr>
        <w:ind w:right="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Connection Taxes</w:t>
      </w:r>
      <w:r>
        <w:rPr>
          <w:rFonts w:ascii="Times New Roman" w:cs="Times New Roman" w:eastAsia="Times New Roman" w:hAnsi="Times New Roman"/>
          <w:sz w:val="18"/>
          <w:szCs w:val="18"/>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76" w:lineRule="exact"/>
        <w:rPr>
          <w:sz w:val="20"/>
          <w:szCs w:val="20"/>
          <w:color w:val="auto"/>
        </w:rPr>
      </w:pPr>
    </w:p>
    <w:p>
      <w:pPr>
        <w:ind w:right="6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Taxes</w:t>
      </w:r>
      <w:r>
        <w:rPr>
          <w:rFonts w:ascii="Times New Roman" w:cs="Times New Roman" w:eastAsia="Times New Roman" w:hAnsi="Times New Roman"/>
          <w:sz w:val="18"/>
          <w:szCs w:val="18"/>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4.6.).</w:t>
      </w:r>
    </w:p>
    <w:p>
      <w:pPr>
        <w:spacing w:after="0" w:line="176"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Ownership Share</w:t>
      </w:r>
      <w:r>
        <w:rPr>
          <w:rFonts w:ascii="Times New Roman" w:cs="Times New Roman" w:eastAsia="Times New Roman" w:hAnsi="Times New Roman"/>
          <w:sz w:val="18"/>
          <w:szCs w:val="18"/>
          <w:color w:val="auto"/>
        </w:rPr>
        <w:t>” means, with respect to any Subsidiary of a Person (other than a Wholly Owned Subsidiary) or any Unconsolidated Affiliate of a Person, the greater of (a) such Person’s relative nominal direct and indirect ownership interest (expressed as a percentage) in such Subsidiary or Unconsolidated Affiliate and (b) subject to compliance with Section 8.4.(p), such Person’s relative direct and indirect economic interest (calculated as a percentage) in such Subsidiary or Unconsolidated Affiliate determined in accordance with the applicable provisions of the declaration of trust, articles or certificate of incorporation, articles of organization, partnership agreement, joint venture agreement or other applicable organizational document of such Subsidiary or Unconsolidated Affiliate.</w:t>
      </w:r>
    </w:p>
    <w:p>
      <w:pPr>
        <w:spacing w:after="0" w:line="182" w:lineRule="exact"/>
        <w:rPr>
          <w:sz w:val="20"/>
          <w:szCs w:val="20"/>
          <w:color w:val="auto"/>
        </w:rPr>
      </w:pPr>
    </w:p>
    <w:p>
      <w:pPr>
        <w:ind w:right="1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means Federal Realty Investment Trust, a real estate investment trust formed under the laws of the State of Maryland, formerly known as FRT Holdco REIT.</w:t>
      </w:r>
    </w:p>
    <w:p>
      <w:pPr>
        <w:spacing w:after="0" w:line="155" w:lineRule="exact"/>
        <w:rPr>
          <w:sz w:val="20"/>
          <w:szCs w:val="20"/>
          <w:color w:val="auto"/>
        </w:rPr>
      </w:pPr>
    </w:p>
    <w:p>
      <w:pPr>
        <w:ind w:right="1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Parent/General Partner Guaranty</w:t>
      </w:r>
      <w:r>
        <w:rPr>
          <w:rFonts w:ascii="Times New Roman" w:cs="Times New Roman" w:eastAsia="Times New Roman" w:hAnsi="Times New Roman"/>
          <w:sz w:val="18"/>
          <w:szCs w:val="18"/>
          <w:color w:val="auto"/>
        </w:rPr>
        <w:t>” means the Parent/General Partner Guaranty delivered (if ever) pursuant to Section 7.14. and substantially in the form of Exhibit R.</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 has the meaning given that term in Section 12.6.(d).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Participant Register</w:t>
      </w:r>
      <w:r>
        <w:rPr>
          <w:rFonts w:ascii="Times New Roman" w:cs="Times New Roman" w:eastAsia="Times New Roman" w:hAnsi="Times New Roman"/>
          <w:sz w:val="18"/>
          <w:szCs w:val="18"/>
          <w:color w:val="auto"/>
        </w:rPr>
        <w:t>” has the meaning given that term in Section 12.6.(c).</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PATRIOT Act</w:t>
      </w:r>
      <w:r>
        <w:rPr>
          <w:rFonts w:ascii="Times New Roman" w:cs="Times New Roman" w:eastAsia="Times New Roman" w:hAnsi="Times New Roman"/>
          <w:sz w:val="18"/>
          <w:szCs w:val="18"/>
          <w:color w:val="auto"/>
        </w:rPr>
        <w:t>” means the USA PATRIOT Act (Title III of Pub. L. 107-56 (signed into law October 26, 2001)).</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Payment Recipient</w:t>
      </w:r>
      <w:r>
        <w:rPr>
          <w:rFonts w:ascii="Times New Roman" w:cs="Times New Roman" w:eastAsia="Times New Roman" w:hAnsi="Times New Roman"/>
          <w:sz w:val="18"/>
          <w:szCs w:val="18"/>
          <w:color w:val="auto"/>
        </w:rPr>
        <w:t>” has the meaning given that term in Section 11.10(a).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PBGC</w:t>
      </w:r>
      <w:r>
        <w:rPr>
          <w:rFonts w:ascii="Times New Roman" w:cs="Times New Roman" w:eastAsia="Times New Roman" w:hAnsi="Times New Roman"/>
          <w:sz w:val="18"/>
          <w:szCs w:val="18"/>
          <w:color w:val="auto"/>
        </w:rPr>
        <w:t>” means the Pension Benefit Guaranty Corporation and any successor agency.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Periodic Term SOFR Determination Day</w:t>
      </w:r>
      <w:r>
        <w:rPr>
          <w:rFonts w:ascii="Times New Roman" w:cs="Times New Roman" w:eastAsia="Times New Roman" w:hAnsi="Times New Roman"/>
          <w:sz w:val="18"/>
          <w:szCs w:val="18"/>
          <w:color w:val="auto"/>
        </w:rPr>
        <w:t>” has the meaning given that term in the definition of the term “Term SOFR.”</w:t>
      </w:r>
    </w:p>
    <w:p>
      <w:pPr>
        <w:spacing w:after="0" w:line="16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- 25 -</w:t>
      </w:r>
    </w:p>
    <w:p>
      <w:pPr>
        <w:sectPr>
          <w:pgSz w:w="11900" w:h="16838" w:orient="portrait"/>
          <w:cols w:equalWidth="0" w:num="1">
            <w:col w:w="11000"/>
          </w:cols>
          <w:pgMar w:left="440" w:top="266" w:right="459" w:bottom="1440" w:gutter="0" w:footer="0" w:header="0"/>
        </w:sectPr>
      </w:pPr>
    </w:p>
    <w:bookmarkStart w:id="35" w:name="page36"/>
    <w:bookmarkEnd w:id="35"/>
    <w:p>
      <w:pPr>
        <w:ind w:left="4" w:right="2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Permitted Liens</w:t>
      </w:r>
      <w:r>
        <w:rPr>
          <w:rFonts w:ascii="Times New Roman" w:cs="Times New Roman" w:eastAsia="Times New Roman" w:hAnsi="Times New Roman"/>
          <w:sz w:val="18"/>
          <w:szCs w:val="18"/>
          <w:color w:val="auto"/>
        </w:rPr>
        <w:t>” means, with respect to any asset or property of a Person, (a) (i) Liens securing taxes, assessments and other charges or levies imposed by any Governmental Authority (excluding any Lien imposed pursuant to any of the provisions of ERISA or pursuant to any Environmental Laws) or (ii) the claims of materialmen, mechanics, carriers, warehousemen or landlords for labor, materials, supplies or rentals incurred in the ordinary course of business, which, in each case, are not at the time required to be paid or discharged under Section 7.6.; (b) Liens consisting of deposits or pledges made, in the ordinary course of business, in connection with, or to secure payment of, obligations under workmen’s compensation, unemployment insurance or similar Applicable Laws; (c) Liens consisting of encumbrances in the nature of zoning restrictions, easements, and rights or restrictions of record on the use of real property, which do not materially detract from the value of such property or materially impair the use thereof in the business of such Person; (d) the rights of tenants under leases or subleases not interfering with the ordinary conduct of business of such Person;</w:t>
      </w:r>
    </w:p>
    <w:p>
      <w:pPr>
        <w:spacing w:after="0" w:line="5" w:lineRule="exact"/>
        <w:rPr>
          <w:sz w:val="20"/>
          <w:szCs w:val="20"/>
          <w:color w:val="auto"/>
        </w:rPr>
      </w:pPr>
    </w:p>
    <w:p>
      <w:pPr>
        <w:ind w:left="244" w:hanging="244"/>
        <w:spacing w:after="0"/>
        <w:tabs>
          <w:tab w:leader="none" w:pos="24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the Administrative Agent for its benefit and the benefit of the Lenders, the Issuing Bank, and each Specified Derivatives Provider;</w:t>
      </w:r>
    </w:p>
    <w:p>
      <w:pPr>
        <w:spacing w:after="0" w:line="9" w:lineRule="exact"/>
        <w:rPr>
          <w:rFonts w:ascii="Times New Roman" w:cs="Times New Roman" w:eastAsia="Times New Roman" w:hAnsi="Times New Roman"/>
          <w:sz w:val="18"/>
          <w:szCs w:val="18"/>
          <w:color w:val="auto"/>
        </w:rPr>
      </w:pPr>
    </w:p>
    <w:p>
      <w:pPr>
        <w:ind w:left="4" w:right="80" w:hanging="4"/>
        <w:spacing w:after="0" w:line="260" w:lineRule="auto"/>
        <w:tabs>
          <w:tab w:leader="none" w:pos="22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the Borrower or a Subsidiary securing obligations owing by a Subsidiary to the Borrower or a Subsidiary; (g) Liens in existence as of the Agreement Date and set forth on Part II of Schedule 6.1.(f); and (h) Liens securing Indebtedness permitted by the Loan Documents.</w:t>
      </w:r>
    </w:p>
    <w:p>
      <w:pPr>
        <w:spacing w:after="0" w:line="177" w:lineRule="exact"/>
        <w:rPr>
          <w:sz w:val="20"/>
          <w:szCs w:val="20"/>
          <w:color w:val="auto"/>
        </w:rPr>
      </w:pPr>
    </w:p>
    <w:p>
      <w:pPr>
        <w:ind w:left="4" w:right="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natural person, corporation, limited partnership, general partnership, joint stock company, limited liability company, limited liability partnership, joint venture, association, company, trust, bank, trust company, land trust, business trust or other organization, whether or not a legal entity, or any other nongovernmental entity, or any Governmental Authority.</w:t>
      </w:r>
    </w:p>
    <w:p>
      <w:pPr>
        <w:spacing w:after="0" w:line="171" w:lineRule="exact"/>
        <w:rPr>
          <w:sz w:val="20"/>
          <w:szCs w:val="20"/>
          <w:color w:val="auto"/>
        </w:rPr>
      </w:pPr>
    </w:p>
    <w:p>
      <w:pPr>
        <w:ind w:left="4"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means at any time an employee pension benefit plan (other than a Multiemployer Plan) which is covered by Title IV of ERISA or subject to the minimum funding standards under Section 412 of the Internal Revenue Code and either (a) is maintained, or contributed to, by any member of the ERISA Group for employees of any member of the ERISA Group or (b) has at any time within the preceding six years been maintained, or contributed to, by any Person which was at such time a member of the ERISA Group for employees of any Person which was at such time a member of the ERISA Group.</w:t>
      </w:r>
    </w:p>
    <w:p>
      <w:pPr>
        <w:spacing w:after="0" w:line="179" w:lineRule="exact"/>
        <w:rPr>
          <w:sz w:val="20"/>
          <w:szCs w:val="20"/>
          <w:color w:val="auto"/>
        </w:rPr>
      </w:pPr>
    </w:p>
    <w:p>
      <w:pPr>
        <w:jc w:val="both"/>
        <w:ind w:left="4" w:right="3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Post-Default Rate</w:t>
      </w:r>
      <w:r>
        <w:rPr>
          <w:rFonts w:ascii="Times New Roman" w:cs="Times New Roman" w:eastAsia="Times New Roman" w:hAnsi="Times New Roman"/>
          <w:sz w:val="18"/>
          <w:szCs w:val="18"/>
          <w:color w:val="auto"/>
        </w:rPr>
        <w:t xml:space="preserve">” means, in respect of any principal of any Loan or any Reimbursement Obligation, the rate otherwise applicable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an additional four percent (4.0%) per annum and with respect to any other Obligation, a rate per annum equal to the Base Rate as in effect from time to time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Margin for Base Rate Loans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four percent (4.0%).</w:t>
      </w:r>
    </w:p>
    <w:p>
      <w:pPr>
        <w:spacing w:after="0" w:line="171" w:lineRule="exact"/>
        <w:rPr>
          <w:sz w:val="20"/>
          <w:szCs w:val="20"/>
          <w:color w:val="auto"/>
        </w:rPr>
      </w:pPr>
    </w:p>
    <w:p>
      <w:pPr>
        <w:ind w:left="4" w:right="180" w:firstLine="440"/>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Preferred Dividends</w:t>
      </w:r>
      <w:r>
        <w:rPr>
          <w:rFonts w:ascii="Times New Roman" w:cs="Times New Roman" w:eastAsia="Times New Roman" w:hAnsi="Times New Roman"/>
          <w:sz w:val="17"/>
          <w:szCs w:val="17"/>
          <w:color w:val="auto"/>
        </w:rPr>
        <w:t>” means, for any period and without duplication, all Restricted Payments paid during such period on Preferred Equity issued by the Borrower, a Subsidiary or an Unconsolidated Affiliate (including any distributions by the Borrower to the General Partner or Parent to make payments with respect to Preferred Equity of the Parent or the General Partner). Preferred Dividends shall not include dividends or distributions</w:t>
      </w:r>
    </w:p>
    <w:p>
      <w:pPr>
        <w:spacing w:after="0" w:line="1" w:lineRule="exact"/>
        <w:rPr>
          <w:sz w:val="20"/>
          <w:szCs w:val="20"/>
          <w:color w:val="auto"/>
        </w:rPr>
      </w:pPr>
    </w:p>
    <w:p>
      <w:pPr>
        <w:jc w:val="both"/>
        <w:ind w:left="4" w:hanging="4"/>
        <w:spacing w:after="0" w:line="290" w:lineRule="auto"/>
        <w:tabs>
          <w:tab w:leader="none" w:pos="249"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paid or payable solely in Equity Interests (other than Mandatorily Redeemable Stock) payable to holders of such class of Equity Interests; (b) paid or payable to the Borrower or a Subsidiary; or (c) constituting balloon, bullet or similar redemptions resulting in the redemption of Preferred Equity in full.</w:t>
      </w:r>
    </w:p>
    <w:p>
      <w:pPr>
        <w:spacing w:after="0" w:line="153" w:lineRule="exact"/>
        <w:rPr>
          <w:sz w:val="20"/>
          <w:szCs w:val="20"/>
          <w:color w:val="auto"/>
        </w:rPr>
      </w:pPr>
    </w:p>
    <w:p>
      <w:pPr>
        <w:ind w:left="4" w:right="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Preferred Equity</w:t>
      </w:r>
      <w:r>
        <w:rPr>
          <w:rFonts w:ascii="Times New Roman" w:cs="Times New Roman" w:eastAsia="Times New Roman" w:hAnsi="Times New Roman"/>
          <w:sz w:val="18"/>
          <w:szCs w:val="18"/>
          <w:color w:val="auto"/>
        </w:rPr>
        <w:t>” means, with respect to any Person, Equity Interests in such Person which are entitled to preference or priority over any other Equity Interest in such Person in respect of the payment of dividends or distribution of assets upon liquidation or both.</w:t>
      </w:r>
    </w:p>
    <w:p>
      <w:pPr>
        <w:spacing w:after="0" w:line="155" w:lineRule="exact"/>
        <w:rPr>
          <w:sz w:val="20"/>
          <w:szCs w:val="20"/>
          <w:color w:val="auto"/>
        </w:rPr>
      </w:pPr>
    </w:p>
    <w:p>
      <w:pPr>
        <w:ind w:left="4" w:right="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Prime Rate</w:t>
      </w:r>
      <w:r>
        <w:rPr>
          <w:rFonts w:ascii="Times New Roman" w:cs="Times New Roman" w:eastAsia="Times New Roman" w:hAnsi="Times New Roman"/>
          <w:sz w:val="18"/>
          <w:szCs w:val="18"/>
          <w:color w:val="auto"/>
        </w:rPr>
        <w:t>” means, at any time, the rate of interest per annum publicly announced from time to time by the Administrative Agent as its prime rate. Each change in the Prime Rate shall be effective as of the opening of business on the day such change in such prime rate occurs. The parties hereto acknowledge that the rate announced publicly by the Administrative Agent as its prime rate is an index or base rate and shall not necessarily be its lowest or best rate charged to its customers or other banks.</w:t>
      </w:r>
    </w:p>
    <w:p>
      <w:pPr>
        <w:spacing w:after="0" w:line="113"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- 26 -</w:t>
      </w:r>
    </w:p>
    <w:p>
      <w:pPr>
        <w:sectPr>
          <w:pgSz w:w="11900" w:h="16838" w:orient="portrait"/>
          <w:cols w:equalWidth="0" w:num="1">
            <w:col w:w="10964"/>
          </w:cols>
          <w:pgMar w:left="436" w:top="266" w:right="499" w:bottom="1440" w:gutter="0" w:footer="0" w:header="0"/>
        </w:sectPr>
      </w:pPr>
    </w:p>
    <w:bookmarkStart w:id="36" w:name="page37"/>
    <w:bookmarkEnd w:id="36"/>
    <w:p>
      <w:pPr>
        <w:ind w:right="660" w:firstLine="440"/>
        <w:spacing w:after="0" w:line="31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7"/>
          <w:szCs w:val="17"/>
          <w:b w:val="1"/>
          <w:bCs w:val="1"/>
          <w:color w:val="auto"/>
        </w:rPr>
        <w:t>Principal Office</w:t>
      </w:r>
      <w:r>
        <w:rPr>
          <w:rFonts w:ascii="Times New Roman" w:cs="Times New Roman" w:eastAsia="Times New Roman" w:hAnsi="Times New Roman"/>
          <w:sz w:val="17"/>
          <w:szCs w:val="17"/>
          <w:color w:val="auto"/>
        </w:rPr>
        <w:t>” means the office of the Administrative Agent located at 10 S Wacker Drive, Floor 32 Chicago, IL 60606, or any other subsequent office that the Administrative Agent shall have specified as the Principal Office by written notice to the Borrower and the Lenders.</w:t>
      </w:r>
    </w:p>
    <w:p>
      <w:pPr>
        <w:spacing w:after="0" w:line="132" w:lineRule="exact"/>
        <w:rPr>
          <w:sz w:val="20"/>
          <w:szCs w:val="20"/>
          <w:color w:val="auto"/>
        </w:rPr>
      </w:pPr>
    </w:p>
    <w:p>
      <w:pPr>
        <w:ind w:right="8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means any parcel of real property owned or leased (in whole or in part) or operated by the Borrower, any Subsidiary or any Unconsolidated Affiliate of the Borrower and which is located in a state of the United States of America or the District of Columbia.</w:t>
      </w:r>
    </w:p>
    <w:p>
      <w:pPr>
        <w:spacing w:after="0" w:line="155" w:lineRule="exact"/>
        <w:rPr>
          <w:sz w:val="20"/>
          <w:szCs w:val="20"/>
          <w:color w:val="auto"/>
        </w:rPr>
      </w:pPr>
    </w:p>
    <w:p>
      <w:pPr>
        <w:ind w:right="3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Property Management Agreement</w:t>
      </w:r>
      <w:r>
        <w:rPr>
          <w:rFonts w:ascii="Times New Roman" w:cs="Times New Roman" w:eastAsia="Times New Roman" w:hAnsi="Times New Roman"/>
          <w:sz w:val="18"/>
          <w:szCs w:val="18"/>
          <w:color w:val="auto"/>
        </w:rPr>
        <w:t>” means an agreement pursuant to which the Borrower or a Subsidiary engages a Person to advise it with respect to the management of an Unencumbered Property or to provide management services with respect to the same.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QFC</w:t>
      </w:r>
      <w:r>
        <w:rPr>
          <w:rFonts w:ascii="Times New Roman" w:cs="Times New Roman" w:eastAsia="Times New Roman" w:hAnsi="Times New Roman"/>
          <w:sz w:val="18"/>
          <w:szCs w:val="18"/>
          <w:color w:val="auto"/>
        </w:rPr>
        <w:t>” has the meaning assigned to the term “qualified financial contract” in, and shall be interpreted in accordance with, 12 U.S.C. 5390(c)(8)</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QFC Credit Support</w:t>
      </w:r>
      <w:r>
        <w:rPr>
          <w:rFonts w:ascii="Times New Roman" w:cs="Times New Roman" w:eastAsia="Times New Roman" w:hAnsi="Times New Roman"/>
          <w:sz w:val="18"/>
          <w:szCs w:val="18"/>
          <w:color w:val="auto"/>
        </w:rPr>
        <w:t>” has the meaning given that term in Section 12.24.</w:t>
      </w:r>
    </w:p>
    <w:p>
      <w:pPr>
        <w:spacing w:after="0" w:line="225" w:lineRule="exact"/>
        <w:rPr>
          <w:sz w:val="20"/>
          <w:szCs w:val="20"/>
          <w:color w:val="auto"/>
        </w:rPr>
      </w:pPr>
    </w:p>
    <w:p>
      <w:pPr>
        <w:ind w:right="14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Qualified ECP Guarantor</w:t>
      </w:r>
      <w:r>
        <w:rPr>
          <w:rFonts w:ascii="Times New Roman" w:cs="Times New Roman" w:eastAsia="Times New Roman" w:hAnsi="Times New Roman"/>
          <w:sz w:val="18"/>
          <w:szCs w:val="18"/>
          <w:color w:val="auto"/>
        </w:rPr>
        <w:t>” means, in respect of any Swap Obligation, each Loan Party that has total assets exceeding $10,000,000 at the time the relevant Guarantee or grant of the relevant security interest becomes effective with respect to such Swap Obligation or such other person as constitutes an “eligible contract participant” under the Commodity Exchange Act or any regulations promulgated thereunder and can cause another person to qualify as an “eligible contract participant” at such time by entering into a keepwell under Section 1a(18)(A)(v)(II) of the Commodity Exchange Act.</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Qualified Plan</w:t>
      </w:r>
      <w:r>
        <w:rPr>
          <w:rFonts w:ascii="Times New Roman" w:cs="Times New Roman" w:eastAsia="Times New Roman" w:hAnsi="Times New Roman"/>
          <w:sz w:val="18"/>
          <w:szCs w:val="18"/>
          <w:color w:val="auto"/>
        </w:rPr>
        <w:t>” means a Benefit Arrangement that is intended to be tax-qualified under Section 401(a) of the Internal Revenue Code.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Rating Agency</w:t>
      </w:r>
      <w:r>
        <w:rPr>
          <w:rFonts w:ascii="Times New Roman" w:cs="Times New Roman" w:eastAsia="Times New Roman" w:hAnsi="Times New Roman"/>
          <w:sz w:val="18"/>
          <w:szCs w:val="18"/>
          <w:color w:val="auto"/>
        </w:rPr>
        <w:t>” means S&amp;P or Moody’s.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Recipient</w:t>
      </w:r>
      <w:r>
        <w:rPr>
          <w:rFonts w:ascii="Times New Roman" w:cs="Times New Roman" w:eastAsia="Times New Roman" w:hAnsi="Times New Roman"/>
          <w:sz w:val="18"/>
          <w:szCs w:val="18"/>
          <w:color w:val="auto"/>
        </w:rPr>
        <w:t>” means (a) the Administrative Agent, (b) any Lender and (c) the Issuing Bank, as applicable.</w:t>
      </w:r>
    </w:p>
    <w:p>
      <w:pPr>
        <w:spacing w:after="0" w:line="225" w:lineRule="exact"/>
        <w:rPr>
          <w:sz w:val="20"/>
          <w:szCs w:val="20"/>
          <w:color w:val="auto"/>
        </w:rPr>
      </w:pPr>
    </w:p>
    <w:p>
      <w:pPr>
        <w:ind w:right="20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Recourse Indebtedness</w:t>
      </w:r>
      <w:r>
        <w:rPr>
          <w:rFonts w:ascii="Times New Roman" w:cs="Times New Roman" w:eastAsia="Times New Roman" w:hAnsi="Times New Roman"/>
          <w:sz w:val="18"/>
          <w:szCs w:val="18"/>
          <w:color w:val="auto"/>
        </w:rPr>
        <w:t>” means, with respect to a Person, any Indebtedness other than Indebtedness for borrowed money in respect of which recourse for payment (except for customary exceptions for fraud, misapplication of funds, environmental indemnities, voluntary bankruptcy, collusive involuntary bankruptcy and other similar customary exceptions to nonrecourse liability) is contractually limited to specific assets of such Person encumbered by a Lien securing such Indebtedness.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 has the meaning given that term in Section 12.6.(c).</w:t>
      </w:r>
    </w:p>
    <w:p>
      <w:pPr>
        <w:spacing w:after="0" w:line="225"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Regulatory Change</w:t>
      </w:r>
      <w:r>
        <w:rPr>
          <w:rFonts w:ascii="Times New Roman" w:cs="Times New Roman" w:eastAsia="Times New Roman" w:hAnsi="Times New Roman"/>
          <w:sz w:val="18"/>
          <w:szCs w:val="18"/>
          <w:color w:val="auto"/>
        </w:rPr>
        <w:t>” means, with respect to any Lender, any change effective after the Agreement Date in Applicable Law (including without limitation, Regulation D of the FRB) or the adoption or making after such date of any interpretation, directive or request applying to a class of banks, including such Lender, of or under any Applicable Law (whether or not having the force of law and whether or not failure to comply therewith would be unlawful) by any Governmental Authority or monetary authority charged with the interpretation, implementation or administration thereof or compliance by any Lender with any request or directive regarding capital adequacy. Notwithstanding anything herein to the contrary, (a) the Dodd-Frank Wall Street Reform and Consumer Protection Act and all requests, rules, regulations,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- 27 -</w:t>
      </w:r>
    </w:p>
    <w:p>
      <w:pPr>
        <w:sectPr>
          <w:pgSz w:w="11900" w:h="16838" w:orient="portrait"/>
          <w:cols w:equalWidth="0" w:num="1">
            <w:col w:w="11000"/>
          </w:cols>
          <w:pgMar w:left="440" w:top="266" w:right="459" w:bottom="1440" w:gutter="0" w:footer="0" w:header="0"/>
        </w:sectPr>
      </w:pPr>
    </w:p>
    <w:bookmarkStart w:id="37" w:name="page38"/>
    <w:bookmarkEnd w:id="37"/>
    <w:p>
      <w:pPr>
        <w:ind w:left="4"/>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guidelines, interpretations or directives thereunder or issued in connection therewith (whether or not having the force of law and whether or not failure to comply therewith would be unlawful) and (b) all requests, rules, regulations, guidelines, interpretations or directives promulgated by the Bank for International Settlements, the Basel Committee on Banking Supervision (or any successor or similar authority) or the United States or foreign regulatory authorities (whether or not having the force of law and whether or not failure to comply therewith would be unlawful), in each case pursuant to Basel III, shall in each case be deemed to be a “Regulatory Change”, regardless of the date enacted, adopted, promulgated, implemented or issued.</w:t>
      </w:r>
    </w:p>
    <w:p>
      <w:pPr>
        <w:spacing w:after="0" w:line="179" w:lineRule="exact"/>
        <w:rPr>
          <w:sz w:val="20"/>
          <w:szCs w:val="20"/>
          <w:color w:val="auto"/>
        </w:rPr>
      </w:pPr>
    </w:p>
    <w:p>
      <w:pPr>
        <w:ind w:left="4" w:right="2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Reimbursement Obligation</w:t>
      </w:r>
      <w:r>
        <w:rPr>
          <w:rFonts w:ascii="Times New Roman" w:cs="Times New Roman" w:eastAsia="Times New Roman" w:hAnsi="Times New Roman"/>
          <w:sz w:val="18"/>
          <w:szCs w:val="18"/>
          <w:color w:val="auto"/>
        </w:rPr>
        <w:t>” means the absolute, unconditional and irrevocable obligation of the Borrower to reimburse the Issuing Bank for any drawing honored by the Issuing Bank under a Letter of Credit.</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REIT</w:t>
      </w:r>
      <w:r>
        <w:rPr>
          <w:rFonts w:ascii="Times New Roman" w:cs="Times New Roman" w:eastAsia="Times New Roman" w:hAnsi="Times New Roman"/>
          <w:sz w:val="18"/>
          <w:szCs w:val="18"/>
          <w:color w:val="auto"/>
        </w:rPr>
        <w:t>” means a Person qualifying for treatment as a “real estate investment trust” under the Internal Revenue Code.</w:t>
      </w:r>
    </w:p>
    <w:p>
      <w:pPr>
        <w:spacing w:after="0" w:line="225" w:lineRule="exact"/>
        <w:rPr>
          <w:sz w:val="20"/>
          <w:szCs w:val="20"/>
          <w:color w:val="auto"/>
        </w:rPr>
      </w:pPr>
    </w:p>
    <w:p>
      <w:pPr>
        <w:ind w:left="4" w:right="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Related Parties</w:t>
      </w:r>
      <w:r>
        <w:rPr>
          <w:rFonts w:ascii="Times New Roman" w:cs="Times New Roman" w:eastAsia="Times New Roman" w:hAnsi="Times New Roman"/>
          <w:sz w:val="18"/>
          <w:szCs w:val="18"/>
          <w:color w:val="auto"/>
        </w:rPr>
        <w:t>” means, with respect to any Person, such Person’s Affiliates and the partners, directors, officers, employees, agents and advisors of such Person and of such Person’s Affiliates.</w:t>
      </w:r>
    </w:p>
    <w:p>
      <w:pPr>
        <w:spacing w:after="0" w:line="155" w:lineRule="exact"/>
        <w:rPr>
          <w:sz w:val="20"/>
          <w:szCs w:val="20"/>
          <w:color w:val="auto"/>
        </w:rPr>
      </w:pPr>
    </w:p>
    <w:p>
      <w:pPr>
        <w:ind w:left="4" w:right="1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Relevant Governmental Body</w:t>
      </w:r>
      <w:r>
        <w:rPr>
          <w:rFonts w:ascii="Times New Roman" w:cs="Times New Roman" w:eastAsia="Times New Roman" w:hAnsi="Times New Roman"/>
          <w:sz w:val="18"/>
          <w:szCs w:val="18"/>
          <w:color w:val="auto"/>
        </w:rPr>
        <w:t>” means the FRB or the Federal Reserve Bank of New York, or a committee officially endorsed or convened by the FRB or the Federal Reserve Bank of New York, or any successor thereto.</w:t>
      </w:r>
    </w:p>
    <w:p>
      <w:pPr>
        <w:spacing w:after="0" w:line="155"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Requisite Lenders</w:t>
      </w:r>
      <w:r>
        <w:rPr>
          <w:rFonts w:ascii="Times New Roman" w:cs="Times New Roman" w:eastAsia="Times New Roman" w:hAnsi="Times New Roman"/>
          <w:sz w:val="18"/>
          <w:szCs w:val="18"/>
          <w:color w:val="auto"/>
        </w:rPr>
        <w:t>” means, as of any date, (a) Lenders having more than 50.0% of the aggregate amount of the Revolving Commitments or</w:t>
      </w:r>
    </w:p>
    <w:p>
      <w:pPr>
        <w:spacing w:after="0" w:line="31" w:lineRule="exact"/>
        <w:rPr>
          <w:sz w:val="20"/>
          <w:szCs w:val="20"/>
          <w:color w:val="auto"/>
        </w:rPr>
      </w:pPr>
    </w:p>
    <w:p>
      <w:pPr>
        <w:ind w:left="4" w:right="100" w:hanging="4"/>
        <w:spacing w:after="0" w:line="252" w:lineRule="auto"/>
        <w:tabs>
          <w:tab w:leader="none" w:pos="25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Revolving Commitments have been terminated or reduced to zero, Lenders holding more than 50.0% of the principal amount of the aggregate outstanding Loans and Letter of Credit Liabilities; provided that in determining such percentage at any given time, all then existing Defaulting Lenders will be disregarded and excluded; provided, further, that at all times when two or more Lenders (excluding Defaulting Lenders) are party to this Agreement, the term “Requisite Lenders” shall in no event mean less than two unaffiliated Lenders. For purposes of this definition, a Lender shall be deemed to hold a Swingline Loan or a Letter of Credit Liability to the extent such Lender has acquired a participation therein under the terms of this Agreement and has not failed to perform its obligations in respect of such participation.</w:t>
      </w:r>
    </w:p>
    <w:p>
      <w:pPr>
        <w:spacing w:after="0" w:line="18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Resolution Authority</w:t>
      </w:r>
      <w:r>
        <w:rPr>
          <w:rFonts w:ascii="Times New Roman" w:cs="Times New Roman" w:eastAsia="Times New Roman" w:hAnsi="Times New Roman"/>
          <w:sz w:val="18"/>
          <w:szCs w:val="18"/>
          <w:color w:val="auto"/>
        </w:rPr>
        <w:t>” means an EEA Resolution Authority or, with respect to any UK Financial Institution, a UK Resolution Authority.</w:t>
      </w:r>
    </w:p>
    <w:p>
      <w:pPr>
        <w:spacing w:after="0" w:line="225" w:lineRule="exact"/>
        <w:rPr>
          <w:sz w:val="20"/>
          <w:szCs w:val="20"/>
          <w:color w:val="auto"/>
        </w:rPr>
      </w:pPr>
    </w:p>
    <w:p>
      <w:pPr>
        <w:ind w:left="4" w:right="120" w:firstLine="4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Responsible Officer</w:t>
      </w:r>
      <w:r>
        <w:rPr>
          <w:rFonts w:ascii="Times New Roman" w:cs="Times New Roman" w:eastAsia="Times New Roman" w:hAnsi="Times New Roman"/>
          <w:sz w:val="17"/>
          <w:szCs w:val="17"/>
          <w:color w:val="auto"/>
        </w:rPr>
        <w:t>” means with respect to the Borrower or any Subsidiary, the chief executive officer, the chief financial officer, the treasurer or the chief operating officer of the Borrower or such Subsidiary and, solely in the case of the Borrower, the chief accounting officer of the Borrower.</w:t>
      </w:r>
    </w:p>
    <w:p>
      <w:pPr>
        <w:spacing w:after="0" w:line="132" w:lineRule="exact"/>
        <w:rPr>
          <w:sz w:val="20"/>
          <w:szCs w:val="20"/>
          <w:color w:val="auto"/>
        </w:rPr>
      </w:pPr>
    </w:p>
    <w:p>
      <w:pPr>
        <w:ind w:left="4" w:right="20" w:firstLine="440"/>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Payment</w:t>
      </w:r>
      <w:r>
        <w:rPr>
          <w:rFonts w:ascii="Times New Roman" w:cs="Times New Roman" w:eastAsia="Times New Roman" w:hAnsi="Times New Roman"/>
          <w:sz w:val="18"/>
          <w:szCs w:val="18"/>
          <w:color w:val="auto"/>
        </w:rPr>
        <w:t>” means (a) any dividend or other distribution, direct or indirect, on account of any Equity Interest of the Borrower or any of its Subsidiaries now or hereafter outstanding, except a dividend payable solely in shares of that class of Equity Interests to the holders of that class;</w:t>
      </w:r>
    </w:p>
    <w:p>
      <w:pPr>
        <w:spacing w:after="0" w:line="1" w:lineRule="exact"/>
        <w:rPr>
          <w:sz w:val="20"/>
          <w:szCs w:val="20"/>
          <w:color w:val="auto"/>
        </w:rPr>
      </w:pPr>
    </w:p>
    <w:p>
      <w:pPr>
        <w:jc w:val="both"/>
        <w:ind w:left="4" w:hanging="4"/>
        <w:spacing w:after="0" w:line="253" w:lineRule="auto"/>
        <w:tabs>
          <w:tab w:leader="none" w:pos="25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redemption, conversion, exchange, retirement, sinking fund or similar payment, purchase or other acquisition for value, direct or indirect, of any shares of any Equity Interest of the Borrower or any of its Subsidiaries now or hereafter outstanding; and (c) any payment made to retire, or to obtain the surrender of, any outstanding warrants, options or other rights to acquire any Equity Interests of the Borrower or any of its Subsidiaries now or hereafter outstanding.</w:t>
      </w:r>
    </w:p>
    <w:p>
      <w:pPr>
        <w:spacing w:after="0" w:line="121"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28 -</w:t>
      </w:r>
    </w:p>
    <w:p>
      <w:pPr>
        <w:sectPr>
          <w:pgSz w:w="11900" w:h="16838" w:orient="portrait"/>
          <w:cols w:equalWidth="0" w:num="1">
            <w:col w:w="11004"/>
          </w:cols>
          <w:pgMar w:left="436" w:top="270" w:right="459" w:bottom="1440" w:gutter="0" w:footer="0" w:header="0"/>
        </w:sectPr>
      </w:pPr>
    </w:p>
    <w:bookmarkStart w:id="38" w:name="page39"/>
    <w:bookmarkEnd w:id="38"/>
    <w:p>
      <w:pPr>
        <w:ind w:right="8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Retail Property</w:t>
      </w:r>
      <w:r>
        <w:rPr>
          <w:rFonts w:ascii="Times New Roman" w:cs="Times New Roman" w:eastAsia="Times New Roman" w:hAnsi="Times New Roman"/>
          <w:sz w:val="18"/>
          <w:szCs w:val="18"/>
          <w:color w:val="auto"/>
        </w:rPr>
        <w:t>” means each Property listed on Part I of Schedule 6.1.(f) hereto as a Retail Property and any other Property, a substantial use of which is the retail sale of goods and services, which may include a Property that is part of a Mixed-Use Project.</w:t>
      </w:r>
    </w:p>
    <w:p>
      <w:pPr>
        <w:spacing w:after="0" w:line="155"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Commitment</w:t>
      </w:r>
      <w:r>
        <w:rPr>
          <w:rFonts w:ascii="Times New Roman" w:cs="Times New Roman" w:eastAsia="Times New Roman" w:hAnsi="Times New Roman"/>
          <w:sz w:val="18"/>
          <w:szCs w:val="18"/>
          <w:color w:val="auto"/>
        </w:rPr>
        <w:t>” means, as to each Lender (other than the Swingline Lender), such Lender’s obligation to make Revolving Loans pursuant to Section 2.1., to issue (in the case of the Issuing Bank) and to participate (in the case of the other Lenders) in Letters of Credit pursuant to Section 2.3.(i), and to participate in Swingline Loans pursuant to Section 2.4.(e), in an amount up to, but not exceeding the amount set forth for such Lender on Schedule I as such Lender’s “Revolving Commitment Amount” or as set forth in any applicable Assignment and Assumption, or agreement executed by a Lender becoming a party hereto in accordance with Section 2.16., as the same may be reduced from time to time pursuant to Section 2.12. or increased or reduced as appropriate to reflect any assignments to or by such Lender effected in accordance with Section 12.6. or increased as appropriate to reflect any increase effected in accordance with Section 2.16.</w:t>
      </w:r>
    </w:p>
    <w:p>
      <w:pPr>
        <w:spacing w:after="0" w:line="183" w:lineRule="exact"/>
        <w:rPr>
          <w:sz w:val="20"/>
          <w:szCs w:val="20"/>
          <w:color w:val="auto"/>
        </w:rPr>
      </w:pPr>
    </w:p>
    <w:p>
      <w:pPr>
        <w:ind w:right="8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Commitment Percentage</w:t>
      </w:r>
      <w:r>
        <w:rPr>
          <w:rFonts w:ascii="Times New Roman" w:cs="Times New Roman" w:eastAsia="Times New Roman" w:hAnsi="Times New Roman"/>
          <w:sz w:val="18"/>
          <w:szCs w:val="18"/>
          <w:color w:val="auto"/>
        </w:rPr>
        <w:t>” means, as to each Lender with a Revolving Commitment, the ratio, expressed as a percentage, of (a) the amount of such Lender’s Revolving Commitment to (b) the aggregate amount of the Revolving Commitments of all Lenders; provided, however, that if at the time of determination the Revolving Commitments have been terminated or been reduced to zero, the “Revolving Commitment Percentage” of each Lender with a Revolving Commitment shall be the “Revolving Commitment Percentage” of such Lender in effect immediately prior to such termination or reduction.</w:t>
      </w:r>
    </w:p>
    <w:p>
      <w:pPr>
        <w:spacing w:after="0" w:line="179" w:lineRule="exact"/>
        <w:rPr>
          <w:sz w:val="20"/>
          <w:szCs w:val="20"/>
          <w:color w:val="auto"/>
        </w:rPr>
      </w:pPr>
    </w:p>
    <w:p>
      <w:pPr>
        <w:ind w:right="3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Credit Exposure</w:t>
      </w:r>
      <w:r>
        <w:rPr>
          <w:rFonts w:ascii="Times New Roman" w:cs="Times New Roman" w:eastAsia="Times New Roman" w:hAnsi="Times New Roman"/>
          <w:sz w:val="18"/>
          <w:szCs w:val="18"/>
          <w:color w:val="auto"/>
        </w:rPr>
        <w:t>” means, as to any Lender at any time, the aggregate principal amount at such time of its outstanding Revolving Loans and such Lender’s participation in Letter of Credit Liabilities and Swingline Loans at such time.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Loan</w:t>
      </w:r>
      <w:r>
        <w:rPr>
          <w:rFonts w:ascii="Times New Roman" w:cs="Times New Roman" w:eastAsia="Times New Roman" w:hAnsi="Times New Roman"/>
          <w:sz w:val="18"/>
          <w:szCs w:val="18"/>
          <w:color w:val="auto"/>
        </w:rPr>
        <w:t>” means a loan made by a Lender to the Borrower pursuant to Section 2.1.(a).</w:t>
      </w:r>
    </w:p>
    <w:p>
      <w:pPr>
        <w:spacing w:after="0" w:line="225" w:lineRule="exact"/>
        <w:rPr>
          <w:sz w:val="20"/>
          <w:szCs w:val="20"/>
          <w:color w:val="auto"/>
        </w:rPr>
      </w:pPr>
    </w:p>
    <w:p>
      <w:pPr>
        <w:jc w:val="both"/>
        <w:ind w:right="1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Note</w:t>
      </w:r>
      <w:r>
        <w:rPr>
          <w:rFonts w:ascii="Times New Roman" w:cs="Times New Roman" w:eastAsia="Times New Roman" w:hAnsi="Times New Roman"/>
          <w:sz w:val="18"/>
          <w:szCs w:val="18"/>
          <w:color w:val="auto"/>
        </w:rPr>
        <w:t>” means a promissory note of the Borrower substantially in the form of Exhibit I, payable to the order of a Lender in a principal amount equal to the amount of such Lender’s Revolving Commitment.</w:t>
      </w:r>
    </w:p>
    <w:p>
      <w:pPr>
        <w:spacing w:after="0" w:line="155" w:lineRule="exact"/>
        <w:rPr>
          <w:sz w:val="20"/>
          <w:szCs w:val="20"/>
          <w:color w:val="auto"/>
        </w:rPr>
      </w:pPr>
    </w:p>
    <w:p>
      <w:pPr>
        <w:ind w:right="2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Termination Date</w:t>
      </w:r>
      <w:r>
        <w:rPr>
          <w:rFonts w:ascii="Times New Roman" w:cs="Times New Roman" w:eastAsia="Times New Roman" w:hAnsi="Times New Roman"/>
          <w:sz w:val="18"/>
          <w:szCs w:val="18"/>
          <w:color w:val="auto"/>
        </w:rPr>
        <w:t>” means April 5, 2027, or such later date to which the Revolving Termination Date may be extended pursuant to Section 2.13.</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S&amp;P</w:t>
      </w:r>
      <w:r>
        <w:rPr>
          <w:rFonts w:ascii="Times New Roman" w:cs="Times New Roman" w:eastAsia="Times New Roman" w:hAnsi="Times New Roman"/>
          <w:sz w:val="18"/>
          <w:szCs w:val="18"/>
          <w:color w:val="auto"/>
        </w:rPr>
        <w:t>” means S&amp;P Global Ratings, a business unit of Standard &amp; Poor’s Financial Services LLC, and any successor thereto.</w:t>
      </w:r>
    </w:p>
    <w:p>
      <w:pPr>
        <w:spacing w:after="0" w:line="225" w:lineRule="exact"/>
        <w:rPr>
          <w:sz w:val="20"/>
          <w:szCs w:val="20"/>
          <w:color w:val="auto"/>
        </w:rPr>
      </w:pPr>
    </w:p>
    <w:p>
      <w:pPr>
        <w:jc w:val="both"/>
        <w:ind w:right="1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Sanctioned Country</w:t>
      </w:r>
      <w:r>
        <w:rPr>
          <w:rFonts w:ascii="Times New Roman" w:cs="Times New Roman" w:eastAsia="Times New Roman" w:hAnsi="Times New Roman"/>
          <w:sz w:val="18"/>
          <w:szCs w:val="18"/>
          <w:color w:val="auto"/>
        </w:rPr>
        <w:t>” means, at any time, a country, region or territory which is itself the subject or target of any Sanctions (including, without limitation, at the time of this agreement, the Crimea Region of Ukraine, the so-called Donetsk People’s Republic or Luhansk People’s Republic regions of Ukraine, Cuba, Iran, North Korea and Syria).</w:t>
      </w:r>
    </w:p>
    <w:p>
      <w:pPr>
        <w:spacing w:after="0" w:line="171"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Sanctioned Person</w:t>
      </w:r>
      <w:r>
        <w:rPr>
          <w:rFonts w:ascii="Times New Roman" w:cs="Times New Roman" w:eastAsia="Times New Roman" w:hAnsi="Times New Roman"/>
          <w:sz w:val="18"/>
          <w:szCs w:val="18"/>
          <w:color w:val="auto"/>
        </w:rPr>
        <w:t>” means, at any time, (a) any Person listed in any Sanctions-related list of designated Persons maintained by OFAC (including OFAC’s Specially Designated Nationals and Blocked Persons List and OFAC’s Consolidated Non-SDN List), the U.S. Department of State, the United Nations Security Council, the European Union, any European member state, His Majesty’s Treasury, or other relevant sanctions authority, (b) any Person operating, organized or resident in a Sanctioned Country, (c) any Person owned or controlled by, or acting or purporting to act for or on behalf of, directly or indirectly, any such Person or Persons described in clauses (a) and (b), including a Person that is deemed by OFAC to be a Sanctions target based on the ownership of such legal entity by Sanctioned Person(s) or (d) any Person otherwise a target of Sanctions, including vessels and aircraft, that are designated under any Sanctions program.</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- 29 -</w:t>
      </w:r>
    </w:p>
    <w:p>
      <w:pPr>
        <w:sectPr>
          <w:pgSz w:w="11900" w:h="16838" w:orient="portrait"/>
          <w:cols w:equalWidth="0" w:num="1">
            <w:col w:w="11000"/>
          </w:cols>
          <w:pgMar w:left="440" w:top="266" w:right="459" w:bottom="1440" w:gutter="0" w:footer="0" w:header="0"/>
        </w:sectPr>
      </w:pPr>
    </w:p>
    <w:bookmarkStart w:id="39" w:name="page40"/>
    <w:bookmarkEnd w:id="39"/>
    <w:p>
      <w:pPr>
        <w:ind w:firstLine="44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means any and all economic or financial sanctions, sectoral sanctions, secondary sanctions, trade embargoes and restrictions and anti-terrorism laws, including but not limited to those imposed, administered or enforced from time to time by the U.S. government (including those administered by OFAC or the U.S. Department of State), the United Nations Security Council, the European Union, any European member state, His Majesty’s Treasury, or other relevant sanctions authority in any jurisdiction in which (a) the Borrower or any of its Subsidiaries or Affiliates is located or conducts business, (b) in which any of the proceeds of the Extensions of Credit will be used, or (c) from which repayment of the Extensions of Credit will be derived.</w:t>
      </w:r>
    </w:p>
    <w:p>
      <w:pPr>
        <w:spacing w:after="0" w:line="182" w:lineRule="exact"/>
        <w:rPr>
          <w:sz w:val="20"/>
          <w:szCs w:val="20"/>
          <w:color w:val="auto"/>
        </w:rPr>
      </w:pPr>
    </w:p>
    <w:p>
      <w:pPr>
        <w:ind w:right="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Secured Indebtedness</w:t>
      </w:r>
      <w:r>
        <w:rPr>
          <w:rFonts w:ascii="Times New Roman" w:cs="Times New Roman" w:eastAsia="Times New Roman" w:hAnsi="Times New Roman"/>
          <w:sz w:val="18"/>
          <w:szCs w:val="18"/>
          <w:color w:val="auto"/>
        </w:rPr>
        <w:t xml:space="preserve">” means, with respect to any Person, (a) all Indebtedness of such Person that is secured in any manner by any Lien on any property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such Person’s Ownership Share of the Secured Indebtedness of any of such Person’s Unconsolidated Affiliates.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as amended from time to time, together with all rules and regulations issued thereunder.</w:t>
      </w:r>
    </w:p>
    <w:p>
      <w:pPr>
        <w:spacing w:after="0" w:line="225" w:lineRule="exact"/>
        <w:rPr>
          <w:sz w:val="20"/>
          <w:szCs w:val="20"/>
          <w:color w:val="auto"/>
        </w:rPr>
      </w:pPr>
    </w:p>
    <w:p>
      <w:pPr>
        <w:ind w:right="3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Exchange Act</w:t>
      </w:r>
      <w:r>
        <w:rPr>
          <w:rFonts w:ascii="Times New Roman" w:cs="Times New Roman" w:eastAsia="Times New Roman" w:hAnsi="Times New Roman"/>
          <w:sz w:val="18"/>
          <w:szCs w:val="18"/>
          <w:color w:val="auto"/>
        </w:rPr>
        <w:t>” means the Securities Exchange Act of 1934, as amended from time to time, together with all rules and regulations issued thereunder.</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Significant Subsidiary</w:t>
      </w:r>
      <w:r>
        <w:rPr>
          <w:rFonts w:ascii="Times New Roman" w:cs="Times New Roman" w:eastAsia="Times New Roman" w:hAnsi="Times New Roman"/>
          <w:sz w:val="18"/>
          <w:szCs w:val="18"/>
          <w:color w:val="auto"/>
        </w:rPr>
        <w:t>” means any Subsidiary to which more than $200,000,000 of Total Asset Value is attributable on an individual basis.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Simple SOFR Adjustment</w:t>
      </w:r>
      <w:r>
        <w:rPr>
          <w:rFonts w:ascii="Times New Roman" w:cs="Times New Roman" w:eastAsia="Times New Roman" w:hAnsi="Times New Roman"/>
          <w:sz w:val="18"/>
          <w:szCs w:val="18"/>
          <w:color w:val="auto"/>
        </w:rPr>
        <w:t>” means a percentage equal to 0.10% per annum.</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Simple SOFR Determination Day</w:t>
      </w:r>
      <w:r>
        <w:rPr>
          <w:rFonts w:ascii="Times New Roman" w:cs="Times New Roman" w:eastAsia="Times New Roman" w:hAnsi="Times New Roman"/>
          <w:sz w:val="18"/>
          <w:szCs w:val="18"/>
          <w:color w:val="auto"/>
        </w:rPr>
        <w:t>” has the meaning specified in the definition of “Adjusted Daily Simple SOFR.”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Simple SOFR Rate Day</w:t>
      </w:r>
      <w:r>
        <w:rPr>
          <w:rFonts w:ascii="Times New Roman" w:cs="Times New Roman" w:eastAsia="Times New Roman" w:hAnsi="Times New Roman"/>
          <w:sz w:val="18"/>
          <w:szCs w:val="18"/>
          <w:color w:val="auto"/>
        </w:rPr>
        <w:t>” has the meaning given that term in the definition of the term “Adjusted Daily Simple SOFR.”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SOFR</w:t>
      </w:r>
      <w:r>
        <w:rPr>
          <w:rFonts w:ascii="Times New Roman" w:cs="Times New Roman" w:eastAsia="Times New Roman" w:hAnsi="Times New Roman"/>
          <w:sz w:val="18"/>
          <w:szCs w:val="18"/>
          <w:color w:val="auto"/>
        </w:rPr>
        <w:t>” means a rate equal to the secured overnight financing rate as administered by the SOFR Administrator.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SOFR Administrator</w:t>
      </w:r>
      <w:r>
        <w:rPr>
          <w:rFonts w:ascii="Times New Roman" w:cs="Times New Roman" w:eastAsia="Times New Roman" w:hAnsi="Times New Roman"/>
          <w:sz w:val="18"/>
          <w:szCs w:val="18"/>
          <w:color w:val="auto"/>
        </w:rPr>
        <w:t>” means the Federal Reserve Bank of New York (or a successor administrator of the secured overnight financing rate).</w:t>
      </w:r>
    </w:p>
    <w:p>
      <w:pPr>
        <w:spacing w:after="0" w:line="225" w:lineRule="exact"/>
        <w:rPr>
          <w:sz w:val="20"/>
          <w:szCs w:val="20"/>
          <w:color w:val="auto"/>
        </w:rPr>
      </w:pPr>
    </w:p>
    <w:p>
      <w:pPr>
        <w:ind w:right="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SOFR Administrator’s Website</w:t>
      </w:r>
      <w:r>
        <w:rPr>
          <w:rFonts w:ascii="Times New Roman" w:cs="Times New Roman" w:eastAsia="Times New Roman" w:hAnsi="Times New Roman"/>
          <w:sz w:val="18"/>
          <w:szCs w:val="18"/>
          <w:color w:val="auto"/>
        </w:rPr>
        <w:t>” means the website of the Federal Reserve Bank of New York, currently at http://www.newyorkfed.org, or any successor source for the secured overnight financing rate identified as such by the SOFR Administrator from time to time.</w:t>
      </w:r>
    </w:p>
    <w:p>
      <w:pPr>
        <w:spacing w:after="0" w:line="155" w:lineRule="exact"/>
        <w:rPr>
          <w:sz w:val="20"/>
          <w:szCs w:val="20"/>
          <w:color w:val="auto"/>
        </w:rPr>
      </w:pPr>
    </w:p>
    <w:p>
      <w:pPr>
        <w:ind w:right="7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SOFR Auction</w:t>
      </w:r>
      <w:r>
        <w:rPr>
          <w:rFonts w:ascii="Times New Roman" w:cs="Times New Roman" w:eastAsia="Times New Roman" w:hAnsi="Times New Roman"/>
          <w:sz w:val="18"/>
          <w:szCs w:val="18"/>
          <w:color w:val="auto"/>
        </w:rPr>
        <w:t>” means a solicitation of Bid Rate Quotes setting forth SOFR Margin Loans based on Adjusted Term SOFR pursuant to Section 2.2.</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SOFR Loan</w:t>
      </w:r>
      <w:r>
        <w:rPr>
          <w:rFonts w:ascii="Times New Roman" w:cs="Times New Roman" w:eastAsia="Times New Roman" w:hAnsi="Times New Roman"/>
          <w:sz w:val="18"/>
          <w:szCs w:val="18"/>
          <w:color w:val="auto"/>
        </w:rPr>
        <w:t>” means any Daily Simple SOFR Loan or Term SOFR Loan.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SOFR Margin</w:t>
      </w:r>
      <w:r>
        <w:rPr>
          <w:rFonts w:ascii="Times New Roman" w:cs="Times New Roman" w:eastAsia="Times New Roman" w:hAnsi="Times New Roman"/>
          <w:sz w:val="18"/>
          <w:szCs w:val="18"/>
          <w:color w:val="auto"/>
        </w:rPr>
        <w:t>” has the meaning given that term in Section 2.2.(c)(ii)(D).</w:t>
      </w:r>
    </w:p>
    <w:p>
      <w:pPr>
        <w:spacing w:after="0" w:line="16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- 30 -</w:t>
      </w:r>
    </w:p>
    <w:p>
      <w:pPr>
        <w:sectPr>
          <w:pgSz w:w="11900" w:h="16838" w:orient="portrait"/>
          <w:cols w:equalWidth="0" w:num="1">
            <w:col w:w="11000"/>
          </w:cols>
          <w:pgMar w:left="440" w:top="266" w:right="459" w:bottom="1440" w:gutter="0" w:footer="0" w:header="0"/>
        </w:sectPr>
      </w:pPr>
    </w:p>
    <w:bookmarkStart w:id="40" w:name="page41"/>
    <w:bookmarkEnd w:id="40"/>
    <w:p>
      <w:pPr>
        <w:ind w:right="4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SOFR Margin Loan</w:t>
      </w:r>
      <w:r>
        <w:rPr>
          <w:rFonts w:ascii="Times New Roman" w:cs="Times New Roman" w:eastAsia="Times New Roman" w:hAnsi="Times New Roman"/>
          <w:sz w:val="18"/>
          <w:szCs w:val="18"/>
          <w:color w:val="auto"/>
        </w:rPr>
        <w:t>” means a Bid Rate Loan the interest rate on which is determined on the basis of Adjusted Term SOFR pursuant to a SOFR Auction.</w:t>
      </w:r>
    </w:p>
    <w:p>
      <w:pPr>
        <w:spacing w:after="0" w:line="155"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Solvent</w:t>
      </w:r>
      <w:r>
        <w:rPr>
          <w:rFonts w:ascii="Times New Roman" w:cs="Times New Roman" w:eastAsia="Times New Roman" w:hAnsi="Times New Roman"/>
          <w:sz w:val="18"/>
          <w:szCs w:val="18"/>
          <w:color w:val="auto"/>
        </w:rPr>
        <w:t>” means, when used with respect to any Person, that (a) the fair value and the fair salable value of its assets (excluding any Indebtedness due from any Affiliate of such Person) are each in excess of the fair valuation of its total liabilities (including all contingent liabilities computed at the amount which, in light of all facts and circumstances existing at such time, represents the amount that could reasonably be expected to become an actual and matured liability); (b) such Person is able to pay its debts or other obligations in the ordinary course as they mature; and (c) such Person has capital not unreasonably small to carry on its business and all business in which it proposes to be engaged.</w:t>
      </w:r>
    </w:p>
    <w:p>
      <w:pPr>
        <w:spacing w:after="0" w:line="179" w:lineRule="exact"/>
        <w:rPr>
          <w:sz w:val="20"/>
          <w:szCs w:val="20"/>
          <w:color w:val="auto"/>
        </w:rPr>
      </w:pPr>
    </w:p>
    <w:p>
      <w:pPr>
        <w:jc w:val="both"/>
        <w:ind w:right="3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Derivatives Contract</w:t>
      </w:r>
      <w:r>
        <w:rPr>
          <w:rFonts w:ascii="Times New Roman" w:cs="Times New Roman" w:eastAsia="Times New Roman" w:hAnsi="Times New Roman"/>
          <w:sz w:val="18"/>
          <w:szCs w:val="18"/>
          <w:color w:val="auto"/>
        </w:rPr>
        <w:t>” means any Derivatives Contract, together with any Derivatives Support Document relating thereto, that is made or entered into at any time, or in effect at any time now or hereafter, whether as a result of an assignment or transfer or otherwise, between the Borrower or any Subsidiary of the Borrower and any Specified Derivatives Provider.</w:t>
      </w:r>
    </w:p>
    <w:p>
      <w:pPr>
        <w:spacing w:after="0" w:line="171" w:lineRule="exact"/>
        <w:rPr>
          <w:sz w:val="20"/>
          <w:szCs w:val="20"/>
          <w:color w:val="auto"/>
        </w:rPr>
      </w:pPr>
    </w:p>
    <w:p>
      <w:pPr>
        <w:ind w:right="1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Derivatives Obligations</w:t>
      </w:r>
      <w:r>
        <w:rPr>
          <w:rFonts w:ascii="Times New Roman" w:cs="Times New Roman" w:eastAsia="Times New Roman" w:hAnsi="Times New Roman"/>
          <w:sz w:val="18"/>
          <w:szCs w:val="18"/>
          <w:color w:val="auto"/>
        </w:rPr>
        <w:t>” means all indebtedness, liabilities, obligations, covenants and duties of the Borrower or its Subsidiaries under or in respect of any Specified Derivatives Contract, whether direct or indirect, absolute or contingent, due or not due, liquidated or unliquidated, and whether or not evidenced by any written confirmation.</w:t>
      </w:r>
    </w:p>
    <w:p>
      <w:pPr>
        <w:spacing w:after="0" w:line="171" w:lineRule="exact"/>
        <w:rPr>
          <w:sz w:val="20"/>
          <w:szCs w:val="20"/>
          <w:color w:val="auto"/>
        </w:rPr>
      </w:pPr>
    </w:p>
    <w:p>
      <w:pPr>
        <w:ind w:right="6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Derivatives Provider</w:t>
      </w:r>
      <w:r>
        <w:rPr>
          <w:rFonts w:ascii="Times New Roman" w:cs="Times New Roman" w:eastAsia="Times New Roman" w:hAnsi="Times New Roman"/>
          <w:sz w:val="18"/>
          <w:szCs w:val="18"/>
          <w:color w:val="auto"/>
        </w:rPr>
        <w:t>” means any Lender, or any Affiliate of a Lender that is a party to a Derivatives Contract at the time the Derivatives Contract is entered into.</w:t>
      </w:r>
    </w:p>
    <w:p>
      <w:pPr>
        <w:spacing w:after="0" w:line="155" w:lineRule="exact"/>
        <w:rPr>
          <w:sz w:val="20"/>
          <w:szCs w:val="20"/>
          <w:color w:val="auto"/>
        </w:rPr>
      </w:pPr>
    </w:p>
    <w:p>
      <w:pPr>
        <w:ind w:right="2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Stated Amount</w:t>
      </w:r>
      <w:r>
        <w:rPr>
          <w:rFonts w:ascii="Times New Roman" w:cs="Times New Roman" w:eastAsia="Times New Roman" w:hAnsi="Times New Roman"/>
          <w:sz w:val="18"/>
          <w:szCs w:val="18"/>
          <w:color w:val="auto"/>
        </w:rPr>
        <w:t>” means the amount available to be drawn by a beneficiary under a Letter of Credit from time to time, as such amount may be increased or reduced from time to time in accordance with the terms of such Letter of Credit.</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Stabilized Property</w:t>
      </w:r>
      <w:r>
        <w:rPr>
          <w:rFonts w:ascii="Times New Roman" w:cs="Times New Roman" w:eastAsia="Times New Roman" w:hAnsi="Times New Roman"/>
          <w:sz w:val="18"/>
          <w:szCs w:val="18"/>
          <w:color w:val="auto"/>
        </w:rPr>
        <w:t>” means a property that is not a Development Property.</w:t>
      </w:r>
    </w:p>
    <w:p>
      <w:pPr>
        <w:spacing w:after="0" w:line="225" w:lineRule="exact"/>
        <w:rPr>
          <w:sz w:val="20"/>
          <w:szCs w:val="20"/>
          <w:color w:val="auto"/>
        </w:rPr>
      </w:pPr>
    </w:p>
    <w:p>
      <w:pPr>
        <w:ind w:right="4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for any Person, any corporation, partnership or other entity of which at least a majority of the securities or other ownership interests having by the terms thereof ordinary voting power to elect a majority of the board of directors or other persons performing similar functions of such corporation, partnership or other entity (without regard to the occurrence of any contingency) is at the time directly or indirectly owned or controlled by such Person or one or more Subsidiaries of such Person or by such Person and one or more Subsidiaries of such Person, and shall include all Persons the accounts of which are consolidated with those of such Person pursuant to GAAP.</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Supported QFC</w:t>
      </w:r>
      <w:r>
        <w:rPr>
          <w:rFonts w:ascii="Times New Roman" w:cs="Times New Roman" w:eastAsia="Times New Roman" w:hAnsi="Times New Roman"/>
          <w:sz w:val="18"/>
          <w:szCs w:val="18"/>
          <w:color w:val="auto"/>
        </w:rPr>
        <w:t>” has the meaning given that term in Section 12.24.</w:t>
      </w:r>
    </w:p>
    <w:p>
      <w:pPr>
        <w:spacing w:after="0" w:line="225" w:lineRule="exact"/>
        <w:rPr>
          <w:sz w:val="20"/>
          <w:szCs w:val="20"/>
          <w:color w:val="auto"/>
        </w:rPr>
      </w:pPr>
    </w:p>
    <w:p>
      <w:pPr>
        <w:ind w:right="4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Sustainability Linked Loan Principles</w:t>
      </w:r>
      <w:r>
        <w:rPr>
          <w:rFonts w:ascii="Times New Roman" w:cs="Times New Roman" w:eastAsia="Times New Roman" w:hAnsi="Times New Roman"/>
          <w:sz w:val="18"/>
          <w:szCs w:val="18"/>
          <w:color w:val="auto"/>
        </w:rPr>
        <w:t>” means the Sustainability Linked Loan Principles as most recently published by the Loan Market Association, the Asia Pacific Loan Market Association, and the Loan Syndications &amp; Trading Association.</w:t>
      </w:r>
    </w:p>
    <w:p>
      <w:pPr>
        <w:spacing w:after="0" w:line="155" w:lineRule="exact"/>
        <w:rPr>
          <w:sz w:val="20"/>
          <w:szCs w:val="20"/>
          <w:color w:val="auto"/>
        </w:rPr>
      </w:pPr>
    </w:p>
    <w:p>
      <w:pPr>
        <w:ind w:right="2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Sustainability Structuring Agent</w:t>
      </w:r>
      <w:r>
        <w:rPr>
          <w:rFonts w:ascii="Times New Roman" w:cs="Times New Roman" w:eastAsia="Times New Roman" w:hAnsi="Times New Roman"/>
          <w:sz w:val="18"/>
          <w:szCs w:val="18"/>
          <w:color w:val="auto"/>
        </w:rPr>
        <w:t>” has the meaning set forth in the introductory paragraph hereof and shall include such Person’s successors and permitted assigns.</w:t>
      </w:r>
    </w:p>
    <w:p>
      <w:pPr>
        <w:spacing w:after="0" w:line="155" w:lineRule="exact"/>
        <w:rPr>
          <w:sz w:val="20"/>
          <w:szCs w:val="20"/>
          <w:color w:val="auto"/>
        </w:rPr>
      </w:pPr>
    </w:p>
    <w:p>
      <w:pPr>
        <w:ind w:right="3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Swap Obligation</w:t>
      </w:r>
      <w:r>
        <w:rPr>
          <w:rFonts w:ascii="Times New Roman" w:cs="Times New Roman" w:eastAsia="Times New Roman" w:hAnsi="Times New Roman"/>
          <w:sz w:val="18"/>
          <w:szCs w:val="18"/>
          <w:color w:val="auto"/>
        </w:rPr>
        <w:t>” means, with respect to any Guarantor, any obligation to pay or perform under any agreement, contract or transaction that constitutes a “swap” within the meaning of section 1a(47) of the Commodity Exchange Act.</w:t>
      </w:r>
    </w:p>
    <w:p>
      <w:pPr>
        <w:spacing w:after="0" w:line="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- 31 -</w:t>
      </w:r>
    </w:p>
    <w:p>
      <w:pPr>
        <w:sectPr>
          <w:pgSz w:w="11900" w:h="16838" w:orient="portrait"/>
          <w:cols w:equalWidth="0" w:num="1">
            <w:col w:w="10960"/>
          </w:cols>
          <w:pgMar w:left="440" w:top="266" w:right="499" w:bottom="1440" w:gutter="0" w:footer="0" w:header="0"/>
        </w:sectPr>
      </w:pPr>
    </w:p>
    <w:bookmarkStart w:id="41" w:name="page42"/>
    <w:bookmarkEnd w:id="41"/>
    <w:p>
      <w:pPr>
        <w:ind w:left="4" w:right="220" w:firstLine="4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Swingline Commitment</w:t>
      </w:r>
      <w:r>
        <w:rPr>
          <w:rFonts w:ascii="Times New Roman" w:cs="Times New Roman" w:eastAsia="Times New Roman" w:hAnsi="Times New Roman"/>
          <w:sz w:val="18"/>
          <w:szCs w:val="18"/>
          <w:color w:val="auto"/>
        </w:rPr>
        <w:t>” means the Swingline Lender’s obligation to make Swingline Loans pursuant to Section 2.4. in an amount up to, but not exceeding the amount set forth in the first sentence of Section 2.4.(a), as such amount may be reduced from time to time in accordance with the terms hereof.</w:t>
      </w:r>
    </w:p>
    <w:p>
      <w:pPr>
        <w:spacing w:after="0" w:line="17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Swingline Lender</w:t>
      </w:r>
      <w:r>
        <w:rPr>
          <w:rFonts w:ascii="Times New Roman" w:cs="Times New Roman" w:eastAsia="Times New Roman" w:hAnsi="Times New Roman"/>
          <w:sz w:val="18"/>
          <w:szCs w:val="18"/>
          <w:color w:val="auto"/>
        </w:rPr>
        <w:t>” means Wells Fargo.</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Swingline Loan</w:t>
      </w:r>
      <w:r>
        <w:rPr>
          <w:rFonts w:ascii="Times New Roman" w:cs="Times New Roman" w:eastAsia="Times New Roman" w:hAnsi="Times New Roman"/>
          <w:sz w:val="18"/>
          <w:szCs w:val="18"/>
          <w:color w:val="auto"/>
        </w:rPr>
        <w:t>” means a loan made by the Swingline Lender to the Borrower pursuant to Section 2.4.</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Swingline Maturity Date</w:t>
      </w:r>
      <w:r>
        <w:rPr>
          <w:rFonts w:ascii="Times New Roman" w:cs="Times New Roman" w:eastAsia="Times New Roman" w:hAnsi="Times New Roman"/>
          <w:sz w:val="18"/>
          <w:szCs w:val="18"/>
          <w:color w:val="auto"/>
        </w:rPr>
        <w:t>” means the date which is seven (7) Business Days prior to the Revolving Termination Date.</w:t>
      </w:r>
    </w:p>
    <w:p>
      <w:pPr>
        <w:spacing w:after="0" w:line="225" w:lineRule="exact"/>
        <w:rPr>
          <w:sz w:val="20"/>
          <w:szCs w:val="20"/>
          <w:color w:val="auto"/>
        </w:rPr>
      </w:pPr>
    </w:p>
    <w:p>
      <w:pPr>
        <w:ind w:left="4" w:right="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Swingline Note</w:t>
      </w:r>
      <w:r>
        <w:rPr>
          <w:rFonts w:ascii="Times New Roman" w:cs="Times New Roman" w:eastAsia="Times New Roman" w:hAnsi="Times New Roman"/>
          <w:sz w:val="18"/>
          <w:szCs w:val="18"/>
          <w:color w:val="auto"/>
        </w:rPr>
        <w:t>” means the promissory note of the Borrower substantially in the form of Exhibit J, payable to the order of the Swingline Lender in a principal amount equal to the amount of the Swingline Commitment as originally in effect and otherwise duly completed.</w:t>
      </w:r>
    </w:p>
    <w:p>
      <w:pPr>
        <w:spacing w:after="0" w:line="155" w:lineRule="exact"/>
        <w:rPr>
          <w:sz w:val="20"/>
          <w:szCs w:val="20"/>
          <w:color w:val="auto"/>
        </w:rPr>
      </w:pPr>
    </w:p>
    <w:p>
      <w:pPr>
        <w:ind w:left="4" w:right="1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SOFR</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ind w:left="4" w:firstLine="436"/>
        <w:spacing w:after="0" w:line="254" w:lineRule="auto"/>
        <w:tabs>
          <w:tab w:leader="none" w:pos="689"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calculation with respect to a Term SOFR Loan, the Term SOFR Reference Rate for a tenor comparable to the applicable Interest Period on the day (such day, the “</w:t>
      </w:r>
      <w:r>
        <w:rPr>
          <w:rFonts w:ascii="Times New Roman" w:cs="Times New Roman" w:eastAsia="Times New Roman" w:hAnsi="Times New Roman"/>
          <w:sz w:val="18"/>
          <w:szCs w:val="18"/>
          <w:u w:val="single" w:color="auto"/>
          <w:color w:val="auto"/>
        </w:rPr>
        <w:t>Periodic Term SOFR Determination Day</w:t>
      </w:r>
      <w:r>
        <w:rPr>
          <w:rFonts w:ascii="Times New Roman" w:cs="Times New Roman" w:eastAsia="Times New Roman" w:hAnsi="Times New Roman"/>
          <w:sz w:val="18"/>
          <w:szCs w:val="18"/>
          <w:color w:val="auto"/>
        </w:rPr>
        <w:t xml:space="preserve">”) that is two (2) U.S. Government Securities Business Days prior to the first day of such Interest Period, as such rate is published by the Term SOFR Administrator;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as of 5:00 p.m. (Eastern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spacing w:after="0" w:line="188" w:lineRule="exact"/>
        <w:rPr>
          <w:rFonts w:ascii="Times New Roman" w:cs="Times New Roman" w:eastAsia="Times New Roman" w:hAnsi="Times New Roman"/>
          <w:sz w:val="18"/>
          <w:szCs w:val="18"/>
          <w:color w:val="auto"/>
        </w:rPr>
      </w:pPr>
    </w:p>
    <w:p>
      <w:pPr>
        <w:ind w:left="4" w:right="40" w:firstLine="436"/>
        <w:spacing w:after="0" w:line="268" w:lineRule="auto"/>
        <w:tabs>
          <w:tab w:leader="none" w:pos="699"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any calculation with respect to a Base Rate Loan on any day, the Term SOFR Reference Rate for a tenor of one month on the day (such day, the “</w:t>
      </w:r>
      <w:r>
        <w:rPr>
          <w:rFonts w:ascii="Times New Roman" w:cs="Times New Roman" w:eastAsia="Times New Roman" w:hAnsi="Times New Roman"/>
          <w:sz w:val="17"/>
          <w:szCs w:val="17"/>
          <w:u w:val="single" w:color="auto"/>
          <w:color w:val="auto"/>
        </w:rPr>
        <w:t>Base Rate Term SOFR Determination Day</w:t>
      </w:r>
      <w:r>
        <w:rPr>
          <w:rFonts w:ascii="Times New Roman" w:cs="Times New Roman" w:eastAsia="Times New Roman" w:hAnsi="Times New Roman"/>
          <w:sz w:val="17"/>
          <w:szCs w:val="17"/>
          <w:color w:val="auto"/>
        </w:rPr>
        <w:t xml:space="preserve">”) that is two (2) U.S. Government Securities Business Days prior to such day, as such rate is published by the Term SOFR Administrator;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if as of 5:00 p.m. (Eastern time) on any Base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w:t>
      </w:r>
    </w:p>
    <w:p>
      <w:pPr>
        <w:spacing w:after="0" w:line="2"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Government Securities Business Days prior to such Base Rate SOFR Determination Day.</w:t>
      </w:r>
    </w:p>
    <w:p>
      <w:pPr>
        <w:spacing w:after="0" w:line="20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SOFR Adjustment</w:t>
      </w:r>
      <w:r>
        <w:rPr>
          <w:rFonts w:ascii="Times New Roman" w:cs="Times New Roman" w:eastAsia="Times New Roman" w:hAnsi="Times New Roman"/>
          <w:sz w:val="18"/>
          <w:szCs w:val="18"/>
          <w:color w:val="auto"/>
        </w:rPr>
        <w:t>” means a percentage equal to 0.10% per annum.</w:t>
      </w:r>
    </w:p>
    <w:p>
      <w:pPr>
        <w:spacing w:after="0" w:line="162" w:lineRule="exact"/>
        <w:rPr>
          <w:sz w:val="20"/>
          <w:szCs w:val="20"/>
          <w:color w:val="auto"/>
        </w:rPr>
      </w:pPr>
    </w:p>
    <w:p>
      <w:pPr>
        <w:ind w:left="5304"/>
        <w:spacing w:after="0"/>
        <w:rPr>
          <w:sz w:val="20"/>
          <w:szCs w:val="20"/>
          <w:color w:val="auto"/>
        </w:rPr>
      </w:pPr>
      <w:r>
        <w:rPr>
          <w:rFonts w:ascii="Times New Roman" w:cs="Times New Roman" w:eastAsia="Times New Roman" w:hAnsi="Times New Roman"/>
          <w:sz w:val="18"/>
          <w:szCs w:val="18"/>
          <w:color w:val="auto"/>
        </w:rPr>
        <w:t>- 32 -</w:t>
      </w:r>
    </w:p>
    <w:p>
      <w:pPr>
        <w:sectPr>
          <w:pgSz w:w="11900" w:h="16838" w:orient="portrait"/>
          <w:cols w:equalWidth="0" w:num="1">
            <w:col w:w="10984"/>
          </w:cols>
          <w:pgMar w:left="436" w:top="266" w:right="479" w:bottom="1440" w:gutter="0" w:footer="0" w:header="0"/>
        </w:sectPr>
      </w:pPr>
    </w:p>
    <w:bookmarkStart w:id="42" w:name="page43"/>
    <w:bookmarkEnd w:id="42"/>
    <w:p>
      <w:pPr>
        <w:ind w:left="4" w:right="22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Term SOFR Administrator</w:t>
      </w:r>
      <w:r>
        <w:rPr>
          <w:rFonts w:ascii="Times New Roman" w:cs="Times New Roman" w:eastAsia="Times New Roman" w:hAnsi="Times New Roman"/>
          <w:sz w:val="18"/>
          <w:szCs w:val="18"/>
          <w:color w:val="auto"/>
        </w:rPr>
        <w:t>” means CME Group Benchmark Administration Limited (CBA) (or a successor administrator of the Term SOFR Reference Rate selected by the Administrative Agent in its reasonable discretion).</w:t>
      </w:r>
    </w:p>
    <w:p>
      <w:pPr>
        <w:spacing w:after="0" w:line="155" w:lineRule="exact"/>
        <w:rPr>
          <w:sz w:val="20"/>
          <w:szCs w:val="20"/>
          <w:color w:val="auto"/>
        </w:rPr>
      </w:pPr>
    </w:p>
    <w:p>
      <w:pPr>
        <w:ind w:left="4" w:right="1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SOFR Loan</w:t>
      </w:r>
      <w:r>
        <w:rPr>
          <w:rFonts w:ascii="Times New Roman" w:cs="Times New Roman" w:eastAsia="Times New Roman" w:hAnsi="Times New Roman"/>
          <w:sz w:val="18"/>
          <w:szCs w:val="18"/>
          <w:color w:val="auto"/>
        </w:rPr>
        <w:t>” means any Loan bearing interest at a rate based on Adjusted Term SOFR (other than the Adjusted Term SOFR component of the definition of “Base Rate”).</w:t>
      </w:r>
    </w:p>
    <w:p>
      <w:pPr>
        <w:spacing w:after="0" w:line="4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SOFR Reference Rate</w:t>
      </w:r>
      <w:r>
        <w:rPr>
          <w:rFonts w:ascii="Times New Roman" w:cs="Times New Roman" w:eastAsia="Times New Roman" w:hAnsi="Times New Roman"/>
          <w:sz w:val="18"/>
          <w:szCs w:val="18"/>
          <w:color w:val="auto"/>
        </w:rPr>
        <w:t>” means the forward-looking term rate based on SOFR.</w:t>
      </w:r>
    </w:p>
    <w:p>
      <w:pPr>
        <w:spacing w:after="0" w:line="225" w:lineRule="exact"/>
        <w:rPr>
          <w:sz w:val="20"/>
          <w:szCs w:val="20"/>
          <w:color w:val="auto"/>
        </w:rPr>
      </w:pPr>
    </w:p>
    <w:p>
      <w:pPr>
        <w:ind w:left="4" w:right="20" w:firstLine="44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Total Asset Value</w:t>
      </w:r>
      <w:r>
        <w:rPr>
          <w:rFonts w:ascii="Times New Roman" w:cs="Times New Roman" w:eastAsia="Times New Roman" w:hAnsi="Times New Roman"/>
          <w:sz w:val="18"/>
          <w:szCs w:val="18"/>
          <w:color w:val="auto"/>
        </w:rPr>
        <w:t>” means the sum of all of the following of the Borrower and its Subsidiaries on a consolidated basis determined in accordance with GAAP applied on a consistent basis: (a) cash and cash equivalents, plus (b) with respect to each Stabilized Property owned by the Borrower or any Subsidiary, (i) EBITDA attributable to such Property for the most recently ended four consecutive fiscal quarter period (adjusted for acquisitions and dispositions) divided by (ii) the Capitalization Rate; plus (c) the GAAP book value of Properties acquired during the most recently ended four quarter period, plus (d) Construction-in-Process, plus (e) the GAAP book value of accounts receivables from tenants (limited to rent, common area maintenance fees, taxes, insurance and other reimbursable expenses collected in the normal course of business net of bad debt expense and adjusted to exclude the impact of straight lining), plus (f) the GAAP book value of Unimproved Land, Mortgage Receivables and other promissory notes. The EBITDA attributable to each Stabilized Property for the most recently ended four consecutive fiscal quarter period cannot be less than zero. Borrower’s Ownership Share of assets held by Unconsolidated Affiliates will be included in Total Asset Value calculations consistent with the above described treatment for wholly owned assets. For purposes of determining Total Asset Value, EBITDA from Properties acquired or disposed of by the Borrower and its Subsidiaries during the period of determination shall be excluded from clause (b) above. In addition, to the extent (A) the amount of Total Asset Value attributable to Investments in Unconsolidated Affiliates and other Persons that are not Subsidiaries and Investments in Subsidiaries that own Non-Controlled Properties would exceed 20.0% of Total Asset Value, such excess shall be excluded from Total Asset Value, (B) the amount of Total Asset Value attributable to Mortgage Receivables would exceed 5.0% of Total Asset Value, such excess shall be excluded from Total Asset Value,</w:t>
      </w:r>
    </w:p>
    <w:p>
      <w:pPr>
        <w:spacing w:after="0" w:line="4" w:lineRule="exact"/>
        <w:rPr>
          <w:sz w:val="20"/>
          <w:szCs w:val="20"/>
          <w:color w:val="auto"/>
        </w:rPr>
      </w:pPr>
    </w:p>
    <w:p>
      <w:pPr>
        <w:ind w:left="4" w:hanging="4"/>
        <w:spacing w:after="0" w:line="251" w:lineRule="auto"/>
        <w:tabs>
          <w:tab w:leader="none" w:pos="28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Total Asset Value attributable to Construction-in-Process would exceed 20.0% of Total Asset Value, such excess shall be excluded from Total Asset Value, (D) the amount of Total Asset Value attributable to Unimproved Land (calculated on the basis of acquisition cost) would exceed 5.0% of Total Asset Value, such excess shall be excluded from Total Asset Value, (E) the amount of Total Asset Value attributable to Investments in Persons (other than Investments in Subsidiaries and Unconsolidated Affiliates) would exceed 5.0% of Total Asset Value, such excess shall be excluded from Total Asset Value, (F) the amount of Total Asset Value attributable to Hotel Properties would exceed 2.5% of Total Asset Value, such excess shall be excluded form Total Asset Value and (G) the amount of Total Asset Value attributable to assets of the types referred to in the immediately preceding clauses (B) through (F) would exceed 25.0% of Total Asset Value in the aggregate, such excess shall be excluded from Total Asset Value. Notwithstanding the foregoing, for purposes of clause (b) above for any Property which has ceased to be a Development Property in the immediately preceding four fiscal quarter period, EBITDA for such Property shall be determined as (i) for the first full fiscal quarter after such Property ceases to be a Development Property, EBITDA attributable to such Property for such fiscal quarter multiplied by 4, (ii) for the second full fiscal quarter after such Property ceases to be a Development Property, EBITDA attributable to such Property for such two fiscal quarter period multiplied by 2, (iii) for the third full fiscal quarter after such Property ceases to be a Development Property, EBITDA attributable to such Property for such three fiscal quarter period multiplied by 4/3 and (iv) for each fiscal quarter thereafter, EBITDA attributable to such Property for the most recently ended four consecutive fiscal quarters as provided in clause (b) above.</w:t>
      </w:r>
    </w:p>
    <w:p>
      <w:pPr>
        <w:spacing w:after="0" w:line="123"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33 -</w:t>
      </w:r>
    </w:p>
    <w:p>
      <w:pPr>
        <w:sectPr>
          <w:pgSz w:w="11900" w:h="16838" w:orient="portrait"/>
          <w:cols w:equalWidth="0" w:num="1">
            <w:col w:w="11004"/>
          </w:cols>
          <w:pgMar w:left="436" w:top="266" w:right="459" w:bottom="1440" w:gutter="0" w:footer="0" w:header="0"/>
        </w:sectPr>
      </w:pPr>
    </w:p>
    <w:bookmarkStart w:id="43" w:name="page44"/>
    <w:bookmarkEnd w:id="43"/>
    <w:p>
      <w:pPr>
        <w:ind w:right="20" w:firstLine="440"/>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Total Indebtedness</w:t>
      </w:r>
      <w:r>
        <w:rPr>
          <w:rFonts w:ascii="Times New Roman" w:cs="Times New Roman" w:eastAsia="Times New Roman" w:hAnsi="Times New Roman"/>
          <w:sz w:val="18"/>
          <w:szCs w:val="18"/>
          <w:color w:val="auto"/>
        </w:rPr>
        <w:t xml:space="preserve">” means (a) all Indebtedness of the Borrower and its Subsidiaries determined on a consolidated basis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such Person’s Ownership Share of the Indebtedness of the Borrower’s Unconsolidated Affiliates. Notwithstanding the use of GAAP, the calculation of Total Indebtedness shall not include any fair value adjustments to the carrying value of liabilities to record such liabilities at fair value pursuant to electing the fair value option election under FASB ASC 825-10-25 (formerly known as FAS 159, The Fair Value Option for Financial Assets and Financial Liabilities) or other FASB standards allowing entities to elect fair value option for financial liabilities.</w:t>
      </w:r>
    </w:p>
    <w:p>
      <w:pPr>
        <w:spacing w:after="0" w:line="179" w:lineRule="exact"/>
        <w:rPr>
          <w:sz w:val="20"/>
          <w:szCs w:val="20"/>
          <w:color w:val="auto"/>
        </w:rPr>
      </w:pPr>
    </w:p>
    <w:p>
      <w:pPr>
        <w:ind w:right="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Type</w:t>
      </w:r>
      <w:r>
        <w:rPr>
          <w:rFonts w:ascii="Times New Roman" w:cs="Times New Roman" w:eastAsia="Times New Roman" w:hAnsi="Times New Roman"/>
          <w:sz w:val="18"/>
          <w:szCs w:val="18"/>
          <w:color w:val="auto"/>
        </w:rPr>
        <w:t>” with respect to any Revolving Loan, refers to whether such Loan or portion thereof is a Daily Simple SOFR Loan, Term SOFR Loan or a Base Rate Loan, or, in the case of a Bid Rate Loan only, an Absolute Rate Loan or a SOFR Margin Loan.</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UCC</w:t>
      </w:r>
      <w:r>
        <w:rPr>
          <w:rFonts w:ascii="Times New Roman" w:cs="Times New Roman" w:eastAsia="Times New Roman" w:hAnsi="Times New Roman"/>
          <w:sz w:val="18"/>
          <w:szCs w:val="18"/>
          <w:color w:val="auto"/>
        </w:rPr>
        <w:t>” means the Uniform Commercial Code as in effect in any applicable jurisdiction.</w:t>
      </w:r>
    </w:p>
    <w:p>
      <w:pPr>
        <w:spacing w:after="0" w:line="225" w:lineRule="exact"/>
        <w:rPr>
          <w:sz w:val="20"/>
          <w:szCs w:val="20"/>
          <w:color w:val="auto"/>
        </w:rPr>
      </w:pPr>
    </w:p>
    <w:p>
      <w:pPr>
        <w:ind w:right="24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UK Financial Institution</w:t>
      </w:r>
      <w:r>
        <w:rPr>
          <w:rFonts w:ascii="Times New Roman" w:cs="Times New Roman" w:eastAsia="Times New Roman" w:hAnsi="Times New Roman"/>
          <w:sz w:val="18"/>
          <w:szCs w:val="18"/>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76" w:lineRule="exact"/>
        <w:rPr>
          <w:sz w:val="20"/>
          <w:szCs w:val="20"/>
          <w:color w:val="auto"/>
        </w:rPr>
      </w:pPr>
    </w:p>
    <w:p>
      <w:pPr>
        <w:ind w:right="2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UK Resolution Authority</w:t>
      </w:r>
      <w:r>
        <w:rPr>
          <w:rFonts w:ascii="Times New Roman" w:cs="Times New Roman" w:eastAsia="Times New Roman" w:hAnsi="Times New Roman"/>
          <w:sz w:val="18"/>
          <w:szCs w:val="18"/>
          <w:color w:val="auto"/>
        </w:rPr>
        <w:t>” means the Bank of England or any other public administrative authority having responsibility for the resolution of any UK Financial Institution.</w:t>
      </w:r>
    </w:p>
    <w:p>
      <w:pPr>
        <w:spacing w:after="0" w:line="155" w:lineRule="exact"/>
        <w:rPr>
          <w:sz w:val="20"/>
          <w:szCs w:val="20"/>
          <w:color w:val="auto"/>
        </w:rPr>
      </w:pPr>
    </w:p>
    <w:p>
      <w:pPr>
        <w:ind w:right="6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Unadjusted Benchmark Replacement</w:t>
      </w:r>
      <w:r>
        <w:rPr>
          <w:rFonts w:ascii="Times New Roman" w:cs="Times New Roman" w:eastAsia="Times New Roman" w:hAnsi="Times New Roman"/>
          <w:sz w:val="18"/>
          <w:szCs w:val="18"/>
          <w:color w:val="auto"/>
        </w:rPr>
        <w:t>” means the applicable Benchmark Replacement excluding the related Benchmark Replacement Adjustment.</w:t>
      </w:r>
    </w:p>
    <w:p>
      <w:pPr>
        <w:spacing w:after="0" w:line="155" w:lineRule="exact"/>
        <w:rPr>
          <w:sz w:val="20"/>
          <w:szCs w:val="20"/>
          <w:color w:val="auto"/>
        </w:rPr>
      </w:pPr>
    </w:p>
    <w:p>
      <w:pPr>
        <w:ind w:right="8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Unconsolidated Affiliate</w:t>
      </w:r>
      <w:r>
        <w:rPr>
          <w:rFonts w:ascii="Times New Roman" w:cs="Times New Roman" w:eastAsia="Times New Roman" w:hAnsi="Times New Roman"/>
          <w:sz w:val="18"/>
          <w:szCs w:val="18"/>
          <w:color w:val="auto"/>
        </w:rPr>
        <w:t>” means, with respect to any Person, any other Person in whom such Person holds, either directly or indirectly through any of such Person’s Subsidiaries, an Investment, which Investment is accounted for in the financial statements of such Person on an equity basis of accounting and whose financial results would not be consolidated under GAAP with the financial results of such Person on the consolidated financial statements of such Person.</w:t>
      </w:r>
    </w:p>
    <w:p>
      <w:pPr>
        <w:spacing w:after="0" w:line="176" w:lineRule="exact"/>
        <w:rPr>
          <w:sz w:val="20"/>
          <w:szCs w:val="20"/>
          <w:color w:val="auto"/>
        </w:rPr>
      </w:pPr>
    </w:p>
    <w:p>
      <w:pPr>
        <w:ind w:right="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Unencumbered Adjusted NOI</w:t>
      </w:r>
      <w:r>
        <w:rPr>
          <w:rFonts w:ascii="Times New Roman" w:cs="Times New Roman" w:eastAsia="Times New Roman" w:hAnsi="Times New Roman"/>
          <w:sz w:val="18"/>
          <w:szCs w:val="18"/>
          <w:color w:val="auto"/>
        </w:rPr>
        <w:t>” means the aggregate Net Operating Income from each (i) Wholly Owned Property; (ii) Controlled Property; and (iii) Non-Controlled Property all of which are Stabilized Properties and have been owned for the entire period and as adjusted for any non-recurring items during the reporting period. The Unencumbered Adjusted NOI for each Property cannot be less than zero.</w:t>
      </w:r>
    </w:p>
    <w:p>
      <w:pPr>
        <w:spacing w:after="0" w:line="171"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Unencumbered Asset Value</w:t>
      </w:r>
      <w:r>
        <w:rPr>
          <w:rFonts w:ascii="Times New Roman" w:cs="Times New Roman" w:eastAsia="Times New Roman" w:hAnsi="Times New Roman"/>
          <w:sz w:val="18"/>
          <w:szCs w:val="18"/>
          <w:color w:val="auto"/>
        </w:rPr>
        <w:t>” means (a) Unencumbered Adjusted NOI for the most recently ended four consecutive fiscal quarter period divided by the Capitalization Rate, plus (b) the GAAP book value of all assets (other than assets otherwise included in clauses (c) and (d) below) acquired during the most recently ended four quarter period, which assets are not subject to any Liens other than Permitted Liens (excluding Permitted Liens of the type described in clauses (g) and (h) of the definition thereof) or subject to any Negative Pledge, plus (c) the GAAP book value of Development Properties that satisfy the requirements of clauses (b) through (d) of the definition of the term “Eligible Property” plus (d) unrestricted cash and cash equivalents in excess of $25,000,000 which are not subject to any Liens (other than Permitted Liens of the type described in clause (a)(i) of the definition thereof) or subject to any Negative Pledge. For purposes of this definition, (A) to the extent that more than 25.0% of Unencumbered Asset Value would be attributable to Controlled Properties, Non-Controlled Properties and Development Properties such excess shall be excluded, and (B) to the extent that more than 2.5% of Unencumbered Asset Value would be attributable to Hotel Properties, such excess shall be excluded. Notwithstanding the foregoing, for purposes of clause (a) for any Property which has ceased to be a Development Property in the immediately preceding four fiscal quarter period, Unencumbered Adjusted NOI attributable to such Property shall be determined as (i) for the first full fiscal quarter after such Property ceases to be a Development Property, Unencumbered</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- 34 -</w:t>
      </w:r>
    </w:p>
    <w:p>
      <w:pPr>
        <w:sectPr>
          <w:pgSz w:w="11900" w:h="16838" w:orient="portrait"/>
          <w:cols w:equalWidth="0" w:num="1">
            <w:col w:w="10980"/>
          </w:cols>
          <w:pgMar w:left="440" w:top="266" w:right="479" w:bottom="1440" w:gutter="0" w:footer="0" w:header="0"/>
        </w:sectPr>
      </w:pPr>
    </w:p>
    <w:bookmarkStart w:id="44" w:name="page45"/>
    <w:bookmarkEnd w:id="44"/>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Adjusted NOI attributable to such Property for such fiscal quarter multiplied by 4, (ii) for the second full fiscal quarter after such Property ceases to be a Development Property, Unencumbered Adjusted NOI attributable to such Property for such two fiscal quarter period multiplied by 2, (iii) for the third full fiscal quarter after such Property ceases to be a Development Property, Unencumbered Adjusted NOI attributable to such Property for such three fiscal quarter period multiplied by 4/3 and (iv) for each fiscal quarter thereafter, Unencumbered Adjusted NOI attributable to such Property for the most recently ended four consecutive fiscal quarters as provided in clause (a) above.</w:t>
      </w:r>
    </w:p>
    <w:p>
      <w:pPr>
        <w:spacing w:after="0" w:line="179" w:lineRule="exact"/>
        <w:rPr>
          <w:sz w:val="20"/>
          <w:szCs w:val="20"/>
          <w:color w:val="auto"/>
        </w:rPr>
      </w:pPr>
    </w:p>
    <w:p>
      <w:pPr>
        <w:ind w:right="1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Unimproved Land</w:t>
      </w:r>
      <w:r>
        <w:rPr>
          <w:rFonts w:ascii="Times New Roman" w:cs="Times New Roman" w:eastAsia="Times New Roman" w:hAnsi="Times New Roman"/>
          <w:sz w:val="18"/>
          <w:szCs w:val="18"/>
          <w:color w:val="auto"/>
        </w:rPr>
        <w:t>” means land on which no development (other than paving or other improvements that are not material and are temporary in nature) has occurred and for which no development is planned in the following 12 months.</w:t>
      </w:r>
    </w:p>
    <w:p>
      <w:pPr>
        <w:spacing w:after="0" w:line="155" w:lineRule="exact"/>
        <w:rPr>
          <w:sz w:val="20"/>
          <w:szCs w:val="20"/>
          <w:color w:val="auto"/>
        </w:rPr>
      </w:pPr>
    </w:p>
    <w:p>
      <w:pPr>
        <w:ind w:right="1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Unsecured Indebtedness</w:t>
      </w:r>
      <w:r>
        <w:rPr>
          <w:rFonts w:ascii="Times New Roman" w:cs="Times New Roman" w:eastAsia="Times New Roman" w:hAnsi="Times New Roman"/>
          <w:sz w:val="18"/>
          <w:szCs w:val="18"/>
          <w:color w:val="auto"/>
        </w:rPr>
        <w:t>” means Total Indebtedness which is not Secured Indebtedness. Indebtedness that is secured solely by Equity Interests and is recourse to the Borrower or its Subsidiaries shall be considered to be Unsecured Indebtedness.</w:t>
      </w:r>
    </w:p>
    <w:p>
      <w:pPr>
        <w:spacing w:after="0" w:line="155" w:lineRule="exact"/>
        <w:rPr>
          <w:sz w:val="20"/>
          <w:szCs w:val="20"/>
          <w:color w:val="auto"/>
        </w:rPr>
      </w:pPr>
    </w:p>
    <w:p>
      <w:pPr>
        <w:ind w:right="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Government Securities Business Day</w:t>
      </w:r>
      <w:r>
        <w:rPr>
          <w:rFonts w:ascii="Times New Roman" w:cs="Times New Roman" w:eastAsia="Times New Roman" w:hAnsi="Times New Roman"/>
          <w:sz w:val="18"/>
          <w:szCs w:val="18"/>
          <w:color w:val="auto"/>
        </w:rPr>
        <w:t xml:space="preserve">” means any day except for (a) a Saturday, (b) a Sunday or (c) a day on which the Securities Industry and Financial Markets Association recommends that the fixed income departments of its members be closed for the entire day for purposes of trading in United States government securities;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for purposes of notice requirements in Sections 2.1.(a)., 2.2., 2.8.(a)., 2.9. and 2.10., in each case, such day is also a Business Day.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Person</w:t>
      </w:r>
      <w:r>
        <w:rPr>
          <w:rFonts w:ascii="Times New Roman" w:cs="Times New Roman" w:eastAsia="Times New Roman" w:hAnsi="Times New Roman"/>
          <w:sz w:val="18"/>
          <w:szCs w:val="18"/>
          <w:color w:val="auto"/>
        </w:rPr>
        <w:t>” means any Person that is a “United States Person” as defined in Section 7701(a)(30) of the Internal Revenue Code.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Special Resolution Regimes</w:t>
      </w:r>
      <w:r>
        <w:rPr>
          <w:rFonts w:ascii="Times New Roman" w:cs="Times New Roman" w:eastAsia="Times New Roman" w:hAnsi="Times New Roman"/>
          <w:sz w:val="18"/>
          <w:szCs w:val="18"/>
          <w:color w:val="auto"/>
        </w:rPr>
        <w:t>” has the meaning given that term in Section 12.24.</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Tax Compliance Certificate</w:t>
      </w:r>
      <w:r>
        <w:rPr>
          <w:rFonts w:ascii="Times New Roman" w:cs="Times New Roman" w:eastAsia="Times New Roman" w:hAnsi="Times New Roman"/>
          <w:sz w:val="18"/>
          <w:szCs w:val="18"/>
          <w:color w:val="auto"/>
        </w:rPr>
        <w:t>” has the meaning assigned to such term in Section 3.10.(g)(ii)(B)(III).</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Wells Fargo</w:t>
      </w:r>
      <w:r>
        <w:rPr>
          <w:rFonts w:ascii="Times New Roman" w:cs="Times New Roman" w:eastAsia="Times New Roman" w:hAnsi="Times New Roman"/>
          <w:sz w:val="18"/>
          <w:szCs w:val="18"/>
          <w:color w:val="auto"/>
        </w:rPr>
        <w:t>” means Wells Fargo Bank, National Association, and its successors and permitted assigns.</w:t>
      </w:r>
    </w:p>
    <w:p>
      <w:pPr>
        <w:spacing w:after="0" w:line="225" w:lineRule="exact"/>
        <w:rPr>
          <w:sz w:val="20"/>
          <w:szCs w:val="20"/>
          <w:color w:val="auto"/>
        </w:rPr>
      </w:pPr>
    </w:p>
    <w:p>
      <w:pPr>
        <w:ind w:right="5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Wholly Owned Property</w:t>
      </w:r>
      <w:r>
        <w:rPr>
          <w:rFonts w:ascii="Times New Roman" w:cs="Times New Roman" w:eastAsia="Times New Roman" w:hAnsi="Times New Roman"/>
          <w:sz w:val="18"/>
          <w:szCs w:val="18"/>
          <w:color w:val="auto"/>
        </w:rPr>
        <w:t>” means an Eligible Property which is wholly owned in fee simple (or leased under a Ground Lease) by only the Borrower or a Wholly Owned Subsidiary.</w:t>
      </w:r>
    </w:p>
    <w:p>
      <w:pPr>
        <w:spacing w:after="0" w:line="155" w:lineRule="exact"/>
        <w:rPr>
          <w:sz w:val="20"/>
          <w:szCs w:val="20"/>
          <w:color w:val="auto"/>
        </w:rPr>
      </w:pPr>
    </w:p>
    <w:p>
      <w:pPr>
        <w:ind w:right="1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Wholly Owned Subsidiary</w:t>
      </w:r>
      <w:r>
        <w:rPr>
          <w:rFonts w:ascii="Times New Roman" w:cs="Times New Roman" w:eastAsia="Times New Roman" w:hAnsi="Times New Roman"/>
          <w:sz w:val="18"/>
          <w:szCs w:val="18"/>
          <w:color w:val="auto"/>
        </w:rPr>
        <w:t>” means any Subsidiary of a Person in respect of which all of the Equity Interests (other than, in the case of a corporation, directors’ qualifying shares) are at the time directly or indirectly owned or controlled by such Person or one or more other Subsidiaries of such Person or by such Person and one or more other Subsidiaries of such Person.</w:t>
      </w:r>
    </w:p>
    <w:p>
      <w:pPr>
        <w:spacing w:after="0" w:line="171" w:lineRule="exact"/>
        <w:rPr>
          <w:sz w:val="20"/>
          <w:szCs w:val="20"/>
          <w:color w:val="auto"/>
        </w:rPr>
      </w:pPr>
    </w:p>
    <w:p>
      <w:pPr>
        <w:ind w:right="1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Withdrawal Liability</w:t>
      </w:r>
      <w:r>
        <w:rPr>
          <w:rFonts w:ascii="Times New Roman" w:cs="Times New Roman" w:eastAsia="Times New Roman" w:hAnsi="Times New Roman"/>
          <w:sz w:val="18"/>
          <w:szCs w:val="18"/>
          <w:color w:val="auto"/>
        </w:rPr>
        <w:t>” means any liability as a result of a complete or partial withdrawal from a Multiemployer Plan as such terms are defined in Part I of Subtitle E of Title IV of ERISA.</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Withholding Agent</w:t>
      </w:r>
      <w:r>
        <w:rPr>
          <w:rFonts w:ascii="Times New Roman" w:cs="Times New Roman" w:eastAsia="Times New Roman" w:hAnsi="Times New Roman"/>
          <w:sz w:val="18"/>
          <w:szCs w:val="18"/>
          <w:color w:val="auto"/>
        </w:rPr>
        <w:t>” means (a) the Borrower, (b) any other Loan Party and (c) the Administrative Agent, as applicable.</w:t>
      </w:r>
    </w:p>
    <w:p>
      <w:pPr>
        <w:spacing w:after="0" w:line="225"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Write-Down and Conversion Powers</w:t>
      </w:r>
      <w:r>
        <w:rPr>
          <w:rFonts w:ascii="Times New Roman" w:cs="Times New Roman" w:eastAsia="Times New Roman" w:hAnsi="Times New Roman"/>
          <w:sz w:val="18"/>
          <w:szCs w:val="18"/>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- 35 -</w:t>
      </w:r>
    </w:p>
    <w:p>
      <w:pPr>
        <w:sectPr>
          <w:pgSz w:w="11900" w:h="16838" w:orient="portrait"/>
          <w:cols w:equalWidth="0" w:num="1">
            <w:col w:w="10980"/>
          </w:cols>
          <w:pgMar w:left="440" w:top="270" w:right="479" w:bottom="1440" w:gutter="0" w:footer="0" w:header="0"/>
        </w:sectPr>
      </w:pPr>
    </w:p>
    <w:bookmarkStart w:id="45" w:name="page46"/>
    <w:bookmarkEnd w:id="45"/>
    <w:p>
      <w:pPr>
        <w:ind w:right="160"/>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such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1.2. General; References to Pacific Time.</w:t>
      </w:r>
    </w:p>
    <w:p>
      <w:pPr>
        <w:spacing w:after="0" w:line="121" w:lineRule="exact"/>
        <w:rPr>
          <w:sz w:val="20"/>
          <w:szCs w:val="20"/>
          <w:color w:val="auto"/>
        </w:rPr>
      </w:pPr>
    </w:p>
    <w:p>
      <w:pPr>
        <w:ind w:firstLine="440"/>
        <w:spacing w:after="0" w:line="251" w:lineRule="auto"/>
        <w:rPr>
          <w:sz w:val="20"/>
          <w:szCs w:val="20"/>
          <w:color w:val="auto"/>
        </w:rPr>
      </w:pPr>
      <w:r>
        <w:rPr>
          <w:rFonts w:ascii="Times New Roman" w:cs="Times New Roman" w:eastAsia="Times New Roman" w:hAnsi="Times New Roman"/>
          <w:sz w:val="18"/>
          <w:szCs w:val="18"/>
          <w:color w:val="auto"/>
        </w:rPr>
        <w:t>Unless otherwise indicated, all accounting terms, ratios and measurements shall be interpreted or determined in accordance with GAAP from time to time; provided that, if at any time any change in GAAP would affect the computation of any financial ratio or requirement set forth in any Loan Document, and either the Borrower or the Requisite Lenders shall so request, the Administrative Agent, the Lenders and the Borrower shall negotiate in good faith to amend such ratio or requirement to preserve the original intent thereof in light of such change in GAAP (subject to the approval of the Requisite Lenders); provided further that, until so amended, (i) such ratio or requirement shall continue to be computed in accordance with GAAP prior to such change therein and (ii) the Borrower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 Notwithstanding the preceding sentence, (i) the calculation of liabilities shall not include any fair value adjustments to the carrying value of liabilities to record such liabilities at fair value pursuant to electing the fair value option election under FASB ASC 825-10-25 (formerly known as FAS 159, The Fair Value Option for Financial Assets and Financial Liabilities) or other FASB standards allowing entities to elect fair value option for financial liabilities and (ii) all accounting terms, ratios and calculations shall be determined without giving effect to Accounting Standards Codification 842 (or any other Accounting Standards Codification or Financial Accounting Standard having a similar result or effect) (and related interpretations) to the extent any lease where the Borrower or a Subsidiary is the lessee (or similar arrangement conveying the right to use) would be required to be treated as a finance or operating lease thereunder where such lease (or similar arrangement) would have been treated as an operating lease under GAAP as in effect immediately prior to the effectiveness of the Accounting Standards Codification 842, provided that the Borrower shall provide to the Administrative Agent and the Lenders financial statements and other documents required under this Agreement or as reasonably requested hereunder setting forth a reconciliation between calculations of such ratio or requirement made in accordance with GAAP and made without giving effect to Accounting Standards Codification 842. References in this Agreement to “Sections”, “Articles”, “Exhibits” and “Schedules” are to sections, articles, exhibits and schedules herein and hereto unless otherwise indicated. Any definition or reference to any Applicable Law, including, without limitation, Anti-Corruption Laws, Anti-Money Laundering Laws, the Bankruptcy Code, the Code, the Commodity Exchange Act, ERISA, the Exchange Act, the PATRIOT Act, the Securities Act, the UCC, the Investment Company Act, the Interstate Commerce Act or any of the foreign assets control regulations of the United States Treasury Department, shall include all statutory and regulatory provisions consolidating, amending, replacing, supplementing or interpreting such Applicable Law. References in this Agreement to any document, instrument or agreement (a) shall include all exhibits, schedules and other attachments thereto, (b) shall include all documents, instruments or agreements issued or executed in replacement thereof, to the extent permitted hereby and (c) shall mean such document, instrument or agreement, or replacement or predecessor thereto, as amended, supplemented, restated or otherwise modified from time to time to the extent not otherwise stated herein or prohibited hereby and in effect at any given time. Wherever from the context it appears appropriate, each term stated in either the singular or plural shall include the singular and plural, and pronouns stated in the masculine, feminine or neuter gender shall include the masculine, the feminine and the neuter. Whenever reference is made to Borrower’s knowledge or awareness, or a similar qualification, knowledge or awareness means the actual knowledge of Borrower’s Responsible Officers after reasonable investigation</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- 36 -</w:t>
      </w:r>
    </w:p>
    <w:p>
      <w:pPr>
        <w:sectPr>
          <w:pgSz w:w="11900" w:h="16838" w:orient="portrait"/>
          <w:cols w:equalWidth="0" w:num="1">
            <w:col w:w="10980"/>
          </w:cols>
          <w:pgMar w:left="440" w:top="270" w:right="479" w:bottom="1440" w:gutter="0" w:footer="0" w:header="0"/>
        </w:sectPr>
      </w:pPr>
    </w:p>
    <w:bookmarkStart w:id="46" w:name="page47"/>
    <w:bookmarkEnd w:id="46"/>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consultation with Borrower’s regional chief operating officers. Unless explicitly set forth to the contrary, a reference to “Subsidiary” means a Subsidiary of the Borrower or a Subsidiary of such Subsidiary, a reference to an “Affiliate” means a reference to an Affiliate of the Borrower and a reference to an “Unconsolidated Affiliate” means an Unconsolidated Affiliate of the Borrower. Titles and captions of Articles, Sections, subsections and clauses in this Agreement are for convenience only, and neither limit nor amplify the provisions of this Agreement. Unless otherwise indicated, all references to time are references to Pacific time.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1.3. Financial Attributes of Non-Wholly Owned Subsidiaries.</w:t>
      </w:r>
    </w:p>
    <w:p>
      <w:pPr>
        <w:spacing w:after="0" w:line="121" w:lineRule="exact"/>
        <w:rPr>
          <w:sz w:val="20"/>
          <w:szCs w:val="20"/>
          <w:color w:val="auto"/>
        </w:rPr>
      </w:pPr>
    </w:p>
    <w:p>
      <w:pPr>
        <w:ind w:right="360" w:firstLine="440"/>
        <w:spacing w:after="0" w:line="266" w:lineRule="auto"/>
        <w:rPr>
          <w:sz w:val="20"/>
          <w:szCs w:val="20"/>
          <w:color w:val="auto"/>
        </w:rPr>
      </w:pPr>
      <w:r>
        <w:rPr>
          <w:rFonts w:ascii="Times New Roman" w:cs="Times New Roman" w:eastAsia="Times New Roman" w:hAnsi="Times New Roman"/>
          <w:sz w:val="18"/>
          <w:szCs w:val="18"/>
          <w:color w:val="auto"/>
        </w:rPr>
        <w:t>Except as expressly set forth herein, when determining compliance by the Borrower with any financial covenant contained in any of the Loan Documents only the Ownership Share of the Borrower of the financial attributes of a Subsidiary that is not a Wholly Owned Subsidiary shall be included.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1.4. Rates.</w:t>
      </w:r>
    </w:p>
    <w:p>
      <w:pPr>
        <w:spacing w:after="0" w:line="121"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The Administrative Agent does not warrant or accept any responsibility for, and shall not have any liability with respect to, (a) the continuation of, administration of, submission of, calculation of or any other matter related to Adjusted Daily Simple SOFR, SOFR, the Term SOFR Reference Rate, Adjusted Term SOFR or Term SOFR, or any component definition thereof or rates referred to in the definition thereof, or with respect to any alternative, successor or replacement rate thereto (including any Benchmark Replacement), including whether the composition or characteristics of any such alternative, successor or replacement rate (including any Benchmark Replacement), as it may or may not be adjusted pursuant to </w:t>
      </w:r>
      <w:r>
        <w:rPr>
          <w:rFonts w:ascii="Times New Roman" w:cs="Times New Roman" w:eastAsia="Times New Roman" w:hAnsi="Times New Roman"/>
          <w:sz w:val="18"/>
          <w:szCs w:val="18"/>
          <w:u w:val="single" w:color="auto"/>
          <w:color w:val="auto"/>
        </w:rPr>
        <w:t>Section 4.2.(b)</w:t>
      </w:r>
      <w:r>
        <w:rPr>
          <w:rFonts w:ascii="Times New Roman" w:cs="Times New Roman" w:eastAsia="Times New Roman" w:hAnsi="Times New Roman"/>
          <w:sz w:val="18"/>
          <w:szCs w:val="18"/>
          <w:color w:val="auto"/>
        </w:rPr>
        <w:t>, will be similar to, or produce the same value or economic equivalence of, or have the same volume or liquidity as, Adjusted Daily Simple SOFR, SOFR, the Term SOFR Reference Rate, Adjusted Term SOFR, Term SOFR or any other Benchmark prior to its discontinuance or unavailability, or (b) the effect, implementation or composition of any Conforming Changes. The Administrative Agent and its Affiliates or other related entities may engage in transactions that affect the calculation of Adjusted Daily Simple SOFR, SOFR, Term SOFR Reference Rate, Adjusted Term SOFR, or Term SOFR, any alternative, successor or replacement rate (including any Benchmark Replacement) or any relevant adjustments thereto and such transactions may be adverse to the Borrower. The Administrative Agent may select information sources or services in its reasonable discretion to ascertain Adjusted Daily Simple SOFR, SOFR, Term SOFR Reference Rate, Adjusted Term SOFR or Term SOFR, or any other Benchmark, any component definition thereof or rates referred to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1.5. Divisions.</w:t>
      </w:r>
    </w:p>
    <w:p>
      <w:pPr>
        <w:spacing w:after="0" w:line="121" w:lineRule="exact"/>
        <w:rPr>
          <w:sz w:val="20"/>
          <w:szCs w:val="20"/>
          <w:color w:val="auto"/>
        </w:rPr>
      </w:pPr>
    </w:p>
    <w:p>
      <w:pPr>
        <w:ind w:right="220" w:firstLine="440"/>
        <w:spacing w:after="0" w:line="258" w:lineRule="auto"/>
        <w:rPr>
          <w:sz w:val="20"/>
          <w:szCs w:val="20"/>
          <w:color w:val="auto"/>
        </w:rPr>
      </w:pPr>
      <w:r>
        <w:rPr>
          <w:rFonts w:ascii="Times New Roman" w:cs="Times New Roman" w:eastAsia="Times New Roman" w:hAnsi="Times New Roman"/>
          <w:sz w:val="18"/>
          <w:szCs w:val="18"/>
          <w:color w:val="auto"/>
        </w:rPr>
        <w:t>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- 37 -</w:t>
      </w:r>
    </w:p>
    <w:p>
      <w:pPr>
        <w:sectPr>
          <w:pgSz w:w="11900" w:h="16838" w:orient="portrait"/>
          <w:cols w:equalWidth="0" w:num="1">
            <w:col w:w="10980"/>
          </w:cols>
          <w:pgMar w:left="440" w:top="270" w:right="479" w:bottom="1440" w:gutter="0" w:footer="0" w:header="0"/>
        </w:sectPr>
      </w:pPr>
    </w:p>
    <w:bookmarkStart w:id="47" w:name="page48"/>
    <w:bookmarkEnd w:id="4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18"/>
          <w:szCs w:val="18"/>
          <w:b w:val="1"/>
          <w:bCs w:val="1"/>
          <w:color w:val="auto"/>
        </w:rPr>
        <w:t xml:space="preserve"> II. C</w:t>
      </w:r>
      <w:r>
        <w:rPr>
          <w:rFonts w:ascii="Times New Roman" w:cs="Times New Roman" w:eastAsia="Times New Roman" w:hAnsi="Times New Roman"/>
          <w:sz w:val="14"/>
          <w:szCs w:val="14"/>
          <w:b w:val="1"/>
          <w:bCs w:val="1"/>
          <w:color w:val="auto"/>
        </w:rPr>
        <w:t>REDIT</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4"/>
          <w:szCs w:val="14"/>
          <w:b w:val="1"/>
          <w:bCs w:val="1"/>
          <w:color w:val="auto"/>
        </w:rPr>
        <w:t>ACILITY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2.1. Revolving Loans.</w:t>
      </w:r>
    </w:p>
    <w:p>
      <w:pPr>
        <w:spacing w:after="0" w:line="121" w:lineRule="exact"/>
        <w:rPr>
          <w:sz w:val="20"/>
          <w:szCs w:val="20"/>
          <w:color w:val="auto"/>
        </w:rPr>
      </w:pPr>
    </w:p>
    <w:p>
      <w:pPr>
        <w:ind w:right="100" w:firstLine="436"/>
        <w:spacing w:after="0" w:line="254" w:lineRule="auto"/>
        <w:tabs>
          <w:tab w:leader="none" w:pos="68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Making of Revolving Loans</w:t>
      </w:r>
      <w:r>
        <w:rPr>
          <w:rFonts w:ascii="Times New Roman" w:cs="Times New Roman" w:eastAsia="Times New Roman" w:hAnsi="Times New Roman"/>
          <w:sz w:val="18"/>
          <w:szCs w:val="18"/>
          <w:color w:val="auto"/>
        </w:rPr>
        <w:t>. Subject to the terms and conditions set forth in this Agreement, including without limitation, Section 2.15., each Lender severally and not jointly agrees to make Revolving Loans in Dollars to the Borrower during the period from and including the Effective Date to but excluding the Revolving Termination Date, in an aggregate principal amount at any one time outstanding up to, but not exceeding, such Lender’s Revolving Commitment. Each borrowing of Base Rate Loans shall be in an aggregate minimum amount of $1,000,000 and integral multiples of $500,000 in excess thereof. Each borrowing and Continuation under Section 2.9. of, and each Conversion under Section 2.10. of Base Rate Loans into, SOFR Loans shall be in an aggregate minimum amount of $1,000,000 and integral multiples of $1,000,000 in excess of that amount. Notwithstanding the immediately preceding two sentences but subject to Section 2.15., a borrowing of Revolving Loans may be in the aggregate amount of the unused Revolving Commitments. Within the foregoing limits and subject to the terms and conditions of this Agreement, the Borrower may borrow, repay and reborrow Revolving Loans.</w:t>
      </w:r>
    </w:p>
    <w:p>
      <w:pPr>
        <w:spacing w:after="0" w:line="188" w:lineRule="exact"/>
        <w:rPr>
          <w:rFonts w:ascii="Times New Roman" w:cs="Times New Roman" w:eastAsia="Times New Roman" w:hAnsi="Times New Roman"/>
          <w:sz w:val="18"/>
          <w:szCs w:val="18"/>
          <w:color w:val="auto"/>
        </w:rPr>
      </w:pPr>
    </w:p>
    <w:p>
      <w:pPr>
        <w:ind w:firstLine="436"/>
        <w:spacing w:after="0" w:line="253" w:lineRule="auto"/>
        <w:tabs>
          <w:tab w:leader="none" w:pos="6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Requests for Revolving Loans</w:t>
      </w:r>
      <w:r>
        <w:rPr>
          <w:rFonts w:ascii="Times New Roman" w:cs="Times New Roman" w:eastAsia="Times New Roman" w:hAnsi="Times New Roman"/>
          <w:sz w:val="18"/>
          <w:szCs w:val="18"/>
          <w:color w:val="auto"/>
        </w:rPr>
        <w:t>. Not later than 11:00 a.m. Pacific time at least (x) one (1) Business Day prior to a borrowing of Revolving Loans that are to be Base Rate Loans, (y) one (1) U.S. Government Securities Business Day prior to a borrowing of Revolving Loans that are to be Daily Simple SOFR Loans and (z) three (3) U.S. Government Securities Business Days prior to a borrowing of Revolving Loans that are to be Term SOFR Loans, the Borrower shall deliver to the Administrative Agent a Notice of Borrowing or telephone notice thereof. Each Notice of Borrowing shall specify the aggregate principal amount of the Revolving Loans to be borrowed, the date such Revolving Loans are to be borrowed (which must be a U.S. Government Securities Business Day), the use of the proceeds of such Revolving Loans, the Type of the requested Revolving Loans, and if such Revolving Loans are to be Term SOFR Loans, the initial Interest Period for such Revolving Loans. Any telephone notice shall include all information to be specified in a written Notice of Borrowing and shall be promptly confirmed in writing by the Borrower pursuant to a Notice of Borrowing sent to the Administrative Agent by electronic mail on the same day of the giving of such telephonic notice. Each Notice of Borrowing or any telephone notice of a borrowing shall be irrevocable once given and binding on the Borrower. Prior to delivering a Notice of Borrowing, the Borrower may (without specifying whether a Revolving Loan will be a Base Rate Loan, a Daily Simple SOFR Loan or a Term SOFR Loan) request that the Administrative Agent provide the Borrower with the most recent Base Rate, Adjusted Daily Simple SOFR or Adjusted Term SOFR available to the Administrative Agent. The Administrative Agent shall provide such quoted rate to the Borrower on the date of such request or as soon as possible thereafter.</w:t>
      </w:r>
    </w:p>
    <w:p>
      <w:pPr>
        <w:spacing w:after="0" w:line="187" w:lineRule="exact"/>
        <w:rPr>
          <w:rFonts w:ascii="Times New Roman" w:cs="Times New Roman" w:eastAsia="Times New Roman" w:hAnsi="Times New Roman"/>
          <w:sz w:val="18"/>
          <w:szCs w:val="18"/>
          <w:color w:val="auto"/>
        </w:rPr>
      </w:pPr>
    </w:p>
    <w:p>
      <w:pPr>
        <w:ind w:firstLine="436"/>
        <w:spacing w:after="0" w:line="256" w:lineRule="auto"/>
        <w:tabs>
          <w:tab w:leader="none" w:pos="68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Funding of Revolving Loans</w:t>
      </w:r>
      <w:r>
        <w:rPr>
          <w:rFonts w:ascii="Times New Roman" w:cs="Times New Roman" w:eastAsia="Times New Roman" w:hAnsi="Times New Roman"/>
          <w:sz w:val="18"/>
          <w:szCs w:val="18"/>
          <w:color w:val="auto"/>
        </w:rPr>
        <w:t>. Promptly after receipt of a Notice of Borrowing under the immediately preceding subsection (b), the Administrative Agent shall notify each Lender of the proposed borrowing. Each Lender shall deposit an amount equal to the Revolving Loan to be made by such Lender to the Borrower with the Administrative Agent at the Principal Office, in immediately available funds not later than 8:00 a.m. Pacific time on the date of such proposed Revolving Loans. Subject to fulfillment of the conditions set forth in Section 5.2., the Administrative Agent shall make available to the Borrower in the account specified in the Disbursement Instruction Agreement, not later than 9:00 a.m. Pacific time on the date of the requested borrowing of Revolving Loans, the proceeds of such amounts received by the Administrative Agent.</w:t>
      </w:r>
    </w:p>
    <w:p>
      <w:pPr>
        <w:spacing w:after="0" w:line="187" w:lineRule="exact"/>
        <w:rPr>
          <w:rFonts w:ascii="Times New Roman" w:cs="Times New Roman" w:eastAsia="Times New Roman" w:hAnsi="Times New Roman"/>
          <w:sz w:val="18"/>
          <w:szCs w:val="18"/>
          <w:color w:val="auto"/>
        </w:rPr>
      </w:pPr>
    </w:p>
    <w:p>
      <w:pPr>
        <w:ind w:right="120" w:firstLine="436"/>
        <w:spacing w:after="0" w:line="266" w:lineRule="auto"/>
        <w:tabs>
          <w:tab w:leader="none" w:pos="6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Assumptions Regarding Funding by Lenders</w:t>
      </w:r>
      <w:r>
        <w:rPr>
          <w:rFonts w:ascii="Times New Roman" w:cs="Times New Roman" w:eastAsia="Times New Roman" w:hAnsi="Times New Roman"/>
          <w:sz w:val="18"/>
          <w:szCs w:val="18"/>
          <w:color w:val="auto"/>
        </w:rPr>
        <w:t>. With respect to Revolving Loans to be made after the Effective Date, unless the Administrative Agent shall have been notified by any Lender that such Lender will not make available to the Administrative Agent a Revolving Loan to be made by such Lender in connection with any borrowing, the Administrative Agent may assume that such Lender will make the</w:t>
      </w:r>
    </w:p>
    <w:p>
      <w:pPr>
        <w:spacing w:after="0" w:line="108"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38 -</w:t>
      </w:r>
    </w:p>
    <w:p>
      <w:pPr>
        <w:sectPr>
          <w:pgSz w:w="11900" w:h="16838" w:orient="portrait"/>
          <w:cols w:equalWidth="0" w:num="1">
            <w:col w:w="10980"/>
          </w:cols>
          <w:pgMar w:left="440" w:top="266" w:right="479" w:bottom="1440" w:gutter="0" w:footer="0" w:header="0"/>
        </w:sectPr>
      </w:pPr>
    </w:p>
    <w:bookmarkStart w:id="48" w:name="page49"/>
    <w:bookmarkEnd w:id="48"/>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proceeds of such Revolving Loan available to the Administrative Agent in accordance with this Section, and the Administrative Agent may (but shall not be obligated to), in reliance upon such assumption, make available to the Borrower the amount of such Revolving Loan to be provided by such Lender. If the Administrative Agent makes the amount of such Revolving Loan available to the Borrower prior to its receipt of any proceeds of Revolving Loans by any Lender, then if such Lender has not funded its Revolving Loans prior to the time set forth therefor in clause (c) above, the Administrative Agent shall use reasonable efforts to notify the Borrower that such Lender has failed to fund by the time required therefore; provided, however, that the Administrative Agent’s failure to provide such notice shall not result in any liability to the Administrative Agent and shall not affect any other provision set forth herein. In such event, if such Lender does not make available to the Administrative Agent the proceeds of such Revolving Loan, then such Lender and the Borrower severally agree to pay to the Administrative Agent on demand the amount of such Revolving Loan with interest thereon, for each day from and including the date such Revolving Loan is made available to the Borrower but excluding the date of payment to the Administrative Agent, at (i) in the case of a payment to be made by such Lender, the Federal Funds Rate and (ii) in the case of a payment to be made by the Borrower, the interest rate applicable to Base Rate Loans. Notwithstanding the prior sentence, if any Lender shall fail to make available to the Administrative Agent the proceeds of a Revolving Loan on the date and at the time specified in Section 2.1.(c) but shall make such proceeds available to the Administrative Agent at a later time on such date, such Lender shall pay to the Administrative Agent one day’s worth of interest computed in accordance with clause (i) of the immediately preceding sentence, unless such Lender can provide evidence reasonably satisfactory to the Administrative Agent that such Lender has timely made such proceeds available to the Administrative Agent, including, without limitation, a Fed Reference Number screen shot evidencing the date and time such Lender’s wire was sent. If the Borrower and such Lender shall pay the amount of such interest to the Administrative Agent for the same or overlapping period, the Administrative Agent shall promptly remit to the Borrower the amount of such interest paid by the Borrower for such period. If such Lender pays to the Administrative Agent the amount of such Revolving Loan, the amount so paid shall constitute such Lender’s Revolving Loan included in the borrowing. Any payment by the Borrower shall be without prejudice to any claim the Borrower may have against a Lender that shall have failed to make available the proceeds of a Revolving Loan to be made by such Lender.</w:t>
      </w:r>
    </w:p>
    <w:p>
      <w:pPr>
        <w:spacing w:after="0" w:line="189" w:lineRule="exact"/>
        <w:rPr>
          <w:sz w:val="20"/>
          <w:szCs w:val="20"/>
          <w:color w:val="auto"/>
        </w:rPr>
      </w:pPr>
    </w:p>
    <w:p>
      <w:pPr>
        <w:ind w:right="120" w:firstLine="436"/>
        <w:spacing w:after="0" w:line="253" w:lineRule="auto"/>
        <w:tabs>
          <w:tab w:leader="none" w:pos="68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Reallocations</w:t>
      </w:r>
      <w:r>
        <w:rPr>
          <w:rFonts w:ascii="Times New Roman" w:cs="Times New Roman" w:eastAsia="Times New Roman" w:hAnsi="Times New Roman"/>
          <w:sz w:val="18"/>
          <w:szCs w:val="18"/>
          <w:color w:val="auto"/>
        </w:rPr>
        <w:t>. Simultaneously with the Effective Date, the outstanding amounts of all “Revolving Loans” (as defined in the Existing Credit Agreement) of the “Lenders” (as defined in the Existing Credit Agreement) having a “Revolving Commitment” (as defined in the Existing Credit Agreement) (the “</w:t>
      </w:r>
      <w:r>
        <w:rPr>
          <w:rFonts w:ascii="Times New Roman" w:cs="Times New Roman" w:eastAsia="Times New Roman" w:hAnsi="Times New Roman"/>
          <w:sz w:val="18"/>
          <w:szCs w:val="18"/>
          <w:b w:val="1"/>
          <w:bCs w:val="1"/>
          <w:color w:val="auto"/>
        </w:rPr>
        <w:t>Existing Lenders</w:t>
      </w:r>
      <w:r>
        <w:rPr>
          <w:rFonts w:ascii="Times New Roman" w:cs="Times New Roman" w:eastAsia="Times New Roman" w:hAnsi="Times New Roman"/>
          <w:sz w:val="18"/>
          <w:szCs w:val="18"/>
          <w:color w:val="auto"/>
        </w:rPr>
        <w:t>”) previously made to the Borrower under the Existing Credit Agreement and participations in Existing Letters of Credit of the Existing Lenders shall be reallocated among the Lenders in accordance with their respective Revolving Commitment Percentages (determined in accordance with the amount of each Lender’s Revolving Commitment set forth on Schedule I), and in order to effect such reallocations, the requisite assignments shall be deemed to be made in amounts from each Existing Lender to each Lender, with the same force and effect as if such assignments were evidenced by the applicable Assignment and Assumptions (as defined in the Existing Credit Agreement) under the Existing Credit Agreement and without the payment of any related assignment fee, and no other documents or instruments shall be, or shall be required to be, executed in connection with such assignments (all of which are hereby waived) and (ii) each assignee Lender shall make full cash settlement with each corresponding assignor Existing Lender, through the Administrative Agent, as the Administrative Agent may direct (after giving effect to any netting effected by the Administrative Agent) with respect to such reallocations and assignments.</w:t>
      </w:r>
    </w:p>
    <w:p>
      <w:pPr>
        <w:spacing w:after="0" w:line="124"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39 -</w:t>
      </w:r>
    </w:p>
    <w:p>
      <w:pPr>
        <w:sectPr>
          <w:pgSz w:w="11900" w:h="16838" w:orient="portrait"/>
          <w:cols w:equalWidth="0" w:num="1">
            <w:col w:w="11000"/>
          </w:cols>
          <w:pgMar w:left="440" w:top="270"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2.2. Bid Rate Loans.</w:t>
      </w:r>
    </w:p>
    <w:p>
      <w:pPr>
        <w:spacing w:after="0" w:line="121" w:lineRule="exact"/>
        <w:rPr>
          <w:sz w:val="20"/>
          <w:szCs w:val="20"/>
          <w:color w:val="auto"/>
        </w:rPr>
      </w:pPr>
    </w:p>
    <w:p>
      <w:pPr>
        <w:ind w:right="80" w:firstLine="436"/>
        <w:spacing w:after="0" w:line="261" w:lineRule="auto"/>
        <w:tabs>
          <w:tab w:leader="none" w:pos="68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Bid Rate Loans</w:t>
      </w:r>
      <w:r>
        <w:rPr>
          <w:rFonts w:ascii="Times New Roman" w:cs="Times New Roman" w:eastAsia="Times New Roman" w:hAnsi="Times New Roman"/>
          <w:sz w:val="18"/>
          <w:szCs w:val="18"/>
          <w:color w:val="auto"/>
        </w:rPr>
        <w:t>. At any time during the period from the Effective Date to but excluding the Revolving Termination Date, and so long as the Borrower continues to maintain an Investment Grade Rating, the Borrower may, as set forth in this Section, request the Lenders to make offers to make Bid Rate Loans to the Borrower in Dollars. The Lenders may, but shall have no obligation to, make such offers and the Borrower may, but shall have no obligation to, accept any such offers in the manner set forth in this Section.</w:t>
      </w:r>
    </w:p>
    <w:p>
      <w:pPr>
        <w:spacing w:after="0" w:line="179" w:lineRule="exact"/>
        <w:rPr>
          <w:rFonts w:ascii="Times New Roman" w:cs="Times New Roman" w:eastAsia="Times New Roman" w:hAnsi="Times New Roman"/>
          <w:sz w:val="18"/>
          <w:szCs w:val="18"/>
          <w:color w:val="auto"/>
        </w:rPr>
      </w:pPr>
    </w:p>
    <w:p>
      <w:pPr>
        <w:ind w:right="20" w:firstLine="436"/>
        <w:spacing w:after="0" w:line="254" w:lineRule="auto"/>
        <w:tabs>
          <w:tab w:leader="none" w:pos="6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Requests for Bid Rate Loans</w:t>
      </w:r>
      <w:r>
        <w:rPr>
          <w:rFonts w:ascii="Times New Roman" w:cs="Times New Roman" w:eastAsia="Times New Roman" w:hAnsi="Times New Roman"/>
          <w:sz w:val="18"/>
          <w:szCs w:val="18"/>
          <w:color w:val="auto"/>
        </w:rPr>
        <w:t>. When the Borrower wishes to request from the Lenders offers to make Bid Rate Loans, it shall give the Administrative Agent notice (a “</w:t>
      </w:r>
      <w:r>
        <w:rPr>
          <w:rFonts w:ascii="Times New Roman" w:cs="Times New Roman" w:eastAsia="Times New Roman" w:hAnsi="Times New Roman"/>
          <w:sz w:val="18"/>
          <w:szCs w:val="18"/>
          <w:b w:val="1"/>
          <w:bCs w:val="1"/>
          <w:color w:val="auto"/>
        </w:rPr>
        <w:t>Bid Rate Quote Request</w:t>
      </w:r>
      <w:r>
        <w:rPr>
          <w:rFonts w:ascii="Times New Roman" w:cs="Times New Roman" w:eastAsia="Times New Roman" w:hAnsi="Times New Roman"/>
          <w:sz w:val="18"/>
          <w:szCs w:val="18"/>
          <w:color w:val="auto"/>
        </w:rPr>
        <w:t>”) so as to be received no later than 11:00 a.m. Pacific time on (x) the Business Day immediately preceding the date of borrowing proposed therein, in the case of an Absolute Rate Auction and (y) the date four (4) U.S. Government Securities Business Days prior to the proposed date of borrowing, in the case of a SOFR Auction. The Administrative Agent shall deliver to each Lender a copy of each Bid Rate Quote Request promptly upon receipt thereof by the Administrative Agent. The Borrower may request offers to make Bid Rate Loans for up to four (4) different Interest Periods in any one Bid Rate Quote Request; provided that if granted each separate Interest Period shall be deemed to be a separate borrowing (a “</w:t>
      </w:r>
      <w:r>
        <w:rPr>
          <w:rFonts w:ascii="Times New Roman" w:cs="Times New Roman" w:eastAsia="Times New Roman" w:hAnsi="Times New Roman"/>
          <w:sz w:val="18"/>
          <w:szCs w:val="18"/>
          <w:b w:val="1"/>
          <w:bCs w:val="1"/>
          <w:color w:val="auto"/>
        </w:rPr>
        <w:t>Bid Rate Borrowing</w:t>
      </w:r>
      <w:r>
        <w:rPr>
          <w:rFonts w:ascii="Times New Roman" w:cs="Times New Roman" w:eastAsia="Times New Roman" w:hAnsi="Times New Roman"/>
          <w:sz w:val="18"/>
          <w:szCs w:val="18"/>
          <w:color w:val="auto"/>
        </w:rPr>
        <w:t>”). Each Bid Rate Quote Request shall be substantially in the form of Exhibit L and shall specify as to each Bid Rate Borrowing all of the following:</w:t>
      </w:r>
    </w:p>
    <w:p>
      <w:pPr>
        <w:spacing w:after="0" w:line="83"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date of such Bid Rate Borrowing, which shall be a U.S. Government Securities Business Day;</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such Bid Rate Borrowing which shall be in a minimum amount of $5,000,000 and integral multiples of</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$1,000,000 in excess thereof which shall not cause any of the limits specified in Section 2.15. to be violated;</w:t>
      </w:r>
    </w:p>
    <w:p>
      <w:pPr>
        <w:spacing w:after="0" w:line="99" w:lineRule="exact"/>
        <w:rPr>
          <w:sz w:val="20"/>
          <w:szCs w:val="20"/>
          <w:color w:val="auto"/>
        </w:rPr>
      </w:pPr>
    </w:p>
    <w:p>
      <w:pPr>
        <w:ind w:left="1180" w:hanging="321"/>
        <w:spacing w:after="0"/>
        <w:tabs>
          <w:tab w:leader="none" w:pos="11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Bid Rate Quote Request is for SOFR Margin Loans or Absolute Rate Loans; and</w:t>
      </w:r>
    </w:p>
    <w:p>
      <w:pPr>
        <w:spacing w:after="0" w:line="117"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the Interest Period applicable thereto, which shall not extend beyond the Revolving Termination Date.</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Borrower shall not deliver any Bid Rate Quote Request within five U.S. Government Securities Business Days (or such other number of days as the Borrower and the Administrative Agent may agree) of the giving of any other Bid Rate Quote Request and the Borrower shall not deliver more than four Bid Rate Quote Requests in any calendar month.</w:t>
      </w:r>
    </w:p>
    <w:p>
      <w:pPr>
        <w:spacing w:after="0" w:line="176" w:lineRule="exact"/>
        <w:rPr>
          <w:sz w:val="20"/>
          <w:szCs w:val="20"/>
          <w:color w:val="auto"/>
        </w:rPr>
      </w:pPr>
    </w:p>
    <w:p>
      <w:pPr>
        <w:ind w:left="680" w:hanging="244"/>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Bid Rate Quotes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right="260" w:firstLine="419"/>
        <w:spacing w:after="0" w:line="255" w:lineRule="auto"/>
        <w:tabs>
          <w:tab w:leader="none" w:pos="1078"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may submit one or more Bid Rate Quotes, each containing an offer to make a Bid Rate Loan in response to any Bid Rate Quote Request; provided that, if the Borrower’s request under Section 2.2.(b) specified more than one Interest Period, such Lender may make a single submission containing only one Bid Rate Quote for each such Interest Period. Each Bid Rate Quote must be submitted to the Administrative Agent not later than 8:30 a.m. Pacific time (x) on the proposed date of borrowing, in the case of an Absolute Rate Auction and</w:t>
      </w:r>
    </w:p>
    <w:p>
      <w:pPr>
        <w:spacing w:after="0" w:line="2" w:lineRule="exact"/>
        <w:rPr>
          <w:rFonts w:ascii="Times New Roman" w:cs="Times New Roman" w:eastAsia="Times New Roman" w:hAnsi="Times New Roman"/>
          <w:sz w:val="18"/>
          <w:szCs w:val="18"/>
          <w:color w:val="auto"/>
        </w:rPr>
      </w:pPr>
    </w:p>
    <w:p>
      <w:pPr>
        <w:ind w:left="440" w:hanging="4"/>
        <w:spacing w:after="0" w:line="252" w:lineRule="auto"/>
        <w:tabs>
          <w:tab w:leader="none" w:pos="6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date three (3) U.S. Government Securities Business Days prior to the proposed date of borrowing, in the case of a SOFR Auction, and in either case the Administrative Agent shall disregard any Bid Rate Quote received after such time; provided that the Lender then acting as the Administrative Agent may submit a Bid Rate Quote only if it notifies the Borrower of the terms of the offer contained therein not later than 30 minutes prior to the latest time by which the Lenders must submit applicable Bid Rate Quotes. Any Bid Rate Quote so made shall be irrevocable except with the consent of the Administrative Agent given at the request of the Borrower. Such Bid Rate Loans may be funded by a Lender’s Designated Lender (if any) as provided in Section 12.6.(d); however, such Lender shall not be required to specify in its Bid Rate Quote whether such Bid Rate Loan will be funded by such Designated Lender.</w:t>
      </w:r>
    </w:p>
    <w:p>
      <w:pPr>
        <w:spacing w:after="0" w:line="120"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40 -</w:t>
      </w:r>
    </w:p>
    <w:p>
      <w:pPr>
        <w:sectPr>
          <w:pgSz w:w="11900" w:h="16838" w:orient="portrait"/>
          <w:cols w:equalWidth="0" w:num="1">
            <w:col w:w="11020"/>
          </w:cols>
          <w:pgMar w:left="440" w:top="266" w:right="439" w:bottom="1440" w:gutter="0" w:footer="0" w:header="0"/>
        </w:sectPr>
      </w:pPr>
    </w:p>
    <w:bookmarkStart w:id="50" w:name="page51"/>
    <w:bookmarkEnd w:id="50"/>
    <w:p>
      <w:pPr>
        <w:ind w:left="1124" w:hanging="261"/>
        <w:spacing w:after="0"/>
        <w:tabs>
          <w:tab w:leader="none" w:pos="112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Bid Rate Quote shall be substantially in the form of Exhibit M and shall specify:</w:t>
      </w:r>
    </w:p>
    <w:p>
      <w:pPr>
        <w:spacing w:after="0" w:line="117" w:lineRule="exact"/>
        <w:rPr>
          <w:rFonts w:ascii="Times New Roman" w:cs="Times New Roman" w:eastAsia="Times New Roman" w:hAnsi="Times New Roman"/>
          <w:sz w:val="18"/>
          <w:szCs w:val="18"/>
          <w:color w:val="auto"/>
        </w:rPr>
      </w:pPr>
    </w:p>
    <w:p>
      <w:pPr>
        <w:ind w:left="1684" w:hanging="292"/>
        <w:spacing w:after="0"/>
        <w:tabs>
          <w:tab w:leader="none" w:pos="168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date of borrowing and the Interest Period therefor;</w:t>
      </w:r>
    </w:p>
    <w:p>
      <w:pPr>
        <w:spacing w:after="0" w:line="117" w:lineRule="exact"/>
        <w:rPr>
          <w:rFonts w:ascii="Times New Roman" w:cs="Times New Roman" w:eastAsia="Times New Roman" w:hAnsi="Times New Roman"/>
          <w:sz w:val="18"/>
          <w:szCs w:val="18"/>
          <w:color w:val="auto"/>
        </w:rPr>
      </w:pPr>
    </w:p>
    <w:p>
      <w:pPr>
        <w:ind w:left="984" w:right="40" w:firstLine="408"/>
        <w:spacing w:after="0" w:line="258" w:lineRule="auto"/>
        <w:tabs>
          <w:tab w:leader="none" w:pos="167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the Bid Rate Loan for which each such offer is being made; provided that the aggregate principal amount of all Bid Rate Loans for which a Lender submits Bid Rate Quotes (x) may be greater or less than the Revolving Commitment of such Lender but (y) shall not exceed the principal amount of the Bid Rate Borrowing for a particular Interest Period for which offers were requested; provided further that any Bid Rate Quote shall be in a minimum amount of $1,000,000 and integral multiples of $500,000 in excess thereof;</w:t>
      </w:r>
    </w:p>
    <w:p>
      <w:pPr>
        <w:spacing w:after="0" w:line="75" w:lineRule="exact"/>
        <w:rPr>
          <w:rFonts w:ascii="Times New Roman" w:cs="Times New Roman" w:eastAsia="Times New Roman" w:hAnsi="Times New Roman"/>
          <w:sz w:val="18"/>
          <w:szCs w:val="18"/>
          <w:color w:val="auto"/>
        </w:rPr>
      </w:pPr>
    </w:p>
    <w:p>
      <w:pPr>
        <w:ind w:left="984" w:firstLine="408"/>
        <w:spacing w:after="0" w:line="282" w:lineRule="auto"/>
        <w:tabs>
          <w:tab w:leader="none" w:pos="167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Absolute Rate Auction, the rate of interest per annum (rounded upwards, if necessary, to the nearest 1/1,000th of 1%) offered for each such Absolute Rate Loan (the “</w:t>
      </w:r>
      <w:r>
        <w:rPr>
          <w:rFonts w:ascii="Times New Roman" w:cs="Times New Roman" w:eastAsia="Times New Roman" w:hAnsi="Times New Roman"/>
          <w:sz w:val="18"/>
          <w:szCs w:val="18"/>
          <w:b w:val="1"/>
          <w:bCs w:val="1"/>
          <w:color w:val="auto"/>
        </w:rPr>
        <w:t>Absolute Rate</w:t>
      </w:r>
      <w:r>
        <w:rPr>
          <w:rFonts w:ascii="Times New Roman" w:cs="Times New Roman" w:eastAsia="Times New Roman" w:hAnsi="Times New Roman"/>
          <w:sz w:val="18"/>
          <w:szCs w:val="18"/>
          <w:color w:val="auto"/>
        </w:rPr>
        <w:t>”);</w:t>
      </w:r>
    </w:p>
    <w:p>
      <w:pPr>
        <w:spacing w:after="0" w:line="49" w:lineRule="exact"/>
        <w:rPr>
          <w:rFonts w:ascii="Times New Roman" w:cs="Times New Roman" w:eastAsia="Times New Roman" w:hAnsi="Times New Roman"/>
          <w:sz w:val="18"/>
          <w:szCs w:val="18"/>
          <w:color w:val="auto"/>
        </w:rPr>
      </w:pPr>
    </w:p>
    <w:p>
      <w:pPr>
        <w:jc w:val="both"/>
        <w:ind w:left="984" w:right="200" w:firstLine="408"/>
        <w:spacing w:after="0" w:line="268" w:lineRule="auto"/>
        <w:tabs>
          <w:tab w:leader="none" w:pos="16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SOFR Auction, the margin above or below applicable Adjusted Term SOFR (the “</w:t>
      </w:r>
      <w:r>
        <w:rPr>
          <w:rFonts w:ascii="Times New Roman" w:cs="Times New Roman" w:eastAsia="Times New Roman" w:hAnsi="Times New Roman"/>
          <w:sz w:val="18"/>
          <w:szCs w:val="18"/>
          <w:b w:val="1"/>
          <w:bCs w:val="1"/>
          <w:color w:val="auto"/>
        </w:rPr>
        <w:t>SOFR Margin</w:t>
      </w:r>
      <w:r>
        <w:rPr>
          <w:rFonts w:ascii="Times New Roman" w:cs="Times New Roman" w:eastAsia="Times New Roman" w:hAnsi="Times New Roman"/>
          <w:sz w:val="18"/>
          <w:szCs w:val="18"/>
          <w:color w:val="auto"/>
        </w:rPr>
        <w:t>”) offered for each such SOFR Margin Loan, expressed as a percentage (rounded upwards, if necessary, to the nearest 1/1,000th of 1%) to be added to (or subtracted from) the applicable Adjusted Term SOFR; and</w:t>
      </w:r>
    </w:p>
    <w:p>
      <w:pPr>
        <w:spacing w:after="0" w:line="66" w:lineRule="exact"/>
        <w:rPr>
          <w:rFonts w:ascii="Times New Roman" w:cs="Times New Roman" w:eastAsia="Times New Roman" w:hAnsi="Times New Roman"/>
          <w:sz w:val="18"/>
          <w:szCs w:val="18"/>
          <w:color w:val="auto"/>
        </w:rPr>
      </w:pPr>
    </w:p>
    <w:p>
      <w:pPr>
        <w:ind w:left="1664" w:hanging="272"/>
        <w:spacing w:after="0"/>
        <w:tabs>
          <w:tab w:leader="none" w:pos="166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of the quoting Lender.</w:t>
      </w:r>
    </w:p>
    <w:p>
      <w:pPr>
        <w:spacing w:after="0" w:line="117" w:lineRule="exact"/>
        <w:rPr>
          <w:sz w:val="20"/>
          <w:szCs w:val="20"/>
          <w:color w:val="auto"/>
        </w:rPr>
      </w:pPr>
    </w:p>
    <w:p>
      <w:pPr>
        <w:ind w:left="444" w:right="60"/>
        <w:spacing w:after="0" w:line="261" w:lineRule="auto"/>
        <w:rPr>
          <w:sz w:val="20"/>
          <w:szCs w:val="20"/>
          <w:color w:val="auto"/>
        </w:rPr>
      </w:pPr>
      <w:r>
        <w:rPr>
          <w:rFonts w:ascii="Times New Roman" w:cs="Times New Roman" w:eastAsia="Times New Roman" w:hAnsi="Times New Roman"/>
          <w:sz w:val="18"/>
          <w:szCs w:val="18"/>
          <w:color w:val="auto"/>
        </w:rPr>
        <w:t>Unless otherwise agreed by the Administrative Agent and the Borrower, no Bid Rate Quote shall contain qualifying, conditional or similar language or propose terms other than or in addition to those set forth in the applicable Bid Rate Quote Request and, in particular, no Bid Rate Quote may be conditioned upon acceptance by the Borrower of all (or some specified minimum) of the principal amount of the Bid Rate Loan for which such Bid Rate Quote is being made.</w:t>
      </w:r>
    </w:p>
    <w:p>
      <w:pPr>
        <w:spacing w:after="0" w:line="180" w:lineRule="exact"/>
        <w:rPr>
          <w:sz w:val="20"/>
          <w:szCs w:val="20"/>
          <w:color w:val="auto"/>
        </w:rPr>
      </w:pPr>
    </w:p>
    <w:p>
      <w:pPr>
        <w:jc w:val="both"/>
        <w:ind w:left="4" w:right="60" w:firstLine="436"/>
        <w:spacing w:after="0" w:line="276" w:lineRule="auto"/>
        <w:tabs>
          <w:tab w:leader="none" w:pos="699"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Notification by Administrative Agent</w:t>
      </w:r>
      <w:r>
        <w:rPr>
          <w:rFonts w:ascii="Times New Roman" w:cs="Times New Roman" w:eastAsia="Times New Roman" w:hAnsi="Times New Roman"/>
          <w:sz w:val="17"/>
          <w:szCs w:val="17"/>
          <w:color w:val="auto"/>
        </w:rPr>
        <w:t>. The Administrative Agent shall, as promptly as practicable after the Bid Rate Quotes are submitted (but in any event not later than 9:30 a.m. Pacific time (x) on the proposed date of borrowing, in the case of an Absolute Rate Auction or (y) on the date three</w:t>
      </w:r>
    </w:p>
    <w:p>
      <w:pPr>
        <w:ind w:left="4" w:right="20" w:hanging="4"/>
        <w:spacing w:after="0" w:line="252" w:lineRule="auto"/>
        <w:tabs>
          <w:tab w:leader="none" w:pos="25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Government Securities Business Days prior to the proposed date of borrowing, in the case of a SOFR Auction), notify the Borrower of the terms (i) of any Bid Rate Quote submitted by a Lender that is in accordance with Section 2.2.(c) and (ii) of any Bid Rate Quote that amends, modifies or is otherwise inconsistent with a previous Bid Rate Quote submitted by such Lender with respect to the same Bid Rate Quote Request. Any such subsequent Bid Rate Quote shall be disregarded by the Administrative Agent unless such subsequent Bid Rate Quote is submitted solely to correct a manifest error in such former Bid Rate Quote. The Administrative Agent’s notice to the Borrower shall specify (A) the aggregate principal amount of the Bid Rate Borrowing for which offers have been received and (B) the principal amounts and Absolute Rates or SOFR Margins, as applicable, so offered by each Lender (identifying the Lender that made such Bid Rate Quote).</w:t>
      </w:r>
    </w:p>
    <w:p>
      <w:pPr>
        <w:spacing w:after="0" w:line="120"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41 -</w:t>
      </w:r>
    </w:p>
    <w:p>
      <w:pPr>
        <w:sectPr>
          <w:pgSz w:w="11900" w:h="16838" w:orient="portrait"/>
          <w:cols w:equalWidth="0" w:num="1">
            <w:col w:w="11004"/>
          </w:cols>
          <w:pgMar w:left="436" w:top="270" w:right="459" w:bottom="1440" w:gutter="0" w:footer="0" w:header="0"/>
        </w:sectPr>
      </w:pPr>
    </w:p>
    <w:bookmarkStart w:id="51" w:name="page52"/>
    <w:bookmarkEnd w:id="51"/>
    <w:p>
      <w:pPr>
        <w:ind w:left="244" w:hanging="244"/>
        <w:spacing w:after="0"/>
        <w:tabs>
          <w:tab w:leader="none" w:pos="24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Acceptance by Borrower</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right="40" w:firstLine="419"/>
        <w:spacing w:after="0" w:line="256" w:lineRule="auto"/>
        <w:tabs>
          <w:tab w:leader="none" w:pos="641"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later than 10:30 a.m. Pacific time (x) on the proposed date of borrowing, in the case of an Absolute Rate Auction and (y) on the date three (3) U.S. Government Securities Business Days prior to the proposed date of borrowing, in the case of a SOFR Auction, the Borrower shall notify the Administrative Agent of its acceptance or nonacceptance of the Bid Rate Quotes so notified to it pursuant to Section 2.2.(d). which notice shall be in the form of Exhibit N. In the case of acceptance, such notice shall specify the aggregate principal amount of Bid Rate Quotes for each Interest Period that are accepted. The failure of the Borrower to give such notice by such time shall constitute nonacceptance. The Borrower may accept any Bid Rate Quote in whole or in part; provided that:</w:t>
      </w:r>
    </w:p>
    <w:p>
      <w:pPr>
        <w:spacing w:after="0" w:line="79" w:lineRule="exact"/>
        <w:rPr>
          <w:rFonts w:ascii="Times New Roman" w:cs="Times New Roman" w:eastAsia="Times New Roman" w:hAnsi="Times New Roman"/>
          <w:sz w:val="18"/>
          <w:szCs w:val="18"/>
          <w:color w:val="auto"/>
        </w:rPr>
      </w:pPr>
    </w:p>
    <w:p>
      <w:pPr>
        <w:ind w:left="544" w:right="280" w:firstLine="408"/>
        <w:spacing w:after="0" w:line="282" w:lineRule="auto"/>
        <w:tabs>
          <w:tab w:leader="none" w:pos="1239"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each Bid Rate Borrowing may not exceed the applicable amount set forth in the related Bid Rate Quote Request;</w:t>
      </w:r>
    </w:p>
    <w:p>
      <w:pPr>
        <w:spacing w:after="0" w:line="53" w:lineRule="exact"/>
        <w:rPr>
          <w:rFonts w:ascii="Times New Roman" w:cs="Times New Roman" w:eastAsia="Times New Roman" w:hAnsi="Times New Roman"/>
          <w:sz w:val="18"/>
          <w:szCs w:val="18"/>
          <w:color w:val="auto"/>
        </w:rPr>
      </w:pPr>
    </w:p>
    <w:p>
      <w:pPr>
        <w:ind w:left="544" w:right="160" w:firstLine="408"/>
        <w:spacing w:after="0" w:line="282" w:lineRule="auto"/>
        <w:tabs>
          <w:tab w:leader="none" w:pos="1229"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each Bid Rate Borrowing shall comply with the provisions of Section 2.2.(b)(ii) and together with all other Bid Rate Loans then outstanding shall not cause the limits specified in Section 2.15. to be violated;</w:t>
      </w:r>
    </w:p>
    <w:p>
      <w:pPr>
        <w:spacing w:after="0" w:line="53" w:lineRule="exact"/>
        <w:rPr>
          <w:rFonts w:ascii="Times New Roman" w:cs="Times New Roman" w:eastAsia="Times New Roman" w:hAnsi="Times New Roman"/>
          <w:sz w:val="18"/>
          <w:szCs w:val="18"/>
          <w:color w:val="auto"/>
        </w:rPr>
      </w:pPr>
    </w:p>
    <w:p>
      <w:pPr>
        <w:ind w:left="544" w:right="80" w:firstLine="408"/>
        <w:spacing w:after="0" w:line="282" w:lineRule="auto"/>
        <w:tabs>
          <w:tab w:leader="none" w:pos="1229"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Bid Rate Quotes may be made only in ascending order of Absolute Rates or SOFR Margins, as applicable, in each case beginning with the lowest rate so offered;</w:t>
      </w:r>
    </w:p>
    <w:p>
      <w:pPr>
        <w:spacing w:after="0" w:line="53" w:lineRule="exact"/>
        <w:rPr>
          <w:rFonts w:ascii="Times New Roman" w:cs="Times New Roman" w:eastAsia="Times New Roman" w:hAnsi="Times New Roman"/>
          <w:sz w:val="18"/>
          <w:szCs w:val="18"/>
          <w:color w:val="auto"/>
        </w:rPr>
      </w:pPr>
    </w:p>
    <w:p>
      <w:pPr>
        <w:ind w:left="544" w:right="480" w:firstLine="408"/>
        <w:spacing w:after="0" w:line="282" w:lineRule="auto"/>
        <w:tabs>
          <w:tab w:leader="none" w:pos="1239"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acceptance in part by the Borrower shall be in a minimum amount of $1,000,000 and integral multiples of $500,000 in excess thereof; and</w:t>
      </w:r>
    </w:p>
    <w:p>
      <w:pPr>
        <w:spacing w:after="0" w:line="53" w:lineRule="exact"/>
        <w:rPr>
          <w:rFonts w:ascii="Times New Roman" w:cs="Times New Roman" w:eastAsia="Times New Roman" w:hAnsi="Times New Roman"/>
          <w:sz w:val="18"/>
          <w:szCs w:val="18"/>
          <w:color w:val="auto"/>
        </w:rPr>
      </w:pPr>
    </w:p>
    <w:p>
      <w:pPr>
        <w:ind w:left="544" w:right="180" w:firstLine="408"/>
        <w:spacing w:after="0" w:line="282" w:lineRule="auto"/>
        <w:tabs>
          <w:tab w:leader="none" w:pos="1219"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not accept any Bid Rate Quote that fails to comply with Section 2.2.(c) or otherwise fails to comply with the requirements of this Agreement.</w:t>
      </w:r>
    </w:p>
    <w:p>
      <w:pPr>
        <w:spacing w:after="0" w:line="53" w:lineRule="exact"/>
        <w:rPr>
          <w:rFonts w:ascii="Times New Roman" w:cs="Times New Roman" w:eastAsia="Times New Roman" w:hAnsi="Times New Roman"/>
          <w:sz w:val="18"/>
          <w:szCs w:val="18"/>
          <w:color w:val="auto"/>
        </w:rPr>
      </w:pPr>
    </w:p>
    <w:p>
      <w:pPr>
        <w:ind w:left="4" w:right="80" w:firstLine="419"/>
        <w:spacing w:after="0" w:line="258" w:lineRule="auto"/>
        <w:tabs>
          <w:tab w:leader="none" w:pos="691"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Bid Rate Quotes are made by two or more Lenders with the same Absolute Rates or SOFR Margins, as applicable, for a greater aggregate principal amount than the amount in respect of which Bid Rate Quotes are permitted to be accepted for the related Interest Period, the principal amount of Bid Rate Loans in respect of which such Bid Rate Quotes are accepted shall be allocated by the Administrative Agent among such Lenders in proportion to the aggregate principal amount of such Bid Rate Quotes. Determinations by the Administrative Agent of the amounts of Bid Rate Loans shall be conclusive in the absence of manifest error.</w:t>
      </w:r>
    </w:p>
    <w:p>
      <w:pPr>
        <w:spacing w:after="0" w:line="183" w:lineRule="exact"/>
        <w:rPr>
          <w:rFonts w:ascii="Times New Roman" w:cs="Times New Roman" w:eastAsia="Times New Roman" w:hAnsi="Times New Roman"/>
          <w:sz w:val="18"/>
          <w:szCs w:val="18"/>
          <w:color w:val="auto"/>
        </w:rPr>
      </w:pPr>
    </w:p>
    <w:p>
      <w:pPr>
        <w:ind w:left="-436" w:firstLine="436"/>
        <w:spacing w:after="0" w:line="253" w:lineRule="auto"/>
        <w:tabs>
          <w:tab w:leader="none" w:pos="22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Obligation to Make Bid Rate Loans</w:t>
      </w:r>
      <w:r>
        <w:rPr>
          <w:rFonts w:ascii="Times New Roman" w:cs="Times New Roman" w:eastAsia="Times New Roman" w:hAnsi="Times New Roman"/>
          <w:sz w:val="18"/>
          <w:szCs w:val="18"/>
          <w:color w:val="auto"/>
        </w:rPr>
        <w:t>. The Administrative Agent shall promptly (and in any event not later than (x) 11:30 a.m. Pacific time on the proposed date of borrowing of Absolute Rate Loans and (y) on the date three (3) U.S. Government Securities Business Days prior to the proposed date of borrowing of SOFR Margin Loans) notify each Lender as to whose Bid Rate Quote has been accepted and the amount and rate thereof. A Lender who is notified that it has been selected to make a Bid Rate Loan may designate its Designated Lender (if any) to fund such Bid Rate Loan on its behalf, as described in Section 12.6.(d). Any Designated Lender which funds a Bid Rate Loan shall on and after the time of such funding become the obligee in respect of such Bid Rate Loan and be entitled to receive payment thereof when due. No Lender shall be relieved of its obligation to fund a Bid Rate Loan, and no Designated Lender shall assume such obligation, prior to the time the applicable Bid Rate Loan is funded. Any Lender whose offer to make any Bid Rate Loan has been accepted shall, not later than 12:30 p.m. Pacific time on the date specified for the making of such Loan, make the amount of such Loan available to the Administrative Agent at its Principal Office in immediately available funds, for the account of the Borrower. The amount so received by the Administrative Agent shall, subject to the terms and conditions of this Agreement, be made available to the Borrower not later than 1:30 p.m. Pacific time on such date by depositing the same, in immediately available funds, in an account of the Borrower designated by the Borrower.</w:t>
      </w:r>
    </w:p>
    <w:p>
      <w:pPr>
        <w:spacing w:after="0" w:line="189" w:lineRule="exact"/>
        <w:rPr>
          <w:rFonts w:ascii="Times New Roman" w:cs="Times New Roman" w:eastAsia="Times New Roman" w:hAnsi="Times New Roman"/>
          <w:sz w:val="18"/>
          <w:szCs w:val="18"/>
          <w:color w:val="auto"/>
        </w:rPr>
      </w:pPr>
    </w:p>
    <w:p>
      <w:pPr>
        <w:ind w:left="-436" w:right="160" w:firstLine="436"/>
        <w:spacing w:after="0" w:line="282" w:lineRule="auto"/>
        <w:tabs>
          <w:tab w:leader="none" w:pos="25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Effect on Revolving Commitment</w:t>
      </w:r>
      <w:r>
        <w:rPr>
          <w:rFonts w:ascii="Times New Roman" w:cs="Times New Roman" w:eastAsia="Times New Roman" w:hAnsi="Times New Roman"/>
          <w:sz w:val="18"/>
          <w:szCs w:val="18"/>
          <w:color w:val="auto"/>
        </w:rPr>
        <w:t>. Except for the purpose and to the extent expressly stated in Section 2.12. and 2.15., the amount of any Bid Rate Loan made by any Lender shall not constitute a utilization of such Lender’s Revolving Commitment.</w:t>
      </w:r>
    </w:p>
    <w:p>
      <w:pPr>
        <w:spacing w:after="0" w:line="94" w:lineRule="exact"/>
        <w:rPr>
          <w:rFonts w:ascii="Times New Roman" w:cs="Times New Roman" w:eastAsia="Times New Roman" w:hAnsi="Times New Roman"/>
          <w:sz w:val="18"/>
          <w:szCs w:val="18"/>
          <w:color w:val="auto"/>
        </w:rPr>
      </w:pPr>
    </w:p>
    <w:p>
      <w:pPr>
        <w:ind w:left="4984" w:hanging="111"/>
        <w:spacing w:after="0"/>
        <w:tabs>
          <w:tab w:leader="none" w:pos="4984" w:val="left"/>
        </w:tabs>
        <w:numPr>
          <w:ilvl w:val="3"/>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42 -</w:t>
      </w:r>
    </w:p>
    <w:p>
      <w:pPr>
        <w:sectPr>
          <w:pgSz w:w="11900" w:h="16838" w:orient="portrait"/>
          <w:cols w:equalWidth="0" w:num="1">
            <w:col w:w="10564"/>
          </w:cols>
          <w:pgMar w:left="876" w:top="270"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2.3. Letters of Credit.</w:t>
      </w:r>
    </w:p>
    <w:p>
      <w:pPr>
        <w:spacing w:after="0" w:line="121" w:lineRule="exact"/>
        <w:rPr>
          <w:sz w:val="20"/>
          <w:szCs w:val="20"/>
          <w:color w:val="auto"/>
        </w:rPr>
      </w:pPr>
    </w:p>
    <w:p>
      <w:pPr>
        <w:ind w:firstLine="436"/>
        <w:spacing w:after="0" w:line="255" w:lineRule="auto"/>
        <w:tabs>
          <w:tab w:leader="none" w:pos="68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Letters of Credit</w:t>
      </w:r>
      <w:r>
        <w:rPr>
          <w:rFonts w:ascii="Times New Roman" w:cs="Times New Roman" w:eastAsia="Times New Roman" w:hAnsi="Times New Roman"/>
          <w:sz w:val="18"/>
          <w:szCs w:val="18"/>
          <w:color w:val="auto"/>
        </w:rPr>
        <w:t>. Subject to the terms and conditions of this Agreement, including without limitation, Section 2.15., each Issuing Bank, on behalf of the Lenders, agrees to issue for the account of the Borrower during the period from and including the Effective Date to, but excluding, the date thirty (30) days prior to the Revolving Termination Date, one or more standby letters of credit in Dollars (each a “</w:t>
      </w:r>
      <w:r>
        <w:rPr>
          <w:rFonts w:ascii="Times New Roman" w:cs="Times New Roman" w:eastAsia="Times New Roman" w:hAnsi="Times New Roman"/>
          <w:sz w:val="18"/>
          <w:szCs w:val="18"/>
          <w:b w:val="1"/>
          <w:bCs w:val="1"/>
          <w:color w:val="auto"/>
        </w:rPr>
        <w:t>Letter of Credit</w:t>
      </w:r>
      <w:r>
        <w:rPr>
          <w:rFonts w:ascii="Times New Roman" w:cs="Times New Roman" w:eastAsia="Times New Roman" w:hAnsi="Times New Roman"/>
          <w:sz w:val="18"/>
          <w:szCs w:val="18"/>
          <w:color w:val="auto"/>
        </w:rPr>
        <w:t>”) up to a maximum aggregate Stated Amount at any one time outstanding not to exceed $50,000,000 as such amount may be reduced from time to time in accordance with the terms hereof (the “L/C Commitment Amount”); provided, that an Issuing Bank shall not be obligated to issue any Letter of Credit if, after giving effect to such issuance, the aggregate Stated Amount of the outstanding Letters of Credit issued by such Issuing Bank would exceed the lesser of (i) 50% of the L/C Commitment Amount and (ii) the Revolving Commitment of such Issuing Bank in its capacity as a Lender.</w:t>
      </w:r>
    </w:p>
    <w:p>
      <w:pPr>
        <w:spacing w:after="0" w:line="188" w:lineRule="exact"/>
        <w:rPr>
          <w:rFonts w:ascii="Times New Roman" w:cs="Times New Roman" w:eastAsia="Times New Roman" w:hAnsi="Times New Roman"/>
          <w:sz w:val="18"/>
          <w:szCs w:val="18"/>
          <w:color w:val="auto"/>
        </w:rPr>
      </w:pPr>
    </w:p>
    <w:p>
      <w:pPr>
        <w:ind w:firstLine="436"/>
        <w:spacing w:after="0" w:line="252" w:lineRule="auto"/>
        <w:tabs>
          <w:tab w:leader="none" w:pos="69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Terms of Letters of Credit</w:t>
      </w:r>
      <w:r>
        <w:rPr>
          <w:rFonts w:ascii="Times New Roman" w:cs="Times New Roman" w:eastAsia="Times New Roman" w:hAnsi="Times New Roman"/>
          <w:sz w:val="18"/>
          <w:szCs w:val="18"/>
          <w:color w:val="auto"/>
        </w:rPr>
        <w:t>. At the time of issuance, the amount, form, terms and conditions of each Letter of Credit, and of any drafts or acceptances thereunder, shall be subject to approval by the applicable Issuing Bank and the Borrower (which approval, in the case of the Borrower shall not be unreasonably withheld). Notwithstanding the foregoing, in no event may (i) the expiration date of any Letter of Credit extend beyond the date that is thirty (30) days prior to the Revolving Termination Date, or (ii) any Letter of Credit have an initial duration in excess of one year; provided, however, a Letter of Credit may contain a provision providing for the automatic extension of the expiration date in the absence of a notice of non-renewal from the applicable Issuing Bank but in no event shall any such provision permit the extension of the expiration date of such Letter of Credit beyond the date that is thirty (30) days prior to the Revolving Termination Date. Notwithstanding the foregoing, a Letter of Credit may, as a result of its express terms or as the result of the effect of an automatic extension provision, have an expiration date of not more than one year beyond the Revolving Termination Date (any such Letter of Credit being referred to as an “</w:t>
      </w:r>
      <w:r>
        <w:rPr>
          <w:rFonts w:ascii="Times New Roman" w:cs="Times New Roman" w:eastAsia="Times New Roman" w:hAnsi="Times New Roman"/>
          <w:sz w:val="18"/>
          <w:szCs w:val="18"/>
          <w:b w:val="1"/>
          <w:bCs w:val="1"/>
          <w:color w:val="auto"/>
        </w:rPr>
        <w:t>Extended Letter of Credit</w:t>
      </w:r>
      <w:r>
        <w:rPr>
          <w:rFonts w:ascii="Times New Roman" w:cs="Times New Roman" w:eastAsia="Times New Roman" w:hAnsi="Times New Roman"/>
          <w:sz w:val="18"/>
          <w:szCs w:val="18"/>
          <w:color w:val="auto"/>
        </w:rPr>
        <w:t>”), so long as the Borrower delivers to the Administrative Agent for its benefit and the benefit of the applicable Issuing Bank and the Lenders no later than 30 days prior to the Revolving Termination Date, Cash Collateral for such Letter of Credit for deposit into the Letter of Credit Collateral Account in an amount equal to the Stated Amount of such Letter of Credit; provided, that the obligations of the Borrower under this Section in respect of such Extended Letters of Credit shall survive the termination of this Agreement and shall remain in effect until no such Extended Letters of Credit remain outstanding. If the Borrower fails to provide Cash Collateral with respect to any Extended Letter of Credit by the date 30 days prior to the Revolving Termination Date, such failure shall be treated as a drawing under such Extended Letter of Credit (in an amount equal to the maximum Stated Amount of such Letter of Credit), which shall be reimbursed (or participations therein funded) by the Revolving Lenders in accordance with the immediately following subsections (i) and (j), with the proceeds being utilized to provide Cash Collateral for such Letter of Credit. The initial Stated Amount of each Letter of Credit shall be at least $50,000 (or such lesser amount as may be acceptable to the applicable Issuing Bank, the Administrative Agent and the Borrower).</w:t>
      </w:r>
    </w:p>
    <w:p>
      <w:pPr>
        <w:spacing w:after="0" w:line="191" w:lineRule="exact"/>
        <w:rPr>
          <w:rFonts w:ascii="Times New Roman" w:cs="Times New Roman" w:eastAsia="Times New Roman" w:hAnsi="Times New Roman"/>
          <w:sz w:val="18"/>
          <w:szCs w:val="18"/>
          <w:color w:val="auto"/>
        </w:rPr>
      </w:pPr>
    </w:p>
    <w:p>
      <w:pPr>
        <w:ind w:right="140" w:firstLine="436"/>
        <w:spacing w:after="0" w:line="277" w:lineRule="auto"/>
        <w:tabs>
          <w:tab w:leader="none" w:pos="685"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Requests for Issuance of Letters of Credit</w:t>
      </w:r>
      <w:r>
        <w:rPr>
          <w:rFonts w:ascii="Times New Roman" w:cs="Times New Roman" w:eastAsia="Times New Roman" w:hAnsi="Times New Roman"/>
          <w:sz w:val="17"/>
          <w:szCs w:val="17"/>
          <w:color w:val="auto"/>
        </w:rPr>
        <w:t>. The Borrower shall give the applicable Issuing Bank and the Administrative Agent written notice (or telephonic notice which shall specify the information to be included in a written notice and shall be promptly confirmed in writing by the Borrower pursuant to a written notice sent to the Administrative Agent on the same day of the giving of such telephonic notice) at least five (5) Business Days prior to the requested date of issuance of a Letter of Credit, such notice to describe in reasonable detail the proposed terms of such Letter of Credit and the nature of the transactions or obligations proposed to be supported by such Letter of Credit, and in any event shall set forth with respect</w:t>
      </w:r>
    </w:p>
    <w:p>
      <w:pPr>
        <w:spacing w:after="0" w:line="100" w:lineRule="exact"/>
        <w:rPr>
          <w:rFonts w:ascii="Times New Roman" w:cs="Times New Roman" w:eastAsia="Times New Roman" w:hAnsi="Times New Roman"/>
          <w:sz w:val="17"/>
          <w:szCs w:val="17"/>
          <w:color w:val="auto"/>
        </w:rPr>
      </w:pPr>
    </w:p>
    <w:p>
      <w:pPr>
        <w:ind w:left="5420" w:hanging="111"/>
        <w:spacing w:after="0"/>
        <w:tabs>
          <w:tab w:leader="none" w:pos="54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43 -</w:t>
      </w:r>
    </w:p>
    <w:p>
      <w:pPr>
        <w:sectPr>
          <w:pgSz w:w="11900" w:h="16838" w:orient="portrait"/>
          <w:cols w:equalWidth="0" w:num="1">
            <w:col w:w="11000"/>
          </w:cols>
          <w:pgMar w:left="440" w:top="266" w:right="459" w:bottom="1440" w:gutter="0" w:footer="0" w:header="0"/>
        </w:sectPr>
      </w:pPr>
    </w:p>
    <w:bookmarkStart w:id="53" w:name="page54"/>
    <w:bookmarkEnd w:id="53"/>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such Letter of Credit the proposed (i) initial Stated Amount, (ii) beneficiary, and (iii) expiration date. The Borrower shall also execute and deliver such customary applications and agreements for standby letters of credit, and other forms as requested from time to time by the applicable Issuing Bank. Provided the Borrower has given the notice prescribed by the first sentence of this subsection and delivered such applications and agreements referred to in the preceding sentence, subject to the other terms and conditions of this Agreement, including the satisfaction of any applicable conditions precedent set forth in Article 5.2., the applicable Issuing Bank shall issue the requested Letter of Credit on the requested date of issuance for the benefit of the stipulated beneficiary but in no event prior to the date five (5) Business Days following the date after which such Issuing Bank has received all of the items required to be delivered to it under this subsection. An Issuing Bank shall not at any time be obligated to issue any Letter of Credit if (A) such issuance would conflict with, or cause the Administrative Agent or any Lender to exceed any limits imposed by, any Applicable Law or (B) the beneficiary of such Letter of Credit is a Sanctioned Person. References herein to “issue” and derivations thereof with respect to Letters of Credit shall also include extensions or modifications of any outstanding Letters of Credit, unless the context otherwise requires. Upon the written request of the Borrower, the applicable Issuing Bank shall deliver to the Borrower a copy of each Letter of Credit issued by it within a reasonable time after the date of issuance thereof. To the extent any term of a Letter of Credit Document is inconsistent with a term of any Loan Document, the term of such Loan Document shall control.</w:t>
      </w:r>
    </w:p>
    <w:p>
      <w:pPr>
        <w:spacing w:after="0" w:line="187" w:lineRule="exact"/>
        <w:rPr>
          <w:sz w:val="20"/>
          <w:szCs w:val="20"/>
          <w:color w:val="auto"/>
        </w:rPr>
      </w:pPr>
    </w:p>
    <w:p>
      <w:pPr>
        <w:ind w:right="40" w:firstLine="436"/>
        <w:spacing w:after="0" w:line="253" w:lineRule="auto"/>
        <w:tabs>
          <w:tab w:leader="none" w:pos="69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Reimbursement Obligations</w:t>
      </w:r>
      <w:r>
        <w:rPr>
          <w:rFonts w:ascii="Times New Roman" w:cs="Times New Roman" w:eastAsia="Times New Roman" w:hAnsi="Times New Roman"/>
          <w:sz w:val="18"/>
          <w:szCs w:val="18"/>
          <w:color w:val="auto"/>
        </w:rPr>
        <w:t>. Upon receipt by an Issuing Bank from the beneficiary of a Letter of Credit issued by such Issuing Bank of any demand for payment under such Letter of Credit and such Issuing Bank’s determination that such demand for payment complies with the requirements of such Letter of Credit, such Issuing Bank shall promptly notify the Borrower and the Administrative Agent of the amount to be paid by such Issuing Bank as a result of such demand and the date on which payment is to be made by such Issuing Bank to such beneficiary in respect of such demand; provided, however, that an Issuing Bank’s failure to give, or delay in giving, such notice shall not discharge the Borrower in any respect from the applicable Reimbursement Obligation. The Borrower hereby absolutely, unconditionally and irrevocably agrees to pay and reimburse each Issuing Bank for the amount of each demand for payment under each Letter of Credit issued by such Issuing Bank at or prior to the date on which payment is to be made by such Issuing Bank to the beneficiary thereunder, without presentment, demand, protest or other formalities of any kind (other than notice of such payment as expressly provided in this subsection). Upon receipt by an Issuing Bank of any payment in respect of any Reimbursement Obligation, such Issuing Bank shall promptly pay to the Administrative Agent for the account of each Lender that has acquired a participation therein under the second sentence of the immediately following subsection (i) such Lender’s Revolving Commitment Percentage of such payment.</w:t>
      </w:r>
    </w:p>
    <w:p>
      <w:pPr>
        <w:spacing w:after="0" w:line="191" w:lineRule="exact"/>
        <w:rPr>
          <w:rFonts w:ascii="Times New Roman" w:cs="Times New Roman" w:eastAsia="Times New Roman" w:hAnsi="Times New Roman"/>
          <w:sz w:val="18"/>
          <w:szCs w:val="18"/>
          <w:color w:val="auto"/>
        </w:rPr>
      </w:pPr>
    </w:p>
    <w:p>
      <w:pPr>
        <w:ind w:firstLine="436"/>
        <w:spacing w:after="0" w:line="253" w:lineRule="auto"/>
        <w:tabs>
          <w:tab w:leader="none" w:pos="68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Manner of Reimbursement</w:t>
      </w:r>
      <w:r>
        <w:rPr>
          <w:rFonts w:ascii="Times New Roman" w:cs="Times New Roman" w:eastAsia="Times New Roman" w:hAnsi="Times New Roman"/>
          <w:sz w:val="18"/>
          <w:szCs w:val="18"/>
          <w:color w:val="auto"/>
        </w:rPr>
        <w:t>. Upon its receipt of a notice referred to in the immediately preceding subsection (d), the Borrower shall advise the Administrative Agent and the applicable Issuing Bank whether or not the Borrower intends to borrow hereunder to finance its obligation to reimburse such Issuing Bank for the amount of the related demand for payment and, if it does, the Borrower shall submit a timely request for such borrowing as provided in the applicable provisions of this Agreement. If the Borrower fails to so advise the Administrative Agent and the applicable Issuing Bank, or if the Borrower fails to reimburse the applicable Issuing Bank for a demand for payment under a Letter of Credit by the date of such payment, the failure of which the applicable Issuing Bank shall promptly notify the Administrative Agent, then (i) if the applicable conditions contained in Article V. would permit the making of Revolving Loans, the Borrower shall be deemed to have requested a borrowing of Revolving Loans (which shall be Base Rate Loans) in an amount equal to the unpaid Reimbursement Obligation and the Administrative Agent shall give each Lender prompt notice of the amount of the Revolving Loan to be made available to the Administrative Agent not later than 10:00 a.m. Pacific time and (ii) if such conditions would not permit the making of Revolving Loans, the provisions of subsection (j) of this Section shall apply. The limitations set forth in the second sentence of Section 2.1.(a) shall not apply to any borrowing of Base Rate Loans under this subsection.</w:t>
      </w:r>
    </w:p>
    <w:p>
      <w:pPr>
        <w:spacing w:after="0" w:line="124"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44 -</w:t>
      </w:r>
    </w:p>
    <w:p>
      <w:pPr>
        <w:sectPr>
          <w:pgSz w:w="11900" w:h="16838" w:orient="portrait"/>
          <w:cols w:equalWidth="0" w:num="1">
            <w:col w:w="11000"/>
          </w:cols>
          <w:pgMar w:left="440" w:top="270" w:right="459" w:bottom="1440" w:gutter="0" w:footer="0" w:header="0"/>
        </w:sectPr>
      </w:pPr>
    </w:p>
    <w:bookmarkStart w:id="54" w:name="page55"/>
    <w:bookmarkEnd w:id="54"/>
    <w:p>
      <w:pPr>
        <w:ind w:left="4" w:right="20" w:firstLine="436"/>
        <w:spacing w:after="0" w:line="261" w:lineRule="auto"/>
        <w:tabs>
          <w:tab w:leader="none" w:pos="669"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Effect of Letters of Credit on Revolving Commitments</w:t>
      </w:r>
      <w:r>
        <w:rPr>
          <w:rFonts w:ascii="Times New Roman" w:cs="Times New Roman" w:eastAsia="Times New Roman" w:hAnsi="Times New Roman"/>
          <w:sz w:val="18"/>
          <w:szCs w:val="18"/>
          <w:color w:val="auto"/>
        </w:rPr>
        <w:t>. Upon the issuance by an Issuing Bank of a Letter of Credit and until such Letter of Credit shall have expired or been cancelled, the Revolving Commitment of each Lender shall be deemed to be utilized for all purposes of this Agreement in an amount equal to the product of (i) such Lender’s Revolving Commitment Percentage and (ii) the sum of (A) the Stated Amount of such Letter of Credit plus (B) any related Reimbursement Obligations then outstanding.</w:t>
      </w:r>
    </w:p>
    <w:p>
      <w:pPr>
        <w:spacing w:after="0" w:line="179" w:lineRule="exact"/>
        <w:rPr>
          <w:rFonts w:ascii="Times New Roman" w:cs="Times New Roman" w:eastAsia="Times New Roman" w:hAnsi="Times New Roman"/>
          <w:sz w:val="18"/>
          <w:szCs w:val="18"/>
          <w:color w:val="auto"/>
        </w:rPr>
      </w:pPr>
    </w:p>
    <w:p>
      <w:pPr>
        <w:ind w:left="4" w:right="40" w:firstLine="436"/>
        <w:spacing w:after="0" w:line="266" w:lineRule="auto"/>
        <w:tabs>
          <w:tab w:leader="none" w:pos="699"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Issuing Banks’ Duties Regarding Letters of Credit; Unconditional Nature of Reimbursement Obligations</w:t>
      </w:r>
      <w:r>
        <w:rPr>
          <w:rFonts w:ascii="Times New Roman" w:cs="Times New Roman" w:eastAsia="Times New Roman" w:hAnsi="Times New Roman"/>
          <w:sz w:val="17"/>
          <w:szCs w:val="17"/>
          <w:color w:val="auto"/>
        </w:rPr>
        <w:t>. In examining documents presented in connection with drawings under Letters of Credit and making payments under Letters of Credit issued by an Issuing Bank against such documents, such Issuing Bank shall only be required to use the same standard of care as it uses in connection with examining documents presented in connection with drawings under letters of credit in which it has not sold participations and making payments under such letters of credit. The Borrower assumes all risks of the acts and omissions of, or misuse of the Letters of Credit by, the respective beneficiaries of such Letters of Credit. In furtherance and not in limitation of the foregoing, none of the Issuing Banks, the Administrative Agent or any of the Lenders shall be responsible for, and the Borrower’s obligations in respect of Letters of Credit shall not be affected in any manner by, (i) the form, validity, sufficiency, accuracy, genuineness or legal effects of any document submitted by any party in connection with the application for and issuance of or any drawing honored under any Letter of Credit even if such document should in fact prove to be in any or all respects invalid, insufficient, inaccurate, fraudulent or forged; (ii) the validity or sufficiency of any instrument transferring or assigning or purporting to transfer or assign any Letter of Credit, or the rights or benefits thereunder or proceeds thereof, in whole or in part, which may prove to be invalid or ineffective for any reason; (iii) failure of the beneficiary of any Letter of Credit to comply fully with conditions required in order to draw upon such Letter of Credit; (iv) errors, omissions, interruptions or delays in transmission or delivery of any messages, by mail, cable, facsimile, electronic mail, or otherwise, whether or not they be in cipher; (v) errors in interpretation of technical terms;</w:t>
      </w:r>
    </w:p>
    <w:p>
      <w:pPr>
        <w:spacing w:after="0" w:line="9" w:lineRule="exact"/>
        <w:rPr>
          <w:rFonts w:ascii="Times New Roman" w:cs="Times New Roman" w:eastAsia="Times New Roman" w:hAnsi="Times New Roman"/>
          <w:sz w:val="17"/>
          <w:szCs w:val="17"/>
          <w:color w:val="auto"/>
        </w:rPr>
      </w:pPr>
    </w:p>
    <w:p>
      <w:pPr>
        <w:jc w:val="center"/>
        <w:ind w:left="4" w:right="340" w:hanging="4"/>
        <w:spacing w:after="0" w:line="265" w:lineRule="auto"/>
        <w:tabs>
          <w:tab w:leader="none" w:pos="309"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loss or delay in the transmission or otherwise of any document required in order to make a drawing under any Letter of Credit, or of the proceeds thereof; (vii) the misapplication by the beneficiary of any Letter of Credit, or of the proceeds of any drawing under any Letter of Credit; or</w:t>
      </w:r>
    </w:p>
    <w:p>
      <w:pPr>
        <w:ind w:left="4" w:hanging="4"/>
        <w:spacing w:after="0" w:line="251" w:lineRule="auto"/>
        <w:tabs>
          <w:tab w:leader="none" w:pos="40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consequences arising from causes beyond the control of the Issuing Banks, the Administrative Agent or the Lenders. None of the above shall affect, impair or prevent the vesting of any Issuing Bank’s or Administrative Agent’s rights or powers hereunder. Any action taken or omitted to be taken by an Issuing Bank under or in connection with any Letter of Credit issued by such Issuing Bank, if taken or omitted in the absence of gross negligence or willful misconduct (as determined by a court of competent jurisdiction in a final, non-appealable judgment), shall not create against such Issuing Bank any liability to the Borrower, the Administrative Agent or any Lender. In this connection, the obligation of the Borrower to reimburse an Issuing Bank for any drawing made under any Letter of Credit issued by such Issuing Bank, and to repay any Revolving Loan made pursuant to the second sentence of the immediately preceding subsection (e), shall be absolute, unconditional and irrevocable and shall be paid strictly in accordance with the terms of this Agreement and any other applicable Letter of Credit Document under all circumstances whatsoever, including without limitation, the following circumstances: (A) any lack of validity or enforceability of any Letter of Credit Document or any term or provisions therein; (B) any amendment or waiver of or any consent to departure from all or any of the Letter of Credit Documents; (C) the existence of any claim, setoff, defense or other right which the Borrower may have at any time against such Issuing Bank, any other Issuing Bank, the Administrative Agent, any Lender, any beneficiary of a Letter of Credit or any other Person, whether in connection with this Agreement, the transactions contemplated hereby or in the Letter of Credit Documents or any unrelated transaction; (D) any breach of contract or dispute between the Borrower, such Issuing Bank, any other Issuing Bank, the Administrative Agent, any Lender or any other Person; (E) any demand, statement or any other document presented under a Letter of Credit proving to be forged, fraudulent, invalid or insufficient in any respect or</w:t>
      </w:r>
    </w:p>
    <w:p>
      <w:pPr>
        <w:spacing w:after="0" w:line="123"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45 -</w:t>
      </w:r>
    </w:p>
    <w:p>
      <w:pPr>
        <w:sectPr>
          <w:pgSz w:w="11900" w:h="16838" w:orient="portrait"/>
          <w:cols w:equalWidth="0" w:num="1">
            <w:col w:w="11004"/>
          </w:cols>
          <w:pgMar w:left="436" w:top="270" w:right="459" w:bottom="1440" w:gutter="0" w:footer="0" w:header="0"/>
        </w:sectPr>
      </w:pPr>
    </w:p>
    <w:bookmarkStart w:id="55" w:name="page56"/>
    <w:bookmarkEnd w:id="55"/>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statement therein or made in connection therewith being untrue or inaccurate in any respect whatsoever; (F) any non-application or misapplication by the beneficiary of a Letter of Credit or of the proceeds of any drawing under such Letter of Credit; (G) payment by such Issuing Bank under any Letter of Credit against presentation of a draft or certificate which does not strictly comply with the terms of such Letter of Credit; and (H) any other act, omission to act, delay or circumstance whatsoever that might, but for the provisions of this Section, constitute a legal or equitable defense to or discharge of the Borrower’s Reimbursement Obligations. Notwithstanding anything to the contrary contained in this Section or Section 12.10., but not in limitation of the Borrower’s unconditional obligation to reimburse an Issuing Bank for any drawing made under a Letter of Credit as provided in this Section and to repay any Revolving Loan made pursuant to the second sentence of the immediately preceding subsection (e), the Borrower shall have no obligation to indemnify the Administrative Agent, an Issuing Bank or any Lender in respect of any liability incurred by the Administrative Agent, an Issuing Bank or such Lender arising solely out of the gross negligence or willful misconduct of the Administrative Agent, such Issuing Bank or such Lender in respect of a Letter of Credit as determined by a court of competent jurisdiction in a final, non-appealable judgment. Except as otherwise provided in this Section, nothing in this Section shall affect any rights the Borrower may have with respect to the gross negligence or willful misconduct of the Administrative Agent, an Issuing Bank or any Lender with respect to any Letter of Credit.</w:t>
      </w:r>
    </w:p>
    <w:p>
      <w:pPr>
        <w:spacing w:after="0" w:line="190" w:lineRule="exact"/>
        <w:rPr>
          <w:sz w:val="20"/>
          <w:szCs w:val="20"/>
          <w:color w:val="auto"/>
        </w:rPr>
      </w:pPr>
    </w:p>
    <w:p>
      <w:pPr>
        <w:ind w:right="40" w:firstLine="436"/>
        <w:spacing w:after="0" w:line="255" w:lineRule="auto"/>
        <w:tabs>
          <w:tab w:leader="none" w:pos="69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Etc</w:t>
      </w:r>
      <w:r>
        <w:rPr>
          <w:rFonts w:ascii="Times New Roman" w:cs="Times New Roman" w:eastAsia="Times New Roman" w:hAnsi="Times New Roman"/>
          <w:sz w:val="18"/>
          <w:szCs w:val="18"/>
          <w:color w:val="auto"/>
        </w:rPr>
        <w:t>. The issuance by an Issuing Bank of any amendment, supplement or other modification to any Letter of Credit issued by such Issuing Bank shall be subject to the same conditions applicable under this Agreement to the issuance of new Letters of Credit (including, without limitation, that the request therefor be made through the applicable Issuing Bank and the Administrative Agent), and no such amendment, supplement or other modification shall be issued unless either (i) the respective Letter of Credit affected thereby would have complied with such conditions had it originally been issued hereunder in such amended, supplemented or modified form or (ii) the Administrative Agent and Requisite Lenders (or all of the Lenders if required by Section 12.7.) shall have consented thereto. In connection with any such amendment, supplement or other modification, the Borrower shall pay the fees, if any, payable under the last sentence of Section 3.5.(c).</w:t>
      </w:r>
    </w:p>
    <w:p>
      <w:pPr>
        <w:spacing w:after="0" w:line="188" w:lineRule="exact"/>
        <w:rPr>
          <w:rFonts w:ascii="Times New Roman" w:cs="Times New Roman" w:eastAsia="Times New Roman" w:hAnsi="Times New Roman"/>
          <w:sz w:val="18"/>
          <w:szCs w:val="18"/>
          <w:color w:val="auto"/>
        </w:rPr>
      </w:pPr>
    </w:p>
    <w:p>
      <w:pPr>
        <w:ind w:right="80" w:firstLine="436"/>
        <w:spacing w:after="0" w:line="253"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Lenders’ Participation in Letters of Credit</w:t>
      </w:r>
      <w:r>
        <w:rPr>
          <w:rFonts w:ascii="Times New Roman" w:cs="Times New Roman" w:eastAsia="Times New Roman" w:hAnsi="Times New Roman"/>
          <w:sz w:val="18"/>
          <w:szCs w:val="18"/>
          <w:color w:val="auto"/>
        </w:rPr>
        <w:t>. Immediately upon (i) the Effective Date with respect to all Existing Letters of Credit and (ii) the date of issuance by an Issuing Bank of any Letter of Credit, each Lender shall be deemed to have absolutely, irrevocably and unconditionally purchased and received from the applicable Issuing Bank, without recourse or warranty, an undivided interest and participation to the extent of such Lender’s Revolving Commitment Percentage of the liability of such Issuing Bank with respect to such Letter of Credit and each Lender thereby shall absolutely, unconditionally and irrevocably assume, as primary obligor and not as surety, and shall be unconditionally obligated to such Issuing Bank to pay and discharge when due, such Lender’s Revolving Commitment Percentage of such Issuing Bank’s liability under such Letter of Credit. In addition, upon the making of each payment by a Lender to the Administrative Agent for the account of an Issuing Bank in respect of any Letter of Credit issued by it pursuant to the immediately following subsection (j), such Lender shall, automatically and without any further action on the part of such Issuing Bank, Administrative Agent or such Lender, acquire (i) a participation in an amount equal to such payment in the Reimbursement Obligation owing to such Issuing Bank by the Borrower in respect of such Letter of Credit and (ii) a participation in a percentage equal to such Lender’s Revolving Commitment Percentage in any interest or other amounts payable by the Borrower in respect of such Reimbursement Obligation (other than the Fees payable to such Issuing Bank pursuant to the second and the last sentences of Section 3.5.(c)).</w:t>
      </w:r>
    </w:p>
    <w:p>
      <w:pPr>
        <w:spacing w:after="0" w:line="189" w:lineRule="exact"/>
        <w:rPr>
          <w:rFonts w:ascii="Times New Roman" w:cs="Times New Roman" w:eastAsia="Times New Roman" w:hAnsi="Times New Roman"/>
          <w:sz w:val="18"/>
          <w:szCs w:val="18"/>
          <w:color w:val="auto"/>
        </w:rPr>
      </w:pPr>
    </w:p>
    <w:p>
      <w:pPr>
        <w:ind w:right="340" w:firstLine="436"/>
        <w:spacing w:after="0" w:line="266"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Obligation of Lenders</w:t>
      </w:r>
      <w:r>
        <w:rPr>
          <w:rFonts w:ascii="Times New Roman" w:cs="Times New Roman" w:eastAsia="Times New Roman" w:hAnsi="Times New Roman"/>
          <w:sz w:val="18"/>
          <w:szCs w:val="18"/>
          <w:color w:val="auto"/>
        </w:rPr>
        <w:t>. Each Lender severally agrees to pay to the Administrative Agent, for the account of each Issuing Bank, on demand in immediately available funds in Dollars the amount of such Lender’s Revolving Commitment Percentage of each drawing paid by such Issuing Bank under each Letter of Credit issued by it to the extent such amount is not reimbursed by the Borrower</w:t>
      </w:r>
    </w:p>
    <w:p>
      <w:pPr>
        <w:spacing w:after="0" w:line="108"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46 -</w:t>
      </w:r>
    </w:p>
    <w:p>
      <w:pPr>
        <w:sectPr>
          <w:pgSz w:w="11900" w:h="16838" w:orient="portrait"/>
          <w:cols w:equalWidth="0" w:num="1">
            <w:col w:w="11000"/>
          </w:cols>
          <w:pgMar w:left="440" w:top="270" w:right="459" w:bottom="1440" w:gutter="0" w:footer="0" w:header="0"/>
        </w:sectPr>
      </w:pPr>
    </w:p>
    <w:bookmarkStart w:id="56" w:name="page57"/>
    <w:bookmarkEnd w:id="56"/>
    <w:p>
      <w:pPr>
        <w:ind w:left="4" w:right="6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pursuant to the immediately preceding subsection (d); provided, however, that with respect to any drawing under any Letter of Credit, the maximum amount that any Lender shall be required to fund, whether as a Revolving Loan or as a participation, shall not exceed such Lender’s Revolving Commitment Percentage of such drawing except as otherwise provided in Section 3.9.(d). If the notice referenced in the second sentence of Section 2.3.</w:t>
      </w:r>
    </w:p>
    <w:p>
      <w:pPr>
        <w:spacing w:after="0" w:line="2" w:lineRule="exact"/>
        <w:rPr>
          <w:sz w:val="20"/>
          <w:szCs w:val="20"/>
          <w:color w:val="auto"/>
        </w:rPr>
      </w:pPr>
    </w:p>
    <w:p>
      <w:pPr>
        <w:ind w:left="4" w:hanging="4"/>
        <w:spacing w:after="0" w:line="251" w:lineRule="auto"/>
        <w:tabs>
          <w:tab w:leader="none" w:pos="24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received by a Lender not later than 9:00 a.m. Pacific time, then such Lender shall make such payment available to the Administrative Agent not later than 12:00 p.m. Pacific time on the date of demand therefor; otherwise, such payment shall be made available to the Administrative Agent not later than 11:00 a.m. Pacific time on the next succeeding Business Day. Each Lender’s obligation to make such payments to the Administrative Agent under this subsection, and the Administrative Agent’s right to receive the same for the account of the applicable Issuing Bank, shall be absolute, irrevocable and unconditional and shall not be affected in any way by any circumstance whatsoever, including without limitation, (i) the failure of any other Lender to make its payment under this subsection, (ii) the financial condition of the Borrower or any other Loan Party, (iii) the existence of any Default or Event of Default, including any Event of Default described in Section 10.1.(e) or (f), (iv) the termination of the Revolving Commitments or (v) the delivery of Cash Collateral in respect of any Extended Letter of Credit. Each such payment to the Administrative Agent for the account of an Issuing Bank shall be made without any offset, abatement, withholding or deduction whatsoever.</w:t>
      </w:r>
    </w:p>
    <w:p>
      <w:pPr>
        <w:spacing w:after="0" w:line="193" w:lineRule="exact"/>
        <w:rPr>
          <w:rFonts w:ascii="Times New Roman" w:cs="Times New Roman" w:eastAsia="Times New Roman" w:hAnsi="Times New Roman"/>
          <w:sz w:val="18"/>
          <w:szCs w:val="18"/>
          <w:color w:val="auto"/>
        </w:rPr>
      </w:pPr>
    </w:p>
    <w:p>
      <w:pPr>
        <w:ind w:left="4" w:right="100" w:firstLine="436"/>
        <w:spacing w:after="0" w:line="255" w:lineRule="auto"/>
        <w:tabs>
          <w:tab w:leader="none" w:pos="699"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Information to Lenders</w:t>
      </w:r>
      <w:r>
        <w:rPr>
          <w:rFonts w:ascii="Times New Roman" w:cs="Times New Roman" w:eastAsia="Times New Roman" w:hAnsi="Times New Roman"/>
          <w:sz w:val="18"/>
          <w:szCs w:val="18"/>
          <w:color w:val="auto"/>
        </w:rPr>
        <w:t>. Promptly following any change in Letters of Credit outstanding, the applicable Issuing Bank shall deliver to the Administrative Agent, who shall promptly deliver the same to each Lender and the Borrower, a notice describing the aggregate amount of all Letters of Credit issued by such Issuing Bank outstanding at such time. Upon the request of any Lender from time to time, an Issuing Bank shall deliver any other information reasonably requested by such Lender with respect to such Letter of Credit then outstanding. Other than as set forth in this subsection, the Issuing Banks and the Administrative Agent shall have no duty to notify the Lenders regarding the issuance or other matters regarding Letters of Credit issued hereunder. The failure of any Issuing Bank or the Administrative Agent to perform its requirements under this subsection shall not relieve any Lender from its obligations under the immediately preceding subsection (j).</w:t>
      </w:r>
    </w:p>
    <w:p>
      <w:pPr>
        <w:spacing w:after="0" w:line="188" w:lineRule="exact"/>
        <w:rPr>
          <w:rFonts w:ascii="Times New Roman" w:cs="Times New Roman" w:eastAsia="Times New Roman" w:hAnsi="Times New Roman"/>
          <w:sz w:val="18"/>
          <w:szCs w:val="18"/>
          <w:color w:val="auto"/>
        </w:rPr>
      </w:pPr>
    </w:p>
    <w:p>
      <w:pPr>
        <w:ind w:left="4" w:right="340" w:firstLine="436"/>
        <w:spacing w:after="0" w:line="266" w:lineRule="auto"/>
        <w:tabs>
          <w:tab w:leader="none" w:pos="659"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Existing Letters of Credit</w:t>
      </w:r>
      <w:r>
        <w:rPr>
          <w:rFonts w:ascii="Times New Roman" w:cs="Times New Roman" w:eastAsia="Times New Roman" w:hAnsi="Times New Roman"/>
          <w:sz w:val="18"/>
          <w:szCs w:val="18"/>
          <w:color w:val="auto"/>
        </w:rPr>
        <w:t>. The parties agree that each Existing Letter of Credit shall, from and after the Effective Date, be deemed to be a Letter of Credit issued under this Agreement and shall be subject to and governed by the terms and conditions of this Agreement and the other Loan Documents.</w:t>
      </w:r>
    </w:p>
    <w:p>
      <w:pPr>
        <w:spacing w:after="0" w:line="175" w:lineRule="exact"/>
        <w:rPr>
          <w:rFonts w:ascii="Times New Roman" w:cs="Times New Roman" w:eastAsia="Times New Roman" w:hAnsi="Times New Roman"/>
          <w:sz w:val="18"/>
          <w:szCs w:val="18"/>
          <w:color w:val="auto"/>
        </w:rPr>
      </w:pPr>
    </w:p>
    <w:p>
      <w:pPr>
        <w:ind w:left="4" w:right="60" w:firstLine="436"/>
        <w:spacing w:after="0" w:line="261" w:lineRule="auto"/>
        <w:tabs>
          <w:tab w:leader="none" w:pos="749"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Extended Letters of Credit</w:t>
      </w:r>
      <w:r>
        <w:rPr>
          <w:rFonts w:ascii="Times New Roman" w:cs="Times New Roman" w:eastAsia="Times New Roman" w:hAnsi="Times New Roman"/>
          <w:sz w:val="18"/>
          <w:szCs w:val="18"/>
          <w:color w:val="auto"/>
        </w:rPr>
        <w:t>. Each Lender confirms that its obligations under the immediately preceding subsections (i) and (j) shall be reinstated in full and apply if the delivery of any Cash Collateral in respect of an Extended Letter of Credit is subsequently invalidated, declared to be fraudulent or preferential, set aside or required to be repaid to a trustee, receiver or any other party, in connection with any proceeding under any Debtor Relief Law or otherwise.</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2.4. Swingline Loans.</w:t>
      </w:r>
    </w:p>
    <w:p>
      <w:pPr>
        <w:spacing w:after="0" w:line="121" w:lineRule="exact"/>
        <w:rPr>
          <w:sz w:val="20"/>
          <w:szCs w:val="20"/>
          <w:color w:val="auto"/>
        </w:rPr>
      </w:pPr>
    </w:p>
    <w:p>
      <w:pPr>
        <w:ind w:left="4" w:right="120" w:firstLine="436"/>
        <w:spacing w:after="0" w:line="253" w:lineRule="auto"/>
        <w:tabs>
          <w:tab w:leader="none" w:pos="68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Swingline Loans</w:t>
      </w:r>
      <w:r>
        <w:rPr>
          <w:rFonts w:ascii="Times New Roman" w:cs="Times New Roman" w:eastAsia="Times New Roman" w:hAnsi="Times New Roman"/>
          <w:sz w:val="18"/>
          <w:szCs w:val="18"/>
          <w:color w:val="auto"/>
        </w:rPr>
        <w:t>. Subject to the terms and conditions hereof, including without limitation Section 2.15., the Swingline Lender agrees to make Swingline Loans to the Borrower, during the period from the Effective Date to but excluding the Swingline Maturity Date, in an aggregate principal amount at any one time outstanding up to, but not exceeding, the lesser (such lesser amount being referred to as the “Swingline Availability”) of (i) $100,000,000, as such amount may be reduced from time to time in accordance with the terms hereof and (ii) the Revolving Commitment of the Swingline Lender in its capacity as a Lender minus the aggregate outstanding principal amount of the Revolving Loans owing to the Swingline Lender in its capacity as a Lender. If at any time the aggregate principal amount of the Swingline Loans outstanding at such time exceeds the Swingline Availability at such time, the Borrower shall immediately pay the Administrative Agent for the account of the Swingline Lender the amount of such excess. Subject to the terms and conditions of this Agreement, the Borrower may borrow, repay and reborrow Swingline Loans hereunder. The borrowing of a Swingline Loan shall not constitute usage of any Lender’s Revolving Commitment for purposes of calculation of the fee payable under Section 3.5.(b).</w:t>
      </w:r>
    </w:p>
    <w:p>
      <w:pPr>
        <w:spacing w:after="0" w:line="126"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47 -</w:t>
      </w:r>
    </w:p>
    <w:p>
      <w:pPr>
        <w:sectPr>
          <w:pgSz w:w="11900" w:h="16838" w:orient="portrait"/>
          <w:cols w:equalWidth="0" w:num="1">
            <w:col w:w="11004"/>
          </w:cols>
          <w:pgMar w:left="436" w:top="270" w:right="459" w:bottom="1440" w:gutter="0" w:footer="0" w:header="0"/>
        </w:sectPr>
      </w:pPr>
    </w:p>
    <w:bookmarkStart w:id="57" w:name="page58"/>
    <w:bookmarkEnd w:id="57"/>
    <w:p>
      <w:pPr>
        <w:ind w:left="-436" w:right="100" w:firstLine="436"/>
        <w:spacing w:after="0" w:line="254" w:lineRule="auto"/>
        <w:tabs>
          <w:tab w:leader="none" w:pos="25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Procedure for Borrowing Swingline Loans</w:t>
      </w:r>
      <w:r>
        <w:rPr>
          <w:rFonts w:ascii="Times New Roman" w:cs="Times New Roman" w:eastAsia="Times New Roman" w:hAnsi="Times New Roman"/>
          <w:sz w:val="18"/>
          <w:szCs w:val="18"/>
          <w:color w:val="auto"/>
        </w:rPr>
        <w:t>. The Borrower shall give the Administrative Agent and the Swingline Lender notice pursuant to a Notice of Swingline Borrowing or telephonic notice of each borrowing of a Swingline Loan. Each Notice of Swingline Borrowing shall be delivered to the Swingline Lender no later than 11:00 a.m. Pacific time on the proposed date of such borrowing (which shall be a U.S. Government Securities Business Day). Any telephonic notice shall include all information to be specified in a written Notice of Swingline Borrowing and shall be promptly confirmed in writing by the Borrower pursuant to a Notice of Swingline Borrowing sent to the Swingline Lender by electronic mail on the same day of the giving of such telephonic notice. Not later than 1:00 p.m. Pacific time on the date of the requested Swingline Loan and subject to satisfaction of the applicable conditions set forth in Article 5.2. for such borrowing, the Swingline Lender will make the proceeds of such Swingline Loan available to the Borrower in Dollars, in immediately available funds, at the account specified by the Borrower in the Notice of Swingline Borrowing.</w:t>
      </w:r>
    </w:p>
    <w:p>
      <w:pPr>
        <w:spacing w:after="0" w:line="191" w:lineRule="exact"/>
        <w:rPr>
          <w:rFonts w:ascii="Times New Roman" w:cs="Times New Roman" w:eastAsia="Times New Roman" w:hAnsi="Times New Roman"/>
          <w:sz w:val="18"/>
          <w:szCs w:val="18"/>
          <w:color w:val="auto"/>
        </w:rPr>
      </w:pPr>
    </w:p>
    <w:p>
      <w:pPr>
        <w:ind w:left="-436" w:right="20" w:firstLine="436"/>
        <w:spacing w:after="0" w:line="254" w:lineRule="auto"/>
        <w:tabs>
          <w:tab w:leader="none" w:pos="24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 Swingline Loans shall bear interest at a per annum rate equal to Adjusted Daily Simple SOFR as in effect from time to time plus the Applicable Margin for SOFR Loans that are Revolving Loans; provided that, if Adjusted Daily Simple SOFR shall become unavailable for any reason (as determined by the Swingline Lender (which determination shall be conclusive)) then, Swingline Loans shall bear interest at a per annum rate equal to the Base Rate as in effect from time to time plus the Applicable Margin for Base Rate Loans or at such other rate or rates as the Borrower and the Swingline Lender may agree from time to time in writing. Interest on Swingline Loans is solely for the account of the Swingline Lender (except to the extent a Lender acquires a participating interest in a Swingline Loan pursuant to the immediately following subsection (e)). All accrued and unpaid interest on Swingline Loans shall be payable on the dates and in the manner provided in Section 2.5. with respect to interest on Swingline Loans (except as the Swingline Lender and the Borrower may otherwise agree in writing in connection with any particular Swingline Loan).</w:t>
      </w:r>
    </w:p>
    <w:p>
      <w:pPr>
        <w:spacing w:after="0" w:line="191" w:lineRule="exact"/>
        <w:rPr>
          <w:rFonts w:ascii="Times New Roman" w:cs="Times New Roman" w:eastAsia="Times New Roman" w:hAnsi="Times New Roman"/>
          <w:sz w:val="18"/>
          <w:szCs w:val="18"/>
          <w:color w:val="auto"/>
        </w:rPr>
      </w:pPr>
    </w:p>
    <w:p>
      <w:pPr>
        <w:ind w:left="-436" w:right="80" w:firstLine="436"/>
        <w:spacing w:after="0" w:line="256" w:lineRule="auto"/>
        <w:tabs>
          <w:tab w:leader="none" w:pos="25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Swingline Loan Amounts, Etc</w:t>
      </w:r>
      <w:r>
        <w:rPr>
          <w:rFonts w:ascii="Times New Roman" w:cs="Times New Roman" w:eastAsia="Times New Roman" w:hAnsi="Times New Roman"/>
          <w:sz w:val="18"/>
          <w:szCs w:val="18"/>
          <w:color w:val="auto"/>
        </w:rPr>
        <w:t>. Each Swingline Loan shall be in the minimum amount of $50,000 and integral multiples of $50,000 in excess thereof, or such other minimum amounts agreed to by the Swingline Lender and the Borrower. Any voluntary prepayment of a Swingline Loan must be in integral multiples of $50,000 or the aggregate principal amount of all outstanding Swingline Loans (or such other minimum amounts upon which the Swingline Lender and the Borrower may agree) and in connection with any such prepayment, the Borrower must give the Swingline Lender and the Administrative Agent prior written notice thereof no later than 10:00 a.m. Pacific time on the day prior to the date of such prepayment. The Swingline Loans shall, in addition to this Agreement, be evidenced by the Swingline Note.</w:t>
      </w:r>
    </w:p>
    <w:p>
      <w:pPr>
        <w:spacing w:after="0" w:line="187" w:lineRule="exact"/>
        <w:rPr>
          <w:rFonts w:ascii="Times New Roman" w:cs="Times New Roman" w:eastAsia="Times New Roman" w:hAnsi="Times New Roman"/>
          <w:sz w:val="18"/>
          <w:szCs w:val="18"/>
          <w:color w:val="auto"/>
        </w:rPr>
      </w:pPr>
    </w:p>
    <w:p>
      <w:pPr>
        <w:ind w:left="-436" w:firstLine="436"/>
        <w:spacing w:after="0" w:line="254" w:lineRule="auto"/>
        <w:tabs>
          <w:tab w:leader="none" w:pos="24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Repayment and Participations of Swingline Loans</w:t>
      </w:r>
      <w:r>
        <w:rPr>
          <w:rFonts w:ascii="Times New Roman" w:cs="Times New Roman" w:eastAsia="Times New Roman" w:hAnsi="Times New Roman"/>
          <w:sz w:val="18"/>
          <w:szCs w:val="18"/>
          <w:color w:val="auto"/>
        </w:rPr>
        <w:t>. The Borrower agrees to repay each Swingline Loan within one Business Day of demand therefor by the Swingline Lender and, in any event, within five (5) Business Days after the date such Swingline Loan was made; provided, that the proceeds of a Swingline Loan may not be used to pay a Swingline Loan. Notwithstanding the foregoing, the Borrower shall repay the entire outstanding principal amount of, and all accrued but unpaid interest on, the Swingline Loans on the Swingline Maturity Date (or such earlier date as the Swingline Lender and the Borrower may agree in writing). In lieu of demanding repayment of any outstanding Swingline Loan from the Borrower, the Swingline Lender may, on behalf of the Borrower (which hereby irrevocably directs the Swingline Lender to act on its behalf), request a borrowing of Revolving Loans that are Base Rate Loans from the Lenders in an amount equal to the principal balance of such Swingline Loan. The amount limitations contained in the second sentence of Section 2.1.(a) shall not apply to any borrowing of such Revolving Loans made pursuant to this subsection. The Swingline Lender shall give notice to the Administrative</w:t>
      </w:r>
    </w:p>
    <w:p>
      <w:pPr>
        <w:spacing w:after="0" w:line="120" w:lineRule="exact"/>
        <w:rPr>
          <w:rFonts w:ascii="Times New Roman" w:cs="Times New Roman" w:eastAsia="Times New Roman" w:hAnsi="Times New Roman"/>
          <w:sz w:val="18"/>
          <w:szCs w:val="18"/>
          <w:color w:val="auto"/>
        </w:rPr>
      </w:pPr>
    </w:p>
    <w:p>
      <w:pPr>
        <w:ind w:left="4984" w:hanging="111"/>
        <w:spacing w:after="0"/>
        <w:tabs>
          <w:tab w:leader="none" w:pos="498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48 -</w:t>
      </w:r>
    </w:p>
    <w:p>
      <w:pPr>
        <w:sectPr>
          <w:pgSz w:w="11900" w:h="16838" w:orient="portrait"/>
          <w:cols w:equalWidth="0" w:num="1">
            <w:col w:w="10544"/>
          </w:cols>
          <w:pgMar w:left="876" w:top="270" w:right="479" w:bottom="1440" w:gutter="0" w:footer="0" w:header="0"/>
        </w:sectPr>
      </w:pPr>
    </w:p>
    <w:bookmarkStart w:id="58" w:name="page59"/>
    <w:bookmarkEnd w:id="58"/>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Agent of any such borrowing of Revolving Loans not later than 9:00 a.m. Pacific time at least one Business Day prior to the proposed date of such borrowing. Promptly after receipt of such notice of borrowing of Revolving Loans from the Swingline Lender under the immediately preceding sentence, the Administrative Agent shall notify each Lender of the proposed borrowing. Not later than 9:00 a.m. Pacific time on the proposed date of such borrowing, each Lender will make available to the Administrative Agent at the Principal Office for the account of the Swingline Lender, in immediately available funds, the proceeds of the Revolving Loan to be made by such Lender. The Administrative Agent shall pay the proceeds of such Revolving Loans to the Swingline Lender, which shall apply such proceeds to repay such Swingline Loan. If the Lenders are prohibited from making Revolving Loans required to be made under this subsection for any reason whatsoever, including without limitation, the occurrence of any of the Defaults or Events of Default described in Sections 10.1.(e) or (f)), each Lender shall purchase from the Swingline Lender, without recourse or warranty, an undivided interest and participation to the extent of such Lender’s Revolving Commitment Percentage of such Swingline Loan, by directly purchasing a participation in such Swingline Loan in such amount and paying the proceeds thereof to the Administrative Agent for the account of the Swingline Lender in Dollars and in immediately available funds. A Lender’s obligation to purchase such a participation in a Swingline Loan shall be absolute and unconditional and shall not be affected by any circumstance whatsoever, including without limitation, (i) any claim of setoff, counterclaim, recoupment, defense or other right which such Lender or any other Person may have or claim against the Administrative Agent, the Swingline Lender or any other Person whatsoever, (ii) the occurrence or continuation of a Default or Event of Default (including without limitation, any of the Defaults or Events of Default described in Sections 10.1. (e) or (f)), or the termination of any Lender’s Revolving Commitment, (iii) the existence (or alleged existence) of an event or condition which has had or could have a Material Adverse Effect, (iv) any breach of any Loan Document by the Administrative Agent, any Lender, the Borrower or any other Loan Party, or (v) any other circumstance, happening or event whatsoever, whether or not similar to any of the foregoing. If such amount is not in fact made available to the Swingline Lender by any Lender, the Swingline Lender shall be entitled to recover such amount on demand from such Lender, together with accrued interest thereon for each day from the date of demand thereof, at the Federal Funds Rate. If such Lender does not pay such amount forthwith upon the Swingline Lender’s demand therefor, and until such time as such Lender makes the required payment, the Swingline Lender shall be deemed to continue to have outstanding Swingline Loans in the amount of such unpaid participation obligation for all purposes of the Loan Documents (other than those provisions requiring the other Lenders to purchase a participation therein). Further, such Lender shall be deemed to have assigned any and all payments made of principal and interest on its Revolving Loans, and any other amounts due it hereunder, to the Swingline Lender to fund Swingline Loans in the amount of the participation in Swingline Loans that such Lender failed to purchase pursuant to this Section until such amount has been purchased (as a result of such assignment or otherwise).</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2.5. Rates and Payment of Interest on Loans.</w:t>
      </w:r>
    </w:p>
    <w:p>
      <w:pPr>
        <w:spacing w:after="0" w:line="121" w:lineRule="exact"/>
        <w:rPr>
          <w:sz w:val="20"/>
          <w:szCs w:val="20"/>
          <w:color w:val="auto"/>
        </w:rPr>
      </w:pPr>
    </w:p>
    <w:p>
      <w:pPr>
        <w:ind w:right="20" w:firstLine="436"/>
        <w:spacing w:after="0" w:line="266" w:lineRule="auto"/>
        <w:tabs>
          <w:tab w:leader="none" w:pos="68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Rates</w:t>
      </w:r>
      <w:r>
        <w:rPr>
          <w:rFonts w:ascii="Times New Roman" w:cs="Times New Roman" w:eastAsia="Times New Roman" w:hAnsi="Times New Roman"/>
          <w:sz w:val="18"/>
          <w:szCs w:val="18"/>
          <w:color w:val="auto"/>
        </w:rPr>
        <w:t>. The Borrower promises to pay to the Administrative Agent for the account of each Lender interest on the unpaid principal amount of each Loan made by such Lender for the period from and including the date of the making of such Loan to but excluding the date such Loan shall be paid in full, at the following per annum rates:</w:t>
      </w:r>
    </w:p>
    <w:p>
      <w:pPr>
        <w:spacing w:after="0" w:line="67" w:lineRule="exact"/>
        <w:rPr>
          <w:rFonts w:ascii="Times New Roman" w:cs="Times New Roman" w:eastAsia="Times New Roman" w:hAnsi="Times New Roman"/>
          <w:sz w:val="18"/>
          <w:szCs w:val="18"/>
          <w:color w:val="auto"/>
        </w:rPr>
      </w:pPr>
    </w:p>
    <w:p>
      <w:pPr>
        <w:ind w:left="440" w:right="220" w:firstLine="419"/>
        <w:spacing w:after="0" w:line="282" w:lineRule="auto"/>
        <w:tabs>
          <w:tab w:leader="none" w:pos="1078"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such periods as such Loan is a Base Rate Loan, at the Base Rate (as in effect from time to time), plus the Applicable Margin for Base Rate Loans;</w:t>
      </w:r>
    </w:p>
    <w:p>
      <w:pPr>
        <w:spacing w:after="0" w:line="53" w:lineRule="exact"/>
        <w:rPr>
          <w:rFonts w:ascii="Times New Roman" w:cs="Times New Roman" w:eastAsia="Times New Roman" w:hAnsi="Times New Roman"/>
          <w:sz w:val="18"/>
          <w:szCs w:val="18"/>
          <w:color w:val="auto"/>
        </w:rPr>
      </w:pPr>
    </w:p>
    <w:p>
      <w:pPr>
        <w:ind w:left="440" w:right="220" w:firstLine="419"/>
        <w:spacing w:after="0" w:line="282" w:lineRule="auto"/>
        <w:tabs>
          <w:tab w:leader="none" w:pos="1128"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such periods as such Loan is a Daily Simple SOFR Loan, at Adjusted Daily Simple SOFR (as in effect form time to time), plus the Applicable Margin for SOFR Loans;</w:t>
      </w:r>
    </w:p>
    <w:p>
      <w:pPr>
        <w:spacing w:after="0" w:line="94"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2"/>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49 -</w:t>
      </w:r>
    </w:p>
    <w:p>
      <w:pPr>
        <w:sectPr>
          <w:pgSz w:w="11900" w:h="16838" w:orient="portrait"/>
          <w:cols w:equalWidth="0" w:num="1">
            <w:col w:w="11000"/>
          </w:cols>
          <w:pgMar w:left="440" w:top="270" w:right="459" w:bottom="1440" w:gutter="0" w:footer="0" w:header="0"/>
        </w:sectPr>
      </w:pPr>
    </w:p>
    <w:bookmarkStart w:id="59" w:name="page60"/>
    <w:bookmarkEnd w:id="59"/>
    <w:p>
      <w:pPr>
        <w:ind w:left="440" w:right="20" w:firstLine="419"/>
        <w:spacing w:after="0" w:line="282" w:lineRule="auto"/>
        <w:tabs>
          <w:tab w:leader="none" w:pos="117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during such periods as such Loan is a Term SOFR Loan, at Adjusted Term SOFR for such Loan for the Interest Period therefor, plus the Applicable Margin for SOFR Loans;</w:t>
      </w:r>
    </w:p>
    <w:p>
      <w:pPr>
        <w:spacing w:after="0" w:line="53" w:lineRule="exact"/>
        <w:rPr>
          <w:rFonts w:ascii="Times New Roman" w:cs="Times New Roman" w:eastAsia="Times New Roman" w:hAnsi="Times New Roman"/>
          <w:sz w:val="18"/>
          <w:szCs w:val="18"/>
          <w:color w:val="auto"/>
        </w:rPr>
      </w:pPr>
    </w:p>
    <w:p>
      <w:pPr>
        <w:ind w:left="440" w:right="60" w:firstLine="419"/>
        <w:spacing w:after="0" w:line="282" w:lineRule="auto"/>
        <w:tabs>
          <w:tab w:leader="none" w:pos="116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Loan is an Absolute Rate Loan, at the Absolute Rate for such Loan for the Interest Period therefor quoted by the Lender making such Loan in accordance with Section 2.2.; and</w:t>
      </w:r>
    </w:p>
    <w:p>
      <w:pPr>
        <w:spacing w:after="0" w:line="53" w:lineRule="exact"/>
        <w:rPr>
          <w:rFonts w:ascii="Times New Roman" w:cs="Times New Roman" w:eastAsia="Times New Roman" w:hAnsi="Times New Roman"/>
          <w:sz w:val="18"/>
          <w:szCs w:val="18"/>
          <w:color w:val="auto"/>
        </w:rPr>
      </w:pPr>
    </w:p>
    <w:p>
      <w:pPr>
        <w:ind w:left="440" w:right="420" w:firstLine="419"/>
        <w:spacing w:after="0" w:line="282" w:lineRule="auto"/>
        <w:tabs>
          <w:tab w:leader="none" w:pos="111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Loan is a SOFR Margin Loan, at Adjusted Term SOFR for such Loan for the Interest Period therefor plus the SOFR Margin quoted by the Lender making such Loan in accordance with Section 2.2.</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Notwithstanding the foregoing, while an Event of Default exists, the Borrower shall pay to the Administrative Agent for the account of each Lender and the Issuing Bank, as the case may be, interest at the Post-Default Rate on the outstanding principal amount of any Loan made by such Lender, on all Reimbursement Obligations and on any other amount payable by the Borrower hereunder or under the Notes held by such Lender to or for the account of such Lender (including without limitation, accrued but unpaid interest to the extent permitted under Applicable Law).</w:t>
      </w:r>
    </w:p>
    <w:p>
      <w:pPr>
        <w:spacing w:after="0" w:line="180" w:lineRule="exact"/>
        <w:rPr>
          <w:sz w:val="20"/>
          <w:szCs w:val="20"/>
          <w:color w:val="auto"/>
        </w:rPr>
      </w:pPr>
    </w:p>
    <w:p>
      <w:pPr>
        <w:ind w:right="120" w:firstLine="436"/>
        <w:spacing w:after="0" w:line="255" w:lineRule="auto"/>
        <w:tabs>
          <w:tab w:leader="none" w:pos="69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Interest</w:t>
      </w:r>
      <w:r>
        <w:rPr>
          <w:rFonts w:ascii="Times New Roman" w:cs="Times New Roman" w:eastAsia="Times New Roman" w:hAnsi="Times New Roman"/>
          <w:sz w:val="18"/>
          <w:szCs w:val="18"/>
          <w:color w:val="auto"/>
        </w:rPr>
        <w:t>. All accrued and unpaid interest on the outstanding principal amount of each Loan shall be payable (i) monthly in arrears on the first day of each month, commencing with the first full calendar month occurring after the Effective Date and (ii) on any date on which the principal balance of such Loan is due and payable in full (whether at maturity, due to acceleration or otherwise). Interest payable at the Post-Default Rate shall be payable from time to time on demand. Promptly after the determination of any interest rate provided for herein or any change therein, the Administrative Agent shall give notice thereof to the Lenders to which such interest is payable and to the Borrower. All determinations by the Administrative Agent of an interest rate hereunder shall be conclusive and binding on the Lenders and the Borrower for all purposes, absent manifest error.</w:t>
      </w:r>
    </w:p>
    <w:p>
      <w:pPr>
        <w:spacing w:after="0" w:line="188"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Borrower Information Used to Determine Applicable Interest Rates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right="40" w:firstLine="419"/>
        <w:spacing w:after="0" w:line="274" w:lineRule="auto"/>
        <w:tabs>
          <w:tab w:leader="none" w:pos="1078"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parties understand that the applicable interest rate for the Obligations and certain fees set forth herein may be determined and/or adjusted from time to time based upon certain financial ratios and/or other information to be provided or certified to the Lenders by the Borrower (the “</w:t>
      </w:r>
      <w:r>
        <w:rPr>
          <w:rFonts w:ascii="Times New Roman" w:cs="Times New Roman" w:eastAsia="Times New Roman" w:hAnsi="Times New Roman"/>
          <w:sz w:val="17"/>
          <w:szCs w:val="17"/>
          <w:b w:val="1"/>
          <w:bCs w:val="1"/>
          <w:color w:val="auto"/>
        </w:rPr>
        <w:t>Borrower Information</w:t>
      </w:r>
      <w:r>
        <w:rPr>
          <w:rFonts w:ascii="Times New Roman" w:cs="Times New Roman" w:eastAsia="Times New Roman" w:hAnsi="Times New Roman"/>
          <w:sz w:val="17"/>
          <w:szCs w:val="17"/>
          <w:color w:val="auto"/>
        </w:rPr>
        <w:t>”). If it is subsequently determined that any such Borrower Information was incorrect (for whatever reason, including without limitation because of a subsequent restatement of earnings by the Borrower) at the time it was delivered to the Administrative Agent, and if the applicable interest rate or fees calculated for any period were lower than they should have been had the correct information been timely provided, then, such interest rate and such fees for such period shall be automatically recalculated using correct Borrower Information.</w:t>
      </w:r>
    </w:p>
    <w:p>
      <w:pPr>
        <w:spacing w:after="0" w:line="64" w:lineRule="exact"/>
        <w:rPr>
          <w:rFonts w:ascii="Times New Roman" w:cs="Times New Roman" w:eastAsia="Times New Roman" w:hAnsi="Times New Roman"/>
          <w:sz w:val="17"/>
          <w:szCs w:val="17"/>
          <w:color w:val="auto"/>
        </w:rPr>
      </w:pPr>
    </w:p>
    <w:p>
      <w:pPr>
        <w:ind w:left="440" w:firstLine="419"/>
        <w:spacing w:after="0" w:line="254" w:lineRule="auto"/>
        <w:tabs>
          <w:tab w:leader="none" w:pos="1128"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Borrower’s Credit Rating from one or more Rating Agency is downgraded and such downgrade results in an increase in the Applicable Margin or Applicable Facility Fee, but such higher Credit Rating is subsequently restored and the increased Applicable Margin or Applicable Facility Fee would no longer be applicable within 90 days from the first day such downgrade was effective, the Borrower will receive a credit for incremental borrowing costs and fees paid by the Borrower during such 90 day period solely as a result of the downgrade and increase in the Applicable Margin and/or Applicable Facility Fee. Additionally, in the event the Borrower’s Credit Rating from one or more Rating Agency is upgraded and such upgrade results in a decrease in the Applicable Margin or Applicable Facility Fee, but such lower Credit Rating is subsequently restored and the decreased Applicable Margin or Applicable Facility Fee would no longer be applicable within 90 days from the first day such upgrade was effective, the Borrower will pay the incremental borrowing costs and fees which would have otherwise been payable during such 90 day period had the upgrade not occurred.</w:t>
      </w:r>
    </w:p>
    <w:p>
      <w:pPr>
        <w:spacing w:after="0" w:line="120"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w:t>
      </w:r>
    </w:p>
    <w:p>
      <w:pPr>
        <w:sectPr>
          <w:pgSz w:w="11900" w:h="16838" w:orient="portrait"/>
          <w:cols w:equalWidth="0" w:num="1">
            <w:col w:w="10980"/>
          </w:cols>
          <w:pgMar w:left="440" w:top="270" w:right="479" w:bottom="1440" w:gutter="0" w:footer="0" w:header="0"/>
        </w:sectPr>
      </w:pPr>
    </w:p>
    <w:bookmarkStart w:id="60" w:name="page61"/>
    <w:bookmarkEnd w:id="60"/>
    <w:p>
      <w:pPr>
        <w:ind w:left="440" w:right="20" w:firstLine="419"/>
        <w:spacing w:after="0" w:line="258" w:lineRule="auto"/>
        <w:tabs>
          <w:tab w:leader="none" w:pos="117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Administrative Agent shall promptly notify the Borrower in writing of any additional interest and fees due or of any interest and fees credited because of such recalculation or changed Credit Rating, and, to the extent additional fees and interest are due, the Borrower shall pay such additional interest or fees due to the Administrative Agent, for the account of each Lender, within five (5) Business Days of receipt of such written notice. Any recalculation of interest or fees required by this Section 2.5.(c) shall survive the termination of this Agreement, and this provision shall not in any way limit any of the Administrative Agent’s, the Issuing Bank’s, or any Lender’s other rights under this Agreement.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2.6. Number of Interest Periods.</w:t>
      </w:r>
    </w:p>
    <w:p>
      <w:pPr>
        <w:spacing w:after="0" w:line="121" w:lineRule="exact"/>
        <w:rPr>
          <w:sz w:val="20"/>
          <w:szCs w:val="20"/>
          <w:color w:val="auto"/>
        </w:rPr>
      </w:pPr>
    </w:p>
    <w:p>
      <w:pPr>
        <w:ind w:left="680" w:hanging="244"/>
        <w:spacing w:after="0"/>
        <w:tabs>
          <w:tab w:leader="none" w:pos="6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no more than ten (10) different Interest Periods for Revolving Loans outstanding at the same time.</w:t>
      </w:r>
    </w:p>
    <w:p>
      <w:pPr>
        <w:spacing w:after="0" w:line="11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no more than six (6) different Interest Periods for Bid Rate Loans outstanding at the same time.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2.7. Repayment of Loans.</w:t>
      </w:r>
    </w:p>
    <w:p>
      <w:pPr>
        <w:spacing w:after="0" w:line="121" w:lineRule="exact"/>
        <w:rPr>
          <w:sz w:val="20"/>
          <w:szCs w:val="20"/>
          <w:color w:val="auto"/>
        </w:rPr>
      </w:pPr>
    </w:p>
    <w:p>
      <w:pPr>
        <w:ind w:right="200" w:firstLine="436"/>
        <w:spacing w:after="0" w:line="282" w:lineRule="auto"/>
        <w:tabs>
          <w:tab w:leader="none" w:pos="68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Revolving Loans</w:t>
      </w:r>
      <w:r>
        <w:rPr>
          <w:rFonts w:ascii="Times New Roman" w:cs="Times New Roman" w:eastAsia="Times New Roman" w:hAnsi="Times New Roman"/>
          <w:sz w:val="18"/>
          <w:szCs w:val="18"/>
          <w:color w:val="auto"/>
        </w:rPr>
        <w:t>. The Borrower shall repay the entire outstanding principal amount of, and all accrued but unpaid interest on, the Revolving Loans on the Revolving Termination Date.</w:t>
      </w:r>
    </w:p>
    <w:p>
      <w:pPr>
        <w:spacing w:after="0" w:line="53" w:lineRule="exact"/>
        <w:rPr>
          <w:rFonts w:ascii="Times New Roman" w:cs="Times New Roman" w:eastAsia="Times New Roman" w:hAnsi="Times New Roman"/>
          <w:sz w:val="18"/>
          <w:szCs w:val="18"/>
          <w:color w:val="auto"/>
        </w:rPr>
      </w:pPr>
    </w:p>
    <w:p>
      <w:pPr>
        <w:ind w:right="200" w:firstLine="436"/>
        <w:spacing w:after="0" w:line="282" w:lineRule="auto"/>
        <w:tabs>
          <w:tab w:leader="none" w:pos="69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Bid Rate Loans</w:t>
      </w:r>
      <w:r>
        <w:rPr>
          <w:rFonts w:ascii="Times New Roman" w:cs="Times New Roman" w:eastAsia="Times New Roman" w:hAnsi="Times New Roman"/>
          <w:sz w:val="18"/>
          <w:szCs w:val="18"/>
          <w:color w:val="auto"/>
        </w:rPr>
        <w:t>. The Borrower shall repay the entire outstanding principal amount of, and all accrued interest on, each Bid Rate Loan on the last day of the Interest Period of such Bid Rate Loan.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2.8. Prepayments.</w:t>
      </w:r>
    </w:p>
    <w:p>
      <w:pPr>
        <w:spacing w:after="0" w:line="121" w:lineRule="exact"/>
        <w:rPr>
          <w:sz w:val="20"/>
          <w:szCs w:val="20"/>
          <w:color w:val="auto"/>
        </w:rPr>
      </w:pPr>
    </w:p>
    <w:p>
      <w:pPr>
        <w:ind w:firstLine="436"/>
        <w:spacing w:after="0" w:line="255" w:lineRule="auto"/>
        <w:tabs>
          <w:tab w:leader="none" w:pos="68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Optional</w:t>
      </w:r>
      <w:r>
        <w:rPr>
          <w:rFonts w:ascii="Times New Roman" w:cs="Times New Roman" w:eastAsia="Times New Roman" w:hAnsi="Times New Roman"/>
          <w:sz w:val="18"/>
          <w:szCs w:val="18"/>
          <w:color w:val="auto"/>
        </w:rPr>
        <w:t>. Subject to Section 4.4., the Borrower may prepay any Loan (other than a Bid Rate Loan) in whole or part at any time without premium or penalty. A Bid Rate Loan may only be prepaid with the prior written consent of the Lender holding such Bid Rate Loan; provided, however, subject to Section 4.4., the Borrower may prepay all outstanding Bid Rate Loans in connection with the Borrower’s termination of all Commitments pursuant to Section 2.12. and the repayment of all Obligations in full. The Borrower shall give the Administrative Agent at least one (1) U.S. Government Securities Business Day’s prior written notice of the prepayment of any Loan. Each voluntary prepayment of Loans shall be in an aggregate minimum amount of $1,000,000 and integral multiples of $100,000 in excess thereof (or, if less, the aggregate principal amount of Revolving Loans outstanding).</w:t>
      </w:r>
    </w:p>
    <w:p>
      <w:pPr>
        <w:spacing w:after="0" w:line="188"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right="120" w:firstLine="419"/>
        <w:spacing w:after="0" w:line="258" w:lineRule="auto"/>
        <w:tabs>
          <w:tab w:leader="none" w:pos="1078"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Revolving Commitment Overadvance</w:t>
      </w:r>
      <w:r>
        <w:rPr>
          <w:rFonts w:ascii="Times New Roman" w:cs="Times New Roman" w:eastAsia="Times New Roman" w:hAnsi="Times New Roman"/>
          <w:sz w:val="18"/>
          <w:szCs w:val="18"/>
          <w:color w:val="auto"/>
        </w:rPr>
        <w:t>. If at any time the aggregate principal amount of all outstanding Revolving Loans, Swingline Loans and Bid Rate Loans, together with the aggregate amount of all Letter of Credit Liabilities, exceeds the aggregate amount of the Revolving Commitments, the Borrower shall immediately upon demand pay to the Administrative Agent for the account of the Lenders then holding Revolving Commitments (or if the Revolving Commitments have been terminated, then holding outstanding Revolving Loans, Swingline Loans, Bid Rate Loans and/or Letter of Credit Liabilities), the amount of such excess.</w:t>
      </w:r>
    </w:p>
    <w:p>
      <w:pPr>
        <w:spacing w:after="0" w:line="115"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51 -</w:t>
      </w:r>
    </w:p>
    <w:p>
      <w:pPr>
        <w:sectPr>
          <w:pgSz w:w="11900" w:h="16838" w:orient="portrait"/>
          <w:cols w:equalWidth="0" w:num="1">
            <w:col w:w="11000"/>
          </w:cols>
          <w:pgMar w:left="440" w:top="270" w:right="459" w:bottom="1440" w:gutter="0" w:footer="0" w:header="0"/>
        </w:sectPr>
      </w:pPr>
    </w:p>
    <w:bookmarkStart w:id="61" w:name="page62"/>
    <w:bookmarkEnd w:id="61"/>
    <w:p>
      <w:pPr>
        <w:ind w:left="440" w:right="140" w:firstLine="419"/>
        <w:spacing w:after="0" w:line="266" w:lineRule="auto"/>
        <w:tabs>
          <w:tab w:leader="none" w:pos="112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Bid Rate Facility Overadvance</w:t>
      </w:r>
      <w:r>
        <w:rPr>
          <w:rFonts w:ascii="Times New Roman" w:cs="Times New Roman" w:eastAsia="Times New Roman" w:hAnsi="Times New Roman"/>
          <w:sz w:val="18"/>
          <w:szCs w:val="18"/>
          <w:color w:val="auto"/>
        </w:rPr>
        <w:t>. If at any time the aggregate principal amount of all outstanding Bid Rate Loans exceeds one-half of the aggregate amount of all Revolving Commitments at such time, then the Borrower shall immediately pay to the Administrative Agent for the accounts of the applicable Lenders the amount of such excess.</w:t>
      </w:r>
    </w:p>
    <w:p>
      <w:pPr>
        <w:spacing w:after="0" w:line="67" w:lineRule="exact"/>
        <w:rPr>
          <w:rFonts w:ascii="Times New Roman" w:cs="Times New Roman" w:eastAsia="Times New Roman" w:hAnsi="Times New Roman"/>
          <w:sz w:val="18"/>
          <w:szCs w:val="18"/>
          <w:color w:val="auto"/>
        </w:rPr>
      </w:pPr>
    </w:p>
    <w:p>
      <w:pPr>
        <w:ind w:left="440" w:right="20" w:firstLine="419"/>
        <w:spacing w:after="0" w:line="256" w:lineRule="auto"/>
        <w:tabs>
          <w:tab w:leader="none" w:pos="117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 of Mandatory Prepayments</w:t>
      </w:r>
      <w:r>
        <w:rPr>
          <w:rFonts w:ascii="Times New Roman" w:cs="Times New Roman" w:eastAsia="Times New Roman" w:hAnsi="Times New Roman"/>
          <w:sz w:val="18"/>
          <w:szCs w:val="18"/>
          <w:color w:val="auto"/>
        </w:rPr>
        <w:t>. Amounts paid under the preceding subsection (b)(i) shall be applied to pay all amounts of principal outstanding on the Loans and any Reimbursement Obligations pro rata in accordance with Section 3.2. and if any Letters of Credit are outstanding at such time, the remainder, if any, shall be deposited into the Letter of Credit Collateral Account for application to any Reimbursement Obligations. Amounts paid under the preceding subsection (b)(ii) shall be applied in accordance with Section 3.2.(e). If the Borrower is required to pay any outstanding Term SOFR Loans or SOFR Margin Loans by reason of this Section prior to the end of the applicable Interest Period therefor, the Borrower shall pay all amounts due under Section 4.4.</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2.9. Continuation.</w:t>
      </w:r>
    </w:p>
    <w:p>
      <w:pPr>
        <w:spacing w:after="0" w:line="121"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7"/>
          <w:szCs w:val="17"/>
          <w:color w:val="auto"/>
        </w:rPr>
        <w:t>So long as no Event of Default exists, the Borrower may on any Business Day, continue any (x) Daily Simple SOFR Loans as Daily Simple SOFR Loans or (y) Term SOFR Loans as Term SOFR Loans. Each Continuation of an applicable SOFR Loan shall be in an aggregate minimum amount of $1,000,000 and integral multiples of $1,000,000 in excess of that amount, and, with respect to Term SOFR Loans, each new Interest Period selected in the Notice of Continuation shall commence on the last day of the immediately preceding Interest Period. Whenever the Borrower desires to continue Term SOFR Loans as provided above, the Borrower shall give to the Administrative Agent a Notice of Continuation not later than 9:00 a.m. Pacific time three (3) U.S. Government Securities Business Days before the day on which a proposed Continuation of such Loan is to be effective. Such notice by the Borrower of a Continuation shall be by telephone (confirmed promptly in writing on the same Business Day), electronic mail or other similar form of communication in the form of a Notice of Continuation, specifying (a) the proposed date of such Continuation, (b) the Loans and portions thereof subject to such Continuation and (c) the duration of the selected Interest Period, all of which shall be specified in such manner as is necessary to comply with all limitations on Loans outstanding hereunder. Each Notice of Continuation shall be irrevocable by and binding on the Borrower once given. Promptly after receipt of a Notice of Continuation, the Administrative Agent shall notify each Lender of the proposed Continuation. If the Borrower shall fail to select in a timely manner a new Interest Period for any Term SOFR Loan in accordance with this Section, such Loan will automatically, on the last day of the current Interest Period therefor, continue as a Term SOFR Loan with an Interest Period of one month; provided, however that if an Event of Default exists, such Loan will automatically, on the last day of the current Interest Period therefor, Convert into a Base Rate Loan notwithstanding the first sentence of Section 2.10. or the Borrower’s failure to comply with any of the terms of such Section.</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2.10. Conversion.</w:t>
      </w:r>
    </w:p>
    <w:p>
      <w:pPr>
        <w:spacing w:after="0" w:line="121"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The Borrower may on any Business Day, upon the Borrower’s giving of a Notice of Conversion to the Administrative Agent by electronic mail or other similar form of communication, Convert all or a portion of a Loan of one Type into a Loan of another Type; provided, however, a Base Rate Loan may not be Converted into a SOFR Loan if an Event of Default exists. Each Conversion of Base Rate Loans into Term SOFR Loans or Daily Simple SOFR Loans, as applicable, shall be in an aggregate minimum amount of $1,000,000 and integral multiples of $1,000,000 in excess of that amount. Each such Notice of Conversion shall be given not later than 9:00 a.m. Pacific time (x) with respect to Loans that are to be Converted to Base Rate Loans, one (1) Business Day, (y) with respect to Loans that are to be converted to Daily Simple SOFR Loans, one (1) U.S. Government Securities Business Day and (z) with respect to Loans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- 52 -</w:t>
      </w:r>
    </w:p>
    <w:p>
      <w:pPr>
        <w:sectPr>
          <w:pgSz w:w="11900" w:h="16838" w:orient="portrait"/>
          <w:cols w:equalWidth="0" w:num="1">
            <w:col w:w="11000"/>
          </w:cols>
          <w:pgMar w:left="440" w:top="270" w:right="459" w:bottom="1440" w:gutter="0" w:footer="0" w:header="0"/>
        </w:sectPr>
      </w:pPr>
    </w:p>
    <w:bookmarkStart w:id="62" w:name="page63"/>
    <w:bookmarkEnd w:id="62"/>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that are to be converted to Term SOFR Loans, three (3) U.S. Government Securities Business Days, in each case prior to the date of any proposed Conversion. Promptly after receipt of a Notice of Conversion, the Administrative Agent shall notify each Lender of the proposed Conversion. Subject to the restrictions specified above, each Notice of Conversion shall be by telephone, (confirmed promptly in writing on the same Business Day or U.S. Government Securities Business Day, as applicable), electronic mail or other similar form of communication in the form of a Notice of Conversion specifying (a) the requested date of such Conversion, (b) the Type of Loan to be Converted, (c) the portion of such Type of Loan to be Converted, (d) the Type of Loan such Loan is to be Converted into and (e) if such Conversion is into a Term SOFR Loan, the requested duration of the Interest Period of such Loan. Each Notice of Conversion shall be irrevocable by and binding on the Borrower once given. If the Borrower requests a Conversion to a Term SOFR Loan, but fails to specify an Interest Period, it will be deemed to have specified an Interest Period of one month. Notwithstanding anything to the contrary herein, a Swingline Loan may not be converted to a SOFR Loan.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2.11. Notes.</w:t>
      </w:r>
    </w:p>
    <w:p>
      <w:pPr>
        <w:spacing w:after="0" w:line="121" w:lineRule="exact"/>
        <w:rPr>
          <w:sz w:val="20"/>
          <w:szCs w:val="20"/>
          <w:color w:val="auto"/>
        </w:rPr>
      </w:pPr>
    </w:p>
    <w:p>
      <w:pPr>
        <w:ind w:right="40" w:firstLine="436"/>
        <w:spacing w:after="0" w:line="255" w:lineRule="auto"/>
        <w:tabs>
          <w:tab w:leader="none" w:pos="68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Except in the case of a Lender that has notified the Administrative Agent in writing that it elects not to receive a Revolving Note, the Revolving Loans made by each Lender shall, in addition to this Agreement, also be evidenced by a Revolving Note, payable to the order of such Lender in a principal amount equal to the amount of its Revolving Commitment as originally in effect and otherwise duly completed. Except in the case of a Lender that has notified the Administrative Agent in writing that it elects not to receive a Bid Rate Note, the Bid Rate Loans made by a Lender to the Borrower shall, in addition to this Agreement, also be evidenced by a Bid Rate Note payable to the order of such Lender. The Swingline Loans made by the Swingline Lender to the Borrower shall, in addition to this Agreement, also be evidenced by a Swingline Note payable to the order of the Swingline Lender.</w:t>
      </w:r>
    </w:p>
    <w:p>
      <w:pPr>
        <w:spacing w:after="0" w:line="188" w:lineRule="exact"/>
        <w:rPr>
          <w:rFonts w:ascii="Times New Roman" w:cs="Times New Roman" w:eastAsia="Times New Roman" w:hAnsi="Times New Roman"/>
          <w:sz w:val="18"/>
          <w:szCs w:val="18"/>
          <w:color w:val="auto"/>
        </w:rPr>
      </w:pPr>
    </w:p>
    <w:p>
      <w:pPr>
        <w:ind w:right="120" w:firstLine="436"/>
        <w:spacing w:after="0" w:line="256" w:lineRule="auto"/>
        <w:tabs>
          <w:tab w:leader="none" w:pos="69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Records</w:t>
      </w:r>
      <w:r>
        <w:rPr>
          <w:rFonts w:ascii="Times New Roman" w:cs="Times New Roman" w:eastAsia="Times New Roman" w:hAnsi="Times New Roman"/>
          <w:sz w:val="18"/>
          <w:szCs w:val="18"/>
          <w:color w:val="auto"/>
        </w:rPr>
        <w:t>. The date, amount, interest rate, Type and duration of Interest Periods (if applicable) of each Loan made by each Lender to the Borrower, and each payment made on account of the principal thereof, shall be recorded by such Lender on its books and such entries shall be binding on the Borrower absent manifest error; provided, however, that (i) the failure of a Lender to make any such record shall not affect the obligations of the Borrower under any of the Loan Documents and (ii) if there is a discrepancy between such records of a Lender and the statements of accounts maintained by the Administrative Agent pursuant to Section 3.8., in the absence of manifest error, the statements of account maintained by the Administrative Agent pursuant to Section 3.8. shall be controlling.</w:t>
      </w:r>
    </w:p>
    <w:p>
      <w:pPr>
        <w:spacing w:after="0" w:line="187" w:lineRule="exact"/>
        <w:rPr>
          <w:rFonts w:ascii="Times New Roman" w:cs="Times New Roman" w:eastAsia="Times New Roman" w:hAnsi="Times New Roman"/>
          <w:sz w:val="18"/>
          <w:szCs w:val="18"/>
          <w:color w:val="auto"/>
        </w:rPr>
      </w:pPr>
    </w:p>
    <w:p>
      <w:pPr>
        <w:jc w:val="both"/>
        <w:ind w:right="180" w:firstLine="436"/>
        <w:spacing w:after="0" w:line="261" w:lineRule="auto"/>
        <w:tabs>
          <w:tab w:leader="none" w:pos="68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Lost, Stolen, Destroyed or Mutilated Notes</w:t>
      </w:r>
      <w:r>
        <w:rPr>
          <w:rFonts w:ascii="Times New Roman" w:cs="Times New Roman" w:eastAsia="Times New Roman" w:hAnsi="Times New Roman"/>
          <w:sz w:val="18"/>
          <w:szCs w:val="18"/>
          <w:color w:val="auto"/>
        </w:rPr>
        <w:t>. Upon receipt by the Borrower of (i) written notice from a Lender that a Note of such Lender has been lost, stolen, destroyed or mutilated, and (ii)(A) in the case of loss, theft or destruction, an unsecured agreement of indemnity from such Lender in form reasonably satisfactory to the Borrower, or (B) in the case of mutilation, upon surrender and cancellation of such Note, the Borrower shall at its own expense execute and deliver to such Lender a new Note dated the date of such lost, stolen, destroyed or mutilated Note.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2.12. Voluntary Reductions of the Revolving Commitment.</w:t>
      </w:r>
    </w:p>
    <w:p>
      <w:pPr>
        <w:spacing w:after="0" w:line="121"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Borrower shall have the right to terminate or reduce the aggregate unused amount of the Revolving Commitments (for which purpose use of the Revolving Commitments shall be deemed to include the aggregate amount of all Letter of Credit Liabilities and the aggregate principal amount of all outstanding Bid Rate Loans and Swingline Loans) at any time and from time to time without penalty or premium upon not less than five (5) Business Days prior written notice to the Administrative Agent of each such termination or reduction, which notice shall specify the effective date thereof and the amount of any such reduction (which in the case of any partial reduction of the Revolving Commitments shall not be less than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- 53 -</w:t>
      </w:r>
    </w:p>
    <w:p>
      <w:pPr>
        <w:sectPr>
          <w:pgSz w:w="11900" w:h="16838" w:orient="portrait"/>
          <w:cols w:equalWidth="0" w:num="1">
            <w:col w:w="11000"/>
          </w:cols>
          <w:pgMar w:left="440" w:top="270" w:right="459" w:bottom="1440" w:gutter="0" w:footer="0" w:header="0"/>
        </w:sectPr>
      </w:pPr>
    </w:p>
    <w:bookmarkStart w:id="63" w:name="page64"/>
    <w:bookmarkEnd w:id="63"/>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$5,000,000 and integral multiples of $1,000,000 in excess of that amount in the aggregate) and shall be irrevocable once given and effective only upon receipt by the Administrative Agent (“</w:t>
      </w:r>
      <w:r>
        <w:rPr>
          <w:rFonts w:ascii="Times New Roman" w:cs="Times New Roman" w:eastAsia="Times New Roman" w:hAnsi="Times New Roman"/>
          <w:sz w:val="18"/>
          <w:szCs w:val="18"/>
          <w:b w:val="1"/>
          <w:bCs w:val="1"/>
          <w:color w:val="auto"/>
        </w:rPr>
        <w:t>Commitment Reduction Notice</w:t>
      </w:r>
      <w:r>
        <w:rPr>
          <w:rFonts w:ascii="Times New Roman" w:cs="Times New Roman" w:eastAsia="Times New Roman" w:hAnsi="Times New Roman"/>
          <w:sz w:val="18"/>
          <w:szCs w:val="18"/>
          <w:color w:val="auto"/>
        </w:rPr>
        <w:t>”); provided, however, the Borrower may not reduce the aggregate amount of the Revolving Commitments below $200,000,000 unless the Borrower is terminating the Revolving Commitments in full. Promptly after receipt of a Commitment Reduction Notice the Administrative Agent shall notify each Lender of the proposed termination or Revolving Commitment reduction. The Revolving Commitments, once reduced or terminated pursuant to this Section, may not be increased or reinstated. The Borrower shall pay all interest and fees on the Revolving Loans accrued to the date of such reduction or termination of the Revolving Commitments (on the principal amount so reduced or terminated) to the Administrative Agent for the account of the Lenders, including but not limited to any applicable compensation due to each Lender in accordance with Section 4.4.</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2.13. Extension of Revolving Termination Date.</w:t>
      </w:r>
    </w:p>
    <w:p>
      <w:pPr>
        <w:spacing w:after="0" w:line="121" w:lineRule="exact"/>
        <w:rPr>
          <w:sz w:val="20"/>
          <w:szCs w:val="20"/>
          <w:color w:val="auto"/>
        </w:rPr>
      </w:pPr>
    </w:p>
    <w:p>
      <w:pPr>
        <w:ind w:right="40" w:firstLine="440"/>
        <w:spacing w:after="0" w:line="252" w:lineRule="auto"/>
        <w:rPr>
          <w:sz w:val="20"/>
          <w:szCs w:val="20"/>
          <w:color w:val="auto"/>
        </w:rPr>
      </w:pPr>
      <w:r>
        <w:rPr>
          <w:rFonts w:ascii="Times New Roman" w:cs="Times New Roman" w:eastAsia="Times New Roman" w:hAnsi="Times New Roman"/>
          <w:sz w:val="18"/>
          <w:szCs w:val="18"/>
          <w:color w:val="auto"/>
        </w:rPr>
        <w:t>The Borrower shall have the right, exercisable two times, to extend the Revolving Termination Date by six-months in the case of each such extension. The Borrower may exercise such right only by executing and delivering to the Administrative Agent at least 90 days but not more than 180 days prior to the current Revolving Termination Date, a written request for such extension (an “</w:t>
      </w:r>
      <w:r>
        <w:rPr>
          <w:rFonts w:ascii="Times New Roman" w:cs="Times New Roman" w:eastAsia="Times New Roman" w:hAnsi="Times New Roman"/>
          <w:sz w:val="18"/>
          <w:szCs w:val="18"/>
          <w:b w:val="1"/>
          <w:bCs w:val="1"/>
          <w:color w:val="auto"/>
        </w:rPr>
        <w:t>Extension Request</w:t>
      </w:r>
      <w:r>
        <w:rPr>
          <w:rFonts w:ascii="Times New Roman" w:cs="Times New Roman" w:eastAsia="Times New Roman" w:hAnsi="Times New Roman"/>
          <w:sz w:val="18"/>
          <w:szCs w:val="18"/>
          <w:color w:val="auto"/>
        </w:rPr>
        <w:t>”). The Administrative Agent shall notify the Lenders if it receives an Extension Request promptly upon receipt thereof. Subject to satisfaction of the following conditions, the Revolving Termination Date shall be extended for six-months effective upon receipt by the Administrative Agent of the Extension Request and payment of the fee referred to in the following clause (y): (x) immediately prior to such extension and immediately after giving effect thereto, (A) no Default or Event of Default shall exist and (B) the representations and warranties made or deemed made by the Borrower and each other Loan Party in the Loan Documents to which any of them is a party, shall be true and correct in all material respects (or, to the extent qualified by materiality or Material Adverse Effect, in all respects) on and as of the date of such extension with the same force and effect as if made on and as of such date except to the extent that such representations and warranties expressly relate solely to an earlier date (in which case such representations and warranties shall have been true and correct in all material respects (or, to the extent qualified by materiality or Material Adverse Effect, in all respects) on and as of such earlier date) and except for changes in factual circumstances which are not prohibited under the Loan Documents and (y) the Borrower shall have paid the Fees payable under Section 3.5.(e). Any extension shall constitute certification by the Borrower to the effect that the matters referred to in the immediately preceding clauses (x)(A) and (x)(B) are true and correct and the Borrower shall be deemed to have represented to the Administrative Agent and the Lenders that the foregoing conditions have been satisfied.</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2.14. Expiration Date of Letters of Credit Past Revolving Commitment Termination.</w:t>
      </w:r>
    </w:p>
    <w:p>
      <w:pPr>
        <w:spacing w:after="0" w:line="121"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If on the date the Revolving Commitments are terminated or reduced to zero (whether voluntarily, by reason of the occurrence of an Event of Default or otherwise), there are any Letters of Credit outstanding hereunder, the Borrower shall, on such date (if not sooner pursuant to Section 2.3.(b)), pay to the Administrative Agent, for its benefit and the benefit of the Lenders and the Issuing Bank, an amount of money sufficient to cause the balance of available funds on deposit in the Letter of Credit Collateral Account to equal the aggregate Stated Amount of such Letters of Credit for deposit into the Letter of Credit Collateral Account.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2.15. Amount Limitations.</w:t>
      </w:r>
    </w:p>
    <w:p>
      <w:pPr>
        <w:spacing w:after="0" w:line="121"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Notwithstanding any other term of this Agreement or any other Loan Document, no Lender shall be required to make a Loan, no Lender shall make any Bid Rate Loan, the Issuing Bank shall not be required to issue a Letter of Credit and no reduction of the Revolving Commitments pursuant to Section 2.12. shall take effect, if immediately after the making of such Loan, the issuance of such Letter of Credit or such reduction in the Revolving Commitments: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- 54 -</w:t>
      </w:r>
    </w:p>
    <w:p>
      <w:pPr>
        <w:sectPr>
          <w:pgSz w:w="11900" w:h="16838" w:orient="portrait"/>
          <w:cols w:equalWidth="0" w:num="1">
            <w:col w:w="10980"/>
          </w:cols>
          <w:pgMar w:left="440" w:top="270" w:right="479" w:bottom="1440" w:gutter="0" w:footer="0" w:header="0"/>
        </w:sectPr>
      </w:pPr>
    </w:p>
    <w:bookmarkStart w:id="64" w:name="page65"/>
    <w:bookmarkEnd w:id="64"/>
    <w:p>
      <w:pPr>
        <w:ind w:right="100" w:firstLine="436"/>
        <w:spacing w:after="0" w:line="282" w:lineRule="auto"/>
        <w:tabs>
          <w:tab w:leader="none" w:pos="68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aggregate principal amount of all outstanding Revolving Loans, Bid Rate Loans and Swingline Loans, together with the aggregate amount of all Letter of Credit Liabilities, would exceed the aggregate amount of the Revolving Commitments at such time; or</w:t>
      </w:r>
    </w:p>
    <w:p>
      <w:pPr>
        <w:spacing w:after="0" w:line="53" w:lineRule="exact"/>
        <w:rPr>
          <w:rFonts w:ascii="Times New Roman" w:cs="Times New Roman" w:eastAsia="Times New Roman" w:hAnsi="Times New Roman"/>
          <w:sz w:val="18"/>
          <w:szCs w:val="18"/>
          <w:color w:val="auto"/>
        </w:rPr>
      </w:pPr>
    </w:p>
    <w:p>
      <w:pPr>
        <w:ind w:right="1020" w:firstLine="436"/>
        <w:spacing w:after="0" w:line="282" w:lineRule="auto"/>
        <w:tabs>
          <w:tab w:leader="none" w:pos="69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all outstanding Bid Rate Loans would exceed 50.0% of the aggregate amount of the Revolving Commitments at such time.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2.16. Increase in Revolving Commitments.</w:t>
      </w:r>
    </w:p>
    <w:p>
      <w:pPr>
        <w:spacing w:after="0" w:line="121" w:lineRule="exact"/>
        <w:rPr>
          <w:sz w:val="20"/>
          <w:szCs w:val="20"/>
          <w:color w:val="auto"/>
        </w:rPr>
      </w:pPr>
    </w:p>
    <w:p>
      <w:pPr>
        <w:ind w:firstLine="440"/>
        <w:spacing w:after="0" w:line="251" w:lineRule="auto"/>
        <w:rPr>
          <w:sz w:val="20"/>
          <w:szCs w:val="20"/>
          <w:color w:val="auto"/>
        </w:rPr>
      </w:pPr>
      <w:r>
        <w:rPr>
          <w:rFonts w:ascii="Times New Roman" w:cs="Times New Roman" w:eastAsia="Times New Roman" w:hAnsi="Times New Roman"/>
          <w:sz w:val="18"/>
          <w:szCs w:val="18"/>
          <w:color w:val="auto"/>
        </w:rPr>
        <w:t xml:space="preserve">The Borrower shall have the right, at any time and from time to time, to request increases in the aggregate amount of the Revolving Commitments by providing written notice to the Administrative Agent, which notice shall be irrevocable once given;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after giving effect to any such increases the aggregate amount of the Revolving Commitments shall not exceed $1,750,000,000 minus the amount of any reduction of the Revolving Commitments effected pursuant to Section 2.12. hereof. Each such increase in the Revolving Commitments must be an aggregate minimum amount of $10,000,000 and integral multiples of $5,000,000 in excess thereof. If the request is approved by the Administrative Agent, the Administrative Agent, in consultation with the Borrower, shall manage all aspects of the syndication of such increase in the Revolving Commitments, including decisions as to the selection of the existing Lenders and/or other banks, financial institutions and other institutional lenders to be approached with respect to such increase and the allocations of the increase in the Revolving Commitments among such existing Lenders and/or other banks, financial institutions and other institutional lenders; provided that any such other banks, financial institutions and other institutional lenders and the amounts of the respective increases and the allocations of such increases in Commitments or new Commitments, as the case may be, shall be reasonably acceptable to the Borrower. No Lender shall be obligated in any way whatsoever to increase its Revolving Commitment or provide a new Revolving Commitment, and any new Lender becoming a party to this Agreement in connection with any such requested increase must be an Eligible Assignee. If a new Lender becomes a party to this Agreement, or if any existing Lender is increasing its Revolving Commitment, such Lender shall on the date it becomes a Lender hereunder (or in the case of an existing Lender, increases its Revolving Commitment) (and as a condition thereto) purchase from the other Lenders its Revolving Commitment Percentage (determined with respect to the Lenders’ respective Revolving Commitments and after giving effect to the increase of Revolving Commitments) of any outstanding Revolving Loans, by making available to the Administrative Agent for the account of such other Lenders, in same day funds, an amount equal to the sum of (A) the portion of the outstanding principal amount of such Revolving Loans to be purchased by such Lender,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the aggregate amount of payments previously made by the other Lenders under Section 2.3.(j) that have not been repaid,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(C) interest accrued and unpaid to and as of such date on such portion of the outstanding principal amount of such Revolving Loans. The Borrower shall pay to the Lenders amounts payable, if any, to such Lenders under Section 4.4. as a result of the prepayment of any such Revolving Loans. In connection with any increase of the Revolving Commitments under this Section, (I) the Borrower shall certify to any Person to become a Lender or any Lender increasing the amount of its Commitment whether (x) a Default or Event of Default shall be in existence on the effective date of such increase, (y) the representations and warranties made or deemed made by the Borrower or any other Loan Party in any Loan Document to which such Loan Party is a party are true and correct on the effective date of such increase except to the extent that such representations and warranties expressly relate solely to an earlier date (in which case whether such representations and warranties are true and correct on and as of such earlier date) and except for changes in factual circumstances not prohibited hereunder, (II) if a Default Event of Default exists or any such representation or warranty is not true and correct on the effective date of such increase, any Person to become a Lender or any Lender to increase the amount of its commitment may, in its sole discretion, elect</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- 55 -</w:t>
      </w:r>
    </w:p>
    <w:p>
      <w:pPr>
        <w:sectPr>
          <w:pgSz w:w="11900" w:h="16838" w:orient="portrait"/>
          <w:cols w:equalWidth="0" w:num="1">
            <w:col w:w="11000"/>
          </w:cols>
          <w:pgMar w:left="440" w:top="270" w:right="459" w:bottom="1440" w:gutter="0" w:footer="0" w:header="0"/>
        </w:sectPr>
      </w:pPr>
    </w:p>
    <w:bookmarkStart w:id="65" w:name="page66"/>
    <w:bookmarkEnd w:id="65"/>
    <w:p>
      <w:pPr>
        <w:ind w:left="4" w:right="20"/>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 to do so, and (III) the Administrative Agent shall have received each of the following, in form and substance reasonably satisfactory to the Administrative Agent: (i) if not previously delivered to the Administrative Agent, copies certified by the Secretary or Assistant Secretary of (A) all corporate, partnership, member or other necessary action taken by the Borrower to authorize such increase and (B) all corporate, partnership, member or other necessary action taken by each Guarantor authorizing the guaranty of such increase; and (ii) an opinion of counsel to the Borrower and the Guarantors, and addressed to the Administrative Agent and the Lenders covering such matters as reasonably requested by the Administrative Agent; and</w:t>
      </w:r>
    </w:p>
    <w:p>
      <w:pPr>
        <w:spacing w:after="0" w:line="3" w:lineRule="exact"/>
        <w:rPr>
          <w:sz w:val="20"/>
          <w:szCs w:val="20"/>
          <w:color w:val="auto"/>
        </w:rPr>
      </w:pPr>
    </w:p>
    <w:p>
      <w:pPr>
        <w:ind w:left="4" w:hanging="4"/>
        <w:spacing w:after="0" w:line="253" w:lineRule="auto"/>
        <w:tabs>
          <w:tab w:leader="none" w:pos="319"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Revolving Notes executed by the Borrower, payable to any new Lenders and replacement Revolving Notes executed by the Borrower, payable to any existing Lenders increasing their Revolving Commitments, in the amount of such Lender’s Revolving Commitment at the time of the effectiveness of the applicable increase in the aggregate amount of the Revolving Commitments. In connection with any increase in the aggregate amount of the Revolving Commitments pursuant to this Section 2.16. any Lender becoming a party hereto shall execute such documents and agreements as the Administrative Agent may reasonably request.</w:t>
      </w:r>
    </w:p>
    <w:p>
      <w:pPr>
        <w:spacing w:after="0" w:line="29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2.17. Funds Transfer Disbursements.</w:t>
      </w:r>
    </w:p>
    <w:p>
      <w:pPr>
        <w:spacing w:after="0" w:line="121" w:lineRule="exact"/>
        <w:rPr>
          <w:sz w:val="20"/>
          <w:szCs w:val="20"/>
          <w:color w:val="auto"/>
        </w:rPr>
      </w:pPr>
    </w:p>
    <w:p>
      <w:pPr>
        <w:jc w:val="both"/>
        <w:ind w:left="4" w:right="300" w:firstLine="440"/>
        <w:spacing w:after="0" w:line="266" w:lineRule="auto"/>
        <w:rPr>
          <w:sz w:val="20"/>
          <w:szCs w:val="20"/>
          <w:color w:val="auto"/>
        </w:rPr>
      </w:pPr>
      <w:r>
        <w:rPr>
          <w:rFonts w:ascii="Times New Roman" w:cs="Times New Roman" w:eastAsia="Times New Roman" w:hAnsi="Times New Roman"/>
          <w:sz w:val="18"/>
          <w:szCs w:val="18"/>
          <w:color w:val="auto"/>
        </w:rPr>
        <w:t>The Borrower hereby authorizes the Administrative Agent to disburse the proceeds of any Loan made by the Lenders or any of their Affiliates pursuant to the Loan Documents as requested by an authorized representative of the Borrower to any of the accounts designated in the Disbursement Instruction Agreement.</w:t>
      </w:r>
    </w:p>
    <w:p>
      <w:pPr>
        <w:spacing w:after="0" w:line="38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18"/>
          <w:szCs w:val="18"/>
          <w:b w:val="1"/>
          <w:bCs w:val="1"/>
          <w:color w:val="auto"/>
        </w:rPr>
        <w:t xml:space="preserve"> III. P</w:t>
      </w:r>
      <w:r>
        <w:rPr>
          <w:rFonts w:ascii="Times New Roman" w:cs="Times New Roman" w:eastAsia="Times New Roman" w:hAnsi="Times New Roman"/>
          <w:sz w:val="14"/>
          <w:szCs w:val="14"/>
          <w:b w:val="1"/>
          <w:bCs w:val="1"/>
          <w:color w:val="auto"/>
        </w:rPr>
        <w:t>AYMENTS</w:t>
      </w:r>
      <w:r>
        <w:rPr>
          <w:rFonts w:ascii="Times New Roman" w:cs="Times New Roman" w:eastAsia="Times New Roman" w:hAnsi="Times New Roman"/>
          <w:sz w:val="18"/>
          <w:szCs w:val="18"/>
          <w:b w:val="1"/>
          <w:bCs w:val="1"/>
          <w:color w:val="auto"/>
        </w:rPr>
        <w:t>, F</w:t>
      </w:r>
      <w:r>
        <w:rPr>
          <w:rFonts w:ascii="Times New Roman" w:cs="Times New Roman" w:eastAsia="Times New Roman" w:hAnsi="Times New Roman"/>
          <w:sz w:val="14"/>
          <w:szCs w:val="14"/>
          <w:b w:val="1"/>
          <w:bCs w:val="1"/>
          <w:color w:val="auto"/>
        </w:rPr>
        <w:t>EES AND</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THER</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4"/>
          <w:szCs w:val="14"/>
          <w:b w:val="1"/>
          <w:bCs w:val="1"/>
          <w:color w:val="auto"/>
        </w:rPr>
        <w:t>ENERAL</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ROVISIONS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3.1. Payments.</w:t>
      </w:r>
    </w:p>
    <w:p>
      <w:pPr>
        <w:spacing w:after="0" w:line="121" w:lineRule="exact"/>
        <w:rPr>
          <w:sz w:val="20"/>
          <w:szCs w:val="20"/>
          <w:color w:val="auto"/>
        </w:rPr>
      </w:pPr>
    </w:p>
    <w:p>
      <w:pPr>
        <w:ind w:left="4" w:right="40" w:firstLine="436"/>
        <w:spacing w:after="0" w:line="252" w:lineRule="auto"/>
        <w:tabs>
          <w:tab w:leader="none" w:pos="68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by Borrower</w:t>
      </w:r>
      <w:r>
        <w:rPr>
          <w:rFonts w:ascii="Times New Roman" w:cs="Times New Roman" w:eastAsia="Times New Roman" w:hAnsi="Times New Roman"/>
          <w:sz w:val="18"/>
          <w:szCs w:val="18"/>
          <w:color w:val="auto"/>
        </w:rPr>
        <w:t>. Except to the extent otherwise provided herein, all payments of principal, interest, Fees and other amounts to be made by the Borrower under this Agreement, the Notes or any other Loan Document shall be made in Dollars, in immediately available funds, without setoff, deduction or counterclaim (excluding Taxes required to be withheld pursuant to Section 3.10.), to the Administrative Agent at the Principal Office, not later than 11:00 a.m. Pacific time on the date on which such payment shall become due (each such payment made after such time on such due date to be deemed to have been made on the next succeeding Business Day). Subject to Section 10.5., the Borrower shall, at the time of making each payment under this Agreement or any other Loan Document, specify to the Administrative Agent the amounts payable by the Borrower hereunder to which such payment is to be applied. Each payment received by the Administrative Agent for the account of a Lender under this Agreement or any Note shall be paid to such Lender by wire transfer of immediately available funds in accordance with the wiring instructions provided by such Lender to the Administrative Agent from time to time, for the account of such Lender at the applicable Lending Office of such Lender. Each payment received by the Administrative Agent for the account of the Issuing Bank under this Agreement shall be paid to the Issuing Bank by wire transfer of immediately available funds in accordance with the wiring instructions provided by the Issuing Bank to the Administrative Agent from time to time, for the account of the Issuing Bank. In the event the Administrative Agent fails to pay such amounts to such Lender or the Issuing Bank, as the case may be, within one Business Day of receipt of such amounts, the Administrative Agent shall pay interest on such amount until paid at a rate per annum equal to the Federal Funds Rate from time to time in effect. If the due date of any payment under this Agreement or any other Loan Document would otherwise fall on a day which is not a Business Day such date shall be extended to the next succeeding Business Day and interest shall continue to accrue at the rate, if any, applicable to such payment for the period of such extension.</w:t>
      </w:r>
    </w:p>
    <w:p>
      <w:pPr>
        <w:spacing w:after="0" w:line="127"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56 -</w:t>
      </w:r>
    </w:p>
    <w:p>
      <w:pPr>
        <w:sectPr>
          <w:pgSz w:w="11900" w:h="16838" w:orient="portrait"/>
          <w:cols w:equalWidth="0" w:num="1">
            <w:col w:w="11004"/>
          </w:cols>
          <w:pgMar w:left="436" w:top="270" w:right="459" w:bottom="1440" w:gutter="0" w:footer="0" w:header="0"/>
        </w:sectPr>
      </w:pPr>
    </w:p>
    <w:bookmarkStart w:id="66" w:name="page67"/>
    <w:bookmarkEnd w:id="66"/>
    <w:p>
      <w:pPr>
        <w:ind w:left="4" w:right="20" w:firstLine="436"/>
        <w:spacing w:after="0" w:line="255" w:lineRule="auto"/>
        <w:tabs>
          <w:tab w:leader="none" w:pos="699"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Presumptions Regarding Payments by Borrower</w:t>
      </w:r>
      <w:r>
        <w:rPr>
          <w:rFonts w:ascii="Times New Roman" w:cs="Times New Roman" w:eastAsia="Times New Roman" w:hAnsi="Times New Roman"/>
          <w:sz w:val="18"/>
          <w:szCs w:val="18"/>
          <w:color w:val="auto"/>
        </w:rPr>
        <w:t>. Unless the Administrative Agent shall have received notice from the Borrower prior to the date on which any payment is due to the Administrative Agent for the account of the Lenders or the Issuing Bank hereunder that the Borrower will not make such payment, the Administrative Agent may assume that the Borrower has made such payment on such date in accordance herewith and may (but shall not be obligated to), in reliance upon such assumption, distribute to the Lenders or the Issuing Bank, as the case may be, the amount due. In such event, if the Borrower has not in fact made such payment, then each of the Lenders or the Issuing Bank, as the case may be, severally agrees to repay to the Administrative Agent on demand that amount so distributed to such Lender or the Issuing Bank, with interest thereon, for each day from and including the date such amount is distributed to it to but excluding the date of payment to the Administrative Agent, at the Federal Funds Rate.</w:t>
      </w:r>
    </w:p>
    <w:p>
      <w:pPr>
        <w:spacing w:after="0" w:line="29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3.2. Pro Rata Treatment.</w:t>
      </w:r>
    </w:p>
    <w:p>
      <w:pPr>
        <w:spacing w:after="0" w:line="121" w:lineRule="exact"/>
        <w:rPr>
          <w:sz w:val="20"/>
          <w:szCs w:val="20"/>
          <w:color w:val="auto"/>
        </w:rPr>
      </w:pPr>
    </w:p>
    <w:p>
      <w:pPr>
        <w:ind w:left="4" w:firstLine="440"/>
        <w:spacing w:after="0" w:line="266" w:lineRule="auto"/>
        <w:rPr>
          <w:sz w:val="20"/>
          <w:szCs w:val="20"/>
          <w:color w:val="auto"/>
        </w:rPr>
      </w:pPr>
      <w:r>
        <w:rPr>
          <w:rFonts w:ascii="Times New Roman" w:cs="Times New Roman" w:eastAsia="Times New Roman" w:hAnsi="Times New Roman"/>
          <w:sz w:val="17"/>
          <w:szCs w:val="17"/>
          <w:color w:val="auto"/>
        </w:rPr>
        <w:t>Except to the extent otherwise provided herein: (a) each borrowing from the Lenders under Sections 2.1.(a), 2.3.(e) and 2.4.(e) shall be made from the Lenders, each payment of the fees under Sections 3.5.(a), 3.5.(b), the first sentence of 3.5.(c), and 3.5.(e) shall be made for the account of the Lenders, and each termination or reduction of the amount of the Revolving Commitments under Section 2.12. shall be applied to the respective Revolving Commitments of the Lenders, pro rata according to the amounts of their respective Revolving Commitments; (b) each payment or prepayment of principal of Revolving Loans shall be made for the account of the Lenders pro rata in accordance with the respective unpaid principal amounts of the Revolving Loans held by them, provided that, subject to Section 3.9., if immediately prior to giving effect to any such payment in respect of any Revolving Loans the outstanding principal amount of the Revolving Loans shall not be held by the Lenders pro rata in accordance with their respective Revolving Commitments in effect at the time such Revolving Loans were made, then such payment shall be applied to the Revolving Loans in such manner as shall result, as nearly as is practicable, in the outstanding principal amount of the Revolving Loans being held by the Lenders pro rata in accordance with their respective Revolving Commitments; (c) each payment of interest on Revolving Loans shall be made for the account of the Lenders pro rata in accordance with the amounts of interest on such Revolving Loans then due and payable to the respective Lenders; (d) the making, Conversion and Continuation of Revolving Loans of a particular Type (other than Conversions provided for by Sections 4.1.(c) and 4.5.) shall be made pro rata among the Lenders according to the amounts of their respective Revolving Loans and the then current Interest Period for each Lender’s portion of each such Loan of such Type shall be coterminous; (e) each prepayment of principal of Bid Rate Loans by the Borrower pursuant to Section 2.8.(b)</w:t>
      </w:r>
    </w:p>
    <w:p>
      <w:pPr>
        <w:spacing w:after="0" w:line="9" w:lineRule="exact"/>
        <w:rPr>
          <w:sz w:val="20"/>
          <w:szCs w:val="20"/>
          <w:color w:val="auto"/>
        </w:rPr>
      </w:pPr>
    </w:p>
    <w:p>
      <w:pPr>
        <w:ind w:left="4" w:right="40" w:hanging="4"/>
        <w:spacing w:after="0" w:line="252" w:lineRule="auto"/>
        <w:tabs>
          <w:tab w:leader="none" w:pos="26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unless otherwise directed by the Borrower, be made for account of the Lenders then owed Bid Rate Loans pro rata in accordance with the respective unpaid principal amounts of the Bid Rate Loans then owing to each such Lender; (f) the Lenders’ participation in, and payment obligations in respect of, Swingline Loans under Section 2.4., shall be in accordance with their respective Revolving Commitment Percentages; and (g) the Lenders’ participation in, and payment obligations in respect of, Letters of Credit under Section 2.3., shall be in accordance with their respective Revolving Commitment Percentages. All payments of principal, interest, fees and other amounts in respect of the Swingline Loans shall be for the account of the Swingline Lender only (except to the extent any Lender shall have acquired a participating interest in any such Swingline Loan pursuant to Section 2.4. (e), in which case such payments shall be pro rata in accordance with such participating interests).</w:t>
      </w:r>
    </w:p>
    <w:p>
      <w:pPr>
        <w:spacing w:after="0" w:line="29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3.3. Sharing of Payments, Etc.</w:t>
      </w:r>
    </w:p>
    <w:p>
      <w:pPr>
        <w:spacing w:after="0" w:line="121"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If a Lender shall obtain payment of any principal of, or interest on, any Loan made by it to the Borrower under this Agreement or shall obtain payment on any other Obligation owing by the Borrower or any other Loan Party through the exercise of any right of set-off, banker’s lien, counterclaim or similar right or otherwise or through voluntary prepayments directly to a Lender or other payments made by or on behalf the Borrower or any other Loan Party to a Lender (other than any payment in respect of Specified</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- 57 -</w:t>
      </w:r>
    </w:p>
    <w:p>
      <w:pPr>
        <w:sectPr>
          <w:pgSz w:w="11900" w:h="16838" w:orient="portrait"/>
          <w:cols w:equalWidth="0" w:num="1">
            <w:col w:w="11004"/>
          </w:cols>
          <w:pgMar w:left="436" w:top="270" w:right="459" w:bottom="1440" w:gutter="0" w:footer="0" w:header="0"/>
        </w:sectPr>
      </w:pPr>
    </w:p>
    <w:bookmarkStart w:id="67" w:name="page68"/>
    <w:bookmarkEnd w:id="67"/>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Derivatives Obligations) not in accordance with the terms of this Agreement and such payment should be distributed to the Lenders in accordance with Section 3.2. or Section 10.5., as applicable, such Lender shall promptly purchase from the other Lenders participations in (or, if and to the extent specified by such Lender, direct interests in) the Loans made by the other Lenders or other Obligations owed to such other Lenders in such amounts, and make such other adjustments from time to time as shall be equitable, to the end that all the Lenders shall share the benefit of such payment (net of any reasonable expenses which may actually be incurred by such Lender in obtaining or preserving such benefit) in accordance with the requirements of Section 3.2. or Section 10.5., as applicable. To such end, all the Lenders shall make appropriate adjustments among themselves (by the resale of participations sold or otherwise) if such payment is rescinded or must otherwise be restored. The Borrower agrees that any Lender so purchasing a participation (or direct interest) in the Loans or other Obligations owed to such other Lenders may exercise all rights of set-off, banker’s lien, counterclaim or similar rights with respect to such participation as fully as if such Lender were a direct holder of Loans in the amount of such participation. Nothing contained herein shall require any Lender to exercise any such right or shall affect the right of any Lender to exercise and retain the benefits of exercising, any such right with respect to any other indebtedness or obligation of the Borrower.</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3.4. Several Obligations.</w:t>
      </w:r>
    </w:p>
    <w:p>
      <w:pPr>
        <w:spacing w:after="0" w:line="121" w:lineRule="exact"/>
        <w:rPr>
          <w:sz w:val="20"/>
          <w:szCs w:val="20"/>
          <w:color w:val="auto"/>
        </w:rPr>
      </w:pPr>
    </w:p>
    <w:p>
      <w:pPr>
        <w:jc w:val="both"/>
        <w:ind w:right="60" w:firstLine="440"/>
        <w:spacing w:after="0" w:line="289" w:lineRule="auto"/>
        <w:rPr>
          <w:sz w:val="20"/>
          <w:szCs w:val="20"/>
          <w:color w:val="auto"/>
        </w:rPr>
      </w:pPr>
      <w:r>
        <w:rPr>
          <w:rFonts w:ascii="Times New Roman" w:cs="Times New Roman" w:eastAsia="Times New Roman" w:hAnsi="Times New Roman"/>
          <w:sz w:val="17"/>
          <w:szCs w:val="17"/>
          <w:color w:val="auto"/>
        </w:rPr>
        <w:t>No Lender shall be responsible for the failure of any other Lender to make a Loan or to perform any other obligation to be made or performed by such other Lender hereunder, and the failure of any Lender to make a Loan or to perform any other obligation to be made or performed by it hereunder shall not relieve the obligation of any other Lender to make any Loan or to perform any other obligation to be made or performed by such other Lender.</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3.5. Fees.</w:t>
      </w:r>
    </w:p>
    <w:p>
      <w:pPr>
        <w:spacing w:after="0" w:line="121" w:lineRule="exact"/>
        <w:rPr>
          <w:sz w:val="20"/>
          <w:szCs w:val="20"/>
          <w:color w:val="auto"/>
        </w:rPr>
      </w:pPr>
    </w:p>
    <w:p>
      <w:pPr>
        <w:ind w:right="40" w:firstLine="436"/>
        <w:spacing w:after="0" w:line="282" w:lineRule="auto"/>
        <w:tabs>
          <w:tab w:leader="none" w:pos="68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Fee</w:t>
      </w:r>
      <w:r>
        <w:rPr>
          <w:rFonts w:ascii="Times New Roman" w:cs="Times New Roman" w:eastAsia="Times New Roman" w:hAnsi="Times New Roman"/>
          <w:sz w:val="18"/>
          <w:szCs w:val="18"/>
          <w:color w:val="auto"/>
        </w:rPr>
        <w:t>. On the Effective Date, the Borrower agrees to pay to the Administrative Agent and each Lender all loan fees as have been agreed to in writing by the Borrower and the Administrative Agent.</w:t>
      </w:r>
    </w:p>
    <w:p>
      <w:pPr>
        <w:spacing w:after="0" w:line="161" w:lineRule="exact"/>
        <w:rPr>
          <w:rFonts w:ascii="Times New Roman" w:cs="Times New Roman" w:eastAsia="Times New Roman" w:hAnsi="Times New Roman"/>
          <w:sz w:val="18"/>
          <w:szCs w:val="18"/>
          <w:color w:val="auto"/>
        </w:rPr>
      </w:pPr>
    </w:p>
    <w:p>
      <w:pPr>
        <w:ind w:right="60" w:firstLine="436"/>
        <w:spacing w:after="0" w:line="255" w:lineRule="auto"/>
        <w:tabs>
          <w:tab w:leader="none" w:pos="69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Facility Fees</w:t>
      </w:r>
      <w:r>
        <w:rPr>
          <w:rFonts w:ascii="Times New Roman" w:cs="Times New Roman" w:eastAsia="Times New Roman" w:hAnsi="Times New Roman"/>
          <w:sz w:val="18"/>
          <w:szCs w:val="18"/>
          <w:color w:val="auto"/>
        </w:rPr>
        <w:t>. During the period from the Effective Date to but excluding the Revolving Termination Date, the Borrower agrees to pay to the Administrative Agent for the account of the Lenders a facility fee equal to the daily aggregate amount of the Revolving Commitments (whether or not utilized) times a rate per annum equal to the Applicable Facility Fee. Such fee shall be payable quarterly in arrears on the first day of each January, April, July and October during the term of this Agreement and on the Revolving Termination Date or any earlier date of termination of the Revolving Commitments or reduction of the Revolving Commitments to zero. The Borrower acknowledges that the fee payable hereunder is a bona fide commitment fee and is intended as reasonable compensation to the Lenders for committing to make funds available to the Borrower as described herein and for no other purposes.</w:t>
      </w:r>
    </w:p>
    <w:p>
      <w:pPr>
        <w:spacing w:after="0" w:line="188" w:lineRule="exact"/>
        <w:rPr>
          <w:rFonts w:ascii="Times New Roman" w:cs="Times New Roman" w:eastAsia="Times New Roman" w:hAnsi="Times New Roman"/>
          <w:sz w:val="18"/>
          <w:szCs w:val="18"/>
          <w:color w:val="auto"/>
        </w:rPr>
      </w:pPr>
    </w:p>
    <w:p>
      <w:pPr>
        <w:ind w:right="40" w:firstLine="436"/>
        <w:spacing w:after="0" w:line="254" w:lineRule="auto"/>
        <w:tabs>
          <w:tab w:leader="none" w:pos="68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Letter of Credit Fees</w:t>
      </w:r>
      <w:r>
        <w:rPr>
          <w:rFonts w:ascii="Times New Roman" w:cs="Times New Roman" w:eastAsia="Times New Roman" w:hAnsi="Times New Roman"/>
          <w:sz w:val="18"/>
          <w:szCs w:val="18"/>
          <w:color w:val="auto"/>
        </w:rPr>
        <w:t xml:space="preserve">. The Borrower agrees to pay to the Administrative Agent for the account of each Lender a letter of credit fee at a rate per annum equal to the Applicable Margin for SOFR Loans times the daily average Stated Amount of each Letter of Credit for the period from and including the date of issuance of such Letter of Credit (x) to and including the date such Letter of Credit expires or is cancelled or (y) to but excluding the date such Letter of Credit is drawn in full. In addition to such fees, the Borrower shall pay to the Issuing Bank solely for its own account, a fronting fee in respect of each Letter of Credit equal to one-eighth of one percent (0.125%) of the initial Stated Amount of such Letter of Credit;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in no event shall the aggregate amount of such fee in respect of any Letter of Credit be less than $1,000. The fees provided for in this subsection shall be nonrefundable and payable, in the case of the fee provided for in the first sentence, in arrears (i) quarterly on the first day of January, April, July and October, (ii) on the Revolving Termination Date, (iii) on the date the Revolving Commitments are</w:t>
      </w:r>
    </w:p>
    <w:p>
      <w:pPr>
        <w:spacing w:after="0" w:line="124"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58 -</w:t>
      </w:r>
    </w:p>
    <w:p>
      <w:pPr>
        <w:sectPr>
          <w:pgSz w:w="11900" w:h="16838" w:orient="portrait"/>
          <w:cols w:equalWidth="0" w:num="1">
            <w:col w:w="10980"/>
          </w:cols>
          <w:pgMar w:left="440" w:top="270" w:right="479" w:bottom="1440" w:gutter="0" w:footer="0" w:header="0"/>
        </w:sectPr>
      </w:pPr>
    </w:p>
    <w:bookmarkStart w:id="68" w:name="page69"/>
    <w:bookmarkEnd w:id="68"/>
    <w:p>
      <w:pPr>
        <w:ind w:right="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terminated or reduced to zero and (iv) thereafter from time to time on demand of the Administrative Agent and in the case of the fee provided for in the second sentence of this subsection, at the time of issuance of such Letter of Credit. The Borrower shall pay directly to the Issuing Bank from time to time on demand all commissions, charges, costs and expenses in the amounts customarily charged or incurred by the Issuing Bank from time to time in like circumstances with respect to the issuance, amendment, renewal or extension of any Letter of Credit or any other transaction relating thereto.</w:t>
      </w:r>
    </w:p>
    <w:p>
      <w:pPr>
        <w:spacing w:after="0" w:line="180" w:lineRule="exact"/>
        <w:rPr>
          <w:sz w:val="20"/>
          <w:szCs w:val="20"/>
          <w:color w:val="auto"/>
        </w:rPr>
      </w:pPr>
    </w:p>
    <w:p>
      <w:pPr>
        <w:ind w:firstLine="436"/>
        <w:spacing w:after="0" w:line="282" w:lineRule="auto"/>
        <w:tabs>
          <w:tab w:leader="none" w:pos="69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Bid Rate Loan Fees</w:t>
      </w:r>
      <w:r>
        <w:rPr>
          <w:rFonts w:ascii="Times New Roman" w:cs="Times New Roman" w:eastAsia="Times New Roman" w:hAnsi="Times New Roman"/>
          <w:sz w:val="18"/>
          <w:szCs w:val="18"/>
          <w:color w:val="auto"/>
        </w:rPr>
        <w:t>. The Borrower agrees to pay to the Administrative Agent a fee equal to $2,000 at the time of each Bid Rate Quote Request made hereunder for services rendered by the Administrative Agent in connection with the Bid Rate Loans.</w:t>
      </w:r>
    </w:p>
    <w:p>
      <w:pPr>
        <w:spacing w:after="0" w:line="161"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Revolving Credit Extension Fee</w:t>
      </w:r>
      <w:r>
        <w:rPr>
          <w:rFonts w:ascii="Times New Roman" w:cs="Times New Roman" w:eastAsia="Times New Roman" w:hAnsi="Times New Roman"/>
          <w:sz w:val="18"/>
          <w:szCs w:val="18"/>
          <w:color w:val="auto"/>
        </w:rPr>
        <w:t>. If the Borrower exercises its right to extend the Revolving Termination Date in accordance with</w:t>
      </w:r>
    </w:p>
    <w:p>
      <w:pPr>
        <w:spacing w:after="0" w:line="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Section 2.13., the Borrower shall pay to the Administrative Agent for the account of each Lender a fee equal to 0.0625% of the amount of such Lender’s Revolving Commitment (whether or not utilized) payable in connection with each such extension. Such fee shall be due and payable in full on the date the Administrative Agent receives the Extension Request pursuant to Section 2.13.</w:t>
      </w:r>
    </w:p>
    <w:p>
      <w:pPr>
        <w:spacing w:after="0" w:line="186" w:lineRule="exact"/>
        <w:rPr>
          <w:sz w:val="20"/>
          <w:szCs w:val="20"/>
          <w:color w:val="auto"/>
        </w:rPr>
      </w:pPr>
    </w:p>
    <w:p>
      <w:pPr>
        <w:ind w:right="220" w:firstLine="436"/>
        <w:spacing w:after="0" w:line="282" w:lineRule="auto"/>
        <w:tabs>
          <w:tab w:leader="none" w:pos="66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Administrative and Other Fees</w:t>
      </w:r>
      <w:r>
        <w:rPr>
          <w:rFonts w:ascii="Times New Roman" w:cs="Times New Roman" w:eastAsia="Times New Roman" w:hAnsi="Times New Roman"/>
          <w:sz w:val="18"/>
          <w:szCs w:val="18"/>
          <w:color w:val="auto"/>
        </w:rPr>
        <w:t>. The Borrower agrees to pay the administrative and other fees of the Administrative Agent as provided in the Fee Letter and as may be otherwise agreed to in writing from time to time by the Borrower, the Arrangers and the Administrative Agent.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3.6. Computations.</w:t>
      </w:r>
    </w:p>
    <w:p>
      <w:pPr>
        <w:spacing w:after="0" w:line="121"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Unless otherwise expressly set forth herein, any accrued interest on any Loan, any Fees or any other Obligations due hereunder shall be computed on the basis of a year of 360 days and the actual number of days elapsed.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3.7. Usury.</w:t>
      </w:r>
    </w:p>
    <w:p>
      <w:pPr>
        <w:spacing w:after="0" w:line="121"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In no event shall the amount of interest due or payable on the Loans or other Obligations exceed the maximum rate of interest allowed by Applicable Law and, if any such payment is paid by the Borrower or any other Loan Party or received by any Lender, then such excess sum shall be credited as a payment of principal, unless the Borrower shall notify the respective Lender in writing that the Borrower elects to have such excess sum returned to it forthwith. It is the express intent of the parties hereto that the Borrower not pay and the Lenders not receive, directly or indirectly, in any manner whatsoever, interest in excess of that which may be lawfully paid by the Borrower under Applicable Law. The parties hereto hereby agree and stipulate that the only charge imposed upon the Borrower for the use of money in connection with this Agreement is and shall be the interest specifically described in Section 2.5.(a)(i) through (iv) and, with respect to Swingline Loans, in Section 2.4.(c). Notwithstanding the foregoing, the parties hereto further agree and stipulate that all agency fees, syndication fees, facility fees, closing fees, letter of credit fees, underwriting fees, default charges, late charges, funding or “breakage” charges, increased cost charges, attorneys’ fees and reimbursement for costs and expenses paid by the Administrative Agent or any Lender to third parties or for damages incurred by the Administrative Agent or any Lender, in each case, in connection with the transactions contemplated by this Agreement and the other Loan Documents, are charges made to compensate the Administrative Agent or any such Lender for underwriting or administrative services and costs or losses performed or incurred, and to be performed or incurred, by the Administrative Agent and the Lenders in connection with this Agreement and shall under no circumstances be deemed to be charges for the use of money. All charges other than charges for the use of money shall be fully earned and nonrefundable when due.</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- 59 -</w:t>
      </w:r>
    </w:p>
    <w:p>
      <w:pPr>
        <w:sectPr>
          <w:pgSz w:w="11900" w:h="16838" w:orient="portrait"/>
          <w:cols w:equalWidth="0" w:num="1">
            <w:col w:w="10980"/>
          </w:cols>
          <w:pgMar w:left="440" w:top="270" w:right="47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3.8. Statements of Account.</w:t>
      </w:r>
    </w:p>
    <w:p>
      <w:pPr>
        <w:spacing w:after="0" w:line="121"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 Administrative Agent will account to the Borrower monthly with a statement of Loans, accrued interest and Fees, charges and payments made pursuant to this Agreement and the other Loan Documents, and such account rendered by the Administrative Agent shall be deemed conclusive upon the Borrower absent manifest error. The failure of the Administrative Agent to deliver such a statement of accounts shall not relieve or discharge the Borrower from any of its obligations hereunder.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3.9. Defaulting Lenders.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Notwithstanding anything to the contrary contained in this Agreement, if any Lender becomes a Defaulting Lender, then, until such time as such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 is no longer a Defaulting Lender, to the extent permitted by Applicable Law:</w:t>
      </w:r>
    </w:p>
    <w:p>
      <w:pPr>
        <w:spacing w:after="0" w:line="207" w:lineRule="exact"/>
        <w:rPr>
          <w:sz w:val="20"/>
          <w:szCs w:val="20"/>
          <w:color w:val="auto"/>
        </w:rPr>
      </w:pPr>
    </w:p>
    <w:p>
      <w:pPr>
        <w:ind w:right="80" w:firstLine="436"/>
        <w:spacing w:after="0" w:line="261" w:lineRule="auto"/>
        <w:tabs>
          <w:tab w:leader="none" w:pos="68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Waivers and Amendments</w:t>
      </w:r>
      <w:r>
        <w:rPr>
          <w:rFonts w:ascii="Times New Roman" w:cs="Times New Roman" w:eastAsia="Times New Roman" w:hAnsi="Times New Roman"/>
          <w:sz w:val="18"/>
          <w:szCs w:val="18"/>
          <w:color w:val="auto"/>
        </w:rPr>
        <w:t>. Such Defaulting Lender’s right to approve or disapprove any amendment, waiver or consent with respect to this Agreement shall be restricted as set forth in the definition of Requisite Lenders. The rights and remedies of the Borrower, the Administrative Agent, the Issuing Bank, the Swingline Lender and the other Lenders against a Defaulting Lender under this Section are in addition to any other rights and remedies such parties may have against such Defaulting Lender under this Agreement, any of the Loan Documents, Applicable Law or otherwise.</w:t>
      </w:r>
    </w:p>
    <w:p>
      <w:pPr>
        <w:spacing w:after="0" w:line="179" w:lineRule="exact"/>
        <w:rPr>
          <w:rFonts w:ascii="Times New Roman" w:cs="Times New Roman" w:eastAsia="Times New Roman" w:hAnsi="Times New Roman"/>
          <w:sz w:val="18"/>
          <w:szCs w:val="18"/>
          <w:color w:val="auto"/>
        </w:rPr>
      </w:pPr>
    </w:p>
    <w:p>
      <w:pPr>
        <w:ind w:firstLine="436"/>
        <w:spacing w:after="0" w:line="267" w:lineRule="auto"/>
        <w:tabs>
          <w:tab w:leader="none" w:pos="695"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Defaulting Lender Waterfall</w:t>
      </w:r>
      <w:r>
        <w:rPr>
          <w:rFonts w:ascii="Times New Roman" w:cs="Times New Roman" w:eastAsia="Times New Roman" w:hAnsi="Times New Roman"/>
          <w:sz w:val="17"/>
          <w:szCs w:val="17"/>
          <w:color w:val="auto"/>
        </w:rPr>
        <w:t xml:space="preserve">. Any payment of principal, interest, Fees or other amounts received by the Administrative Agent for the account of such Defaulting Lender (whether voluntary or mandatory, at maturity, pursuant to Article X. or otherwise) or received by the Administrative Agent from a Defaulting Lender pursuant to Section 3.3. shall be applied at such time or times as may be determined by the Administrative Agent as follows: </w:t>
      </w:r>
      <w:r>
        <w:rPr>
          <w:rFonts w:ascii="Times New Roman" w:cs="Times New Roman" w:eastAsia="Times New Roman" w:hAnsi="Times New Roman"/>
          <w:sz w:val="17"/>
          <w:szCs w:val="17"/>
          <w:u w:val="single" w:color="auto"/>
          <w:color w:val="auto"/>
        </w:rPr>
        <w:t>first</w:t>
      </w:r>
      <w:r>
        <w:rPr>
          <w:rFonts w:ascii="Times New Roman" w:cs="Times New Roman" w:eastAsia="Times New Roman" w:hAnsi="Times New Roman"/>
          <w:sz w:val="17"/>
          <w:szCs w:val="17"/>
          <w:color w:val="auto"/>
        </w:rPr>
        <w:t xml:space="preserve">, to the payment of any amounts owing by such Defaulting Lender to the Administrative Agent hereunder; </w:t>
      </w:r>
      <w:r>
        <w:rPr>
          <w:rFonts w:ascii="Times New Roman" w:cs="Times New Roman" w:eastAsia="Times New Roman" w:hAnsi="Times New Roman"/>
          <w:sz w:val="17"/>
          <w:szCs w:val="17"/>
          <w:u w:val="single" w:color="auto"/>
          <w:color w:val="auto"/>
        </w:rPr>
        <w:t>second</w:t>
      </w:r>
      <w:r>
        <w:rPr>
          <w:rFonts w:ascii="Times New Roman" w:cs="Times New Roman" w:eastAsia="Times New Roman" w:hAnsi="Times New Roman"/>
          <w:sz w:val="17"/>
          <w:szCs w:val="17"/>
          <w:color w:val="auto"/>
        </w:rPr>
        <w:t xml:space="preserve">, to the payment on a pro rata basis of any amounts owing by such Defaulting Lender to the Issuing Bank or the Swingline Lender hereunder; </w:t>
      </w:r>
      <w:r>
        <w:rPr>
          <w:rFonts w:ascii="Times New Roman" w:cs="Times New Roman" w:eastAsia="Times New Roman" w:hAnsi="Times New Roman"/>
          <w:sz w:val="17"/>
          <w:szCs w:val="17"/>
          <w:u w:val="single" w:color="auto"/>
          <w:color w:val="auto"/>
        </w:rPr>
        <w:t>third</w:t>
      </w:r>
      <w:r>
        <w:rPr>
          <w:rFonts w:ascii="Times New Roman" w:cs="Times New Roman" w:eastAsia="Times New Roman" w:hAnsi="Times New Roman"/>
          <w:sz w:val="17"/>
          <w:szCs w:val="17"/>
          <w:color w:val="auto"/>
        </w:rPr>
        <w:t xml:space="preserve">, to Cash Collateralize the Issuing Bank’s Fronting Exposure with respect to such Defaulting Lender in accordance with subsection (e) below; </w:t>
      </w:r>
      <w:r>
        <w:rPr>
          <w:rFonts w:ascii="Times New Roman" w:cs="Times New Roman" w:eastAsia="Times New Roman" w:hAnsi="Times New Roman"/>
          <w:sz w:val="17"/>
          <w:szCs w:val="17"/>
          <w:u w:val="single" w:color="auto"/>
          <w:color w:val="auto"/>
        </w:rPr>
        <w:t>fourth</w:t>
      </w:r>
      <w:r>
        <w:rPr>
          <w:rFonts w:ascii="Times New Roman" w:cs="Times New Roman" w:eastAsia="Times New Roman" w:hAnsi="Times New Roman"/>
          <w:sz w:val="17"/>
          <w:szCs w:val="17"/>
          <w:color w:val="auto"/>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Times New Roman" w:cs="Times New Roman" w:eastAsia="Times New Roman" w:hAnsi="Times New Roman"/>
          <w:sz w:val="17"/>
          <w:szCs w:val="17"/>
          <w:u w:val="single" w:color="auto"/>
          <w:color w:val="auto"/>
        </w:rPr>
        <w:t>fifth</w:t>
      </w:r>
      <w:r>
        <w:rPr>
          <w:rFonts w:ascii="Times New Roman" w:cs="Times New Roman" w:eastAsia="Times New Roman" w:hAnsi="Times New Roman"/>
          <w:sz w:val="17"/>
          <w:szCs w:val="17"/>
          <w:color w:val="auto"/>
        </w:rPr>
        <w:t xml:space="preserve">, if so determined by the Administrative Agent and the Borrower, to be held in a deposit account and released pro rata in order to (x) satisfy such Defaulting Lender’s potential future funding obligations with respect to Loans under this Agreement and (y) Cash Collateralize the Issuing Bank’s future Fronting Exposure with respect to such Defaulting Lender with respect to future Letters of Credit issued under this Agreement, in accordance with subsection (e) below; </w:t>
      </w:r>
      <w:r>
        <w:rPr>
          <w:rFonts w:ascii="Times New Roman" w:cs="Times New Roman" w:eastAsia="Times New Roman" w:hAnsi="Times New Roman"/>
          <w:sz w:val="17"/>
          <w:szCs w:val="17"/>
          <w:u w:val="single" w:color="auto"/>
          <w:color w:val="auto"/>
        </w:rPr>
        <w:t>sixth</w:t>
      </w:r>
      <w:r>
        <w:rPr>
          <w:rFonts w:ascii="Times New Roman" w:cs="Times New Roman" w:eastAsia="Times New Roman" w:hAnsi="Times New Roman"/>
          <w:sz w:val="17"/>
          <w:szCs w:val="17"/>
          <w:color w:val="auto"/>
        </w:rPr>
        <w:t xml:space="preserve">, to the payment of any amounts owing to the Lenders, the Issuing Bank or the Swingline Lender as a result of any judgment of a court of competent jurisdiction obtained by any Lender, the Issuing Bank or the Swingline Lender against such Defaulting Lender as a result of such Defaulting Lender’s breach of its obligations under this Agreement; </w:t>
      </w:r>
      <w:r>
        <w:rPr>
          <w:rFonts w:ascii="Times New Roman" w:cs="Times New Roman" w:eastAsia="Times New Roman" w:hAnsi="Times New Roman"/>
          <w:sz w:val="17"/>
          <w:szCs w:val="17"/>
          <w:u w:val="single" w:color="auto"/>
          <w:color w:val="auto"/>
        </w:rPr>
        <w:t>seventh</w:t>
      </w:r>
      <w:r>
        <w:rPr>
          <w:rFonts w:ascii="Times New Roman" w:cs="Times New Roman" w:eastAsia="Times New Roman" w:hAnsi="Times New Roman"/>
          <w:sz w:val="17"/>
          <w:szCs w:val="17"/>
          <w:color w:val="auto"/>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Times New Roman" w:cs="Times New Roman" w:eastAsia="Times New Roman" w:hAnsi="Times New Roman"/>
          <w:sz w:val="17"/>
          <w:szCs w:val="17"/>
          <w:u w:val="single" w:color="auto"/>
          <w:color w:val="auto"/>
        </w:rPr>
        <w:t>eighth</w:t>
      </w:r>
      <w:r>
        <w:rPr>
          <w:rFonts w:ascii="Times New Roman" w:cs="Times New Roman" w:eastAsia="Times New Roman" w:hAnsi="Times New Roman"/>
          <w:sz w:val="17"/>
          <w:szCs w:val="17"/>
          <w:color w:val="auto"/>
        </w:rPr>
        <w:t xml:space="preserve">, to such Defaulting Lender or as otherwise directed by a court of competent jurisdiction;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(x) such payment is a payment of the principal amount of any Loans or amounts owing by such Defaulting Lender under Section 2.3.(j) in respect of Letters of Credit (such amounts “</w:t>
      </w:r>
      <w:r>
        <w:rPr>
          <w:rFonts w:ascii="Times New Roman" w:cs="Times New Roman" w:eastAsia="Times New Roman" w:hAnsi="Times New Roman"/>
          <w:sz w:val="17"/>
          <w:szCs w:val="17"/>
          <w:b w:val="1"/>
          <w:bCs w:val="1"/>
          <w:color w:val="auto"/>
        </w:rPr>
        <w:t>L/C Disbursements</w:t>
      </w:r>
      <w:r>
        <w:rPr>
          <w:rFonts w:ascii="Times New Roman" w:cs="Times New Roman" w:eastAsia="Times New Roman" w:hAnsi="Times New Roman"/>
          <w:sz w:val="17"/>
          <w:szCs w:val="17"/>
          <w:color w:val="auto"/>
        </w:rPr>
        <w:t>”), in respect of which such Defaulting Lender has not fully funded its appropriate share, and (y) such Loans were made or the related Letters of Credit were issued at a time when the conditions set forth in Article V. were satisfied or waived, such payment shall be applied solely to pay the Loans of, and L/C Disbursements owed to, all Non-Defaulting Lenders on a pro rata basis prior to being applied to the payment of any Loans of, or L/C Disbursements owed to, such Defaulting Lender until such time as all Loans and funded and unfunded participations in</w:t>
      </w:r>
    </w:p>
    <w:p>
      <w:pPr>
        <w:spacing w:after="0" w:line="335" w:lineRule="exact"/>
        <w:rPr>
          <w:rFonts w:ascii="Times New Roman" w:cs="Times New Roman" w:eastAsia="Times New Roman" w:hAnsi="Times New Roman"/>
          <w:sz w:val="17"/>
          <w:szCs w:val="17"/>
          <w:color w:val="auto"/>
        </w:rPr>
      </w:pPr>
    </w:p>
    <w:p>
      <w:pPr>
        <w:ind w:left="5420" w:hanging="111"/>
        <w:spacing w:after="0"/>
        <w:tabs>
          <w:tab w:leader="none" w:pos="542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60 -</w:t>
      </w:r>
    </w:p>
    <w:p>
      <w:pPr>
        <w:sectPr>
          <w:pgSz w:w="11900" w:h="16838" w:orient="portrait"/>
          <w:cols w:equalWidth="0" w:num="1">
            <w:col w:w="11000"/>
          </w:cols>
          <w:pgMar w:left="440" w:top="266" w:right="459" w:bottom="1440" w:gutter="0" w:footer="0" w:header="0"/>
        </w:sectPr>
      </w:pPr>
    </w:p>
    <w:bookmarkStart w:id="70" w:name="page71"/>
    <w:bookmarkEnd w:id="70"/>
    <w:p>
      <w:pPr>
        <w:ind w:right="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Letter of Credit Liabilities and Swingline Loans are held by the Lenders pro rata in accordance with their respective Revolving Commitment Percentages (determined without giving effect to the immediately following subsection (d)). Any payments, prepayments or other amounts paid or payable to a Defaulting Lender that are applied (or held) to pay amounts owed by a Defaulting Lender or to post Cash Collateral pursuant to this subsection shall be deemed paid to and redirected by such Defaulting Lender, and each Lender irrevocably consents hereto.</w:t>
      </w:r>
    </w:p>
    <w:p>
      <w:pPr>
        <w:spacing w:after="0" w:line="72" w:lineRule="exact"/>
        <w:rPr>
          <w:sz w:val="20"/>
          <w:szCs w:val="20"/>
          <w:color w:val="auto"/>
        </w:rPr>
      </w:pPr>
    </w:p>
    <w:p>
      <w:pPr>
        <w:ind w:left="680" w:hanging="244"/>
        <w:spacing w:after="0"/>
        <w:tabs>
          <w:tab w:leader="none" w:pos="6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Fees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right="120" w:firstLine="419"/>
        <w:spacing w:after="0" w:line="266" w:lineRule="auto"/>
        <w:tabs>
          <w:tab w:leader="none" w:pos="1078"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Defaulting Lender shall be entitled to receive any Fee payable under Section 3.5.(b) for any period during which that Lender is a Defaulting Lender (and the Borrower shall not be required to pay any such fee that otherwise would have been required to have been paid to that Defaulting Lender).</w:t>
      </w:r>
    </w:p>
    <w:p>
      <w:pPr>
        <w:spacing w:after="0" w:line="67" w:lineRule="exact"/>
        <w:rPr>
          <w:rFonts w:ascii="Times New Roman" w:cs="Times New Roman" w:eastAsia="Times New Roman" w:hAnsi="Times New Roman"/>
          <w:sz w:val="18"/>
          <w:szCs w:val="18"/>
          <w:color w:val="auto"/>
        </w:rPr>
      </w:pPr>
    </w:p>
    <w:p>
      <w:pPr>
        <w:ind w:left="440" w:right="160" w:firstLine="419"/>
        <w:spacing w:after="0" w:line="266" w:lineRule="auto"/>
        <w:tabs>
          <w:tab w:leader="none" w:pos="1128"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Defaulting Lender shall be entitled to receive letter of credit fees payable under Section 3.5.(c) for any period during which that Lender is a Defaulting Lender only to the extent allocable to its Revolving Commitment Percentage of the stated amount of Letters of Credit for which it has provided Cash Collateral pursuant to the immediately following subsection (e).</w:t>
      </w:r>
    </w:p>
    <w:p>
      <w:pPr>
        <w:spacing w:after="0" w:line="67" w:lineRule="exact"/>
        <w:rPr>
          <w:rFonts w:ascii="Times New Roman" w:cs="Times New Roman" w:eastAsia="Times New Roman" w:hAnsi="Times New Roman"/>
          <w:sz w:val="18"/>
          <w:szCs w:val="18"/>
          <w:color w:val="auto"/>
        </w:rPr>
      </w:pPr>
    </w:p>
    <w:p>
      <w:pPr>
        <w:ind w:left="440" w:firstLine="419"/>
        <w:spacing w:after="0" w:line="256" w:lineRule="auto"/>
        <w:tabs>
          <w:tab w:leader="none" w:pos="1178"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Fee that would have been required to be paid to any Defaulting Lender but for the immediately preceding clauses (i) or (ii), the Borrower shall (x) pay to each Non-Defaulting Lender that portion of any such Fee otherwise payable to such Defaulting Lender with respect to such Defaulting Lender’s participation in Letter of Credit Liabilities or Swingline Loans that has been reallocated to such Non-Defaulting Lender pursuant to the immediately following subsection (d), (y) pay to each Issuing Bank and Swingline Lender, as applicable, the amount of any such Fee otherwise payable to such Defaulting Lender to the extent allocable to such Issuing Bank’s or Swingline Lender’s Fronting Exposure to such Defaulting Lender, and (z) not be required to pay the remaining amount of any such Fee.</w:t>
      </w:r>
    </w:p>
    <w:p>
      <w:pPr>
        <w:spacing w:after="0" w:line="79" w:lineRule="exact"/>
        <w:rPr>
          <w:rFonts w:ascii="Times New Roman" w:cs="Times New Roman" w:eastAsia="Times New Roman" w:hAnsi="Times New Roman"/>
          <w:sz w:val="18"/>
          <w:szCs w:val="18"/>
          <w:color w:val="auto"/>
        </w:rPr>
      </w:pPr>
    </w:p>
    <w:p>
      <w:pPr>
        <w:ind w:right="120" w:firstLine="436"/>
        <w:spacing w:after="0" w:line="255" w:lineRule="auto"/>
        <w:tabs>
          <w:tab w:leader="none" w:pos="69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Reallocation of Participations to Reduce Fronting Exposure</w:t>
      </w:r>
      <w:r>
        <w:rPr>
          <w:rFonts w:ascii="Times New Roman" w:cs="Times New Roman" w:eastAsia="Times New Roman" w:hAnsi="Times New Roman"/>
          <w:sz w:val="18"/>
          <w:szCs w:val="18"/>
          <w:color w:val="auto"/>
        </w:rPr>
        <w:t>. All or any part of such Defaulting Lender’s participation in Letter of Credit Liabilities and Swingline Loans shall be reallocated among the Non-Defaulting Lenders in accordance with their respective Revolving Commitment Percentages (determined without regard to such Defaulting Lender’s Commitment) but only to the extent that such reallocation does not cause the aggregate Revolving Credit Exposure of any Non-Defaulting Lender to exceed such Non-Defaulting Lender’s Commitment. Subject to Section 12.22.,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80"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Collateral, Repayment of Swingline Loans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right="120" w:firstLine="419"/>
        <w:spacing w:after="0" w:line="258" w:lineRule="auto"/>
        <w:tabs>
          <w:tab w:leader="none" w:pos="1078"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reallocation described in the immediately preceding subsection (d) above cannot, or can only partially, be effected, the Borrower shall, without prejudice to any right or remedy available to it hereunder or under law, (x) first, prepay Swingline Loans in an amount equal to the Swingline Lender’s Fronting Exposure and (y) second, Cash Collateralize the Issuing Bank’s Fronting Exposure in accordance with the procedures set forth in this subsection; such prepayment and/or cash collateralization may be provided by a borrowing of Revolving Loans if the conditions precedent thereto are met.</w:t>
      </w:r>
    </w:p>
    <w:p>
      <w:pPr>
        <w:spacing w:after="0" w:line="115"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2"/>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61 -</w:t>
      </w:r>
    </w:p>
    <w:p>
      <w:pPr>
        <w:sectPr>
          <w:pgSz w:w="11900" w:h="16838" w:orient="portrait"/>
          <w:cols w:equalWidth="0" w:num="1">
            <w:col w:w="10980"/>
          </w:cols>
          <w:pgMar w:left="440" w:top="270" w:right="479" w:bottom="1440" w:gutter="0" w:footer="0" w:header="0"/>
        </w:sectPr>
      </w:pPr>
    </w:p>
    <w:bookmarkStart w:id="71" w:name="page72"/>
    <w:bookmarkEnd w:id="71"/>
    <w:p>
      <w:pPr>
        <w:ind w:left="4" w:firstLine="419"/>
        <w:spacing w:after="0" w:line="256" w:lineRule="auto"/>
        <w:tabs>
          <w:tab w:leader="none" w:pos="691"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 any time that there shall exist a Defaulting Lender, within three (3) Business Days following the written request of the Administrative Agent or the Issuing Bank (with a copy to the Administrative Agent), the Borrower shall Cash Collateralize the Issuing Bank’s Fronting Exposure with respect to such Defaulting Lender (determined after giving effect to the immediately preceding subsection (d) and any Cash Collateral provided by such Defaulting Lender) in an amount not less than the aggregate Fronting Exposure of the Issuing Bank with respect to Letters of Credit issued and outstanding at such time; such cash collateralization may be provided by a borrowing of Revolving Loans if the conditions precedent thereto are met.</w:t>
      </w:r>
    </w:p>
    <w:p>
      <w:pPr>
        <w:spacing w:after="0" w:line="79" w:lineRule="exact"/>
        <w:rPr>
          <w:rFonts w:ascii="Times New Roman" w:cs="Times New Roman" w:eastAsia="Times New Roman" w:hAnsi="Times New Roman"/>
          <w:sz w:val="18"/>
          <w:szCs w:val="18"/>
          <w:color w:val="auto"/>
        </w:rPr>
      </w:pPr>
    </w:p>
    <w:p>
      <w:pPr>
        <w:ind w:left="4" w:firstLine="419"/>
        <w:spacing w:after="0" w:line="254" w:lineRule="auto"/>
        <w:tabs>
          <w:tab w:leader="none" w:pos="741"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and to the extent provided by any Defaulting Lender, such Defaulting Lender, hereby grant to the Administrative Agent, for the benefit of the Issuing Bank, and agree to maintain, a first priority security interest in all such Cash Collateral as security for the Defaulting Lenders’ obligation to fund participations in respect of Letter of Credit Liabilities, to be applied pursuant to the immediately following clause (iv). If at any time the Administrative Agent determines in good faith that Cash Collateral is subject to any right or claim of any Person other than the Administrative Agent and the Issuing Bank as herein provided, or that the total amount of such Cash Collateral is less than the aggregate Fronting Exposure of the Issuing Bank with respect to Letters of Credit issued and outstanding at such time, the Borrower will, promptly upon demand by the Administrative Agent, pay or provide to the Administrative Agent additional Cash Collateral in an amount sufficient to eliminate such deficiency (after giving effect to any Cash Collateral provided by the Defaulting Lender).</w:t>
      </w:r>
    </w:p>
    <w:p>
      <w:pPr>
        <w:spacing w:after="0" w:line="83" w:lineRule="exact"/>
        <w:rPr>
          <w:rFonts w:ascii="Times New Roman" w:cs="Times New Roman" w:eastAsia="Times New Roman" w:hAnsi="Times New Roman"/>
          <w:sz w:val="18"/>
          <w:szCs w:val="18"/>
          <w:color w:val="auto"/>
        </w:rPr>
      </w:pPr>
    </w:p>
    <w:p>
      <w:pPr>
        <w:ind w:left="4" w:right="60" w:firstLine="419"/>
        <w:spacing w:after="0" w:line="261" w:lineRule="auto"/>
        <w:tabs>
          <w:tab w:leader="none" w:pos="731"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this Agreement, Cash Collateral provided under this Section in respect of Letters of Credit shall be applied to the satisfaction of the Defaulting Lender’s obligation to fund participations in respect of Letter of Credit Liabilities (including, as to Cash Collateral provided by a Defaulting Lender, any interest accrued on such obligation) for which the Cash Collateral was so provided, prior to any other application of such property as may otherwise be provided for herein.</w:t>
      </w:r>
    </w:p>
    <w:p>
      <w:pPr>
        <w:spacing w:after="0" w:line="71" w:lineRule="exact"/>
        <w:rPr>
          <w:rFonts w:ascii="Times New Roman" w:cs="Times New Roman" w:eastAsia="Times New Roman" w:hAnsi="Times New Roman"/>
          <w:sz w:val="18"/>
          <w:szCs w:val="18"/>
          <w:color w:val="auto"/>
        </w:rPr>
      </w:pPr>
    </w:p>
    <w:p>
      <w:pPr>
        <w:ind w:left="4" w:right="60" w:firstLine="419"/>
        <w:spacing w:after="0" w:line="256" w:lineRule="auto"/>
        <w:tabs>
          <w:tab w:leader="none" w:pos="681"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Cash Collateral (or the appropriate portion thereof) provided to reduce the Issuing Bank’s Fronting Exposure shall no longer be required to be held as Cash Collateral pursuant to this subsection following (x) the elimination of the applicable Fronting Exposure (including by the termination of Defaulting Lender status of the applicable Lender), or (y) the determination by the Administrative Agent and the Issuing Bank that there exists excess Cash Collateral;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subject to the immediately preceding subsection (b), the Person providing Cash Collateral and the Issuing Bank may (but shall not be obligated to) agree that Cash Collateral shall be held to support future anticipated Fronting Exposure or other obligations.</w:t>
      </w:r>
    </w:p>
    <w:p>
      <w:pPr>
        <w:spacing w:after="0" w:line="79" w:lineRule="exact"/>
        <w:rPr>
          <w:rFonts w:ascii="Times New Roman" w:cs="Times New Roman" w:eastAsia="Times New Roman" w:hAnsi="Times New Roman"/>
          <w:sz w:val="18"/>
          <w:szCs w:val="18"/>
          <w:color w:val="auto"/>
        </w:rPr>
      </w:pPr>
    </w:p>
    <w:p>
      <w:pPr>
        <w:ind w:left="-436" w:firstLine="436"/>
        <w:spacing w:after="0" w:line="253" w:lineRule="auto"/>
        <w:tabs>
          <w:tab w:leader="none" w:pos="229"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Defaulting Lender Cure</w:t>
      </w:r>
      <w:r>
        <w:rPr>
          <w:rFonts w:ascii="Times New Roman" w:cs="Times New Roman" w:eastAsia="Times New Roman" w:hAnsi="Times New Roman"/>
          <w:sz w:val="18"/>
          <w:szCs w:val="18"/>
          <w:color w:val="auto"/>
        </w:rPr>
        <w:t xml:space="preserve">. If the Borrower, the Administrative Agent, the Swingline Lender and the Issuing Bank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Loans and funded and unfunded participations in Letters of Credit and Swingline Loans to be held pro rata by the Lenders in accordance with their respective Revolving Commitment Percentages (determined without giving effect to the immediately preceding subsection (d)), whereupon such Lender will cease to be a Defaulting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adjustments will be made retroactively with respect to Fees accrued or payments made by or on behalf of the Borrower while that Lender was a Defaulting Lender;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26" w:lineRule="exact"/>
        <w:rPr>
          <w:rFonts w:ascii="Times New Roman" w:cs="Times New Roman" w:eastAsia="Times New Roman" w:hAnsi="Times New Roman"/>
          <w:sz w:val="18"/>
          <w:szCs w:val="18"/>
          <w:color w:val="auto"/>
        </w:rPr>
      </w:pPr>
    </w:p>
    <w:p>
      <w:pPr>
        <w:ind w:left="4984" w:hanging="111"/>
        <w:spacing w:after="0"/>
        <w:tabs>
          <w:tab w:leader="none" w:pos="4984" w:val="left"/>
        </w:tabs>
        <w:numPr>
          <w:ilvl w:val="2"/>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62 -</w:t>
      </w:r>
    </w:p>
    <w:p>
      <w:pPr>
        <w:sectPr>
          <w:pgSz w:w="11900" w:h="16838" w:orient="portrait"/>
          <w:cols w:equalWidth="0" w:num="1">
            <w:col w:w="10544"/>
          </w:cols>
          <w:pgMar w:left="876" w:top="270" w:right="479" w:bottom="1440" w:gutter="0" w:footer="0" w:header="0"/>
        </w:sectPr>
      </w:pPr>
    </w:p>
    <w:bookmarkStart w:id="72" w:name="page73"/>
    <w:bookmarkEnd w:id="72"/>
    <w:p>
      <w:pPr>
        <w:ind w:left="4" w:right="20" w:firstLine="436"/>
        <w:spacing w:after="0" w:line="256" w:lineRule="auto"/>
        <w:tabs>
          <w:tab w:leader="none" w:pos="699"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New Swingline Loans/Letters of Credit</w:t>
      </w:r>
      <w:r>
        <w:rPr>
          <w:rFonts w:ascii="Times New Roman" w:cs="Times New Roman" w:eastAsia="Times New Roman" w:hAnsi="Times New Roman"/>
          <w:sz w:val="18"/>
          <w:szCs w:val="18"/>
          <w:color w:val="auto"/>
        </w:rPr>
        <w:t>. So long as any Lender is a Defaulting Lender, (i) the Swingline Lender shall not be required to fund any portion of a requested Swingline Loan unless it is satisfied that it will have no Fronting Exposure after giving effect to such funded portion of such Swingline Loan and (ii) the Issuing Bank shall not be required to issue, extend, renew or increase any Letter of Credit in an amount which would expose the Issuing Bank to Fronting Exposure after giving effect thereto; provided, however, that to the extent Defaulting Lender’s participation in Letter of Credit Liabilities and Swingline Loans is reallocated in accordance with Section 3.9.(d), the Swingline Lender and the Issuing Bank shall not be deemed to have Fronting Exposure to the extent of such reallocation to Non-Defaulting Lenders.</w:t>
      </w:r>
    </w:p>
    <w:p>
      <w:pPr>
        <w:spacing w:after="0" w:line="18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3.10. Taxes; Foreign Lenders.</w:t>
      </w:r>
    </w:p>
    <w:p>
      <w:pPr>
        <w:spacing w:after="0" w:line="121" w:lineRule="exact"/>
        <w:rPr>
          <w:sz w:val="20"/>
          <w:szCs w:val="20"/>
          <w:color w:val="auto"/>
        </w:rPr>
      </w:pPr>
    </w:p>
    <w:p>
      <w:pPr>
        <w:ind w:left="684" w:hanging="244"/>
        <w:spacing w:after="0"/>
        <w:tabs>
          <w:tab w:leader="none" w:pos="684"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Issuing Bank</w:t>
      </w:r>
      <w:r>
        <w:rPr>
          <w:rFonts w:ascii="Times New Roman" w:cs="Times New Roman" w:eastAsia="Times New Roman" w:hAnsi="Times New Roman"/>
          <w:sz w:val="18"/>
          <w:szCs w:val="18"/>
          <w:color w:val="auto"/>
        </w:rPr>
        <w:t>. For purposes of this Section, the term “Lender” includes the Issuing Banks and the term “Applicable Law” includes FATCA.</w:t>
      </w:r>
    </w:p>
    <w:p>
      <w:pPr>
        <w:spacing w:after="0" w:line="117" w:lineRule="exact"/>
        <w:rPr>
          <w:rFonts w:ascii="Times New Roman" w:cs="Times New Roman" w:eastAsia="Times New Roman" w:hAnsi="Times New Roman"/>
          <w:sz w:val="18"/>
          <w:szCs w:val="18"/>
          <w:color w:val="auto"/>
        </w:rPr>
      </w:pPr>
    </w:p>
    <w:p>
      <w:pPr>
        <w:ind w:left="4" w:right="40" w:firstLine="436"/>
        <w:spacing w:after="0" w:line="254" w:lineRule="auto"/>
        <w:tabs>
          <w:tab w:leader="none" w:pos="699"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Free of Taxes</w:t>
      </w:r>
      <w:r>
        <w:rPr>
          <w:rFonts w:ascii="Times New Roman" w:cs="Times New Roman" w:eastAsia="Times New Roman" w:hAnsi="Times New Roman"/>
          <w:sz w:val="18"/>
          <w:szCs w:val="18"/>
          <w:color w:val="auto"/>
        </w:rPr>
        <w:t>. Any and all payments by or on account of any obligation of the Borrower or any other Loan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Borrower or other applicable Loan Party shall be increased as necessary so that after such deduction or withholding has been made (including such deductions and withholdings applicable to additional sums payable under this Section) the applicable Recipient receives an amount equal to the sum it would have received had no such deduction or withholding been made.</w:t>
      </w:r>
    </w:p>
    <w:p>
      <w:pPr>
        <w:spacing w:after="0" w:line="83" w:lineRule="exact"/>
        <w:rPr>
          <w:rFonts w:ascii="Times New Roman" w:cs="Times New Roman" w:eastAsia="Times New Roman" w:hAnsi="Times New Roman"/>
          <w:sz w:val="18"/>
          <w:szCs w:val="18"/>
          <w:color w:val="auto"/>
        </w:rPr>
      </w:pPr>
    </w:p>
    <w:p>
      <w:pPr>
        <w:ind w:left="4" w:right="40" w:firstLine="436"/>
        <w:spacing w:after="0" w:line="282" w:lineRule="auto"/>
        <w:tabs>
          <w:tab w:leader="none" w:pos="689"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Other Taxes by the Borrower</w:t>
      </w:r>
      <w:r>
        <w:rPr>
          <w:rFonts w:ascii="Times New Roman" w:cs="Times New Roman" w:eastAsia="Times New Roman" w:hAnsi="Times New Roman"/>
          <w:sz w:val="18"/>
          <w:szCs w:val="18"/>
          <w:color w:val="auto"/>
        </w:rPr>
        <w:t>. The Borrower and the other Loan Parties shall timely pay to the relevant Governmental Authority in accordance with Applicable Law, or at the option of the Administrative Agent timely reimburse it for the payment of, any Other Taxes.</w:t>
      </w:r>
    </w:p>
    <w:p>
      <w:pPr>
        <w:spacing w:after="0" w:line="53" w:lineRule="exact"/>
        <w:rPr>
          <w:rFonts w:ascii="Times New Roman" w:cs="Times New Roman" w:eastAsia="Times New Roman" w:hAnsi="Times New Roman"/>
          <w:sz w:val="18"/>
          <w:szCs w:val="18"/>
          <w:color w:val="auto"/>
        </w:rPr>
      </w:pPr>
    </w:p>
    <w:p>
      <w:pPr>
        <w:ind w:left="4" w:firstLine="436"/>
        <w:spacing w:after="0" w:line="256" w:lineRule="auto"/>
        <w:tabs>
          <w:tab w:leader="none" w:pos="699"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the Borrower</w:t>
      </w:r>
      <w:r>
        <w:rPr>
          <w:rFonts w:ascii="Times New Roman" w:cs="Times New Roman" w:eastAsia="Times New Roman" w:hAnsi="Times New Roman"/>
          <w:sz w:val="18"/>
          <w:szCs w:val="18"/>
          <w:color w:val="auto"/>
        </w:rPr>
        <w:t>. The Borrower and the other Loan Parties shall jointly and severally indemnify each Recipient, within 10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w:t>
      </w:r>
    </w:p>
    <w:p>
      <w:pPr>
        <w:spacing w:after="0" w:line="79"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the Lenders</w:t>
      </w:r>
      <w:r>
        <w:rPr>
          <w:rFonts w:ascii="Times New Roman" w:cs="Times New Roman" w:eastAsia="Times New Roman" w:hAnsi="Times New Roman"/>
          <w:sz w:val="18"/>
          <w:szCs w:val="18"/>
          <w:color w:val="auto"/>
        </w:rPr>
        <w:t>. Each Lender shall severally indemnify the Administrative Agent, within 10 days after demand therefor, for</w:t>
      </w:r>
    </w:p>
    <w:p>
      <w:pPr>
        <w:spacing w:after="0" w:line="27" w:lineRule="exact"/>
        <w:rPr>
          <w:rFonts w:ascii="Times New Roman" w:cs="Times New Roman" w:eastAsia="Times New Roman" w:hAnsi="Times New Roman"/>
          <w:sz w:val="18"/>
          <w:szCs w:val="18"/>
          <w:color w:val="auto"/>
        </w:rPr>
      </w:pPr>
    </w:p>
    <w:p>
      <w:pPr>
        <w:ind w:left="4" w:hanging="4"/>
        <w:spacing w:after="0" w:line="253" w:lineRule="auto"/>
        <w:tabs>
          <w:tab w:leader="none" w:pos="219"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Indemnified Taxes attributable to such Lender (but only to the extent that the Borrower or another Loan Party has not already indemnified the Administrative Agent for such Indemnified Taxes and without limiting the obligation of the Borrower and the other Loan Parties to do so), (ii) any Taxes attributable to such Lender’s failure to comply with the provisions of Section 12.6. relating to the maintenance of a Participant Register and (iii) any Excluded Taxes attributable to such Lender, in each case, that are payable or paid by the Administrative Agent in connection with any</w:t>
      </w:r>
    </w:p>
    <w:p>
      <w:pPr>
        <w:spacing w:after="0" w:line="121"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2"/>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63 -</w:t>
      </w:r>
    </w:p>
    <w:p>
      <w:pPr>
        <w:sectPr>
          <w:pgSz w:w="11900" w:h="16838" w:orient="portrait"/>
          <w:cols w:equalWidth="0" w:num="1">
            <w:col w:w="11004"/>
          </w:cols>
          <w:pgMar w:left="436" w:top="270" w:right="459" w:bottom="1440" w:gutter="0" w:footer="0" w:header="0"/>
        </w:sectPr>
      </w:pPr>
    </w:p>
    <w:bookmarkStart w:id="73" w:name="page74"/>
    <w:bookmarkEnd w:id="73"/>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subsection. The provisions of this subsection shall continue to inure to the benefit of an Administrative Agent following its resignation or removal as Administrative Agent.</w:t>
      </w:r>
    </w:p>
    <w:p>
      <w:pPr>
        <w:spacing w:after="0" w:line="79" w:lineRule="exact"/>
        <w:rPr>
          <w:sz w:val="20"/>
          <w:szCs w:val="20"/>
          <w:color w:val="auto"/>
        </w:rPr>
      </w:pPr>
    </w:p>
    <w:p>
      <w:pPr>
        <w:ind w:right="160" w:firstLine="436"/>
        <w:spacing w:after="0" w:line="261" w:lineRule="auto"/>
        <w:tabs>
          <w:tab w:leader="none" w:pos="66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Evidence of Payments</w:t>
      </w:r>
      <w:r>
        <w:rPr>
          <w:rFonts w:ascii="Times New Roman" w:cs="Times New Roman" w:eastAsia="Times New Roman" w:hAnsi="Times New Roman"/>
          <w:sz w:val="18"/>
          <w:szCs w:val="18"/>
          <w:color w:val="auto"/>
        </w:rPr>
        <w:t>. As soon as practicable after any payment of Taxes by the Borrower or any other Loan Party to a Governmental Authority pursuant to this Section, the Borrower or such other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7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Status of Lenders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firstLine="419"/>
        <w:spacing w:after="0" w:line="253" w:lineRule="auto"/>
        <w:tabs>
          <w:tab w:leader="none" w:pos="1078"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the immediately following clauses (ii) (A), (ii)(B) and (ii)(D))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86"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foregoing, in the event that the Borrower is a U.S. Person:</w:t>
      </w:r>
    </w:p>
    <w:p>
      <w:pPr>
        <w:spacing w:after="0" w:line="117" w:lineRule="exact"/>
        <w:rPr>
          <w:rFonts w:ascii="Times New Roman" w:cs="Times New Roman" w:eastAsia="Times New Roman" w:hAnsi="Times New Roman"/>
          <w:sz w:val="18"/>
          <w:szCs w:val="18"/>
          <w:color w:val="auto"/>
        </w:rPr>
      </w:pPr>
    </w:p>
    <w:p>
      <w:pPr>
        <w:ind w:left="980" w:right="20" w:firstLine="408"/>
        <w:spacing w:after="0" w:line="261" w:lineRule="auto"/>
        <w:tabs>
          <w:tab w:leader="none" w:pos="1676" w:val="left"/>
        </w:tabs>
        <w:numPr>
          <w:ilvl w:val="2"/>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an electronic copy (or an original if requested by the Borrower or the Administrative Agent) of an executed IRS Form W-9 (or any successor form) certifying that such Lender is exempt from U.S. federal backup withholding tax;</w:t>
      </w:r>
    </w:p>
    <w:p>
      <w:pPr>
        <w:spacing w:after="0" w:line="71" w:lineRule="exact"/>
        <w:rPr>
          <w:rFonts w:ascii="Times New Roman" w:cs="Times New Roman" w:eastAsia="Times New Roman" w:hAnsi="Times New Roman"/>
          <w:sz w:val="18"/>
          <w:szCs w:val="18"/>
          <w:color w:val="auto"/>
        </w:rPr>
      </w:pPr>
    </w:p>
    <w:p>
      <w:pPr>
        <w:ind w:left="980" w:right="320" w:firstLine="408"/>
        <w:spacing w:after="0" w:line="261" w:lineRule="auto"/>
        <w:tabs>
          <w:tab w:leader="none" w:pos="1666" w:val="left"/>
        </w:tabs>
        <w:numPr>
          <w:ilvl w:val="2"/>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112"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3"/>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64 -</w:t>
      </w:r>
    </w:p>
    <w:p>
      <w:pPr>
        <w:sectPr>
          <w:pgSz w:w="11900" w:h="16838" w:orient="portrait"/>
          <w:cols w:equalWidth="0" w:num="1">
            <w:col w:w="11000"/>
          </w:cols>
          <w:pgMar w:left="440" w:top="270" w:right="459" w:bottom="1440" w:gutter="0" w:footer="0" w:header="0"/>
        </w:sectPr>
      </w:pPr>
    </w:p>
    <w:bookmarkStart w:id="74" w:name="page75"/>
    <w:bookmarkEnd w:id="74"/>
    <w:p>
      <w:pPr>
        <w:ind w:left="420" w:right="100" w:firstLine="391"/>
        <w:spacing w:after="0" w:line="256" w:lineRule="auto"/>
        <w:tabs>
          <w:tab w:leader="none" w:pos="102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case of a Foreign Lender claiming the benefits of an income tax treaty to which the United States is a party (x) with respect to payments of interest under any Loan Document, an electronic copy (or an original if requested by the Borrower or the Administrative Agent) of an executed IRS Form W-8BEN, or W-8BEN-E, as applicable, establishing an exemption from, or reduction of, U.S. federal withholding Tax pursuant to the “interest” article of such tax treaty and (y) with respect to any other applicable payments under any Loan Document, IRS Form W-8BEN or W-8BEN-E, as applicable, establishing an exemption from, or reduction of, U.S. federal withholding Tax pursuant to the “business profits” or “other income” article of such tax treaty;</w:t>
      </w:r>
    </w:p>
    <w:p>
      <w:pPr>
        <w:spacing w:after="0" w:line="79" w:lineRule="exact"/>
        <w:rPr>
          <w:sz w:val="20"/>
          <w:szCs w:val="20"/>
          <w:color w:val="auto"/>
        </w:rPr>
      </w:pPr>
    </w:p>
    <w:p>
      <w:pPr>
        <w:ind w:left="1100" w:hanging="289"/>
        <w:spacing w:after="0"/>
        <w:tabs>
          <w:tab w:leader="none" w:pos="11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electronic copy (or an original if requested by the Borrower or the Administrative Agent) of an executed IRS Form</w:t>
      </w:r>
    </w:p>
    <w:p>
      <w:pPr>
        <w:spacing w:after="0" w:line="27" w:lineRule="exact"/>
        <w:rPr>
          <w:rFonts w:ascii="Times New Roman" w:cs="Times New Roman" w:eastAsia="Times New Roman" w:hAnsi="Times New Roman"/>
          <w:sz w:val="18"/>
          <w:szCs w:val="18"/>
          <w:color w:val="auto"/>
        </w:rPr>
      </w:pPr>
    </w:p>
    <w:p>
      <w:pPr>
        <w:ind w:left="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W-8ECI;</w:t>
      </w:r>
    </w:p>
    <w:p>
      <w:pPr>
        <w:spacing w:after="0" w:line="99" w:lineRule="exact"/>
        <w:rPr>
          <w:sz w:val="20"/>
          <w:szCs w:val="20"/>
          <w:color w:val="auto"/>
        </w:rPr>
      </w:pPr>
    </w:p>
    <w:p>
      <w:pPr>
        <w:ind w:left="420" w:firstLine="391"/>
        <w:spacing w:after="0" w:line="255" w:lineRule="auto"/>
        <w:tabs>
          <w:tab w:leader="none" w:pos="114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Foreign Lender claiming the benefits of the exemption for portfolio interest under Section 881(c) of the Internal Revenue Code, (x) a certificate substantially in the form of Exhibit Q-1 to the effect that such Foreign Lender is not a “bank” within the meaning of Section 881(c)(3)(A) of the Internal Revenue Code, a “10 percent shareholder” of the Borrower within the meaning of Section 881(c)(3)(B) of the Internal Revenue Code, or a “controlled foreign corporation” described in Section 881(c)</w:t>
      </w:r>
    </w:p>
    <w:p>
      <w:pPr>
        <w:spacing w:after="0" w:line="2" w:lineRule="exact"/>
        <w:rPr>
          <w:rFonts w:ascii="Times New Roman" w:cs="Times New Roman" w:eastAsia="Times New Roman" w:hAnsi="Times New Roman"/>
          <w:sz w:val="18"/>
          <w:szCs w:val="18"/>
          <w:color w:val="auto"/>
        </w:rPr>
      </w:pPr>
    </w:p>
    <w:p>
      <w:pPr>
        <w:ind w:left="420" w:right="1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(3)(C) of the Internal Revenue Code (a “</w:t>
      </w:r>
      <w:r>
        <w:rPr>
          <w:rFonts w:ascii="Times New Roman" w:cs="Times New Roman" w:eastAsia="Times New Roman" w:hAnsi="Times New Roman"/>
          <w:sz w:val="18"/>
          <w:szCs w:val="18"/>
          <w:b w:val="1"/>
          <w:bCs w:val="1"/>
          <w:color w:val="auto"/>
        </w:rPr>
        <w:t>U.S. Tax Compliance Certificate</w:t>
      </w:r>
      <w:r>
        <w:rPr>
          <w:rFonts w:ascii="Times New Roman" w:cs="Times New Roman" w:eastAsia="Times New Roman" w:hAnsi="Times New Roman"/>
          <w:sz w:val="18"/>
          <w:szCs w:val="18"/>
          <w:color w:val="auto"/>
        </w:rPr>
        <w:t>”) and (y) an electronic copy (or an original if requested by the Borrower or the Administrative Agent) of IRS Form W-8BEN or W-8BEN-E, as applicable,; or</w:t>
      </w:r>
    </w:p>
    <w:p>
      <w:pPr>
        <w:spacing w:after="0" w:line="73" w:lineRule="exact"/>
        <w:rPr>
          <w:sz w:val="20"/>
          <w:szCs w:val="20"/>
          <w:color w:val="auto"/>
        </w:rPr>
      </w:pPr>
    </w:p>
    <w:p>
      <w:pPr>
        <w:ind w:left="420" w:right="120" w:firstLine="383"/>
        <w:spacing w:after="0" w:line="255" w:lineRule="auto"/>
        <w:rPr>
          <w:sz w:val="20"/>
          <w:szCs w:val="20"/>
          <w:color w:val="auto"/>
        </w:rPr>
      </w:pPr>
      <w:r>
        <w:rPr>
          <w:rFonts w:ascii="Times New Roman" w:cs="Times New Roman" w:eastAsia="Times New Roman" w:hAnsi="Times New Roman"/>
          <w:sz w:val="18"/>
          <w:szCs w:val="18"/>
          <w:color w:val="auto"/>
        </w:rPr>
        <w:t>(IV) to the extent a Foreign Lender is not the beneficial owner, an electronic copy (or an original if requested by the Borrower or the Administrative Agent) of an executed IRS Form W-8IMY, accompanied by IRS Form W-8ECI, IRS Form W-8BEN or W-8BEN-E, as applicable, a U.S. Tax Compliance Certificate substantially in the form of Exhibit Q-2 or Exhibit Q-3, IRS Form W-9, and/or other certification documents from each beneficial owner, as applicable; provided that if the Foreign Lender is a partnership and one or more direct or indirect partners of such Foreign Lender are claiming the portfolio interest exemption, such Foreign Lender may provide a U.S. Tax Compliance Certificate substantially in the form of Exhibit Q-4 on behalf of each such direct and indirect partner;</w:t>
      </w:r>
    </w:p>
    <w:p>
      <w:pPr>
        <w:spacing w:after="0" w:line="81" w:lineRule="exact"/>
        <w:rPr>
          <w:sz w:val="20"/>
          <w:szCs w:val="20"/>
          <w:color w:val="auto"/>
        </w:rPr>
      </w:pPr>
    </w:p>
    <w:p>
      <w:pPr>
        <w:ind w:left="-20" w:right="60" w:firstLine="408"/>
        <w:spacing w:after="0" w:line="255" w:lineRule="auto"/>
        <w:tabs>
          <w:tab w:leader="none" w:pos="66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an electronic copy (or an original if requested by the Borrower or the Administrative Agent)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121" w:lineRule="exact"/>
        <w:rPr>
          <w:rFonts w:ascii="Times New Roman" w:cs="Times New Roman" w:eastAsia="Times New Roman" w:hAnsi="Times New Roman"/>
          <w:sz w:val="18"/>
          <w:szCs w:val="18"/>
          <w:color w:val="auto"/>
        </w:rPr>
      </w:pPr>
    </w:p>
    <w:p>
      <w:pPr>
        <w:ind w:left="4420" w:hanging="111"/>
        <w:spacing w:after="0"/>
        <w:tabs>
          <w:tab w:leader="none" w:pos="44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65 -</w:t>
      </w:r>
    </w:p>
    <w:p>
      <w:pPr>
        <w:sectPr>
          <w:pgSz w:w="11900" w:h="16838" w:orient="portrait"/>
          <w:cols w:equalWidth="0" w:num="1">
            <w:col w:w="10000"/>
          </w:cols>
          <w:pgMar w:left="1440" w:top="270" w:right="459" w:bottom="1440" w:gutter="0" w:footer="0" w:header="0"/>
        </w:sectPr>
      </w:pPr>
    </w:p>
    <w:bookmarkStart w:id="75" w:name="page76"/>
    <w:bookmarkEnd w:id="75"/>
    <w:p>
      <w:pPr>
        <w:ind w:left="980" w:firstLine="408"/>
        <w:spacing w:after="0" w:line="253" w:lineRule="auto"/>
        <w:tabs>
          <w:tab w:leader="none" w:pos="167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a payment made to a Lender under any Loan Document would be subject to U.S. federal withholding Tax imposed by FATCA if such Lender were to fail to comply with the applicable reporting requirements of FATCA (including those contained in Section 1471(b) or 1472(b) of the Internal Revenue Code, as applicable), such Lender shall deliver to the Borrower and the Administrative Agent at the time or times prescribed by Applicable Law and at such time or times reasonably requested by the Borrower or the Administrative Agent such documentation prescribed by Applicable Law (including as prescribed by Section 1471(b)(3)(C)(i) of the Internal Revenue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 For purposes of determining withholding Taxes imposed under FATCA, from and after the date of this Agreement, the Borrower and the Administrative Agent shall treat (and the Lenders hereby authorize the Administrative Agent to treat) this Agreement as not qualifying as a “grandfathered obligation” within the meaning of Treasury Regulation Section 1.1471-2(b)(2)(i).</w:t>
      </w:r>
    </w:p>
    <w:p>
      <w:pPr>
        <w:spacing w:after="0" w:line="19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spacing w:after="0" w:line="54" w:lineRule="exact"/>
        <w:rPr>
          <w:sz w:val="20"/>
          <w:szCs w:val="20"/>
          <w:color w:val="auto"/>
        </w:rPr>
      </w:pPr>
    </w:p>
    <w:p>
      <w:pPr>
        <w:ind w:firstLine="436"/>
        <w:spacing w:after="0" w:line="253" w:lineRule="auto"/>
        <w:tabs>
          <w:tab w:leader="none" w:pos="69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of Certain Refunds</w:t>
      </w:r>
      <w:r>
        <w:rPr>
          <w:rFonts w:ascii="Times New Roman" w:cs="Times New Roman" w:eastAsia="Times New Roman" w:hAnsi="Times New Roman"/>
          <w:sz w:val="18"/>
          <w:szCs w:val="18"/>
          <w:color w:val="auto"/>
        </w:rPr>
        <w:t>. If any party determines, in its sole discretion exercised in good faith, that it has received a refund of any Taxes as to which it has been indemnified pursuant to this Section (including by the payment of additional amounts pursuant to this Section),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subsection (plus any penalties, interest or other charges imposed by the relevant Governmental Authority) in the event that such indemnified party is required to repay such refund to such Governmental Authority. Notwithstanding anything to the contrary in this subsection, in no event will the indemnified party be required to pay any amount to an indemnifying party pursuant to this subsection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subsection shall not be construed to require any indemnified party to make available its Tax returns (or any other information relating to its Taxes that it deems confidential) to the indemnifying party or any other Person.</w:t>
      </w:r>
    </w:p>
    <w:p>
      <w:pPr>
        <w:spacing w:after="0" w:line="79" w:lineRule="exact"/>
        <w:rPr>
          <w:rFonts w:ascii="Times New Roman" w:cs="Times New Roman" w:eastAsia="Times New Roman" w:hAnsi="Times New Roman"/>
          <w:sz w:val="18"/>
          <w:szCs w:val="18"/>
          <w:color w:val="auto"/>
        </w:rPr>
      </w:pPr>
    </w:p>
    <w:p>
      <w:pPr>
        <w:ind w:right="660" w:firstLine="436"/>
        <w:spacing w:after="0" w:line="266" w:lineRule="auto"/>
        <w:tabs>
          <w:tab w:leader="none" w:pos="65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Each party’s obligations under this Section shall survive the resignation or replacement of the Administrative Agent or any assignment of rights by, or the replacement of, a Lender, the termination of the Commitments and the repayment, satisfaction or discharge of all obligations under any Loan Document.</w:t>
      </w:r>
    </w:p>
    <w:p>
      <w:pPr>
        <w:spacing w:after="0" w:line="108"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66 -</w:t>
      </w:r>
    </w:p>
    <w:p>
      <w:pPr>
        <w:sectPr>
          <w:pgSz w:w="11900" w:h="16838" w:orient="portrait"/>
          <w:cols w:equalWidth="0" w:num="1">
            <w:col w:w="11000"/>
          </w:cols>
          <w:pgMar w:left="440" w:top="270" w:right="45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18"/>
          <w:szCs w:val="18"/>
          <w:b w:val="1"/>
          <w:bCs w:val="1"/>
          <w:color w:val="auto"/>
        </w:rPr>
        <w:t xml:space="preserve"> IV. Y</w:t>
      </w:r>
      <w:r>
        <w:rPr>
          <w:rFonts w:ascii="Times New Roman" w:cs="Times New Roman" w:eastAsia="Times New Roman" w:hAnsi="Times New Roman"/>
          <w:sz w:val="14"/>
          <w:szCs w:val="14"/>
          <w:b w:val="1"/>
          <w:bCs w:val="1"/>
          <w:color w:val="auto"/>
        </w:rPr>
        <w:t>IELD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ROTECTION</w:t>
      </w:r>
      <w:r>
        <w:rPr>
          <w:rFonts w:ascii="Times New Roman" w:cs="Times New Roman" w:eastAsia="Times New Roman" w:hAnsi="Times New Roman"/>
          <w:sz w:val="18"/>
          <w:szCs w:val="18"/>
          <w:b w:val="1"/>
          <w:bCs w:val="1"/>
          <w:color w:val="auto"/>
        </w:rPr>
        <w:t>, E</w:t>
      </w:r>
      <w:r>
        <w:rPr>
          <w:rFonts w:ascii="Times New Roman" w:cs="Times New Roman" w:eastAsia="Times New Roman" w:hAnsi="Times New Roman"/>
          <w:sz w:val="14"/>
          <w:szCs w:val="14"/>
          <w:b w:val="1"/>
          <w:bCs w:val="1"/>
          <w:color w:val="auto"/>
        </w:rPr>
        <w:t>TC</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4.1. Additional Costs; Capital Adequacy.</w:t>
      </w:r>
    </w:p>
    <w:p>
      <w:pPr>
        <w:spacing w:after="0" w:line="121" w:lineRule="exact"/>
        <w:rPr>
          <w:sz w:val="20"/>
          <w:szCs w:val="20"/>
          <w:color w:val="auto"/>
        </w:rPr>
      </w:pPr>
    </w:p>
    <w:p>
      <w:pPr>
        <w:ind w:firstLine="436"/>
        <w:spacing w:after="0" w:line="253" w:lineRule="auto"/>
        <w:tabs>
          <w:tab w:leader="none" w:pos="68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 Adequacy</w:t>
      </w:r>
      <w:r>
        <w:rPr>
          <w:rFonts w:ascii="Times New Roman" w:cs="Times New Roman" w:eastAsia="Times New Roman" w:hAnsi="Times New Roman"/>
          <w:sz w:val="18"/>
          <w:szCs w:val="18"/>
          <w:color w:val="auto"/>
        </w:rPr>
        <w:t>. If any Lender or any Participant determines that compliance with any law or regulation or with any guideline or request from any central bank or other Governmental Authority issued or taking effect after the Agreement Date including any Regulatory Change (whether or not having the force of law) affects or would affect the amount of capital or liquidity required or expected to be maintained by such Lender or such Participant, or any corporation controlling such Lender or such Participant, as a consequence of, or with reference to, such Lender’s Commitments or its making, Converting to, Continuing of, or maintaining Loans or participating in Letters of Credit or Swingline Loans below the rate which such Lender or such Participant or such corporation controlling such Lender or such Participant could have achieved but for such compliance (taking into account the policies of such Lender or such Participant or such corporation with regard to capital), then the Borrower shall, from time to time, within thirty (30) days after written demand by such Lender or such Participant, pay to such Lender or such Participant additional amounts sufficient to compensate such Lender or such Participant or such corporation controlling such Lender or such Participant to the extent that such Lender or such Participant determines such increase in capital or liquidity is allocable to such Lender’s or such Participant’s obligations hereunder.</w:t>
      </w:r>
    </w:p>
    <w:p>
      <w:pPr>
        <w:spacing w:after="0" w:line="86" w:lineRule="exact"/>
        <w:rPr>
          <w:rFonts w:ascii="Times New Roman" w:cs="Times New Roman" w:eastAsia="Times New Roman" w:hAnsi="Times New Roman"/>
          <w:sz w:val="18"/>
          <w:szCs w:val="18"/>
          <w:color w:val="auto"/>
        </w:rPr>
      </w:pPr>
    </w:p>
    <w:p>
      <w:pPr>
        <w:ind w:firstLine="436"/>
        <w:spacing w:after="0" w:line="252" w:lineRule="auto"/>
        <w:tabs>
          <w:tab w:leader="none" w:pos="69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Costs.</w:t>
      </w:r>
      <w:r>
        <w:rPr>
          <w:rFonts w:ascii="Times New Roman" w:cs="Times New Roman" w:eastAsia="Times New Roman" w:hAnsi="Times New Roman"/>
          <w:sz w:val="18"/>
          <w:szCs w:val="18"/>
          <w:color w:val="auto"/>
        </w:rPr>
        <w:t xml:space="preserve"> In addition to, and not in limitation of the immediately preceding subsection, the Borrower shall promptly pay to the Administrative Agent for the account of a Lender from time to time such amounts as such Lender may determine to be necessary to compensate such Lender for any costs incurred by such Lender that it determines are attributable to its making, Converting to, Continuing of, or maintaining of any SOFR Loans or SOFR Margin Loans or its obligation to make any SOFR Loans hereunder, any reduction in any amount receivable by such Lender under this Agreement or any of the other Loan Documents in respect of any of such SOFR Loans or SOFR Margin Loans or such obligation or the maintenance by such Lender of capital in respect of its SOFR Loans or SOFR Margin Loans or its Commitments (such increases in costs and reductions in amounts receivable being herein called “</w:t>
      </w:r>
      <w:r>
        <w:rPr>
          <w:rFonts w:ascii="Times New Roman" w:cs="Times New Roman" w:eastAsia="Times New Roman" w:hAnsi="Times New Roman"/>
          <w:sz w:val="18"/>
          <w:szCs w:val="18"/>
          <w:b w:val="1"/>
          <w:bCs w:val="1"/>
          <w:color w:val="auto"/>
        </w:rPr>
        <w:t>Additional Costs</w:t>
      </w:r>
      <w:r>
        <w:rPr>
          <w:rFonts w:ascii="Times New Roman" w:cs="Times New Roman" w:eastAsia="Times New Roman" w:hAnsi="Times New Roman"/>
          <w:sz w:val="18"/>
          <w:szCs w:val="18"/>
          <w:color w:val="auto"/>
        </w:rPr>
        <w:t>”), to the extent resulting from any Regulatory Change that: (i) changes the basis of taxation of any amounts payable to such Lender under this Agreement or any of the other Loan Documents in respect of any of such SOFR Loans or SOFR Margin Loans or its Commitments (other than Indemnified Taxes, Taxes described in clauses (b) through (d) of the definition of Excluded Taxes and Connection Income Taxes), or (ii) imposes or modifies any reserve, special deposit or similar requirements (other than Regulation D of the FRB or other similar reserve requirement applicable to any other category of liabilities or category of extensions of credit or other assets by reference to which the interest rate on SOFR Loans or SOFR Margin Loans is determined to the extent utilized to determine Adjusted Daily Simple SOFR or Adjusted Term SOFR, as applicable, for such Loans) relating to any extensions of credit or other assets of, or any deposits with or other liabilities of, or other credit extended by, or any other acquisition of funds by such Lender (or its parent corporation), or any commitment of such Lender (including, without limitation, the Commitments of such Lender hereunder) or (iii) imposes on any Lender or the London interbank market any other condition, cost or expense (other than Taxes) affecting this Agreement or the Loans made by such Lender.</w:t>
      </w:r>
    </w:p>
    <w:p>
      <w:pPr>
        <w:spacing w:after="0" w:line="86" w:lineRule="exact"/>
        <w:rPr>
          <w:rFonts w:ascii="Times New Roman" w:cs="Times New Roman" w:eastAsia="Times New Roman" w:hAnsi="Times New Roman"/>
          <w:sz w:val="18"/>
          <w:szCs w:val="18"/>
          <w:color w:val="auto"/>
        </w:rPr>
      </w:pPr>
    </w:p>
    <w:p>
      <w:pPr>
        <w:ind w:right="40" w:firstLine="436"/>
        <w:spacing w:after="0" w:line="254" w:lineRule="auto"/>
        <w:tabs>
          <w:tab w:leader="none" w:pos="68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Lender’s Suspension of SOFR Loans and SOFR Margin Loans.</w:t>
      </w:r>
      <w:r>
        <w:rPr>
          <w:rFonts w:ascii="Times New Roman" w:cs="Times New Roman" w:eastAsia="Times New Roman" w:hAnsi="Times New Roman"/>
          <w:sz w:val="18"/>
          <w:szCs w:val="18"/>
          <w:color w:val="auto"/>
        </w:rPr>
        <w:t xml:space="preserve"> Without limiting the effect of the provisions of the immediately preceding subsection (a) and (b), if by reason of any Regulatory Change, any Lender either (i) incurs Additional Costs based on or measured by the excess above a specified level of the amount of a category of deposits or other liabilities of such Lender that includes deposits by reference to which the interest rate on SOFR Loans or SOFR Margin Loans is determined as provided in this Agreement or a category of extensions of credit or other assets of such Lender that includes SOFR Loans or SOFR Margin Loans or (ii) becomes subject to restrictions on the amount of such a category of liabilities or assets that it may hold, then, if such Lender so elects by notice to the Borrower (with a copy to the Administrative Agent), the obligation of such Lender to make or Continue, or to Convert Base Rate Loans into, SOFR Loans and/or the obligation of a Lender that has outstanding a Bid Rate Quote to make SOFR Margin Loans hereunder shall be suspended until such Regulatory Change ceases to be in effect (in which case the provisions of Section 4.5. shall apply).</w:t>
      </w:r>
    </w:p>
    <w:p>
      <w:pPr>
        <w:spacing w:after="0" w:line="120"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67 -</w:t>
      </w:r>
    </w:p>
    <w:p>
      <w:pPr>
        <w:sectPr>
          <w:pgSz w:w="11900" w:h="16838" w:orient="portrait"/>
          <w:cols w:equalWidth="0" w:num="1">
            <w:col w:w="11000"/>
          </w:cols>
          <w:pgMar w:left="440" w:top="266" w:right="459" w:bottom="1440" w:gutter="0" w:footer="0" w:header="0"/>
        </w:sectPr>
      </w:pPr>
    </w:p>
    <w:bookmarkStart w:id="77" w:name="page78"/>
    <w:bookmarkEnd w:id="77"/>
    <w:p>
      <w:pPr>
        <w:ind w:left="4" w:right="120" w:firstLine="436"/>
        <w:spacing w:after="0" w:line="272" w:lineRule="auto"/>
        <w:tabs>
          <w:tab w:leader="none" w:pos="699"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Additional Costs in Respect of Letters of Credit</w:t>
      </w:r>
      <w:r>
        <w:rPr>
          <w:rFonts w:ascii="Times New Roman" w:cs="Times New Roman" w:eastAsia="Times New Roman" w:hAnsi="Times New Roman"/>
          <w:sz w:val="17"/>
          <w:szCs w:val="17"/>
          <w:color w:val="auto"/>
        </w:rPr>
        <w:t>. Without limiting the obligations of the Borrower under the preceding subsections of this Section (but without duplication), if as a result of any Regulatory Change or any risk-based capital guideline or other requirement hereafter issued by any Governmental Authority there shall be imposed, modified or deemed applicable any Tax (other than Indemnified Taxes, Taxes described in clauses</w:t>
      </w:r>
    </w:p>
    <w:p>
      <w:pPr>
        <w:spacing w:after="0" w:line="1" w:lineRule="exact"/>
        <w:rPr>
          <w:rFonts w:ascii="Times New Roman" w:cs="Times New Roman" w:eastAsia="Times New Roman" w:hAnsi="Times New Roman"/>
          <w:sz w:val="17"/>
          <w:szCs w:val="17"/>
          <w:color w:val="auto"/>
        </w:rPr>
      </w:pPr>
    </w:p>
    <w:p>
      <w:pPr>
        <w:ind w:left="4" w:hanging="4"/>
        <w:spacing w:after="0" w:line="252" w:lineRule="auto"/>
        <w:tabs>
          <w:tab w:leader="none" w:pos="259"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(d) of the definition of Excluded Taxes and Connection Income Taxes), reserve, special deposit, capital adequacy or similar requirement against or with respect to or measured by reference to Letters of Credit and the result shall be to increase the cost to the Issuing Bank of issuing (or any Lender of purchasing participations in) or maintaining its obligation hereunder to issue (or purchase participations in) any Letter of Credit or reduce any amount receivable by the Issuing Bank or any Lender hereunder in respect of any Letter of Credit, then, upon demand by the Issuing Bank or such Lender, the Borrower shall pay promptly to the Issuing Bank or, in the case of such Lender, to the Administrative Agent for the account of such Lender, from time to time as specified by the Issuing Bank or such Lender, such additional amounts as shall be sufficient to compensate the Issuing Bank or such Lender for such increased costs or reductions in amount.</w:t>
      </w:r>
    </w:p>
    <w:p>
      <w:pPr>
        <w:spacing w:after="0" w:line="80" w:lineRule="exact"/>
        <w:rPr>
          <w:rFonts w:ascii="Times New Roman" w:cs="Times New Roman" w:eastAsia="Times New Roman" w:hAnsi="Times New Roman"/>
          <w:sz w:val="18"/>
          <w:szCs w:val="18"/>
          <w:color w:val="auto"/>
        </w:rPr>
      </w:pPr>
    </w:p>
    <w:p>
      <w:pPr>
        <w:ind w:left="4" w:firstLine="436"/>
        <w:spacing w:after="0" w:line="269" w:lineRule="auto"/>
        <w:tabs>
          <w:tab w:leader="none" w:pos="689" w:val="left"/>
        </w:tabs>
        <w:numPr>
          <w:ilvl w:val="1"/>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Notification and Determination of Additional Costs</w:t>
      </w:r>
      <w:r>
        <w:rPr>
          <w:rFonts w:ascii="Times New Roman" w:cs="Times New Roman" w:eastAsia="Times New Roman" w:hAnsi="Times New Roman"/>
          <w:sz w:val="17"/>
          <w:szCs w:val="17"/>
          <w:color w:val="auto"/>
        </w:rPr>
        <w:t>. Each of the Administrative Agent, Issuing Bank, each Lender, and each Participant, as the case may be, agrees to notify the Borrower of any event occurring after the Agreement Date entitling the Administrative Agent, the Issuing Bank, such Lender or such Participant to compensation under any of the preceding subsections of this Section as promptly as practicable; provided, however, that the failure of the Administrative Agent, the Issuing Bank, any Lender or any Participant to give such notice shall not release the Borrower from any of its obligations hereunder (and in the case of a Lender, to the Administrative Agent). The Administrative Agent, the Issuing Bank, each Lender and each Participant, as the case may be, agrees to furnish to the Borrower (and in the case of the Issuing Bank, a Lender or a Participant to the Administrative Agent as well) a certificate setting forth the basis and amount of each request for compensation under this Section. Determinations by the Administrative Agent, the Issuing Bank, such Lender, or such Participant, as the case may be, of the effect of any Regulatory Change shall be conclusive and binding for all purposes, absent manifest error and provided that such determinations are made on a reasonable basis and in good faith. Notwithstanding anything to the contrary contained in the preceding subsections of this Section 4.1., the Borrower shall not be required to compensate any Lender or any Participant for any such increased costs or reduced return incurred by such Lender or Participant more than one-hundred-eighty (180) days prior to such Lender’s or Participant’s written request to the Borrower for such compensation (except that if the event giving rise to the increased costs or reduced return is retroactive, then the one-hundred-eighty (180) day period referred to above shall be extended to include the period of retroactive effect thereof).</w:t>
      </w:r>
    </w:p>
    <w:p>
      <w:pPr>
        <w:spacing w:after="0" w:line="17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4.2. Inability to Determine Interest Rates; Alternative Rate of Interest.</w:t>
      </w:r>
    </w:p>
    <w:p>
      <w:pPr>
        <w:spacing w:after="0" w:line="121" w:lineRule="exact"/>
        <w:rPr>
          <w:sz w:val="20"/>
          <w:szCs w:val="20"/>
          <w:color w:val="auto"/>
        </w:rPr>
      </w:pPr>
    </w:p>
    <w:p>
      <w:pPr>
        <w:ind w:left="4" w:firstLine="436"/>
        <w:spacing w:after="0" w:line="253" w:lineRule="auto"/>
        <w:tabs>
          <w:tab w:leader="none" w:pos="689"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Circumstances Affecting Benchmark Availability</w:t>
      </w:r>
      <w:r>
        <w:rPr>
          <w:rFonts w:ascii="Times New Roman" w:cs="Times New Roman" w:eastAsia="Times New Roman" w:hAnsi="Times New Roman"/>
          <w:sz w:val="18"/>
          <w:szCs w:val="18"/>
          <w:color w:val="auto"/>
        </w:rPr>
        <w:t>. Subject to clause (b) below, in connection with any request for a SOFR Loan or a Conversion to or Continuation thereof or otherwise, if for any reason (i) the Administrative Agent shall determine (which determination shall be conclusive and binding absent manifest error) that reasonable and adequate means do not exist for ascertaining Adjusted Daily Simple SOFR pursuant to the definition thereof or Adjusted Term SOFR with respect to a proposed Term SOFR Loan on or prior to the first day of the applicable Interest Period or (ii) the Requisite Lenders shall determine (which determination shall be conclusive and binding absent manifest error) that Adjusted Daily Simple SOFR or Adjusted Term SOFR, as applicable, does not adequately and fairly reflect the cost to such Lenders of making or maintaining any such Loan during, with respect to Adjusted Term SOFR, such Interest Period and, in the case of clause (ii), the Requisite Lenders have provided notice of such determination to the Administrative Agent, then, in each case, the Administrative Agent shall promptly give notice thereof to the Borrower. Upon notice thereof by the Administrative Agent to the Borrower, any obligation of the Lenders to make SOFR Loans, and any right of the Borrower to convert any Loan to or continue any Loan as a SOFR Loan, shall be suspended (to the extent of the affected SOFR Loans or the</w:t>
      </w:r>
    </w:p>
    <w:p>
      <w:pPr>
        <w:spacing w:after="0" w:line="126"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68 -</w:t>
      </w:r>
    </w:p>
    <w:p>
      <w:pPr>
        <w:sectPr>
          <w:pgSz w:w="11900" w:h="16838" w:orient="portrait"/>
          <w:cols w:equalWidth="0" w:num="1">
            <w:col w:w="11004"/>
          </w:cols>
          <w:pgMar w:left="436" w:top="270" w:right="459" w:bottom="1440" w:gutter="0" w:footer="0" w:header="0"/>
        </w:sectPr>
      </w:pPr>
    </w:p>
    <w:bookmarkStart w:id="78" w:name="page79"/>
    <w:bookmarkEnd w:id="78"/>
    <w:p>
      <w:pPr>
        <w:ind w:right="1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affected Interest Periods) until the Administrative Agent (with respect to clause (ii), at the instruction of the Requisite Lenders) revokes such notice. Upon receipt of such notice, (A) the Borrower may revoke any pending request for a borrowing of, Conversion to or Continuation of SOFR Loans (to the extent of the affected SOFR Loans or the affected Interest Periods) or, failing that, the Borrower will be deemed to have converted any such request into a request for a borrowing of or Conversion to Base Rate Loans in the amount specified therein and (B) any outstanding affected SOFR Loans will be deemed to have been converted into Base Rate Loans (I) with respect to any Daily Simple SOFR Loans, immediately and (II) with respect to any Term SOFR Loans, at the end of the applicable Interest Period. Upon any such prepayment or Conversion, the Borrower shall also pay accrued interest on the amount so prepaid or converted, together with any additional amounts required pursuant to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ind w:left="700" w:hanging="264"/>
        <w:spacing w:after="0"/>
        <w:tabs>
          <w:tab w:leader="none" w:pos="7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Benchmark Replacement Setting</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980" w:right="40" w:firstLine="408"/>
        <w:spacing w:after="0" w:line="241" w:lineRule="auto"/>
        <w:tabs>
          <w:tab w:leader="none" w:pos="1596"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Benchmark Replacement</w:t>
      </w:r>
      <w:r>
        <w:rPr>
          <w:rFonts w:ascii="Times New Roman" w:cs="Times New Roman" w:eastAsia="Times New Roman" w:hAnsi="Times New Roman"/>
          <w:sz w:val="18"/>
          <w:szCs w:val="18"/>
          <w:color w:val="auto"/>
        </w:rPr>
        <w:t>. Notwithstanding anything to the contrary contained herein or in any other Loan Document, upon the occurrence of a Benchmark Transition Event with respect to any Benchmark, the Administrative Agent and the Borrower may amend this Agreement to replace such Benchmark with a Benchmark Replacement. Any such amendment with respect to a Benchmark Transition Event will become effective at 5:00 p.m. Pacific time on the fifth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Business Day after (i) the Administrative Agent and the Borrower have agreed to the terms of such proposed amendment and (ii) the Administrative Agent has posted such proposed amendment to all Lenders and the Borrower so long as the Administrative Agent has not received, by such time, written notice of objection to such amendment from Lenders comprising the Requisite Lenders. No replacement of a Benchmark with a Benchmark Replacement pursuant to this </w:t>
      </w:r>
      <w:r>
        <w:rPr>
          <w:rFonts w:ascii="Times New Roman" w:cs="Times New Roman" w:eastAsia="Times New Roman" w:hAnsi="Times New Roman"/>
          <w:sz w:val="18"/>
          <w:szCs w:val="18"/>
          <w:u w:val="single" w:color="auto"/>
          <w:color w:val="auto"/>
        </w:rPr>
        <w:t>Section 4.2.(b)(i).</w:t>
      </w:r>
      <w:r>
        <w:rPr>
          <w:rFonts w:ascii="Times New Roman" w:cs="Times New Roman" w:eastAsia="Times New Roman" w:hAnsi="Times New Roman"/>
          <w:sz w:val="18"/>
          <w:szCs w:val="18"/>
          <w:color w:val="auto"/>
        </w:rPr>
        <w:t xml:space="preserve"> will occur prior to the applicable Benchmark Transition Start Date. No Derivatives Contract shall be deemed to be a “Loan Document” for purposes of this </w:t>
      </w:r>
      <w:r>
        <w:rPr>
          <w:rFonts w:ascii="Times New Roman" w:cs="Times New Roman" w:eastAsia="Times New Roman" w:hAnsi="Times New Roman"/>
          <w:sz w:val="18"/>
          <w:szCs w:val="18"/>
          <w:u w:val="single" w:color="auto"/>
          <w:color w:val="auto"/>
        </w:rPr>
        <w:t>Section 4.2.(b)</w:t>
      </w:r>
      <w:r>
        <w:rPr>
          <w:rFonts w:ascii="Times New Roman" w:cs="Times New Roman" w:eastAsia="Times New Roman" w:hAnsi="Times New Roman"/>
          <w:sz w:val="18"/>
          <w:szCs w:val="18"/>
          <w:color w:val="auto"/>
        </w:rPr>
        <w:t>.</w:t>
      </w:r>
    </w:p>
    <w:p>
      <w:pPr>
        <w:spacing w:after="0" w:line="89" w:lineRule="exact"/>
        <w:rPr>
          <w:rFonts w:ascii="Times New Roman" w:cs="Times New Roman" w:eastAsia="Times New Roman" w:hAnsi="Times New Roman"/>
          <w:sz w:val="18"/>
          <w:szCs w:val="18"/>
          <w:color w:val="auto"/>
        </w:rPr>
      </w:pPr>
    </w:p>
    <w:p>
      <w:pPr>
        <w:ind w:left="980" w:right="260" w:firstLine="408"/>
        <w:spacing w:after="0" w:line="281" w:lineRule="auto"/>
        <w:tabs>
          <w:tab w:leader="none" w:pos="1646" w:val="left"/>
        </w:tabs>
        <w:numPr>
          <w:ilvl w:val="1"/>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Benchmark Replacement Conforming Changes</w:t>
      </w:r>
      <w:r>
        <w:rPr>
          <w:rFonts w:ascii="Times New Roman" w:cs="Times New Roman" w:eastAsia="Times New Roman" w:hAnsi="Times New Roman"/>
          <w:sz w:val="17"/>
          <w:szCs w:val="17"/>
          <w:color w:val="auto"/>
        </w:rPr>
        <w:t>. In connection with the use, administration, adoption or implementation of a Benchmark Replacement,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spacing w:after="0" w:line="56" w:lineRule="exact"/>
        <w:rPr>
          <w:rFonts w:ascii="Times New Roman" w:cs="Times New Roman" w:eastAsia="Times New Roman" w:hAnsi="Times New Roman"/>
          <w:sz w:val="17"/>
          <w:szCs w:val="17"/>
          <w:color w:val="auto"/>
        </w:rPr>
      </w:pPr>
    </w:p>
    <w:p>
      <w:pPr>
        <w:ind w:left="980" w:firstLine="408"/>
        <w:spacing w:after="0" w:line="253" w:lineRule="auto"/>
        <w:tabs>
          <w:tab w:leader="none" w:pos="1696"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 Standards for Decisions and Determinations</w:t>
      </w:r>
      <w:r>
        <w:rPr>
          <w:rFonts w:ascii="Times New Roman" w:cs="Times New Roman" w:eastAsia="Times New Roman" w:hAnsi="Times New Roman"/>
          <w:sz w:val="18"/>
          <w:szCs w:val="18"/>
          <w:color w:val="auto"/>
        </w:rPr>
        <w:t xml:space="preserve">. The Administrative Agent will promptly notify the Borrower and the Lenders of (i) the implementation of any Benchmark Replacement and (ii) the effectiveness of any Conforming Changes in connection with the use, administration, adoption or implementation of a Benchmark Replacement. The Administrative Agent will promptly notify the Borrower and the Lenders of the removal or reinstatement of any tenor of a Benchmark pursuant to </w:t>
      </w:r>
      <w:r>
        <w:rPr>
          <w:rFonts w:ascii="Times New Roman" w:cs="Times New Roman" w:eastAsia="Times New Roman" w:hAnsi="Times New Roman"/>
          <w:sz w:val="18"/>
          <w:szCs w:val="18"/>
          <w:u w:val="single" w:color="auto"/>
          <w:color w:val="auto"/>
        </w:rPr>
        <w:t>Section 4.2.(b)(iv)</w:t>
      </w:r>
      <w:r>
        <w:rPr>
          <w:rFonts w:ascii="Times New Roman" w:cs="Times New Roman" w:eastAsia="Times New Roman" w:hAnsi="Times New Roman"/>
          <w:sz w:val="18"/>
          <w:szCs w:val="18"/>
          <w:color w:val="auto"/>
        </w:rPr>
        <w:t xml:space="preserve">. Any determination, decision or election that may be made by the Administrative Agent or, if applicable, any Lender (or group of Lenders) pursuant to this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including any determination with respect to a tenor, rate or adjustment or of the occurrence or non-occurrence of an event, circumstance or date and any decision to take or refrain from taking any action, will be conclusive and binding absent manifest error and may be made in its or their sole discretion and without consent from any other party to this Agreement or any other Loan Document, except, in each case, as expressly required pursuant to clause (b) of this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(including in the definitions of defined terms used in such clauses).</w:t>
      </w:r>
    </w:p>
    <w:p>
      <w:pPr>
        <w:spacing w:after="0" w:line="126"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2"/>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69 -</w:t>
      </w:r>
    </w:p>
    <w:p>
      <w:pPr>
        <w:sectPr>
          <w:pgSz w:w="11900" w:h="16838" w:orient="portrait"/>
          <w:cols w:equalWidth="0" w:num="1">
            <w:col w:w="11000"/>
          </w:cols>
          <w:pgMar w:left="440" w:top="270" w:right="459" w:bottom="1440" w:gutter="0" w:footer="0" w:header="0"/>
        </w:sectPr>
      </w:pPr>
    </w:p>
    <w:bookmarkStart w:id="79" w:name="page80"/>
    <w:bookmarkEnd w:id="79"/>
    <w:p>
      <w:pPr>
        <w:ind w:left="980" w:right="80" w:firstLine="408"/>
        <w:spacing w:after="0" w:line="253" w:lineRule="auto"/>
        <w:tabs>
          <w:tab w:leader="none" w:pos="168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Unavailability of Tenor of Benchmark</w:t>
      </w:r>
      <w:r>
        <w:rPr>
          <w:rFonts w:ascii="Times New Roman" w:cs="Times New Roman" w:eastAsia="Times New Roman" w:hAnsi="Times New Roman"/>
          <w:sz w:val="18"/>
          <w:szCs w:val="18"/>
          <w:color w:val="auto"/>
        </w:rPr>
        <w:t>. Notwithstanding anything to the contrary herein or in any other Loan Document, at any time (including in connection with the implementation of a Benchmark Replacement), (A) if any then-current Benchmark is a term rate (including the Term SOFR Reference Rate) and either (1) any tenor for such Benchmark is not displayed on a screen or other information service that publishes such rate from time to time as selected by the Administrative Agent in its reasonable discretion or (2)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or non-representative tenor and (B) if a tenor that was removed pursuant to clause (A) above either (1) is subsequently displayed on a screen or information service for a Benchmark (including a Benchmark Replacement) or (2) is not, or is no longer, subject to an announcement that it is not or will not be representative for a Benchmark (including a Benchmark Replacement), then the Administrative Agent may modify the definition of “Interest Period” (or any similar or analogous definition) for all Benchmark settings at or after such time to reinstate such previously removed tenor.</w:t>
      </w:r>
    </w:p>
    <w:p>
      <w:pPr>
        <w:spacing w:after="0" w:line="81" w:lineRule="exact"/>
        <w:rPr>
          <w:rFonts w:ascii="Times New Roman" w:cs="Times New Roman" w:eastAsia="Times New Roman" w:hAnsi="Times New Roman"/>
          <w:sz w:val="18"/>
          <w:szCs w:val="18"/>
          <w:color w:val="auto"/>
        </w:rPr>
      </w:pPr>
    </w:p>
    <w:p>
      <w:pPr>
        <w:ind w:left="980" w:firstLine="408"/>
        <w:spacing w:after="0" w:line="253" w:lineRule="auto"/>
        <w:tabs>
          <w:tab w:leader="none" w:pos="163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Benchmark Unavailability Period</w:t>
      </w:r>
      <w:r>
        <w:rPr>
          <w:rFonts w:ascii="Times New Roman" w:cs="Times New Roman" w:eastAsia="Times New Roman" w:hAnsi="Times New Roman"/>
          <w:sz w:val="18"/>
          <w:szCs w:val="18"/>
          <w:color w:val="auto"/>
        </w:rPr>
        <w:t>. Upon the Borrower’s receipt of notice of the commencement of a Benchmark Unavailability Period with respect to a given Benchmark, (A) the Borrower may revoke any pending request for a borrowing of Revolving Loans, Conversion to, or a Continuation of any affected SOFR Loans to be made, converted or continued during any Benchmark Unavailability Period and, failing that, the Borrower will be deemed to have converted any such request into a request for a borrowing of Revolving Loans of or Conversion to Base Rate Loans and (B) any outstanding affected SOFR Loans will be deemed to have been converted to Base Rate Loans (I) with respect to any Daily Simple SOFR Loans, immediately and (II) with respect to any Term SOFR Loans, at the end of the applicable Interest Period. During any Benchmark Unavailability Period with respect to any Benchmark or at any time that a tenor for any then-current Benchmark is not an Available Tenor, the component of Base Rate based upon the then-current Benchmark that is the subject of such Benchmark Unavailability Period or such tenor for such Benchmark, as applicable, will not be used in any determination of Base Rate.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4.3. Illegality.</w:t>
      </w:r>
    </w:p>
    <w:p>
      <w:pPr>
        <w:spacing w:after="0" w:line="121" w:lineRule="exact"/>
        <w:rPr>
          <w:sz w:val="20"/>
          <w:szCs w:val="20"/>
          <w:color w:val="auto"/>
        </w:rPr>
      </w:pPr>
    </w:p>
    <w:p>
      <w:pPr>
        <w:ind w:firstLine="440"/>
        <w:spacing w:after="0" w:line="273" w:lineRule="auto"/>
        <w:rPr>
          <w:sz w:val="20"/>
          <w:szCs w:val="20"/>
          <w:color w:val="auto"/>
        </w:rPr>
      </w:pPr>
      <w:r>
        <w:rPr>
          <w:rFonts w:ascii="Times New Roman" w:cs="Times New Roman" w:eastAsia="Times New Roman" w:hAnsi="Times New Roman"/>
          <w:sz w:val="17"/>
          <w:szCs w:val="17"/>
          <w:color w:val="auto"/>
        </w:rPr>
        <w:t>Notwithstanding any other provision of this Agreement, (a) if any Lender shall reasonably determine (which determination shall be conclusive and binding) that it is unlawful for such Lender to honor its obligation to make, Convert to, Continue or maintain SOFR Loans hereunder and/or (b) if any Lender that has an outstanding Bid Rate Quote shall reasonably determine (which determination shall be conclusive and binding) that it is unlawful for such Lender to honor its obligation to make or maintain SOFR Margin Loans hereunder, then such Lender shall promptly notify the Borrower thereof (with a copy of such notice to the Administrative Agent) and such Lender’s obligation to make or Continue, or to Convert Loans of any other Type into, SOFR Loans shall be suspended and/or such Lender’s obligation to make SOFR Margin Loans shall be suspended, in each case, until such time as such Lender may again make and maintain SOFR Loans or SOFR Margin Loans (in which case the provisions of Section 4.5. shall be applicable).</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- 70 -</w:t>
      </w:r>
    </w:p>
    <w:p>
      <w:pPr>
        <w:sectPr>
          <w:pgSz w:w="11900" w:h="16838" w:orient="portrait"/>
          <w:cols w:equalWidth="0" w:num="1">
            <w:col w:w="11000"/>
          </w:cols>
          <w:pgMar w:left="440" w:top="270" w:right="4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4.4. Compensation.</w:t>
      </w:r>
    </w:p>
    <w:p>
      <w:pPr>
        <w:spacing w:after="0" w:line="121"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The Borrower shall pay to the Administrative Agent for the account of each Lender, upon the request of the Administrative Agent, such amount or amounts as the Administrative Agent shall determine in its reasonable discretion shall be sufficient to compensate such Lender for any loss, cost or expense attributable to:</w:t>
      </w:r>
    </w:p>
    <w:p>
      <w:pPr>
        <w:spacing w:after="0" w:line="68" w:lineRule="exact"/>
        <w:rPr>
          <w:sz w:val="20"/>
          <w:szCs w:val="20"/>
          <w:color w:val="auto"/>
        </w:rPr>
      </w:pPr>
    </w:p>
    <w:p>
      <w:pPr>
        <w:jc w:val="both"/>
        <w:ind w:left="440" w:right="20" w:firstLine="419"/>
        <w:spacing w:after="0" w:line="266" w:lineRule="auto"/>
        <w:tabs>
          <w:tab w:leader="none" w:pos="1108"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or prepayment (whether mandatory or optional) of a SOFR Loan or a Bid Rate Loan, or Conversion of a SOFR Loan, made by such Lender for any reason (including, without limitation, acceleration) on a date other than, with respect to any Term SOFR Loan, the last day of the Interest Period therefor; or</w:t>
      </w:r>
    </w:p>
    <w:p>
      <w:pPr>
        <w:spacing w:after="0" w:line="67" w:lineRule="exact"/>
        <w:rPr>
          <w:rFonts w:ascii="Times New Roman" w:cs="Times New Roman" w:eastAsia="Times New Roman" w:hAnsi="Times New Roman"/>
          <w:sz w:val="18"/>
          <w:szCs w:val="18"/>
          <w:color w:val="auto"/>
        </w:rPr>
      </w:pPr>
    </w:p>
    <w:p>
      <w:pPr>
        <w:jc w:val="both"/>
        <w:ind w:left="440" w:right="540" w:firstLine="419"/>
        <w:spacing w:after="0" w:line="289" w:lineRule="auto"/>
        <w:tabs>
          <w:tab w:leader="none" w:pos="1118"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failure by the Borrower for any reason (including, without limitation, the failure of any of the applicable conditions precedent specified in Article 5.2. to be satisfied) to borrow a SOFR Loan or a Bid Rate Loan from such Lender on the date for such borrowing, or to Convert a Base Rate Loan into a SOFR Loan, or Continue a SOFR Loan on the requested date of such Conversion or Continuation.</w:t>
      </w:r>
    </w:p>
    <w:p>
      <w:pPr>
        <w:spacing w:after="0" w:line="158"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Upon the Borrower’s request, the Administrative Agent shall provide the Borrower with a statement setting forth the basis for requesting such compensation and the method for determining the amount thereof. Any such statement shall be conclusive absent manifest error provided that such determination is made on a reasonable basis and in good faith.</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4.5. Treatment of Affected Loans.</w:t>
      </w:r>
    </w:p>
    <w:p>
      <w:pPr>
        <w:spacing w:after="0" w:line="121" w:lineRule="exact"/>
        <w:rPr>
          <w:sz w:val="20"/>
          <w:szCs w:val="20"/>
          <w:color w:val="auto"/>
        </w:rPr>
      </w:pPr>
    </w:p>
    <w:p>
      <w:pPr>
        <w:ind w:left="440" w:right="140" w:firstLine="419"/>
        <w:spacing w:after="0" w:line="255" w:lineRule="auto"/>
        <w:tabs>
          <w:tab w:leader="none" w:pos="110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obligation of any Lender to make SOFR Loans or to Continue, or to Convert Base Rate Loans into, SOFR Loans shall be suspended pursuant to Section 4.1.(c), Section 4.2. or Section 4.3. then such Lender’s (x) Daily Simple SOFR Loans shall be automatically Converted to Base Rate Loans as of such date or (y) Term SOFR Loans shall be automatically Converted into Base Rate Loans on the last day(s) of the then current Interest Period(s) for Term SOFR Loans (or, in the case of a Conversion required by Section 4.1.(c), Section 4.2., or Section 4.3. on such earlier date as such Lender may specify to the Borrower with a copy to the Administrative Agent) and, unless and until such Lender gives notice as provided below that the circumstances specified in Section 4.1., Section 4.2. or Section 4.3. that gave rise to such Conversion no longer exist:</w:t>
      </w:r>
    </w:p>
    <w:p>
      <w:pPr>
        <w:spacing w:after="0" w:line="81" w:lineRule="exact"/>
        <w:rPr>
          <w:sz w:val="20"/>
          <w:szCs w:val="20"/>
          <w:color w:val="auto"/>
        </w:rPr>
      </w:pPr>
    </w:p>
    <w:p>
      <w:pPr>
        <w:ind w:left="440" w:firstLine="419"/>
        <w:spacing w:after="0" w:line="282" w:lineRule="auto"/>
        <w:tabs>
          <w:tab w:leader="none" w:pos="107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such Lender’s SOFR Loans have been so Converted, all payments and prepayments of principal that would otherwise be applied to such Lender’s SOFR Loans shall be applied instead to its Base Rate Loans; and</w:t>
      </w:r>
    </w:p>
    <w:p>
      <w:pPr>
        <w:spacing w:after="0" w:line="53" w:lineRule="exact"/>
        <w:rPr>
          <w:rFonts w:ascii="Times New Roman" w:cs="Times New Roman" w:eastAsia="Times New Roman" w:hAnsi="Times New Roman"/>
          <w:sz w:val="18"/>
          <w:szCs w:val="18"/>
          <w:color w:val="auto"/>
        </w:rPr>
      </w:pPr>
    </w:p>
    <w:p>
      <w:pPr>
        <w:ind w:left="440" w:right="140" w:firstLine="419"/>
        <w:spacing w:after="0" w:line="282" w:lineRule="auto"/>
        <w:tabs>
          <w:tab w:leader="none" w:pos="112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Loans that would otherwise be made or Continued by such Lender as SOFR Loans shall be made or Continued instead as Base Rate Loans, and all Base Rate Loans of such Lender that would otherwise be Converted into SOFR Loans shall remain as Base Rate Loans.</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If such Lender gives notice to the Borrower (with a copy to the Administrative Agent) that the circumstances specified in Section 4.1.(c) or 4.3. that gave rise to the Conversion of such Lender’s SOFR Loans pursuant to this Section no longer exist (which such Lender agrees to do promptly upon such circumstances ceasing to exist) at a time when SOFR Loans made by other Lenders are outstanding, then such Lender’s Base Rate Loans shall be automatically Converted, on the first day(s) of the next succeeding (x) interest payment date for such outstanding Daily Simple SOFR Loans (y) Interest Period(s) for such outstanding Term SOFR Loans, to the extent necessary so that, after giving effect thereto, all Loans held by the Lenders holding Daily Simple SOFR Loans and/or Term SOFR Loans, as applicable, and by such Lender are held pro rata (as to principal amounts, Types, and Interest Periods) in accordance with their respective Commitments.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- 71 -</w:t>
      </w:r>
    </w:p>
    <w:p>
      <w:pPr>
        <w:sectPr>
          <w:pgSz w:w="11900" w:h="16838" w:orient="portrait"/>
          <w:cols w:equalWidth="0" w:num="1">
            <w:col w:w="11000"/>
          </w:cols>
          <w:pgMar w:left="440" w:top="266" w:right="459" w:bottom="1440" w:gutter="0" w:footer="0" w:header="0"/>
        </w:sectPr>
      </w:pPr>
    </w:p>
    <w:bookmarkStart w:id="81" w:name="page82"/>
    <w:bookmarkEnd w:id="81"/>
    <w:p>
      <w:pPr>
        <w:ind w:right="40" w:firstLine="436"/>
        <w:spacing w:after="0" w:line="256" w:lineRule="auto"/>
        <w:tabs>
          <w:tab w:leader="none" w:pos="69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obligation of a Lender to make SOFR Margin Loans shall be suspended pursuant to Section 4.1.(c) or 4.2., then, to the extent payable on such date with a borrowing of Revolving Loans hereunder, the SOFR Margin Loans of such Lender shall be automatically due and payable on such date as such Lender may specify to the Borrower by written notice with a copy to the Administrative Agent; provided that to the extent a borrowing of Revolving Loans in such amount is not available hereunder, then, unless otherwise provided to the contrary in an agreement between the Borrower and the provider of such SOFR Margin Loans, the rate applicable to such Loans shall automatically be converted on such date in to Loans bearing interest at the Base Rate.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4.6. Affected Lenders.</w:t>
      </w:r>
    </w:p>
    <w:p>
      <w:pPr>
        <w:spacing w:after="0" w:line="121"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If (a) a Lender requests compensation pursuant to Section 3.10. or 4.1., and the Requisite Lenders are not also doing the same, or (b) the obligation of any Lender to make SOFR Loans or to Continue, or to Convert Base Rate Loans into, SOFR Loans shall be suspended pursuant to Section 4.1.(b) or 4.3. but the obligation of the Requisite Lenders shall not have been suspended under such Sections, or (c) a Lender does not vote in favor of any amendment, modification or waiver to this Agreement or any other Loan Document which, pursuant to Section 12.7., requires the vote of such Lender, and the Requisite Lenders shall have voted in favor of such amendment, modification or waiver or (d) a Lender becomes a Defaulting Lender, then, so long as there does not then exist any Event of Default, the Borrower may demand that such Lender (the “</w:t>
      </w:r>
      <w:r>
        <w:rPr>
          <w:rFonts w:ascii="Times New Roman" w:cs="Times New Roman" w:eastAsia="Times New Roman" w:hAnsi="Times New Roman"/>
          <w:sz w:val="18"/>
          <w:szCs w:val="18"/>
          <w:b w:val="1"/>
          <w:bCs w:val="1"/>
          <w:color w:val="auto"/>
        </w:rPr>
        <w:t>Affected Lender</w:t>
      </w:r>
      <w:r>
        <w:rPr>
          <w:rFonts w:ascii="Times New Roman" w:cs="Times New Roman" w:eastAsia="Times New Roman" w:hAnsi="Times New Roman"/>
          <w:sz w:val="18"/>
          <w:szCs w:val="18"/>
          <w:color w:val="auto"/>
        </w:rPr>
        <w:t>”), and upon such demand the Affected Lender shall promptly, assign its Commitment to an Eligible Assignee subject to and in accordance with the provisions of Section 12.6.(b) for a purchase price equal to (x) the aggregate principal balance of all Loans then owing to the Affected Lender, plus (y) the aggregate amount of payments previously made by the Affected Lender under Section 2.3.(j) that have not been repaid, plus (z) any accrued but unpaid interest thereon and accrued but unpaid fees owing to the Affected Lender, or any other amount as may be mutually agreed upon by such Affected Lender and Eligible Assignee. Each of the Administrative Agent and the Affected Lender shall reasonably cooperate in effectuating the replacement of such Affected Lender under this Section, but at no time shall the Administrative Agent, such Affected Lender nor any other Lender nor any Titled Agent be obligated in any way whatsoever to initiate any such replacement or to assist in finding an Eligible Assignee. The exercise by the Borrower of its rights under this Section shall be at the Borrower’s sole cost and expense and at no cost or expense to the Administrative Agent, the Affected Lender or any of the other Lenders. The terms of this Section 4.6. shall not in any way limit the Borrower’s obligation to pay to any Affected Lender compensation owing to such Affected Lender pursuant to this Agreement (including, without limitation, pursuant to Sections 3.10., 4.1. or 4.4.) with respect to any period up to the date of replacement.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4.7. Change of Lending Office.</w:t>
      </w:r>
    </w:p>
    <w:p>
      <w:pPr>
        <w:spacing w:after="0" w:line="121" w:lineRule="exact"/>
        <w:rPr>
          <w:sz w:val="20"/>
          <w:szCs w:val="20"/>
          <w:color w:val="auto"/>
        </w:rPr>
      </w:pPr>
    </w:p>
    <w:p>
      <w:pPr>
        <w:ind w:right="160" w:firstLine="440"/>
        <w:spacing w:after="0" w:line="258" w:lineRule="auto"/>
        <w:rPr>
          <w:sz w:val="20"/>
          <w:szCs w:val="20"/>
          <w:color w:val="auto"/>
        </w:rPr>
      </w:pPr>
      <w:r>
        <w:rPr>
          <w:rFonts w:ascii="Times New Roman" w:cs="Times New Roman" w:eastAsia="Times New Roman" w:hAnsi="Times New Roman"/>
          <w:sz w:val="18"/>
          <w:szCs w:val="18"/>
          <w:color w:val="auto"/>
        </w:rPr>
        <w:t>Each Lender agrees that it will use reasonable efforts (consistent with its internal policy and legal and regulatory restrictions) to designate an alternate Lending Office with respect to any of its Loans affected by the matters or circumstances described in Sections 3.10., 4.1. or 4.3. to reduce the liability of the Borrower or avoid the results provided thereunder, so long as such designation is not disadvantageous to such Lender as determined by such Lender in its sole discretion, except that such Lender shall have no obligation to designate a Lending Office located in the United States of America.</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- 72 -</w:t>
      </w:r>
    </w:p>
    <w:p>
      <w:pPr>
        <w:sectPr>
          <w:pgSz w:w="11900" w:h="16838" w:orient="portrait"/>
          <w:cols w:equalWidth="0" w:num="1">
            <w:col w:w="11000"/>
          </w:cols>
          <w:pgMar w:left="440" w:top="270" w:right="4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4.8. Assumptions Concerning Funding of SOFR Loans.</w:t>
      </w:r>
    </w:p>
    <w:p>
      <w:pPr>
        <w:spacing w:after="0" w:line="121"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Calculation of all amounts payable to a Lender under this Article shall be made as though such Lender had actually funded Daily Simple SOFR Loans and/or Term SOFR Loans, as applicable, through the purchase of deposits in the relevant market bearing interest at the rate applicable to such Daily Simple SOFR Loans and/or Term SOFR Loans, as applicable, in an amount equal to the amount of such Daily Simple SOFR Loans and/or Term SOFR Loans, as applicable, and having a maturity comparable to the relevant interest payment date or Interest Period, as applicable; provided, however, that each Lender may fund each of its Daily Simple SOFR Loans and/or Term SOFR Loans, as applicable, in any manner it sees fit and the foregoing assumption shall be used only for calculation of amounts payable under this Article.</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18"/>
          <w:szCs w:val="18"/>
          <w:b w:val="1"/>
          <w:bCs w:val="1"/>
          <w:color w:val="auto"/>
        </w:rPr>
        <w:t xml:space="preserve"> V. C</w:t>
      </w:r>
      <w:r>
        <w:rPr>
          <w:rFonts w:ascii="Times New Roman" w:cs="Times New Roman" w:eastAsia="Times New Roman" w:hAnsi="Times New Roman"/>
          <w:sz w:val="14"/>
          <w:szCs w:val="14"/>
          <w:b w:val="1"/>
          <w:bCs w:val="1"/>
          <w:color w:val="auto"/>
        </w:rPr>
        <w:t>ONDITIONS</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RECEDENT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5.1. Initial Conditions Precedent.</w:t>
      </w:r>
    </w:p>
    <w:p>
      <w:pPr>
        <w:spacing w:after="0" w:line="121"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The obligation of the Lenders to effect or permit the occurrence of the first Credit Event hereunder, whether as the making of a Loan or the issuance of a Letter of Credit, is subject to the satisfaction or waiver of the following conditions precedent:</w:t>
      </w:r>
    </w:p>
    <w:p>
      <w:pPr>
        <w:spacing w:after="0" w:line="54" w:lineRule="exact"/>
        <w:rPr>
          <w:sz w:val="20"/>
          <w:szCs w:val="20"/>
          <w:color w:val="auto"/>
        </w:rPr>
      </w:pPr>
    </w:p>
    <w:p>
      <w:pPr>
        <w:ind w:left="680" w:hanging="244"/>
        <w:spacing w:after="0"/>
        <w:tabs>
          <w:tab w:leader="none" w:pos="6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each of the following, in form and substance satisfactory to the Administrative Agent:</w:t>
      </w:r>
    </w:p>
    <w:p>
      <w:pPr>
        <w:spacing w:after="0" w:line="117"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counterparts of this Agreement executed by each of the parties hereto;</w:t>
      </w:r>
    </w:p>
    <w:p>
      <w:pPr>
        <w:spacing w:after="0" w:line="117" w:lineRule="exact"/>
        <w:rPr>
          <w:rFonts w:ascii="Times New Roman" w:cs="Times New Roman" w:eastAsia="Times New Roman" w:hAnsi="Times New Roman"/>
          <w:sz w:val="18"/>
          <w:szCs w:val="18"/>
          <w:color w:val="auto"/>
        </w:rPr>
      </w:pPr>
    </w:p>
    <w:p>
      <w:pPr>
        <w:ind w:left="440" w:right="40" w:firstLine="419"/>
        <w:spacing w:after="0" w:line="282" w:lineRule="auto"/>
        <w:tabs>
          <w:tab w:leader="none" w:pos="1128"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Revolving Notes and Bid Rate Notes executed by the Borrower, payable to each applicable Lender (including any Designated Lender, if applicable) and complying with the terms of Section 2.11.(a) and the Swingline Note executed by the Borrower;</w:t>
      </w:r>
    </w:p>
    <w:p>
      <w:pPr>
        <w:spacing w:after="0" w:line="53"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Guaranty executed by each of the Guarantors, if applicable, initially to be a party thereto;</w:t>
      </w:r>
    </w:p>
    <w:p>
      <w:pPr>
        <w:spacing w:after="0" w:line="117" w:lineRule="exact"/>
        <w:rPr>
          <w:rFonts w:ascii="Times New Roman" w:cs="Times New Roman" w:eastAsia="Times New Roman" w:hAnsi="Times New Roman"/>
          <w:sz w:val="18"/>
          <w:szCs w:val="18"/>
          <w:color w:val="auto"/>
        </w:rPr>
      </w:pPr>
    </w:p>
    <w:p>
      <w:pPr>
        <w:ind w:left="440" w:right="1020" w:firstLine="419"/>
        <w:spacing w:after="0" w:line="282" w:lineRule="auto"/>
        <w:tabs>
          <w:tab w:leader="none" w:pos="1168"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of Pillsbury Winthrop Shaw Pittman LLP, counsel to the Borrower and the other Loan Parties, addressed to the Administrative Agent and the Lenders and covering the matters set forth in Exhibit O;</w:t>
      </w:r>
    </w:p>
    <w:p>
      <w:pPr>
        <w:spacing w:after="0" w:line="53" w:lineRule="exact"/>
        <w:rPr>
          <w:rFonts w:ascii="Times New Roman" w:cs="Times New Roman" w:eastAsia="Times New Roman" w:hAnsi="Times New Roman"/>
          <w:sz w:val="18"/>
          <w:szCs w:val="18"/>
          <w:color w:val="auto"/>
        </w:rPr>
      </w:pPr>
    </w:p>
    <w:p>
      <w:pPr>
        <w:ind w:left="440" w:right="140" w:firstLine="419"/>
        <w:spacing w:after="0" w:line="266" w:lineRule="auto"/>
        <w:tabs>
          <w:tab w:leader="none" w:pos="1118"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 or articles of incorporation or formation, articles of organization, certificate of limited partnership, declaration of trust or other comparable organizational instrument (if any) of each Loan Party certified as of a recent date by the Secretary of State of the state of formation of such Loan Party;</w:t>
      </w:r>
    </w:p>
    <w:p>
      <w:pPr>
        <w:spacing w:after="0" w:line="67" w:lineRule="exact"/>
        <w:rPr>
          <w:rFonts w:ascii="Times New Roman" w:cs="Times New Roman" w:eastAsia="Times New Roman" w:hAnsi="Times New Roman"/>
          <w:sz w:val="18"/>
          <w:szCs w:val="18"/>
          <w:color w:val="auto"/>
        </w:rPr>
      </w:pPr>
    </w:p>
    <w:p>
      <w:pPr>
        <w:ind w:left="440" w:right="180" w:firstLine="419"/>
        <w:spacing w:after="0" w:line="281" w:lineRule="auto"/>
        <w:tabs>
          <w:tab w:leader="none" w:pos="1168" w:val="left"/>
        </w:tabs>
        <w:numPr>
          <w:ilvl w:val="1"/>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certificate of good standing (or certificate of similar meaning) with respect to each Loan Party issued as of a recent date by the Secretary of State of the state of formation of each such Loan Party and certificates of qualification to transact business or other comparable certificates issued as of a recent date by each Secretary of State (and any state department of taxation, as applicable) of each state in which such Loan Party is required to be so qualified and where failure to be so qualified could reasonably be expected to have a Material Adverse Effect;</w:t>
      </w:r>
    </w:p>
    <w:p>
      <w:pPr>
        <w:spacing w:after="0" w:line="56" w:lineRule="exact"/>
        <w:rPr>
          <w:rFonts w:ascii="Times New Roman" w:cs="Times New Roman" w:eastAsia="Times New Roman" w:hAnsi="Times New Roman"/>
          <w:sz w:val="17"/>
          <w:szCs w:val="17"/>
          <w:color w:val="auto"/>
        </w:rPr>
      </w:pPr>
    </w:p>
    <w:p>
      <w:pPr>
        <w:ind w:left="440" w:right="240" w:firstLine="419"/>
        <w:spacing w:after="0" w:line="261" w:lineRule="auto"/>
        <w:tabs>
          <w:tab w:leader="none" w:pos="1218"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incumbency signed by the Secretary or Assistant Secretary (or other individual performing similar functions) of each Loan Party with respect to each of the officers of such Loan Party authorized to execute and deliver the Loan Documents to which such Loan Party is a party, and in the case of the Borrower, authorized to execute and deliver on behalf of the Borrower Notices of Borrowing, Notices of Swingline Borrowing, requests for Letters of Credit, Notices of Conversion and Notices of Continuation;</w:t>
      </w:r>
    </w:p>
    <w:p>
      <w:pPr>
        <w:spacing w:after="0" w:line="112"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2"/>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73 -</w:t>
      </w:r>
    </w:p>
    <w:p>
      <w:pPr>
        <w:sectPr>
          <w:pgSz w:w="11900" w:h="16838" w:orient="portrait"/>
          <w:cols w:equalWidth="0" w:num="1">
            <w:col w:w="10960"/>
          </w:cols>
          <w:pgMar w:left="440" w:top="266" w:right="499" w:bottom="1440" w:gutter="0" w:footer="0" w:header="0"/>
        </w:sectPr>
      </w:pPr>
    </w:p>
    <w:bookmarkStart w:id="83" w:name="page84"/>
    <w:bookmarkEnd w:id="83"/>
    <w:p>
      <w:pPr>
        <w:ind w:left="4" w:right="20" w:firstLine="419"/>
        <w:spacing w:after="0" w:line="281" w:lineRule="auto"/>
        <w:tabs>
          <w:tab w:leader="none" w:pos="831" w:val="left"/>
        </w:tabs>
        <w:numPr>
          <w:ilvl w:val="1"/>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copies certified by the Secretary or Assistant Secretary (or other individual performing similar functions) of each Loan Party of (A) the by-laws of such Loan Party, if a corporation, the operating agreement, if a limited liability company, the partnership agreement, if a limited or general partnership, or other comparable document in the case of any other form of legal entity and (B) all corporate, partnership, member or other necessary action taken by such Loan Party to authorize the execution, delivery and performance of the Loan Documents to which it is a party;</w:t>
      </w:r>
    </w:p>
    <w:p>
      <w:pPr>
        <w:spacing w:after="0" w:line="56" w:lineRule="exact"/>
        <w:rPr>
          <w:rFonts w:ascii="Times New Roman" w:cs="Times New Roman" w:eastAsia="Times New Roman" w:hAnsi="Times New Roman"/>
          <w:sz w:val="17"/>
          <w:szCs w:val="17"/>
          <w:color w:val="auto"/>
        </w:rPr>
      </w:pPr>
    </w:p>
    <w:p>
      <w:pPr>
        <w:ind w:left="724" w:hanging="301"/>
        <w:spacing w:after="0"/>
        <w:tabs>
          <w:tab w:leader="none" w:pos="724"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Compliance Certificate calculated on a pro forma basis for the Borrower’s fiscal quarter ending June 30, 2022;</w:t>
      </w:r>
    </w:p>
    <w:p>
      <w:pPr>
        <w:spacing w:after="0" w:line="117" w:lineRule="exact"/>
        <w:rPr>
          <w:rFonts w:ascii="Times New Roman" w:cs="Times New Roman" w:eastAsia="Times New Roman" w:hAnsi="Times New Roman"/>
          <w:sz w:val="18"/>
          <w:szCs w:val="18"/>
          <w:color w:val="auto"/>
        </w:rPr>
      </w:pPr>
    </w:p>
    <w:p>
      <w:pPr>
        <w:ind w:left="684" w:hanging="261"/>
        <w:spacing w:after="0"/>
        <w:tabs>
          <w:tab w:leader="none" w:pos="684"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Disbursement Instruction Agreement effective as of the Agreement Date;</w:t>
      </w:r>
    </w:p>
    <w:p>
      <w:pPr>
        <w:spacing w:after="0" w:line="117" w:lineRule="exact"/>
        <w:rPr>
          <w:rFonts w:ascii="Times New Roman" w:cs="Times New Roman" w:eastAsia="Times New Roman" w:hAnsi="Times New Roman"/>
          <w:sz w:val="18"/>
          <w:szCs w:val="18"/>
          <w:color w:val="auto"/>
        </w:rPr>
      </w:pPr>
    </w:p>
    <w:p>
      <w:pPr>
        <w:ind w:left="724" w:hanging="301"/>
        <w:spacing w:after="0"/>
        <w:tabs>
          <w:tab w:leader="none" w:pos="724"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omitted];</w:t>
      </w:r>
    </w:p>
    <w:p>
      <w:pPr>
        <w:spacing w:after="0" w:line="117" w:lineRule="exact"/>
        <w:rPr>
          <w:rFonts w:ascii="Times New Roman" w:cs="Times New Roman" w:eastAsia="Times New Roman" w:hAnsi="Times New Roman"/>
          <w:sz w:val="18"/>
          <w:szCs w:val="18"/>
          <w:color w:val="auto"/>
        </w:rPr>
      </w:pPr>
    </w:p>
    <w:p>
      <w:pPr>
        <w:ind w:left="4" w:right="20" w:firstLine="419"/>
        <w:spacing w:after="0" w:line="266" w:lineRule="auto"/>
        <w:tabs>
          <w:tab w:leader="none" w:pos="781"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that the Fees, if any, then due and payable under Section 3.5., together with all other fees, expenses and reimbursement amounts due and payable to the Administrative Agent and the Arrangers, including without limitation, the reasonable fees and expenses of counsel to the Administrative Agent, have been paid;</w:t>
      </w:r>
    </w:p>
    <w:p>
      <w:pPr>
        <w:spacing w:after="0" w:line="67" w:lineRule="exact"/>
        <w:rPr>
          <w:rFonts w:ascii="Times New Roman" w:cs="Times New Roman" w:eastAsia="Times New Roman" w:hAnsi="Times New Roman"/>
          <w:sz w:val="18"/>
          <w:szCs w:val="18"/>
          <w:color w:val="auto"/>
        </w:rPr>
      </w:pPr>
    </w:p>
    <w:p>
      <w:pPr>
        <w:ind w:left="4" w:right="60" w:firstLine="419"/>
        <w:spacing w:after="0" w:line="282" w:lineRule="auto"/>
        <w:tabs>
          <w:tab w:leader="none" w:pos="831"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documents, agreements and instruments as the Administrative Agent, or any Lender through the Administrative Agent, may reasonably request; and</w:t>
      </w:r>
    </w:p>
    <w:p>
      <w:pPr>
        <w:spacing w:after="0" w:line="53"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good faith judgment of the Administrative Agent:</w:t>
      </w:r>
    </w:p>
    <w:p>
      <w:pPr>
        <w:spacing w:after="0" w:line="117" w:lineRule="exact"/>
        <w:rPr>
          <w:rFonts w:ascii="Times New Roman" w:cs="Times New Roman" w:eastAsia="Times New Roman" w:hAnsi="Times New Roman"/>
          <w:sz w:val="18"/>
          <w:szCs w:val="18"/>
          <w:color w:val="auto"/>
        </w:rPr>
      </w:pPr>
    </w:p>
    <w:p>
      <w:pPr>
        <w:ind w:left="4" w:right="20" w:firstLine="419"/>
        <w:spacing w:after="0" w:line="261" w:lineRule="auto"/>
        <w:tabs>
          <w:tab w:leader="none" w:pos="641"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not have occurred or become known to the Administrative Agent or any of the Lenders any event, condition, situation or status since the date of the information contained in the financial and business projections, budgets, pro forma data and forecasts concerning the Borrower and its Subsidiaries delivered to the Administrative Agent and the Lenders prior to the Agreement Date that has had or could reasonably be expected to result in a Material Adverse Effect;</w:t>
      </w:r>
    </w:p>
    <w:p>
      <w:pPr>
        <w:spacing w:after="0" w:line="71" w:lineRule="exact"/>
        <w:rPr>
          <w:rFonts w:ascii="Times New Roman" w:cs="Times New Roman" w:eastAsia="Times New Roman" w:hAnsi="Times New Roman"/>
          <w:sz w:val="18"/>
          <w:szCs w:val="18"/>
          <w:color w:val="auto"/>
        </w:rPr>
      </w:pPr>
    </w:p>
    <w:p>
      <w:pPr>
        <w:ind w:left="4" w:right="60" w:firstLine="419"/>
        <w:spacing w:after="0" w:line="261" w:lineRule="auto"/>
        <w:tabs>
          <w:tab w:leader="none" w:pos="691"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litigation, action, suit, investigation or other arbitral, administrative or judicial proceeding shall be pending or threatened which could reasonably be expected to (A) result in a Material Adverse Effect or (B) restrain or enjoin, impose materially burdensome conditions on, or otherwise materially and adversely affect, the ability of the Borrower or any other Loan Party to fulfill its obligations under the Loan Documents to which it is a party;</w:t>
      </w:r>
    </w:p>
    <w:p>
      <w:pPr>
        <w:spacing w:after="0" w:line="71" w:lineRule="exact"/>
        <w:rPr>
          <w:rFonts w:ascii="Times New Roman" w:cs="Times New Roman" w:eastAsia="Times New Roman" w:hAnsi="Times New Roman"/>
          <w:sz w:val="18"/>
          <w:szCs w:val="18"/>
          <w:color w:val="auto"/>
        </w:rPr>
      </w:pPr>
    </w:p>
    <w:p>
      <w:pPr>
        <w:ind w:left="4" w:firstLine="419"/>
        <w:spacing w:after="0" w:line="255" w:lineRule="auto"/>
        <w:tabs>
          <w:tab w:leader="none" w:pos="741"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and its Subsidiaries shall have received all approvals, consents and waivers, and shall have made or given all necessary filings and notices as shall be required to consummate the transactions contemplated hereby without the occurrence of any default under, conflict with or violation of (A) any Applicable Law or (B) any agreement, document or instrument to which any Loan Party is a party or by which any of them or their respective properties is bound, except for such approvals, consents, waivers, filings and notices the receipt, making or giving of which could not reasonably be likely to (A) have a Material Adverse Effect, or (B) restrain or enjoin impose materially burdensome conditions on, or otherwise materially and adversely affect the ability of the Borrower or any other Loan Party to fulfill its obligations under the Loan Documents to which it is a party;</w:t>
      </w:r>
    </w:p>
    <w:p>
      <w:pPr>
        <w:spacing w:after="0" w:line="121" w:lineRule="exact"/>
        <w:rPr>
          <w:rFonts w:ascii="Times New Roman" w:cs="Times New Roman" w:eastAsia="Times New Roman" w:hAnsi="Times New Roman"/>
          <w:sz w:val="18"/>
          <w:szCs w:val="18"/>
          <w:color w:val="auto"/>
        </w:rPr>
      </w:pPr>
    </w:p>
    <w:p>
      <w:pPr>
        <w:ind w:left="4984" w:hanging="111"/>
        <w:spacing w:after="0"/>
        <w:tabs>
          <w:tab w:leader="none" w:pos="4984" w:val="left"/>
        </w:tabs>
        <w:numPr>
          <w:ilvl w:val="2"/>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74 -</w:t>
      </w:r>
    </w:p>
    <w:p>
      <w:pPr>
        <w:sectPr>
          <w:pgSz w:w="11900" w:h="16838" w:orient="portrait"/>
          <w:cols w:equalWidth="0" w:num="1">
            <w:col w:w="10584"/>
          </w:cols>
          <w:pgMar w:left="876" w:top="270" w:right="439" w:bottom="1440" w:gutter="0" w:footer="0" w:header="0"/>
        </w:sectPr>
      </w:pPr>
    </w:p>
    <w:bookmarkStart w:id="84" w:name="page85"/>
    <w:bookmarkEnd w:id="84"/>
    <w:p>
      <w:pPr>
        <w:ind w:left="444" w:right="160" w:firstLine="419"/>
        <w:spacing w:after="0" w:line="266" w:lineRule="auto"/>
        <w:tabs>
          <w:tab w:leader="none" w:pos="1172"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Borrower and each other Loan Party shall have provided to the Administrative Agent and the Lenders the documentation and other information requested by the Administrative Agent in order to comply with the requirements of any Anti-Money Laundering Laws, including, without limitation, the PATRIOT Act and any applicable “know your customer” rules and regulations;</w:t>
      </w:r>
    </w:p>
    <w:p>
      <w:pPr>
        <w:spacing w:after="0" w:line="67" w:lineRule="exact"/>
        <w:rPr>
          <w:rFonts w:ascii="Times New Roman" w:cs="Times New Roman" w:eastAsia="Times New Roman" w:hAnsi="Times New Roman"/>
          <w:sz w:val="18"/>
          <w:szCs w:val="18"/>
          <w:color w:val="auto"/>
        </w:rPr>
      </w:pPr>
    </w:p>
    <w:p>
      <w:pPr>
        <w:ind w:left="444" w:right="40" w:firstLine="419"/>
        <w:spacing w:after="0" w:line="266" w:lineRule="auto"/>
        <w:tabs>
          <w:tab w:leader="none" w:pos="1122"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Loan Party or Subsidiary thereof that qualifies as a “legal entity customer” under the Beneficial Ownership Regulation shall have delivered to the Administrative Agent, and any Lender requesting the same, a Beneficial Ownership Certification in relation to such Loan Party or such Subsidiary, in each case at least five Business Days prior to the Agreement Date; and</w:t>
      </w:r>
    </w:p>
    <w:p>
      <w:pPr>
        <w:spacing w:after="0" w:line="67" w:lineRule="exact"/>
        <w:rPr>
          <w:rFonts w:ascii="Times New Roman" w:cs="Times New Roman" w:eastAsia="Times New Roman" w:hAnsi="Times New Roman"/>
          <w:sz w:val="18"/>
          <w:szCs w:val="18"/>
          <w:color w:val="auto"/>
        </w:rPr>
      </w:pPr>
    </w:p>
    <w:p>
      <w:pPr>
        <w:ind w:left="444" w:right="180" w:firstLine="419"/>
        <w:spacing w:after="0" w:line="282" w:lineRule="auto"/>
        <w:tabs>
          <w:tab w:leader="none" w:pos="1172"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not have occurred or exist any other material disruption of financial or capital markets that could reasonably be expected to materially and adversely affect the transactions contemplated by the Loan Documents.</w:t>
      </w:r>
    </w:p>
    <w:p>
      <w:pPr>
        <w:spacing w:after="0" w:line="1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5.2. Conditions Precedent to All Loans and Letters of Credit.</w:t>
      </w:r>
    </w:p>
    <w:p>
      <w:pPr>
        <w:spacing w:after="0" w:line="121" w:lineRule="exact"/>
        <w:rPr>
          <w:sz w:val="20"/>
          <w:szCs w:val="20"/>
          <w:color w:val="auto"/>
        </w:rPr>
      </w:pPr>
    </w:p>
    <w:p>
      <w:pPr>
        <w:jc w:val="both"/>
        <w:ind w:left="4" w:right="340" w:firstLine="440"/>
        <w:spacing w:after="0" w:line="272" w:lineRule="auto"/>
        <w:rPr>
          <w:sz w:val="20"/>
          <w:szCs w:val="20"/>
          <w:color w:val="auto"/>
        </w:rPr>
      </w:pPr>
      <w:r>
        <w:rPr>
          <w:rFonts w:ascii="Times New Roman" w:cs="Times New Roman" w:eastAsia="Times New Roman" w:hAnsi="Times New Roman"/>
          <w:sz w:val="17"/>
          <w:szCs w:val="17"/>
          <w:color w:val="auto"/>
        </w:rPr>
        <w:t>The obligations of (i) Lenders to make any Loans and (ii) the Issuing Bank to issue Letters of Credit are each subject to the further conditions precedent that: (a) no Default or Event of Default shall exist as of the date of the making of such Loan or date of issuance of such Letter of Credit or would exist immediately after giving effect thereto, and no violation of the limits described in Section 2.15. would occur after giving effect thereto;</w:t>
      </w:r>
    </w:p>
    <w:p>
      <w:pPr>
        <w:spacing w:after="0" w:line="2" w:lineRule="exact"/>
        <w:rPr>
          <w:sz w:val="20"/>
          <w:szCs w:val="20"/>
          <w:color w:val="auto"/>
        </w:rPr>
      </w:pPr>
    </w:p>
    <w:p>
      <w:pPr>
        <w:ind w:left="4" w:hanging="4"/>
        <w:spacing w:after="0" w:line="251" w:lineRule="auto"/>
        <w:tabs>
          <w:tab w:leader="none" w:pos="259"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made or deemed made by the Borrower and each other Loan Party in the Loan Documents to which any of them is a party, shall be true and correct in all material respects (except in the case of a representation or warranty qualified by materiality, in which case such representation or warranty shall be true and correct in all respects) on and as of the date of the making of such Loan or date of issuance of such Letter of Credit with the same force and effect as if made on and as of such date except to the extent that such representations and warranties expressly relate solely to an earlier date (in which case such representations and warranties shall have been true and correct in all material respects (except in the case of a representation or warranty qualified by materiality, in which case such representation or warranty shall be true and correct in all respects) on and as of such earlier date) and except for changes in factual circumstances not prohibited hereunder and (c) in the case of the borrowing of Revolving Loans, the Administrative Agent shall have received a timely Notice of Borrowing, or in the case of a Swingline Loan, the Swingline Lender shall have received a timely Notice of Swingline Borrowing. Each Credit Event shall constitute a certification by the Borrower to the effect set forth in the preceding sentence (both as of the date of the giving of notice relating to such Credit Event and, unless the Borrower otherwise notifies the Administrative Agent prior to the date of such Credit Event, as of the date of the occurrence of such Credit Event). In addition, the Borrower shall be deemed to have represented to the Administrative Agent and the Lenders at the time any Loan is made or any Letter of Credit is issued that all conditions to the making of such Loan or issuing of such Letter of Credit contained in this Article V. have been satisfied. Unless set forth in writing to the contrary, the making of its initial Loan by a Lender shall constitute a certification by such Lender to the Administrative Agent and the other Lenders that the conditions precedent for initial Loans set forth in Section 5.1. that have not previously been waived by the Lenders in accordance with the terms of this Agreement have been satisfied.</w:t>
      </w:r>
    </w:p>
    <w:p>
      <w:pPr>
        <w:spacing w:after="0" w:line="122"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75 -</w:t>
      </w:r>
    </w:p>
    <w:p>
      <w:pPr>
        <w:sectPr>
          <w:pgSz w:w="11900" w:h="16838" w:orient="portrait"/>
          <w:cols w:equalWidth="0" w:num="1">
            <w:col w:w="11004"/>
          </w:cols>
          <w:pgMar w:left="436" w:top="270" w:right="459" w:bottom="1440" w:gutter="0" w:footer="0" w:header="0"/>
        </w:sectPr>
      </w:pPr>
    </w:p>
    <w:bookmarkStart w:id="85" w:name="page86"/>
    <w:bookmarkEnd w:id="8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18"/>
          <w:szCs w:val="18"/>
          <w:b w:val="1"/>
          <w:bCs w:val="1"/>
          <w:color w:val="auto"/>
        </w:rPr>
        <w:t xml:space="preserve"> VI. R</w:t>
      </w:r>
      <w:r>
        <w:rPr>
          <w:rFonts w:ascii="Times New Roman" w:cs="Times New Roman" w:eastAsia="Times New Roman" w:hAnsi="Times New Roman"/>
          <w:sz w:val="14"/>
          <w:szCs w:val="14"/>
          <w:b w:val="1"/>
          <w:bCs w:val="1"/>
          <w:color w:val="auto"/>
        </w:rPr>
        <w:t>EPRESENTATIONS AND</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ARRANTIES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6.1. Representations and Warranties.</w:t>
      </w:r>
    </w:p>
    <w:p>
      <w:pPr>
        <w:spacing w:after="0" w:line="121"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In order to induce the Administrative Agent and each Lender to enter into this Agreement and to make Loans and, in the case of the Issuing Bank, to issue Letters of Credit, the Borrower represents and warrants to the Administrative Agent, the Issuing Bank and each Lender as follows:</w:t>
      </w:r>
    </w:p>
    <w:p>
      <w:pPr>
        <w:spacing w:after="0" w:line="54" w:lineRule="exact"/>
        <w:rPr>
          <w:sz w:val="20"/>
          <w:szCs w:val="20"/>
          <w:color w:val="auto"/>
        </w:rPr>
      </w:pPr>
    </w:p>
    <w:p>
      <w:pPr>
        <w:ind w:right="20" w:firstLine="436"/>
        <w:spacing w:after="0" w:line="253" w:lineRule="auto"/>
        <w:tabs>
          <w:tab w:leader="none" w:pos="68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Power; Qualification</w:t>
      </w:r>
      <w:r>
        <w:rPr>
          <w:rFonts w:ascii="Times New Roman" w:cs="Times New Roman" w:eastAsia="Times New Roman" w:hAnsi="Times New Roman"/>
          <w:sz w:val="18"/>
          <w:szCs w:val="18"/>
          <w:color w:val="auto"/>
        </w:rPr>
        <w:t>. Each of the Borrower, the other Loan Parties and the other Subsidiaries is a corporation, partnership or other legal entity, duly organized or formed, validly existing and in good standing under the jurisdiction of its incorporation or formation, has the power and authority to own or lease its respective properties and to carry on its respective business as now being and hereafter proposed to be conducted and is duly qualified and is in good standing as a foreign corporation, partnership or other legal entity, and authorized to do business, in each jurisdiction in which the character of its properties or the nature of its business requires such qualification or authorization and where the failure to be so qualified or authorized could reasonably be expected to have, in each instance, a Material Adverse Effect. The Parent is a real estate investment trust, duly organized or formed, validly existing and in good standing under the laws of the State of Maryland, has the power and authority to own or lease its assets and to carry on its business as now being and hereafter proposed to be conducted and is duly qualified and is in good standing, and authorized to do business, in each jurisdiction in which the character of its assets or the nature of its business requires such qualification or authorization and where the failure to be so qualified or authorized could reasonably be expected to have a Material Adverse Effect.</w:t>
      </w:r>
    </w:p>
    <w:p>
      <w:pPr>
        <w:spacing w:after="0" w:line="86" w:lineRule="exact"/>
        <w:rPr>
          <w:rFonts w:ascii="Times New Roman" w:cs="Times New Roman" w:eastAsia="Times New Roman" w:hAnsi="Times New Roman"/>
          <w:sz w:val="18"/>
          <w:szCs w:val="18"/>
          <w:color w:val="auto"/>
        </w:rPr>
      </w:pPr>
    </w:p>
    <w:p>
      <w:pPr>
        <w:ind w:right="60" w:firstLine="436"/>
        <w:spacing w:after="0" w:line="252" w:lineRule="auto"/>
        <w:tabs>
          <w:tab w:leader="none" w:pos="69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Ownership Structure</w:t>
      </w:r>
      <w:r>
        <w:rPr>
          <w:rFonts w:ascii="Times New Roman" w:cs="Times New Roman" w:eastAsia="Times New Roman" w:hAnsi="Times New Roman"/>
          <w:sz w:val="18"/>
          <w:szCs w:val="18"/>
          <w:color w:val="auto"/>
        </w:rPr>
        <w:t>. Part I of Schedule 6.1.(b) is, as of the Agreement Date, a complete and correct list of all Subsidiaries of the Parent, the General Partner and the Borrower setting forth for each such Subsidiary, (i) the jurisdiction of organization of such Subsidiary, (ii) each Person holding any Equity Interest in such Subsidiary, (iii) the nature of the Equity Interests held by each such Person, (iv) the percentage of ownership of such Subsidiary represented by such Equity Interests and (v) in the case of Subsidiaries of the Borrower, whether such Subsidiary is a Material Subsidiary and/or an Excluded Subsidiary and whether such Subsidiary owns a Non-Controlled Property (and, if so, which one(s)). As of the Agreement Date, except as disclosed in such Schedule, (A) each of the Parent, the General Partner and the Borrower and its respective Subsidiaries owns, free and clear of all Liens (other than Permitted Liens), and has the unencumbered right to vote, all outstanding Equity Interests in each Person shown to be held by it on such Schedule, (B) all of the issued and outstanding capital stock of each such Person organized as a corporation is validly issued, fully paid and nonassessable and (C) there are no outstanding subscriptions, options, warrants, commitments, preemptive rights or agreements of any kind (including, without limitation, any stockholders’ or voting trust agreements) for the issuance, sale, registration or voting of, or outstanding securities convertible into, any additional shares of capital stock of any class, or partnership or other ownership interests of any type in, any such Person. As of the Agreement Date, Part II of Schedule 6.1.(b) correctly sets forth all Unconsolidated Affiliates of the Parent, the General Partner and the Borrower, including the correct legal name of such Person, the type of legal entity which each such Person is, and all Equity Interests in such Person held directly or indirectly by the Parent, the General Partner and the Borrower.</w:t>
      </w:r>
    </w:p>
    <w:p>
      <w:pPr>
        <w:spacing w:after="0" w:line="89" w:lineRule="exact"/>
        <w:rPr>
          <w:rFonts w:ascii="Times New Roman" w:cs="Times New Roman" w:eastAsia="Times New Roman" w:hAnsi="Times New Roman"/>
          <w:sz w:val="18"/>
          <w:szCs w:val="18"/>
          <w:color w:val="auto"/>
        </w:rPr>
      </w:pPr>
    </w:p>
    <w:p>
      <w:pPr>
        <w:ind w:firstLine="436"/>
        <w:spacing w:after="0" w:line="254" w:lineRule="auto"/>
        <w:tabs>
          <w:tab w:leader="none" w:pos="68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of Loan Documents and Borrowings</w:t>
      </w:r>
      <w:r>
        <w:rPr>
          <w:rFonts w:ascii="Times New Roman" w:cs="Times New Roman" w:eastAsia="Times New Roman" w:hAnsi="Times New Roman"/>
          <w:sz w:val="18"/>
          <w:szCs w:val="18"/>
          <w:color w:val="auto"/>
        </w:rPr>
        <w:t>. The Borrower has the right and power, and has taken all necessary action to authorize it, to borrow and obtain other extensions of credit hereunder. The Borrower and each other Loan Party has the right and power, and has taken all necessary action to authorize it, to execute, deliver and perform each of the Loan Documents and the Fee Letter to which it is a party in accordance with their respective terms and to consummate the transactions contemplated hereby and thereby. The Loan Documents and the Fee Letter to which the Borrower or any other Loan Party is a party have been duly executed and delivered by the duly authorized officers of such Person and each is a legal, valid and binding obligation of such Person enforceable against such Person in accordance with its respective terms, except as the same may be limited by bankruptcy, insolvency, and other similar laws affecting the rights of creditors generally and the availability of equitable remedies for the enforcement of certain obligations (other than the payment of principal) contained herein or therein and as may be limited by equitable principles generally.</w:t>
      </w:r>
    </w:p>
    <w:p>
      <w:pPr>
        <w:spacing w:after="0" w:line="124"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76 -</w:t>
      </w:r>
    </w:p>
    <w:p>
      <w:pPr>
        <w:sectPr>
          <w:pgSz w:w="11900" w:h="16838" w:orient="portrait"/>
          <w:cols w:equalWidth="0" w:num="1">
            <w:col w:w="11000"/>
          </w:cols>
          <w:pgMar w:left="440" w:top="266" w:right="459" w:bottom="1440" w:gutter="0" w:footer="0" w:header="0"/>
        </w:sectPr>
      </w:pPr>
    </w:p>
    <w:bookmarkStart w:id="86" w:name="page87"/>
    <w:bookmarkEnd w:id="86"/>
    <w:p>
      <w:pPr>
        <w:ind w:left="-436" w:right="20" w:firstLine="436"/>
        <w:spacing w:after="0" w:line="255" w:lineRule="auto"/>
        <w:tabs>
          <w:tab w:leader="none" w:pos="259"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Compliance of Loan Documents with Laws</w:t>
      </w:r>
      <w:r>
        <w:rPr>
          <w:rFonts w:ascii="Times New Roman" w:cs="Times New Roman" w:eastAsia="Times New Roman" w:hAnsi="Times New Roman"/>
          <w:sz w:val="18"/>
          <w:szCs w:val="18"/>
          <w:color w:val="auto"/>
        </w:rPr>
        <w:t>. The execution, delivery and performance of this Agreement, the other Loan Documents to which any Loan Party is a party and of the Fee Letter in accordance with their respective terms and the borrowings and other extensions of credit hereunder do not: (i) require any Governmental Approval or violate any Applicable Law (including all Environmental Laws) relating to the Borrower or any other Loan Party; (ii) conflict with, result in a breach of or constitute a default under the organizational documents of any Loan Party, or any indenture, agreement or other instrument to which the Borrower or any other Loan Party is a party or by which it or any of its respective properties may be bound; or (iii) result in or require the creation or imposition of any Lien upon or with respect to any property now owned or hereafter acquired by any Loan Party other than in favor of the Administrative Agent for its benefit and the benefit of the Lenders and the Issuing Bank.</w:t>
      </w:r>
    </w:p>
    <w:p>
      <w:pPr>
        <w:spacing w:after="0" w:line="80" w:lineRule="exact"/>
        <w:rPr>
          <w:rFonts w:ascii="Times New Roman" w:cs="Times New Roman" w:eastAsia="Times New Roman" w:hAnsi="Times New Roman"/>
          <w:sz w:val="18"/>
          <w:szCs w:val="18"/>
          <w:color w:val="auto"/>
        </w:rPr>
      </w:pPr>
    </w:p>
    <w:p>
      <w:pPr>
        <w:ind w:left="-436" w:right="40" w:firstLine="436"/>
        <w:spacing w:after="0" w:line="261" w:lineRule="auto"/>
        <w:tabs>
          <w:tab w:leader="none" w:pos="249"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Law; Governmental Approvals</w:t>
      </w:r>
      <w:r>
        <w:rPr>
          <w:rFonts w:ascii="Times New Roman" w:cs="Times New Roman" w:eastAsia="Times New Roman" w:hAnsi="Times New Roman"/>
          <w:sz w:val="18"/>
          <w:szCs w:val="18"/>
          <w:color w:val="auto"/>
        </w:rPr>
        <w:t>. Each of the Parent, the General Partner, the Borrower, the other Loan Parties and the other Subsidiaries is in compliance with each Governmental Approval applicable to it and all other Applicable Laws (including, without limitation, Environmental Laws) relating to it except for noncompliances which, and Governmental Approvals the failure to possess which, could not, individually or in the aggregate, reasonably be expected to cause a Default or Event of Default or have a Material Adverse Effect.</w:t>
      </w:r>
    </w:p>
    <w:p>
      <w:pPr>
        <w:spacing w:after="0" w:line="71" w:lineRule="exact"/>
        <w:rPr>
          <w:rFonts w:ascii="Times New Roman" w:cs="Times New Roman" w:eastAsia="Times New Roman" w:hAnsi="Times New Roman"/>
          <w:sz w:val="18"/>
          <w:szCs w:val="18"/>
          <w:color w:val="auto"/>
        </w:rPr>
      </w:pPr>
    </w:p>
    <w:p>
      <w:pPr>
        <w:ind w:left="-436" w:right="100" w:firstLine="436"/>
        <w:spacing w:after="0" w:line="261" w:lineRule="auto"/>
        <w:tabs>
          <w:tab w:leader="none" w:pos="229"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to Properties; Liens</w:t>
      </w:r>
      <w:r>
        <w:rPr>
          <w:rFonts w:ascii="Times New Roman" w:cs="Times New Roman" w:eastAsia="Times New Roman" w:hAnsi="Times New Roman"/>
          <w:sz w:val="18"/>
          <w:szCs w:val="18"/>
          <w:color w:val="auto"/>
        </w:rPr>
        <w:t>. Part I of Schedule 6.1.(f) is, as of the Agreement Date, a complete and correct listing of all real estate assets of the Borrower, each other Loan Party and each other Subsidiary. Each of the Borrower, each other Loan Party and each other Subsidiary has good, marketable and legal title to, or a valid leasehold interest in, its respective assets. As of the Agreement Date, there are no Liens against the assets of the Borrower, the Loan Parties or any Subsidiary other than Permitted Liens.</w:t>
      </w:r>
    </w:p>
    <w:p>
      <w:pPr>
        <w:spacing w:after="0" w:line="71" w:lineRule="exact"/>
        <w:rPr>
          <w:rFonts w:ascii="Times New Roman" w:cs="Times New Roman" w:eastAsia="Times New Roman" w:hAnsi="Times New Roman"/>
          <w:sz w:val="18"/>
          <w:szCs w:val="18"/>
          <w:color w:val="auto"/>
        </w:rPr>
      </w:pPr>
    </w:p>
    <w:p>
      <w:pPr>
        <w:ind w:left="-436" w:firstLine="436"/>
        <w:spacing w:after="0" w:line="258" w:lineRule="auto"/>
        <w:tabs>
          <w:tab w:leader="none" w:pos="259"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Existing Indebtedness</w:t>
      </w:r>
      <w:r>
        <w:rPr>
          <w:rFonts w:ascii="Times New Roman" w:cs="Times New Roman" w:eastAsia="Times New Roman" w:hAnsi="Times New Roman"/>
          <w:sz w:val="18"/>
          <w:szCs w:val="18"/>
          <w:color w:val="auto"/>
        </w:rPr>
        <w:t>. Schedule 6.1.(g) is, as of June 30, 2022, a complete and correct listing of all Indebtedness (including all Guarantees but excluding dividends payable, accounts payable and Off-Balance Sheet Obligations) of each of the Borrower, the other Loan Parties and the other Subsidiaries having an outstanding principal balance in excess of $1,000,000, and if such Indebtedness is secured by any Lien. Except as set forth on such Schedule, from June 30, 2022 through the Agreement Date, neither the Borrower nor any of its Subsidiaries has incurred any Indebtedness having an outstanding principal balance in excess of $1,000,000 in the aggregate.</w:t>
      </w:r>
    </w:p>
    <w:p>
      <w:pPr>
        <w:spacing w:after="0" w:line="7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Affected Financial Institution</w:t>
      </w:r>
      <w:r>
        <w:rPr>
          <w:rFonts w:ascii="Times New Roman" w:cs="Times New Roman" w:eastAsia="Times New Roman" w:hAnsi="Times New Roman"/>
          <w:sz w:val="18"/>
          <w:szCs w:val="18"/>
          <w:color w:val="auto"/>
        </w:rPr>
        <w:t>. None of the Parent, the General Partner or any Loan Party is an Affected Financial Institution.</w:t>
      </w:r>
    </w:p>
    <w:p>
      <w:pPr>
        <w:spacing w:after="0" w:line="117" w:lineRule="exact"/>
        <w:rPr>
          <w:rFonts w:ascii="Times New Roman" w:cs="Times New Roman" w:eastAsia="Times New Roman" w:hAnsi="Times New Roman"/>
          <w:sz w:val="18"/>
          <w:szCs w:val="18"/>
          <w:color w:val="auto"/>
        </w:rPr>
      </w:pPr>
    </w:p>
    <w:p>
      <w:pPr>
        <w:ind w:left="-436" w:firstLine="436"/>
        <w:spacing w:after="0" w:line="255" w:lineRule="auto"/>
        <w:tabs>
          <w:tab w:leader="none" w:pos="219"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Except as set forth on Schedule 6.1.(i), there are no actions, suits or proceedings pending (nor, to the knowledge of any Loan Party, are there any actions, suits or proceedings threatened) against or in any other way relating adversely to or affecting the Parent, the General Partner, the Borrower, any other Loan Party, any other Subsidiary or any of their respective property in any court or before any arbitrator of any kind or before or by any other Governmental Authority which, (i) could reasonably be expected to have a Material Adverse Effect or (ii) in any manner draws into question the validity or enforceability of any Loan Document or the Fee Letter. There are no strikes, slow downs, work stoppages or walkouts or other labor disputes in progress or threatened relating to the Borrower, any Subsidiary or any other Loan Party which could reasonably be expected to have a Material Adverse Effect.</w:t>
      </w:r>
    </w:p>
    <w:p>
      <w:pPr>
        <w:spacing w:after="0" w:line="80" w:lineRule="exact"/>
        <w:rPr>
          <w:rFonts w:ascii="Times New Roman" w:cs="Times New Roman" w:eastAsia="Times New Roman" w:hAnsi="Times New Roman"/>
          <w:sz w:val="18"/>
          <w:szCs w:val="18"/>
          <w:color w:val="auto"/>
        </w:rPr>
      </w:pPr>
    </w:p>
    <w:p>
      <w:pPr>
        <w:ind w:left="-436" w:right="20" w:firstLine="436"/>
        <w:spacing w:after="0" w:line="255" w:lineRule="auto"/>
        <w:tabs>
          <w:tab w:leader="none" w:pos="219"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All federal, state and other tax returns of the Parent, the General Partner, the Borrower, each other Loan Party and each other Subsidiary required by Applicable Law to be filed have been duly filed, and all federal, state and other taxes, assessments and other governmental charges or levies upon, the Parent, the General Partner, each Loan Party, each other Subsidiary and their respective properties, income, profits and assets which are due and payable have been paid, except any such nonpayment or non-filing which is at the time permitted under Section 7.6. As of the Agreement Date, none of the United States income tax returns of the Borrower, any other Loan Party or any other Subsidiary is under audit. All charges, accruals and reserves on the books of the Borrower, the other Loan Parties and the other Subsidiaries in respect of any taxes or other governmental charges are in accordance with GAAP.</w:t>
      </w:r>
    </w:p>
    <w:p>
      <w:pPr>
        <w:spacing w:after="0" w:line="121" w:lineRule="exact"/>
        <w:rPr>
          <w:rFonts w:ascii="Times New Roman" w:cs="Times New Roman" w:eastAsia="Times New Roman" w:hAnsi="Times New Roman"/>
          <w:sz w:val="18"/>
          <w:szCs w:val="18"/>
          <w:color w:val="auto"/>
        </w:rPr>
      </w:pPr>
    </w:p>
    <w:p>
      <w:pPr>
        <w:ind w:left="4984" w:hanging="111"/>
        <w:spacing w:after="0"/>
        <w:tabs>
          <w:tab w:leader="none" w:pos="4984"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77 -</w:t>
      </w:r>
    </w:p>
    <w:p>
      <w:pPr>
        <w:sectPr>
          <w:pgSz w:w="11900" w:h="16838" w:orient="portrait"/>
          <w:cols w:equalWidth="0" w:num="1">
            <w:col w:w="10524"/>
          </w:cols>
          <w:pgMar w:left="876" w:top="270" w:right="499" w:bottom="1440" w:gutter="0" w:footer="0" w:header="0"/>
        </w:sectPr>
      </w:pPr>
    </w:p>
    <w:bookmarkStart w:id="87" w:name="page88"/>
    <w:bookmarkEnd w:id="87"/>
    <w:p>
      <w:pPr>
        <w:ind w:left="-436" w:right="40" w:firstLine="436"/>
        <w:spacing w:after="0" w:line="253" w:lineRule="auto"/>
        <w:tabs>
          <w:tab w:leader="none" w:pos="259"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Statements</w:t>
      </w:r>
      <w:r>
        <w:rPr>
          <w:rFonts w:ascii="Times New Roman" w:cs="Times New Roman" w:eastAsia="Times New Roman" w:hAnsi="Times New Roman"/>
          <w:sz w:val="18"/>
          <w:szCs w:val="18"/>
          <w:color w:val="auto"/>
        </w:rPr>
        <w:t>. The Borrower has furnished to each Lender copies of (i) the audited consolidated balance sheet of the Borrower and its consolidated Subsidiaries for the fiscal years ended December 31, 2020 and December 31, 2021, and the related audited consolidated statements of operations, shareholders’ equity and cash flow for the fiscal years ended on such dates, with the opinion thereon of Grant Thornton LLP, and (ii) the unaudited consolidated balance sheet of the Borrower and its consolidated Subsidiaries for the fiscal quarter ended June 30, 2022, and the related unaudited consolidated statements of operations, shareholders’ equity and cash flow of the Borrower and its consolidated Subsidiaries for the one fiscal quarter period ended on such date. Such financial statements (including in each case related schedules and notes) are complete and present fairly, in accordance with GAAP consistently applied throughout the periods involved, the consolidated financial position of the Borrower and its consolidated Subsidiaries as at their respective dates and the results of operations and the cash flow for such periods (subject, as to interim statements, to changes resulting from normal year-end audit adjustments). Neither the Borrower nor any of its Subsidiaries has on the Agreement Date any material contingent liabilities, liabilities, liabilities for taxes, unusual or long-term commitments or unrealized or forward anticipated losses from any unfavorable commitments that would be required to be set forth in its financial statements or notes thereto, except as referred to or reflected or provided for in said financial statements.</w:t>
      </w:r>
    </w:p>
    <w:p>
      <w:pPr>
        <w:spacing w:after="0" w:line="81" w:lineRule="exact"/>
        <w:rPr>
          <w:rFonts w:ascii="Times New Roman" w:cs="Times New Roman" w:eastAsia="Times New Roman" w:hAnsi="Times New Roman"/>
          <w:sz w:val="18"/>
          <w:szCs w:val="18"/>
          <w:color w:val="auto"/>
        </w:rPr>
      </w:pPr>
    </w:p>
    <w:p>
      <w:pPr>
        <w:ind w:left="-436" w:firstLine="436"/>
        <w:spacing w:after="0" w:line="282" w:lineRule="auto"/>
        <w:tabs>
          <w:tab w:leader="none" w:pos="219"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Adverse Change</w:t>
      </w:r>
      <w:r>
        <w:rPr>
          <w:rFonts w:ascii="Times New Roman" w:cs="Times New Roman" w:eastAsia="Times New Roman" w:hAnsi="Times New Roman"/>
          <w:sz w:val="18"/>
          <w:szCs w:val="18"/>
          <w:color w:val="auto"/>
        </w:rPr>
        <w:t>. Since December 31, 2021, there has been no event, change, circumstance or occurrence that could reasonably be expected to have a Material Adverse Effect. Each of the Borrower, the other Loan Parties and the other Subsidiaries is Solvent.</w:t>
      </w:r>
    </w:p>
    <w:p>
      <w:pPr>
        <w:spacing w:after="0" w:line="53" w:lineRule="exact"/>
        <w:rPr>
          <w:rFonts w:ascii="Times New Roman" w:cs="Times New Roman" w:eastAsia="Times New Roman" w:hAnsi="Times New Roman"/>
          <w:sz w:val="18"/>
          <w:szCs w:val="18"/>
          <w:color w:val="auto"/>
        </w:rPr>
      </w:pPr>
    </w:p>
    <w:p>
      <w:pPr>
        <w:ind w:left="304" w:hanging="304"/>
        <w:spacing w:after="0"/>
        <w:tabs>
          <w:tab w:leader="none" w:pos="304"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firstLine="419"/>
        <w:spacing w:after="0" w:line="253" w:lineRule="auto"/>
        <w:tabs>
          <w:tab w:leader="none" w:pos="641"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Benefit Arrangement is in compliance with the applicable provisions of ERISA, the Internal Revenue Code and other Applicable Laws except for noncompliance that would not be expected to result in the occurrence of a Material Adverse Effect. Except with respect to Multiemployer Plans, each Qualified Plan (A) has received a favorable determination from the Internal Revenue Service applicable to such Qualified Plan’s current remedial amendment cycle (as defined in Revenue Procedure 2007-44 or “2007-44” for short), (B) has timely filed for a favorable determination letter from the Internal Revenue Service during its staggered remedial amendment cycle (as defined in 2007-44) and such application is currently being processed by the Internal Revenue Service, (C) had filed for a determination letter prior to its “GUST remedial amendment period” (as defined in 2007-44) and received such determination letter and the staggered remedial amendment cycle first following the GUST remedial amendment period for such Qualified Plan has not yet expired, or (D) is maintained under a prototype plan and may rely upon a favorable opinion letter issued by the Internal Revenue Service with respect to such prototype plan. To the best knowledge of the Borrower, nothing has occurred which could reasonably be expected to cause the loss of its reliance on each Qualified Plan’s favorable determination letter or opinion letter.</w:t>
      </w:r>
    </w:p>
    <w:p>
      <w:pPr>
        <w:spacing w:after="0" w:line="83" w:lineRule="exact"/>
        <w:rPr>
          <w:rFonts w:ascii="Times New Roman" w:cs="Times New Roman" w:eastAsia="Times New Roman" w:hAnsi="Times New Roman"/>
          <w:sz w:val="18"/>
          <w:szCs w:val="18"/>
          <w:color w:val="auto"/>
        </w:rPr>
      </w:pPr>
    </w:p>
    <w:p>
      <w:pPr>
        <w:ind w:left="4" w:right="60" w:firstLine="419"/>
        <w:spacing w:after="0" w:line="282" w:lineRule="auto"/>
        <w:tabs>
          <w:tab w:leader="none" w:pos="691"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most recent valuation date, the “benefit obligation” of all Plans does not exceed the “fair market value of plan assets” for such Plans by more than $10,000,000 all as determined by and with such terms defined in accordance with FASB ASC 715.</w:t>
      </w:r>
    </w:p>
    <w:p>
      <w:pPr>
        <w:spacing w:after="0" w:line="94" w:lineRule="exact"/>
        <w:rPr>
          <w:rFonts w:ascii="Times New Roman" w:cs="Times New Roman" w:eastAsia="Times New Roman" w:hAnsi="Times New Roman"/>
          <w:sz w:val="18"/>
          <w:szCs w:val="18"/>
          <w:color w:val="auto"/>
        </w:rPr>
      </w:pPr>
    </w:p>
    <w:p>
      <w:pPr>
        <w:ind w:left="4984" w:hanging="111"/>
        <w:spacing w:after="0"/>
        <w:tabs>
          <w:tab w:leader="none" w:pos="4984" w:val="left"/>
        </w:tabs>
        <w:numPr>
          <w:ilvl w:val="2"/>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78 -</w:t>
      </w:r>
    </w:p>
    <w:p>
      <w:pPr>
        <w:sectPr>
          <w:pgSz w:w="11900" w:h="16838" w:orient="portrait"/>
          <w:cols w:equalWidth="0" w:num="1">
            <w:col w:w="10524"/>
          </w:cols>
          <w:pgMar w:left="876" w:top="270" w:right="499" w:bottom="1440" w:gutter="0" w:footer="0" w:header="0"/>
        </w:sectPr>
      </w:pPr>
    </w:p>
    <w:bookmarkStart w:id="88" w:name="page89"/>
    <w:bookmarkEnd w:id="88"/>
    <w:p>
      <w:pPr>
        <w:ind w:left="4" w:right="20" w:firstLine="419"/>
        <w:spacing w:after="0" w:line="255" w:lineRule="auto"/>
        <w:tabs>
          <w:tab w:leader="none" w:pos="741"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Except as could not reasonably be expected, individually or in the aggregate, to have a Material Adverse Effect: (i) no ERISA Event has occurred or is expected to occur; (ii) there are no pending, or to the best knowledge of the Borrower, threatened, claims, actions or lawsuits or other action by any Governmental Authority, plan participant or beneficiary with respect to a Benefit Arrangement; (iii) there are no violations of the fiduciary responsibility rules with respect to any Benefit Arrangement; and (iv) no member of the ERISA Group has engaged in a non-exempt “prohibited transaction,” as defined in Section 406 of ERISA and Section 4975 of the Internal Revenue Code, in connection with any Plan, that would subject any member of the ERISA Group to a tax on prohibited transactions imposed by Section 502(i) of ERISA or Section 4975 of the Internal Revenue Code.</w:t>
      </w:r>
    </w:p>
    <w:p>
      <w:pPr>
        <w:spacing w:after="0" w:line="80" w:lineRule="exact"/>
        <w:rPr>
          <w:rFonts w:ascii="Times New Roman" w:cs="Times New Roman" w:eastAsia="Times New Roman" w:hAnsi="Times New Roman"/>
          <w:sz w:val="18"/>
          <w:szCs w:val="18"/>
          <w:color w:val="auto"/>
        </w:rPr>
      </w:pPr>
    </w:p>
    <w:p>
      <w:pPr>
        <w:ind w:left="-436" w:right="40" w:firstLine="436"/>
        <w:spacing w:after="0" w:line="256" w:lineRule="auto"/>
        <w:tabs>
          <w:tab w:leader="none" w:pos="259"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Default</w:t>
      </w:r>
      <w:r>
        <w:rPr>
          <w:rFonts w:ascii="Times New Roman" w:cs="Times New Roman" w:eastAsia="Times New Roman" w:hAnsi="Times New Roman"/>
          <w:sz w:val="18"/>
          <w:szCs w:val="18"/>
          <w:color w:val="auto"/>
        </w:rPr>
        <w:t>. None of the Loan Parties or any of the other Subsidiaries is in default under its certificate or articles of incorporation or formation, bylaws, partnership agreement or other similar organizational documents, and no event has occurred, which has not been remedied, cured or waived: (i) which constitutes a Default or an Event of Default; or (ii) which constitutes, or which with the passage of time, the giving of notice, or both, would constitute, a default or event of default by, any Loan Party or any other Subsidiary under any agreement (other than this Agreement) or judgment, decree or order to which any such Person is a party or by which any such Person or any of its respective properties may be bound where such default or event of default could, individually or in the aggregate, reasonably be expected to have a Material Adverse Effect.</w:t>
      </w:r>
    </w:p>
    <w:p>
      <w:pPr>
        <w:spacing w:after="0" w:line="79" w:lineRule="exact"/>
        <w:rPr>
          <w:rFonts w:ascii="Times New Roman" w:cs="Times New Roman" w:eastAsia="Times New Roman" w:hAnsi="Times New Roman"/>
          <w:sz w:val="18"/>
          <w:szCs w:val="18"/>
          <w:color w:val="auto"/>
        </w:rPr>
      </w:pPr>
    </w:p>
    <w:p>
      <w:pPr>
        <w:ind w:left="-436" w:firstLine="436"/>
        <w:spacing w:after="0" w:line="252" w:lineRule="auto"/>
        <w:tabs>
          <w:tab w:leader="none" w:pos="259"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Each of the Borrower, each other Loan Party and the other Subsidiaries: (i) has obtained all Governmental Approvals which are required under Environmental Laws, and each such Governmental Approval is in full force and effect, and (ii) is in compliance with all terms and conditions of such Governmental Approvals, where with respect to each of the immediately preceding clauses (i) and (ii) the failure to obtain or to comply with could reasonably be expected to have a Material Adverse Effect. Except for any of the following matters that could not reasonably be expected to have a Material Adverse Effect, no Loan Party is aware of, and has not received notice of, any past, present, or future, events, conditions, circumstances, activities, practices, incidents, occurrences, actions, or plans which, with respect to any Loan Party or any other Subsidiary, their respective businesses, operations or with respect to the Properties, may: (x) interfere with or prevent compliance or continued compliance with Environmental Laws or (y) give rise to any common-law or legal liability or otherwise form the basis of any claim, action, demand, suit, proceeding, hearing, study, or investigation based on or related to the manufacture, generation, processing, distribution, use, treatment, storage, disposal, transport, removal, clean up or handling, or the emission, discharge, release or threatened release into the environmental of any pollutant, contaminant, chemical, or industrial, toxic, other Hazardous Material. There is no civil, criminal, or administrative action, suit, demand, claim, hearing, notice, or demand letter, notice of violation, investigation, or proceeding pending or, to the Borrower’s knowledge after due inquiry, threatened, against the Borrower, any other Loan Party or any other Subsidiary relating in any way to Environmental Laws which, reasonably could be expected to have a Material Adverse Effect. None of the Properties is listed on or proposed for listing on the National Priority List promulgated pursuant to the Comprehensive Environmental Response, Compensation and Liability Act of 1980 and its implementing regulations, or any state or local priority list promulgated pursuant to any analogous state or local law to the extent any such listing could reasonably be expected to have a Material Adverse Effect. To the Borrower’s knowledge, no Hazardous Materials generated at or transported from the Properties are or have been transported to, or disposed of at, any location that is listed or proposed for listing on the National Priority List or any analogous state or local priority list, or any other location that is or has been the subject of a clean-up, removal or remedial action pursuant to any Environmental Law, except to the extent that such transportation or disposal could not reasonably be expected to result in a Material Adverse Effect.</w:t>
      </w:r>
    </w:p>
    <w:p>
      <w:pPr>
        <w:spacing w:after="0" w:line="81" w:lineRule="exact"/>
        <w:rPr>
          <w:rFonts w:ascii="Times New Roman" w:cs="Times New Roman" w:eastAsia="Times New Roman" w:hAnsi="Times New Roman"/>
          <w:sz w:val="18"/>
          <w:szCs w:val="18"/>
          <w:color w:val="auto"/>
        </w:rPr>
      </w:pPr>
    </w:p>
    <w:p>
      <w:pPr>
        <w:ind w:left="-436" w:right="120" w:firstLine="436"/>
        <w:spacing w:after="0" w:line="281" w:lineRule="auto"/>
        <w:tabs>
          <w:tab w:leader="none" w:pos="259"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Investment Company</w:t>
      </w:r>
      <w:r>
        <w:rPr>
          <w:rFonts w:ascii="Times New Roman" w:cs="Times New Roman" w:eastAsia="Times New Roman" w:hAnsi="Times New Roman"/>
          <w:sz w:val="17"/>
          <w:szCs w:val="17"/>
          <w:color w:val="auto"/>
        </w:rPr>
        <w:t>. None of the Parent, the General Partner, the Borrower, any other Loan Party or any other Subsidiary is (i) an “investment company” or a company “controlled” by an “investment company” within the meaning of the Investment Company Act of 1940, as amended, or (ii) subject to any other Applicable Law which purports to regulate or restrict its ability to borrow money or obtain other extensions of credit or to consummate the transactions contemplated by this Agreement or to perform its obligations under any Loan Document to which it is a party.</w:t>
      </w:r>
    </w:p>
    <w:p>
      <w:pPr>
        <w:spacing w:after="0" w:line="96" w:lineRule="exact"/>
        <w:rPr>
          <w:rFonts w:ascii="Times New Roman" w:cs="Times New Roman" w:eastAsia="Times New Roman" w:hAnsi="Times New Roman"/>
          <w:sz w:val="17"/>
          <w:szCs w:val="17"/>
          <w:color w:val="auto"/>
        </w:rPr>
      </w:pPr>
    </w:p>
    <w:p>
      <w:pPr>
        <w:ind w:left="4984" w:hanging="111"/>
        <w:spacing w:after="0"/>
        <w:tabs>
          <w:tab w:leader="none" w:pos="4984" w:val="left"/>
        </w:tabs>
        <w:numPr>
          <w:ilvl w:val="2"/>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79 -</w:t>
      </w:r>
    </w:p>
    <w:p>
      <w:pPr>
        <w:sectPr>
          <w:pgSz w:w="11900" w:h="16838" w:orient="portrait"/>
          <w:cols w:equalWidth="0" w:num="1">
            <w:col w:w="10564"/>
          </w:cols>
          <w:pgMar w:left="876" w:top="270" w:right="459" w:bottom="1440" w:gutter="0" w:footer="0" w:header="0"/>
        </w:sectPr>
      </w:pPr>
    </w:p>
    <w:bookmarkStart w:id="89" w:name="page90"/>
    <w:bookmarkEnd w:id="89"/>
    <w:p>
      <w:pPr>
        <w:jc w:val="both"/>
        <w:ind w:left="-436" w:right="60" w:firstLine="436"/>
        <w:spacing w:after="0" w:line="266" w:lineRule="auto"/>
        <w:tabs>
          <w:tab w:leader="none" w:pos="259"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Margin Stock</w:t>
      </w:r>
      <w:r>
        <w:rPr>
          <w:rFonts w:ascii="Times New Roman" w:cs="Times New Roman" w:eastAsia="Times New Roman" w:hAnsi="Times New Roman"/>
          <w:sz w:val="18"/>
          <w:szCs w:val="18"/>
          <w:color w:val="auto"/>
        </w:rPr>
        <w:t>. None of the Borrower, any other Loan Party or any other Subsidiary is engaged principally, or as one of its important activities, in the business of extending credit for the purpose, whether immediate, incidental or ultimate, of buying or carrying “margin stock” within the meaning of Regulation U of the FRB.</w:t>
      </w:r>
    </w:p>
    <w:p>
      <w:pPr>
        <w:spacing w:after="0" w:line="67" w:lineRule="exact"/>
        <w:rPr>
          <w:rFonts w:ascii="Times New Roman" w:cs="Times New Roman" w:eastAsia="Times New Roman" w:hAnsi="Times New Roman"/>
          <w:sz w:val="18"/>
          <w:szCs w:val="18"/>
          <w:color w:val="auto"/>
        </w:rPr>
      </w:pPr>
    </w:p>
    <w:p>
      <w:pPr>
        <w:ind w:left="-436" w:right="60" w:firstLine="436"/>
        <w:spacing w:after="0" w:line="282" w:lineRule="auto"/>
        <w:tabs>
          <w:tab w:leader="none" w:pos="229"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Affiliate Transactions</w:t>
      </w:r>
      <w:r>
        <w:rPr>
          <w:rFonts w:ascii="Times New Roman" w:cs="Times New Roman" w:eastAsia="Times New Roman" w:hAnsi="Times New Roman"/>
          <w:sz w:val="18"/>
          <w:szCs w:val="18"/>
          <w:color w:val="auto"/>
        </w:rPr>
        <w:t>. Except as permitted by Section 9.9., none of the Borrower, any other Loan Party or any other Subsidiary is a party to or bound by any agreement or arrangement with any Affiliate.</w:t>
      </w:r>
    </w:p>
    <w:p>
      <w:pPr>
        <w:spacing w:after="0" w:line="53" w:lineRule="exact"/>
        <w:rPr>
          <w:rFonts w:ascii="Times New Roman" w:cs="Times New Roman" w:eastAsia="Times New Roman" w:hAnsi="Times New Roman"/>
          <w:sz w:val="18"/>
          <w:szCs w:val="18"/>
          <w:color w:val="auto"/>
        </w:rPr>
      </w:pPr>
    </w:p>
    <w:p>
      <w:pPr>
        <w:ind w:left="-436" w:right="120" w:firstLine="436"/>
        <w:spacing w:after="0" w:line="253" w:lineRule="auto"/>
        <w:tabs>
          <w:tab w:leader="none" w:pos="239"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Each of the Borrower, each other Loan Party and each other Subsidiary owns or has the right to use, under valid license agreements or otherwise, all material patents, licenses, franchises, trademarks, trademark rights, trade names, trade name rights, trade secrets and copyrights (collectively, “</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necessary to the conduct of its businesses as now conducted and as contemplated by the Loan Documents, without known conflict with any patent, license, franchise, trademark, trademark rights, trade secret, trade name, copyright, or other proprietary right of any other Person, which conflict could reasonably be expected to have a Material Adverse Effect. The Borrower, each other Loan Party and each other Subsidiary have taken all such steps as they deem reasonably necessary to protect their respective rights under and with respect to such Intellectual Property. No material claim has been asserted by any Person with respect to the use of any Intellectual Property by the Borrower, any other Loan Party or any other Subsidiary, or challenging or questioning the validity or effectiveness of any Intellectual Property. The use of such Intellectual Property by the Borrower, its Subsidiaries and the other Loan Parties, does not infringe on the rights of any Person, subject to such claims and infringements as do not, in the aggregate, give rise to any liabilities on the part of the Borrower, any other Loan Party or any other Subsidiary that could reasonably be expected to have a Material Adverse Effect.</w:t>
      </w:r>
    </w:p>
    <w:p>
      <w:pPr>
        <w:spacing w:after="0" w:line="83" w:lineRule="exact"/>
        <w:rPr>
          <w:rFonts w:ascii="Times New Roman" w:cs="Times New Roman" w:eastAsia="Times New Roman" w:hAnsi="Times New Roman"/>
          <w:sz w:val="18"/>
          <w:szCs w:val="18"/>
          <w:color w:val="auto"/>
        </w:rPr>
      </w:pPr>
    </w:p>
    <w:p>
      <w:pPr>
        <w:ind w:left="-436" w:right="40" w:firstLine="436"/>
        <w:spacing w:after="0" w:line="258" w:lineRule="auto"/>
        <w:tabs>
          <w:tab w:leader="none" w:pos="219"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Business</w:t>
      </w:r>
      <w:r>
        <w:rPr>
          <w:rFonts w:ascii="Times New Roman" w:cs="Times New Roman" w:eastAsia="Times New Roman" w:hAnsi="Times New Roman"/>
          <w:sz w:val="18"/>
          <w:szCs w:val="18"/>
          <w:color w:val="auto"/>
        </w:rPr>
        <w:t>. The Borrower, the other Loan Parties and the other Subsidiaries are (i) primarily engaged in the business of acquiring, owning, redeveloping, developing and managing Retail Properties and Mixed-Use Projects (including components of such Mixed-Use Projects that are Office Properties and Multifamily Properties) together with other business activities reasonably related or incidental thereto and (ii) secondarily engaged in the business of acquiring, owning, redeveloping, developing and managing Office Properties, Multifamily Properties and Hotel Properties, together with other business activities reasonably related or incidental thereto.</w:t>
      </w:r>
    </w:p>
    <w:p>
      <w:pPr>
        <w:spacing w:after="0" w:line="75" w:lineRule="exact"/>
        <w:rPr>
          <w:rFonts w:ascii="Times New Roman" w:cs="Times New Roman" w:eastAsia="Times New Roman" w:hAnsi="Times New Roman"/>
          <w:sz w:val="18"/>
          <w:szCs w:val="18"/>
          <w:color w:val="auto"/>
        </w:rPr>
      </w:pPr>
    </w:p>
    <w:p>
      <w:pPr>
        <w:jc w:val="both"/>
        <w:ind w:left="-436" w:right="100" w:firstLine="436"/>
        <w:spacing w:after="0" w:line="266" w:lineRule="auto"/>
        <w:tabs>
          <w:tab w:leader="none" w:pos="259"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Broker’s Fees</w:t>
      </w:r>
      <w:r>
        <w:rPr>
          <w:rFonts w:ascii="Times New Roman" w:cs="Times New Roman" w:eastAsia="Times New Roman" w:hAnsi="Times New Roman"/>
          <w:sz w:val="18"/>
          <w:szCs w:val="18"/>
          <w:color w:val="auto"/>
        </w:rPr>
        <w:t>. No broker’s or finder’s fee, commission or similar compensation will be payable with respect to the transactions contemplated hereby. No other similar fees or commissions will be payable by any Loan Party for any other services rendered to the Borrower, any other Loan Party or any other Subsidiary ancillary to the transactions contemplated hereby.</w:t>
      </w:r>
    </w:p>
    <w:p>
      <w:pPr>
        <w:spacing w:after="0" w:line="67" w:lineRule="exact"/>
        <w:rPr>
          <w:rFonts w:ascii="Times New Roman" w:cs="Times New Roman" w:eastAsia="Times New Roman" w:hAnsi="Times New Roman"/>
          <w:sz w:val="18"/>
          <w:szCs w:val="18"/>
          <w:color w:val="auto"/>
        </w:rPr>
      </w:pPr>
    </w:p>
    <w:p>
      <w:pPr>
        <w:ind w:left="-436" w:firstLine="436"/>
        <w:spacing w:after="0" w:line="255" w:lineRule="auto"/>
        <w:tabs>
          <w:tab w:leader="none" w:pos="259"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Accuracy and Completeness of Information</w:t>
      </w:r>
      <w:r>
        <w:rPr>
          <w:rFonts w:ascii="Times New Roman" w:cs="Times New Roman" w:eastAsia="Times New Roman" w:hAnsi="Times New Roman"/>
          <w:sz w:val="18"/>
          <w:szCs w:val="18"/>
          <w:color w:val="auto"/>
        </w:rPr>
        <w:t>. None of the written information, reports or other papers or data (excluding financial projections and other forward looking statements), taken as a whole as of the date of delivery thereof, furnished to the Administrative Agent or any Lender by, on behalf of, or at the direction of, the Borrower, any Subsidiary or any other Loan Party in connection with or relating in any way to this Agreement, contained any untrue statement of a fact material to the creditworthiness of the Borrower, any Subsidiary or any other Loan Party or omitted to state a material fact necessary in order to make such statements contained therein, in light of the circumstances under which they were made, not misleading. All financial statements furnished to the Administrative Agent or any Lender by, on behalf of, or at the direction of, the Borrower, any Subsidiary or any other Loan Party in connection with or relating</w:t>
      </w:r>
    </w:p>
    <w:p>
      <w:pPr>
        <w:spacing w:after="0" w:line="121" w:lineRule="exact"/>
        <w:rPr>
          <w:rFonts w:ascii="Times New Roman" w:cs="Times New Roman" w:eastAsia="Times New Roman" w:hAnsi="Times New Roman"/>
          <w:sz w:val="18"/>
          <w:szCs w:val="18"/>
          <w:color w:val="auto"/>
        </w:rPr>
      </w:pPr>
    </w:p>
    <w:p>
      <w:pPr>
        <w:ind w:left="4984" w:hanging="111"/>
        <w:spacing w:after="0"/>
        <w:tabs>
          <w:tab w:leader="none" w:pos="4984"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80 -</w:t>
      </w:r>
    </w:p>
    <w:p>
      <w:pPr>
        <w:sectPr>
          <w:pgSz w:w="11900" w:h="16838" w:orient="portrait"/>
          <w:cols w:equalWidth="0" w:num="1">
            <w:col w:w="10544"/>
          </w:cols>
          <w:pgMar w:left="876" w:top="270" w:right="479" w:bottom="1440" w:gutter="0" w:footer="0" w:header="0"/>
        </w:sectPr>
      </w:pPr>
    </w:p>
    <w:bookmarkStart w:id="90" w:name="page91"/>
    <w:bookmarkEnd w:id="90"/>
    <w:p>
      <w:pPr>
        <w:ind w:right="1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any way to this Agreement, present fairly, in accordance with GAAP consistently applied throughout the periods involved, the financial position of the Persons involved as at the date thereof and the results of operations for such periods (subject, as to interim statements, to changes resulting from normal year end audit adjustments and absence of full footnote disclosure). All financial projections and other forward looking statements prepared by or on behalf of the Borrower, any Subsidiary or any other Loan Party that have been or may hereafter be made available to the Administrative Agent or any Lender were or will be prepared in good faith based on reasonable assumptions. As of the Effective Date, no fact is known to the Borrower which has had, or may in the future have (so far as the Borrower can reasonably foresee), a Material Adverse Effect which has not been set forth in the financial statements referred to in Section 6.1.(k) or in such information, reports or other papers or data or otherwise disclosed in writing to the Administrative Agent and the Lenders. As of the Agreement Date, all of the information included in the Beneficial Ownership Certification is true and correct.</w:t>
      </w:r>
    </w:p>
    <w:p>
      <w:pPr>
        <w:spacing w:after="0" w:line="80" w:lineRule="exact"/>
        <w:rPr>
          <w:sz w:val="20"/>
          <w:szCs w:val="20"/>
          <w:color w:val="auto"/>
        </w:rPr>
      </w:pPr>
    </w:p>
    <w:p>
      <w:pPr>
        <w:ind w:firstLine="436"/>
        <w:spacing w:after="0" w:line="258" w:lineRule="auto"/>
        <w:tabs>
          <w:tab w:leader="none" w:pos="73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 Plan Assets; No Prohibited Transactions</w:t>
      </w:r>
      <w:r>
        <w:rPr>
          <w:rFonts w:ascii="Times New Roman" w:cs="Times New Roman" w:eastAsia="Times New Roman" w:hAnsi="Times New Roman"/>
          <w:sz w:val="18"/>
          <w:szCs w:val="18"/>
          <w:color w:val="auto"/>
        </w:rPr>
        <w:t>. None of the assets of the Borrower, any other Loan Party or any other Subsidiary constitutes “plan assets” within the meaning of ERISA, the Internal Revenue Code and the respective regulations promulgated thereunder. Assuming that no Lender funds any amount payable by it hereunder with “plan assets,” as that term is defined in 29 C.F.R. 2510.3-101, the execution, delivery and performance of this Agreement and the other Loan Documents, and the extensions of credit and repayment of amounts hereunder, do not and will not constitute “prohibited transactions” under ERISA or the Internal Revenue Code.</w:t>
      </w:r>
    </w:p>
    <w:p>
      <w:pPr>
        <w:spacing w:after="0" w:line="7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Anti-Corruption Laws; Anti-Money Laundering Laws and Sanctions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980" w:right="20" w:firstLine="7"/>
        <w:spacing w:after="0" w:line="254" w:lineRule="auto"/>
        <w:tabs>
          <w:tab w:leader="none" w:pos="1195"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(i) the Parent, the General Partner, the Borrower, any of their respective Subsidiaries, any of their respective directors, officers, or, to the knowledge of the Borrower or such Subsidiary, any of their respective employees or Affiliates, or (ii) any agent or representative of the Borrower or any Subsidiary that will act in any capacity in connection with or benefit from this Agreement, (A) is a Sanctioned Person or currently the express subject or express target of any Sanctions, (B) is controlled by or is acting on behalf of a Sanctioned Person, (C) has its assets located in a Sanctioned Country, (D) is under administrative, civil or criminal investigation for an alleged violation of, or received notice from or made a voluntary disclosure to any governmental entity regarding a possible violation of, Anti-Corruption Laws, Anti-Money Laundering Laws or Sanctions by a governmental authority that enforces Sanctions or any Anti-Corruption Laws or Anti-Money Laundering Laws, or (E) directly or indirectly derives revenues from investments in, or transactions with, Sanctioned Persons.</w:t>
      </w:r>
    </w:p>
    <w:p>
      <w:pPr>
        <w:spacing w:after="0" w:line="80" w:lineRule="exact"/>
        <w:rPr>
          <w:rFonts w:ascii="Times New Roman" w:cs="Times New Roman" w:eastAsia="Times New Roman" w:hAnsi="Times New Roman"/>
          <w:sz w:val="18"/>
          <w:szCs w:val="18"/>
          <w:color w:val="auto"/>
        </w:rPr>
      </w:pPr>
    </w:p>
    <w:p>
      <w:pPr>
        <w:ind w:left="980" w:right="440" w:firstLine="7"/>
        <w:spacing w:after="0" w:line="266" w:lineRule="auto"/>
        <w:tabs>
          <w:tab w:leader="none" w:pos="1245"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Parent, the General Partner, the Borrower and their respective Subsidiaries has implemented and maintains in effect policies and procedures designed to ensure compliance by such Person and their respective directors, officers, employees, agents and Affiliates with all Anti-Corruption Laws, Anti-Money Laundering Laws and applicable Sanctions.</w:t>
      </w:r>
    </w:p>
    <w:p>
      <w:pPr>
        <w:spacing w:after="0" w:line="67" w:lineRule="exact"/>
        <w:rPr>
          <w:rFonts w:ascii="Times New Roman" w:cs="Times New Roman" w:eastAsia="Times New Roman" w:hAnsi="Times New Roman"/>
          <w:sz w:val="18"/>
          <w:szCs w:val="18"/>
          <w:color w:val="auto"/>
        </w:rPr>
      </w:pPr>
    </w:p>
    <w:p>
      <w:pPr>
        <w:ind w:left="980" w:right="60" w:firstLine="7"/>
        <w:spacing w:after="0" w:line="266" w:lineRule="auto"/>
        <w:tabs>
          <w:tab w:leader="none" w:pos="1295"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Parent, the General Partner, the Borrower and their respective Subsidiaries, each director, officer, and to the knowledge of Borrower, employee, agent and Affiliate of the Parent, the General Partner, the Borrower and their respective Subsidiaries, is in compliance with all Anti-Corruption Laws, Anti-Money Laundering Laws in all material respects and applicable Sanctions.</w:t>
      </w:r>
    </w:p>
    <w:p>
      <w:pPr>
        <w:spacing w:after="0" w:line="108"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2"/>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81 -</w:t>
      </w:r>
    </w:p>
    <w:p>
      <w:pPr>
        <w:sectPr>
          <w:pgSz w:w="11900" w:h="16838" w:orient="portrait"/>
          <w:cols w:equalWidth="0" w:num="1">
            <w:col w:w="11000"/>
          </w:cols>
          <w:pgMar w:left="440" w:top="270" w:right="459" w:bottom="1440" w:gutter="0" w:footer="0" w:header="0"/>
        </w:sectPr>
      </w:pPr>
    </w:p>
    <w:bookmarkStart w:id="91" w:name="page92"/>
    <w:bookmarkEnd w:id="91"/>
    <w:p>
      <w:pPr>
        <w:ind w:left="980" w:right="180" w:firstLine="7"/>
        <w:spacing w:after="0" w:line="282" w:lineRule="auto"/>
        <w:tabs>
          <w:tab w:leader="none" w:pos="1285"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proceeds of any Loan or Letter of Credit have been used, directly or indirectly, by the Borrower, any of its Subsidiaries or any of its or their respective directors, officers, employees and agents in violation of Section 9.13.(c).</w:t>
      </w:r>
    </w:p>
    <w:p>
      <w:pPr>
        <w:spacing w:after="0" w:line="53" w:lineRule="exact"/>
        <w:rPr>
          <w:rFonts w:ascii="Times New Roman" w:cs="Times New Roman" w:eastAsia="Times New Roman" w:hAnsi="Times New Roman"/>
          <w:sz w:val="18"/>
          <w:szCs w:val="18"/>
          <w:color w:val="auto"/>
        </w:rPr>
      </w:pPr>
    </w:p>
    <w:p>
      <w:pPr>
        <w:ind w:right="560" w:firstLine="436"/>
        <w:spacing w:after="0" w:line="282" w:lineRule="auto"/>
        <w:tabs>
          <w:tab w:leader="none" w:pos="69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REIT Status</w:t>
      </w:r>
      <w:r>
        <w:rPr>
          <w:rFonts w:ascii="Times New Roman" w:cs="Times New Roman" w:eastAsia="Times New Roman" w:hAnsi="Times New Roman"/>
          <w:sz w:val="18"/>
          <w:szCs w:val="18"/>
          <w:color w:val="auto"/>
        </w:rPr>
        <w:t>. The Parent qualifies as, and has elected to be treated as, a REIT and is in compliance with all requirements and conditions imposed under the Internal Revenue Code to allow the Parent to maintain its status as a REIT.</w:t>
      </w:r>
    </w:p>
    <w:p>
      <w:pPr>
        <w:spacing w:after="0" w:line="53" w:lineRule="exact"/>
        <w:rPr>
          <w:rFonts w:ascii="Times New Roman" w:cs="Times New Roman" w:eastAsia="Times New Roman" w:hAnsi="Times New Roman"/>
          <w:sz w:val="18"/>
          <w:szCs w:val="18"/>
          <w:color w:val="auto"/>
        </w:rPr>
      </w:pPr>
    </w:p>
    <w:p>
      <w:pPr>
        <w:jc w:val="both"/>
        <w:ind w:right="140" w:firstLine="436"/>
        <w:spacing w:after="0" w:line="266" w:lineRule="auto"/>
        <w:tabs>
          <w:tab w:leader="none" w:pos="68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Unencumbered Assets</w:t>
      </w:r>
      <w:r>
        <w:rPr>
          <w:rFonts w:ascii="Times New Roman" w:cs="Times New Roman" w:eastAsia="Times New Roman" w:hAnsi="Times New Roman"/>
          <w:sz w:val="18"/>
          <w:szCs w:val="18"/>
          <w:color w:val="auto"/>
        </w:rPr>
        <w:t>. As of the Agreement Date, Schedule 6.1.(z) is a correct and complete list of each Wholly Owned Property, Controlled Property and Non-Controlled Property included as of the Agreement Date in the calculation of Unencumbered Asset Value. Except as set forth on such Schedule, each of the Properties included by the Borrower in calculations of Unencumbered Asset Value is an Eligible Property.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6.2. Survival of Representations and Warranties, Etc.</w:t>
      </w:r>
    </w:p>
    <w:p>
      <w:pPr>
        <w:spacing w:after="0" w:line="121"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All statements contained in any certificate, financial statement or other instrument delivered by or on behalf of any Loan Party or any other Subsidiary to the Administrative Agent or any Lender pursuant to or in connection with this Agreement or any of the other Loan Documents (including, but not limited to, any such statement made in or in connection with any amendment thereto or any statement contained in any certificate, financial statement or other instrument delivered by or on behalf of any Loan Party prior to the Agreement Date and delivered to the Administrative Agent or any Lender in connection with the underwriting or closing the transactions contemplated hereby) shall constitute representations and warranties made by the Borrower under this Agreement. All representations and warranties made under this Agreement and the other Loan Documents shall be deemed to be made at and as of the Agreement Date, the Effective Date, the date on which any extension of the Revolving Termination Date is effectuated pursuant to Section 2.13. and at and as of the date of the occurrence of each Credit Event, except to the extent that such representations and warranties expressly relate solely to an earlier date (in which case such representations and warranties shall have been true and correct in all material respects (except in the case of a representation or warranty qualified by materiality, in which case such representation or warranty shall be true and correct in all respects) on and as of such earlier date) and except for changes in factual circumstances not prohibited hereunder. All such representations and warranties shall survive the effectiveness of this Agreement, the execution and delivery of the Loan Documents and the making of the Loans and the issuance of the Letters of Credit.</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18"/>
          <w:szCs w:val="18"/>
          <w:b w:val="1"/>
          <w:bCs w:val="1"/>
          <w:color w:val="auto"/>
        </w:rPr>
        <w:t xml:space="preserve"> VII. A</w:t>
      </w:r>
      <w:r>
        <w:rPr>
          <w:rFonts w:ascii="Times New Roman" w:cs="Times New Roman" w:eastAsia="Times New Roman" w:hAnsi="Times New Roman"/>
          <w:sz w:val="14"/>
          <w:szCs w:val="14"/>
          <w:b w:val="1"/>
          <w:bCs w:val="1"/>
          <w:color w:val="auto"/>
        </w:rPr>
        <w:t>FFIRMATIVE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OVENANTS</w:t>
      </w:r>
    </w:p>
    <w:p>
      <w:pPr>
        <w:spacing w:after="0" w:line="229" w:lineRule="exact"/>
        <w:rPr>
          <w:sz w:val="20"/>
          <w:szCs w:val="20"/>
          <w:color w:val="auto"/>
        </w:rPr>
      </w:pPr>
    </w:p>
    <w:p>
      <w:pPr>
        <w:ind w:right="720" w:firstLine="440"/>
        <w:spacing w:after="0" w:line="282" w:lineRule="auto"/>
        <w:rPr>
          <w:sz w:val="20"/>
          <w:szCs w:val="20"/>
          <w:color w:val="auto"/>
        </w:rPr>
      </w:pPr>
      <w:r>
        <w:rPr>
          <w:rFonts w:ascii="Times New Roman" w:cs="Times New Roman" w:eastAsia="Times New Roman" w:hAnsi="Times New Roman"/>
          <w:sz w:val="18"/>
          <w:szCs w:val="18"/>
          <w:color w:val="auto"/>
        </w:rPr>
        <w:t>For so long as this Agreement is in effect, unless the Requisite Lenders (or, if required pursuant to Section 12.7., all of the Lenders) shall otherwise consent in the manner provided for in Section 12.7., the Borrower shall comply with the following covenants: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7.1. Preservation of Existence and Similar Matters.</w:t>
      </w:r>
    </w:p>
    <w:p>
      <w:pPr>
        <w:spacing w:after="0" w:line="12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Except as otherwise permitted under Section 9.5., the Borrower shall, and shall cause each other Loan Party and each other Subsidiary to, preserve and maintain its respective existence, rights, franchises, licenses and privileges in the jurisdiction of its incorporation or formation and qualify and remain qualified and authorized to do business in each jurisdiction in which the character of its properties or the nature of its business requires such qualification and authorization and where the failure to be so authorized and qualified could reasonably be expected to have a Material Adverse Effect. The Parent shall preserve and maintain its existence, rights, franchises, licenses and privileges in the jurisdiction of its incorporation or formation and qualify and remain qualified and authorized to do business in each jurisdiction in which the character of its properties or the nature of its business requires such qualification and authorization and where the failure to be so authorized and qualified could reasonably be expected to have a Material Adverse Effect.</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- 82 -</w:t>
      </w:r>
    </w:p>
    <w:p>
      <w:pPr>
        <w:sectPr>
          <w:pgSz w:w="11900" w:h="16838" w:orient="portrait"/>
          <w:cols w:equalWidth="0" w:num="1">
            <w:col w:w="11000"/>
          </w:cols>
          <w:pgMar w:left="440" w:top="270" w:right="459" w:bottom="1440" w:gutter="0" w:footer="0" w:header="0"/>
        </w:sectPr>
      </w:pPr>
    </w:p>
    <w:bookmarkStart w:id="92" w:name="page93"/>
    <w:bookmarkEnd w:id="92"/>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7.2. Compliance with Applicable Law and Material Contracts.</w:t>
      </w:r>
    </w:p>
    <w:p>
      <w:pPr>
        <w:spacing w:after="0" w:line="121" w:lineRule="exact"/>
        <w:rPr>
          <w:sz w:val="20"/>
          <w:szCs w:val="20"/>
          <w:color w:val="auto"/>
        </w:rPr>
      </w:pPr>
    </w:p>
    <w:p>
      <w:pPr>
        <w:ind w:left="4" w:right="140" w:firstLine="440"/>
        <w:spacing w:after="0" w:line="258" w:lineRule="auto"/>
        <w:rPr>
          <w:sz w:val="20"/>
          <w:szCs w:val="20"/>
          <w:color w:val="auto"/>
        </w:rPr>
      </w:pPr>
      <w:r>
        <w:rPr>
          <w:rFonts w:ascii="Times New Roman" w:cs="Times New Roman" w:eastAsia="Times New Roman" w:hAnsi="Times New Roman"/>
          <w:sz w:val="18"/>
          <w:szCs w:val="18"/>
          <w:color w:val="auto"/>
        </w:rPr>
        <w:t>The Borrower shall, and shall cause each other Loan Party and each other Subsidiary to, comply with (a) all Applicable Laws, including the obtaining of all Governmental Approvals, the failure with which to comply could reasonably be expected to have a Material Adverse Effect, and (b) all terms and conditions of all contracts and other written agreements to which it is a party if any such non-compliance could reasonably be expected to have a Material Adverse Effect. The Parent shall, comply with all Applicable Laws, including the obtaining of all Governmental Approvals, the failure with which to comply could reasonably be expected to have a Material Adverse Effect.</w:t>
      </w:r>
    </w:p>
    <w:p>
      <w:pPr>
        <w:spacing w:after="0" w:line="17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7.3. Maintenance of Property.</w:t>
      </w:r>
    </w:p>
    <w:p>
      <w:pPr>
        <w:spacing w:after="0" w:line="121" w:lineRule="exact"/>
        <w:rPr>
          <w:sz w:val="20"/>
          <w:szCs w:val="20"/>
          <w:color w:val="auto"/>
        </w:rPr>
      </w:pPr>
    </w:p>
    <w:p>
      <w:pPr>
        <w:ind w:left="4" w:right="40" w:firstLine="440"/>
        <w:spacing w:after="0" w:line="272" w:lineRule="auto"/>
        <w:rPr>
          <w:sz w:val="20"/>
          <w:szCs w:val="20"/>
          <w:color w:val="auto"/>
        </w:rPr>
      </w:pPr>
      <w:r>
        <w:rPr>
          <w:rFonts w:ascii="Times New Roman" w:cs="Times New Roman" w:eastAsia="Times New Roman" w:hAnsi="Times New Roman"/>
          <w:sz w:val="17"/>
          <w:szCs w:val="17"/>
          <w:color w:val="auto"/>
        </w:rPr>
        <w:t>In addition to the requirements of any of the other Loan Documents, the Borrower shall, and shall cause each other Loan Party and each other Subsidiary to, (a) protect and preserve all of its respective material properties, including, but not limited to, all Intellectual Property necessary to the conduct of its respective business, and maintain in good repair, working order and condition all tangible properties, ordinary wear and tear excepted, and</w:t>
      </w:r>
    </w:p>
    <w:p>
      <w:pPr>
        <w:spacing w:after="0" w:line="2" w:lineRule="exact"/>
        <w:rPr>
          <w:sz w:val="20"/>
          <w:szCs w:val="20"/>
          <w:color w:val="auto"/>
        </w:rPr>
      </w:pPr>
    </w:p>
    <w:p>
      <w:pPr>
        <w:ind w:left="4" w:right="180" w:hanging="4"/>
        <w:spacing w:after="0" w:line="260" w:lineRule="auto"/>
        <w:tabs>
          <w:tab w:leader="none" w:pos="259"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time to time make or cause to be made all needed and appropriate repairs, renewals, replacements and additions to such properties, so that the business carried on in connection therewith may be properly and advantageously conducted at all times.</w:t>
      </w:r>
    </w:p>
    <w:p>
      <w:pPr>
        <w:spacing w:after="0" w:line="17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7.4. Conduct of Business.</w:t>
      </w:r>
    </w:p>
    <w:p>
      <w:pPr>
        <w:spacing w:after="0" w:line="121" w:lineRule="exact"/>
        <w:rPr>
          <w:sz w:val="20"/>
          <w:szCs w:val="20"/>
          <w:color w:val="auto"/>
        </w:rPr>
      </w:pPr>
    </w:p>
    <w:p>
      <w:pPr>
        <w:ind w:left="4" w:right="700" w:firstLine="440"/>
        <w:spacing w:after="0" w:line="282" w:lineRule="auto"/>
        <w:rPr>
          <w:sz w:val="20"/>
          <w:szCs w:val="20"/>
          <w:color w:val="auto"/>
        </w:rPr>
      </w:pPr>
      <w:r>
        <w:rPr>
          <w:rFonts w:ascii="Times New Roman" w:cs="Times New Roman" w:eastAsia="Times New Roman" w:hAnsi="Times New Roman"/>
          <w:sz w:val="18"/>
          <w:szCs w:val="18"/>
          <w:color w:val="auto"/>
        </w:rPr>
        <w:t>The Borrower shall, and shall cause each other Loan Party and each other Subsidiary to, carry on its respective businesses as described in Section 6.1.(t).</w:t>
      </w:r>
    </w:p>
    <w:p>
      <w:pPr>
        <w:spacing w:after="0" w:line="1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7.5. Insurance.</w:t>
      </w:r>
    </w:p>
    <w:p>
      <w:pPr>
        <w:spacing w:after="0" w:line="121" w:lineRule="exact"/>
        <w:rPr>
          <w:sz w:val="20"/>
          <w:szCs w:val="20"/>
          <w:color w:val="auto"/>
        </w:rPr>
      </w:pPr>
    </w:p>
    <w:p>
      <w:pPr>
        <w:ind w:left="4" w:right="40" w:firstLine="440"/>
        <w:spacing w:after="0" w:line="256" w:lineRule="auto"/>
        <w:rPr>
          <w:sz w:val="20"/>
          <w:szCs w:val="20"/>
          <w:color w:val="auto"/>
        </w:rPr>
      </w:pPr>
      <w:r>
        <w:rPr>
          <w:rFonts w:ascii="Times New Roman" w:cs="Times New Roman" w:eastAsia="Times New Roman" w:hAnsi="Times New Roman"/>
          <w:sz w:val="18"/>
          <w:szCs w:val="18"/>
          <w:color w:val="auto"/>
        </w:rPr>
        <w:t>In addition to the requirements of any of the other Loan Documents, the Borrower shall, and shall cause each other Loan Party and each other Subsidiary to, maintain insurance (on a replacement cost basis) with financially sound and reputable insurance companies against such risks and in such amounts as is customarily maintained by Persons engaged in similar businesses or as may be required by Applicable Law. The Borrower shall from time to time deliver to the Administrative Agent upon request a detailed list, together with copies of all policies of the insurance then in effect, stating the names of the insurance companies, the amounts and rates of the insurance, the dates of the expiration thereof and the properties and risks covered thereby.</w:t>
      </w:r>
    </w:p>
    <w:p>
      <w:pPr>
        <w:spacing w:after="0" w:line="18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7.6. Payment of Taxes and Claims.</w:t>
      </w:r>
    </w:p>
    <w:p>
      <w:pPr>
        <w:spacing w:after="0" w:line="121"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The Borrower shall, and shall cause each other Loan Party and each other Subsidiary to, pay and discharge when due (a) all taxes, assessments and governmental charges or levies imposed upon it or upon its income or profits or upon any properties belonging to it, and (b) all lawful claims of materialmen, mechanics, carriers, warehousemen and landlords for labor, materials, supplies and rentals which, if unpaid, might become a Lien on any properties of such Person; provided, however, that this Section shall not require the payment or discharge of any such tax, assessment, charge, levy or claim which is being contested in good faith by appropriate proceedings which operate to suspend the collection thereof and for which adequate reserves have been established on the books of such Person in accordance with GAAP. The Parent shall pay and discharge when due all taxes, assessments and governmental charges or levies imposed upon</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- 83 -</w:t>
      </w:r>
    </w:p>
    <w:p>
      <w:pPr>
        <w:sectPr>
          <w:pgSz w:w="11900" w:h="16838" w:orient="portrait"/>
          <w:cols w:equalWidth="0" w:num="1">
            <w:col w:w="11024"/>
          </w:cols>
          <w:pgMar w:left="436" w:top="266" w:right="439" w:bottom="1440" w:gutter="0" w:footer="0" w:header="0"/>
        </w:sectPr>
      </w:pPr>
    </w:p>
    <w:bookmarkStart w:id="93" w:name="page94"/>
    <w:bookmarkEnd w:id="93"/>
    <w:p>
      <w:pPr>
        <w:ind w:left="4" w:right="1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 or upon its income or profits or upon any properties belonging to it; provided, however, that this Section shall not require the payment or discharge of any such tax, assessment, charge, levy or claim which is being contested in good faith by appropriate proceedings which operate to suspend the collection thereof and for which adequate reserves have been established on the books of the Parent in accordance with GAAP.</w:t>
      </w:r>
    </w:p>
    <w:p>
      <w:pPr>
        <w:spacing w:after="0" w:line="17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7.7. Books and Records; Inspections.</w:t>
      </w:r>
    </w:p>
    <w:p>
      <w:pPr>
        <w:spacing w:after="0" w:line="121"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The Borrower shall, and shall cause each other Loan Party and each other Subsidiary to, maintain books and records pertaining to its respective business operations in such detail, form and scope as is consistent with good business practice and in accordance with GAAP. The Borrower shall, and shall cause each other Loan Party and each other Subsidiary to, permit representatives or agents of any Lender or the Administrative Agent, from time to time after reasonable prior notice if no Event of Default shall be in existence, as often as may be reasonably requested, but only during normal business hours and at the expense of such Lender or the Administrative Agent (unless an Event of Default shall exist, in which case the exercise by the Administrative Agent of its rights under this Section shall be at the expense of the Borrower), as the case may be, to: (a) visit and inspect all properties of the Borrower or such Subsidiary or other Loan Party to the extent any such right to visit or inspect is within the control of such Person; (b) inspect and make extracts from their respective books and records, including but not limited to management letters prepared by independent accountants; and</w:t>
      </w:r>
    </w:p>
    <w:p>
      <w:pPr>
        <w:spacing w:after="0" w:line="1" w:lineRule="exact"/>
        <w:rPr>
          <w:sz w:val="20"/>
          <w:szCs w:val="20"/>
          <w:color w:val="auto"/>
        </w:rPr>
      </w:pPr>
    </w:p>
    <w:p>
      <w:pPr>
        <w:ind w:left="4" w:right="60" w:hanging="4"/>
        <w:spacing w:after="0" w:line="253" w:lineRule="auto"/>
        <w:tabs>
          <w:tab w:leader="none" w:pos="249"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 with its officers, and its independent accountants (in the presence of an officer of the Borrower so long as no Event of Default has occurred and is continuing), its business, properties, condition (financial or otherwise), results of operations and performance. If requested by the Administrative Agent, the Borrower shall execute an authorization letter addressed to its accountants authorizing the Administrative Agent or any Lender to discuss the financial affairs of the Borrower and any other Loan Party or any other Subsidiary with its accountants which, so long as no Event of Default has occurred and is continuing, shall be in the presence of an officer of the Borrower.</w:t>
      </w:r>
    </w:p>
    <w:p>
      <w:pPr>
        <w:spacing w:after="0" w:line="18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7.8. Use of Proceeds.</w:t>
      </w:r>
    </w:p>
    <w:p>
      <w:pPr>
        <w:spacing w:after="0" w:line="121" w:lineRule="exact"/>
        <w:rPr>
          <w:sz w:val="20"/>
          <w:szCs w:val="20"/>
          <w:color w:val="auto"/>
        </w:rPr>
      </w:pPr>
    </w:p>
    <w:p>
      <w:pPr>
        <w:ind w:left="4" w:right="60" w:firstLine="440"/>
        <w:spacing w:after="0" w:line="261" w:lineRule="auto"/>
        <w:rPr>
          <w:sz w:val="20"/>
          <w:szCs w:val="20"/>
          <w:color w:val="auto"/>
        </w:rPr>
      </w:pPr>
      <w:r>
        <w:rPr>
          <w:rFonts w:ascii="Times New Roman" w:cs="Times New Roman" w:eastAsia="Times New Roman" w:hAnsi="Times New Roman"/>
          <w:sz w:val="18"/>
          <w:szCs w:val="18"/>
          <w:color w:val="auto"/>
        </w:rPr>
        <w:t>The Borrower will use the proceeds of Loans only to (i) satisfy and pay in full all indebtedness, liabilities and obligations owing under the Existing Credit Agreement, (ii) provide for the general working capital needs of the Borrower and its Subsidiaries and (iii) for other general corporate purposes of the Borrower and its Subsidiaries. The Borrower shall only use Letters of Credit for the same purposes for which it may use the proceeds of Loans.</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7.9. Environmental Matters.</w:t>
      </w:r>
    </w:p>
    <w:p>
      <w:pPr>
        <w:spacing w:after="0" w:line="121" w:lineRule="exact"/>
        <w:rPr>
          <w:sz w:val="20"/>
          <w:szCs w:val="20"/>
          <w:color w:val="auto"/>
        </w:rPr>
      </w:pPr>
    </w:p>
    <w:p>
      <w:pPr>
        <w:ind w:left="4" w:right="40" w:firstLine="440"/>
        <w:spacing w:after="0" w:line="254" w:lineRule="auto"/>
        <w:rPr>
          <w:sz w:val="20"/>
          <w:szCs w:val="20"/>
          <w:color w:val="auto"/>
        </w:rPr>
      </w:pPr>
      <w:r>
        <w:rPr>
          <w:rFonts w:ascii="Times New Roman" w:cs="Times New Roman" w:eastAsia="Times New Roman" w:hAnsi="Times New Roman"/>
          <w:sz w:val="18"/>
          <w:szCs w:val="18"/>
          <w:color w:val="auto"/>
        </w:rPr>
        <w:t>The Borrower shall, and shall cause each other Loan Party and each other Subsidiary to, comply with all Environmental Laws the failure with which to comply could reasonably be expected to have a Material Adverse Effect. The Borrower shall use, and shall cause each other Loan Party and each other Subsidiary to use, commercially reasonable efforts (which shall include, for purposes of this Section, including customary provisions in lease agreements with tenants as to such compliance) to cause all other Persons occupying, using or present on the Properties to comply, with all Environmental Laws the failure with which to comply could reasonably be expected to have a Material Adverse Effect. The Borrower shall, and shall cause each other Loan Party and each other Subsidiary to take promptly all actions reasonably necessary to prevent the imposition of any Liens on any of their respective properties arising out of or related to any Environmental Laws. Nothing in this Section shall impose any obligation or liability whatsoever on the Administrative Agent or any Lender.</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- 84 -</w:t>
      </w:r>
    </w:p>
    <w:p>
      <w:pPr>
        <w:sectPr>
          <w:pgSz w:w="11900" w:h="16838" w:orient="portrait"/>
          <w:cols w:equalWidth="0" w:num="1">
            <w:col w:w="11004"/>
          </w:cols>
          <w:pgMar w:left="436" w:top="270" w:right="4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7.10. Further Assurances.</w:t>
      </w:r>
    </w:p>
    <w:p>
      <w:pPr>
        <w:spacing w:after="0" w:line="121"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At the Borrower’s cost and expense and upon request of the Administrative Agent, the Borrower shall, and shall cause each other Loan Party and each other Subsidiary to, duly execute and deliver or cause to be duly executed and delivered, to the Administrative Agent such further instruments, documents and certificates, and do and cause to be done such further acts that may be reasonably necessary or advisable in the reasonable opinion of the Administrative Agent to carry out more effectively the provisions and purposes of this Agreement and the other Loan Documents.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7.11. Compliance with Anti-Corruption Laws; Beneficial Ownership Regulation, Anti-Money Laundering Laws and Sanctions.</w:t>
      </w:r>
    </w:p>
    <w:p>
      <w:pPr>
        <w:spacing w:after="0" w:line="121"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The Parent, the General Partner and the Borrower will (a) maintain in effect and enforce policies and procedures designed to ensure compliance by the Parent, the General Partner, the Borrower, their respective Subsidiaries and their respective directors, officers, employees and agents with all Anti-Corruption Laws, Anti-Money Laundering Laws and applicable Sanctions, (b) notify the Administrative Agent and each Lender that previously received a Beneficial Ownership Certification of any change in the information provided in the Beneficial Ownership Certification that would result in a change to the list of beneficial owners identified therein and (c) promptly upon the reasonable request of the Administrative Agent or any Lender, provide the Administrative Agent or such Lender, as the case may be, any information or documentation reasonably requested by it for purposes of complying with the Beneficial Ownership Regulation.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7.12. REIT Status.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Parent shall at all times maintain its status as, and election to be treated as, a REIT under the Internal Revenue Code.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7.13. Exchange Listing.</w:t>
      </w:r>
    </w:p>
    <w:p>
      <w:pPr>
        <w:spacing w:after="0" w:line="121" w:lineRule="exact"/>
        <w:rPr>
          <w:sz w:val="20"/>
          <w:szCs w:val="20"/>
          <w:color w:val="auto"/>
        </w:rPr>
      </w:pPr>
    </w:p>
    <w:p>
      <w:pPr>
        <w:jc w:val="both"/>
        <w:ind w:right="360" w:firstLine="440"/>
        <w:spacing w:after="0" w:line="266" w:lineRule="auto"/>
        <w:rPr>
          <w:sz w:val="20"/>
          <w:szCs w:val="20"/>
          <w:color w:val="auto"/>
        </w:rPr>
      </w:pPr>
      <w:r>
        <w:rPr>
          <w:rFonts w:ascii="Times New Roman" w:cs="Times New Roman" w:eastAsia="Times New Roman" w:hAnsi="Times New Roman"/>
          <w:sz w:val="18"/>
          <w:szCs w:val="18"/>
          <w:color w:val="auto"/>
        </w:rPr>
        <w:t>The Parent shall maintain at least one class of common shares of the Parent having trading privileges on the New York Stock Exchange or the NYSE American or other national exchange which is subject to price quotations on The NASDAQ Stock Market’s National Market System (or any successor exchanges or quotation systems thereto).</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7.14. Guarantors.</w:t>
      </w:r>
    </w:p>
    <w:p>
      <w:pPr>
        <w:spacing w:after="0" w:line="121" w:lineRule="exact"/>
        <w:rPr>
          <w:sz w:val="20"/>
          <w:szCs w:val="20"/>
          <w:color w:val="auto"/>
        </w:rPr>
      </w:pPr>
    </w:p>
    <w:p>
      <w:pPr>
        <w:ind w:right="20" w:firstLine="436"/>
        <w:spacing w:after="0" w:line="258" w:lineRule="auto"/>
        <w:tabs>
          <w:tab w:leader="none" w:pos="68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10 Business Days of the date on which any of the following conditions first applies to any Subsidiary (other than a Subsidiary owning a Non-Controlled Property) that is not already a Guarantor, the Borrower shall deliver to the Administrative Agent each of the following in form and substance satisfactory to the Administrative Agent: (i) an Accession Agreement executed by such Subsidiary (or if the Guaranty is not then in existence, a Guaranty executed by such Subsidiary) and (ii) the items that would have been delivered under subsections (iv) through (viii) of Section 5.1.(a) if such Subsidiary had been required to become a Guarantor on the Agreement Date:</w:t>
      </w:r>
    </w:p>
    <w:p>
      <w:pPr>
        <w:spacing w:after="0" w:line="75" w:lineRule="exact"/>
        <w:rPr>
          <w:rFonts w:ascii="Times New Roman" w:cs="Times New Roman" w:eastAsia="Times New Roman" w:hAnsi="Times New Roman"/>
          <w:sz w:val="18"/>
          <w:szCs w:val="18"/>
          <w:color w:val="auto"/>
        </w:rPr>
      </w:pPr>
    </w:p>
    <w:p>
      <w:pPr>
        <w:ind w:left="440" w:right="280" w:firstLine="419"/>
        <w:spacing w:after="0" w:line="282" w:lineRule="auto"/>
        <w:tabs>
          <w:tab w:leader="none" w:pos="1118"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Subsidiary Guarantees, or otherwise becomes obligated in respect of, any Indebtedness of the Borrower or any Subsidiary of the Borrower; or</w:t>
      </w:r>
    </w:p>
    <w:p>
      <w:pPr>
        <w:spacing w:after="0" w:line="53" w:lineRule="exact"/>
        <w:rPr>
          <w:rFonts w:ascii="Times New Roman" w:cs="Times New Roman" w:eastAsia="Times New Roman" w:hAnsi="Times New Roman"/>
          <w:sz w:val="18"/>
          <w:szCs w:val="18"/>
          <w:color w:val="auto"/>
        </w:rPr>
      </w:pPr>
    </w:p>
    <w:p>
      <w:pPr>
        <w:ind w:left="440" w:right="500" w:firstLine="419"/>
        <w:spacing w:after="0" w:line="282" w:lineRule="auto"/>
        <w:tabs>
          <w:tab w:leader="none" w:pos="1118"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Subsidiary (A) owns any asset the value of which is included in the determination of Unencumbered Asset Value and (B) has incurred, acquired or suffered to exist any Recourse Indebtedness.</w:t>
      </w:r>
    </w:p>
    <w:p>
      <w:pPr>
        <w:spacing w:after="0" w:line="94"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2"/>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85 -</w:t>
      </w:r>
    </w:p>
    <w:p>
      <w:pPr>
        <w:sectPr>
          <w:pgSz w:w="11900" w:h="16838" w:orient="portrait"/>
          <w:cols w:equalWidth="0" w:num="1">
            <w:col w:w="11000"/>
          </w:cols>
          <w:pgMar w:left="440" w:top="266" w:right="459" w:bottom="1440" w:gutter="0" w:footer="0" w:header="0"/>
        </w:sectPr>
      </w:pPr>
    </w:p>
    <w:bookmarkStart w:id="95" w:name="page96"/>
    <w:bookmarkEnd w:id="95"/>
    <w:p>
      <w:pPr>
        <w:ind w:right="420" w:firstLine="436"/>
        <w:spacing w:after="0" w:line="261" w:lineRule="auto"/>
        <w:tabs>
          <w:tab w:leader="none" w:pos="69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Within 10 Business Days of the date on which any of the following conditions first applies to either the Parent or the General Partner, the Borrower shall deliver to the Administrative Agent each of the following in form and substance satisfactory to the Administrative Agent: (i) the Parent/General Partner Guaranty executed by such Person and (ii) the items that would have been delivered under subsections (iv) through (viii) of Section 5.1.(a) if such Person had been required to become a Guarantor on the Agreement Date:</w:t>
      </w:r>
    </w:p>
    <w:p>
      <w:pPr>
        <w:spacing w:after="0" w:line="71" w:lineRule="exact"/>
        <w:rPr>
          <w:rFonts w:ascii="Times New Roman" w:cs="Times New Roman" w:eastAsia="Times New Roman" w:hAnsi="Times New Roman"/>
          <w:sz w:val="18"/>
          <w:szCs w:val="18"/>
          <w:color w:val="auto"/>
        </w:rPr>
      </w:pPr>
    </w:p>
    <w:p>
      <w:pPr>
        <w:ind w:left="440" w:right="360" w:firstLine="419"/>
        <w:spacing w:after="0" w:line="282" w:lineRule="auto"/>
        <w:tabs>
          <w:tab w:leader="none" w:pos="1118"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or General Partner, as the case may be, Guarantees, or otherwise becomes obligated in respect of, any Indebtedness of the Borrower or any Subsidiary of the Borrower; or</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or General Partner, as the case may be, fails to satisfy the requirements of Section 9.14 hereto.</w:t>
      </w:r>
    </w:p>
    <w:p>
      <w:pPr>
        <w:spacing w:after="0" w:line="117" w:lineRule="exact"/>
        <w:rPr>
          <w:rFonts w:ascii="Times New Roman" w:cs="Times New Roman" w:eastAsia="Times New Roman" w:hAnsi="Times New Roman"/>
          <w:sz w:val="18"/>
          <w:szCs w:val="18"/>
          <w:color w:val="auto"/>
        </w:rPr>
      </w:pPr>
    </w:p>
    <w:p>
      <w:pPr>
        <w:ind w:right="20" w:firstLine="436"/>
        <w:spacing w:after="0" w:line="254" w:lineRule="auto"/>
        <w:tabs>
          <w:tab w:leader="none" w:pos="68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request in writing that the Administrative Agent release, and upon receipt of such request the Administrative Agent shall release, a Subsidiary of the Borrower that is a Guarantor from the Guaranty so long as: (i) such Guarantor is not required to be a party to the Guaranty under the immediately preceding subsection (a); (ii) no Default or Event of Default shall then be in existence or would occur as a result of such release, including without limitation, a Default or Event of Default resulting from a violation of any of the covenants contained in Section 9.1.; and (iii) the Administrative Agent shall have received such written request at least ten (10) Business Days (or such shorter period as may be acceptable to the Administrative Agent) prior to the requested date of release. Delivery by the Borrower to the Administrative Agent of any such request shall constitute a representation by the Borrower that the matters set forth in the preceding sentence (both as of the date of the giving of such request and as of the date of the effectiveness of such request) are true and correct with respect to such request.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18"/>
          <w:szCs w:val="18"/>
          <w:b w:val="1"/>
          <w:bCs w:val="1"/>
          <w:color w:val="auto"/>
        </w:rPr>
        <w:t xml:space="preserve"> VIII. I</w:t>
      </w:r>
      <w:r>
        <w:rPr>
          <w:rFonts w:ascii="Times New Roman" w:cs="Times New Roman" w:eastAsia="Times New Roman" w:hAnsi="Times New Roman"/>
          <w:sz w:val="14"/>
          <w:szCs w:val="14"/>
          <w:b w:val="1"/>
          <w:bCs w:val="1"/>
          <w:color w:val="auto"/>
        </w:rPr>
        <w:t>NFORMATION</w:t>
      </w:r>
    </w:p>
    <w:p>
      <w:pPr>
        <w:spacing w:after="0" w:line="229" w:lineRule="exact"/>
        <w:rPr>
          <w:sz w:val="20"/>
          <w:szCs w:val="20"/>
          <w:color w:val="auto"/>
        </w:rPr>
      </w:pPr>
    </w:p>
    <w:p>
      <w:pPr>
        <w:ind w:firstLine="440"/>
        <w:spacing w:after="0" w:line="312" w:lineRule="auto"/>
        <w:rPr>
          <w:sz w:val="20"/>
          <w:szCs w:val="20"/>
          <w:color w:val="auto"/>
        </w:rPr>
      </w:pPr>
      <w:r>
        <w:rPr>
          <w:rFonts w:ascii="Times New Roman" w:cs="Times New Roman" w:eastAsia="Times New Roman" w:hAnsi="Times New Roman"/>
          <w:sz w:val="17"/>
          <w:szCs w:val="17"/>
          <w:color w:val="auto"/>
        </w:rPr>
        <w:t>For so long as this Agreement is in effect, unless the Requisite Lenders (or, if required pursuant to Section 12.7., all of the Lenders) shall otherwise consent in the manner set forth in Section 12.7., the Borrower shall furnish to the Administrative Agent for distribution to each of the Lenders: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8.1. Quarterly Financial Statements.</w:t>
      </w:r>
    </w:p>
    <w:p>
      <w:pPr>
        <w:spacing w:after="0" w:line="12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As soon as available and in any event within five (5) days after the same is required to be filed with the Securities and Exchange Commission (but in no event later than 50 days after the end of each of the first, second and third fiscal quarters of the Borrower commencing with the fiscal quarter of the Borrower ended September 30, 2022), the unaudited consolidated balance sheet of the Borrower and its Subsidiaries as at the end of such period and the related unaudited consolidated statements of operations, shareholders’ equity and cash flows of the Borrower and its Subsidiaries for such period, setting forth in each case in comparative form the figures as of the end of and for the corresponding periods of the previous fiscal year, all of which shall, to the extent applicable, be in the form required by the Securities Exchange Act and certified by the chief financial officer or chief accounting officer of the Borrower, in his or her opinion, to present fairly, in accordance with GAAP and in all material respects, the consolidated financial position of the Borrower and its Subsidiaries as at the date thereof and the results of operations for such period (subject to normal year-end audit adjustments).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- 86 -</w:t>
      </w:r>
    </w:p>
    <w:p>
      <w:pPr>
        <w:sectPr>
          <w:pgSz w:w="11900" w:h="16838" w:orient="portrait"/>
          <w:cols w:equalWidth="0" w:num="1">
            <w:col w:w="11000"/>
          </w:cols>
          <w:pgMar w:left="440" w:top="270" w:right="459" w:bottom="1440" w:gutter="0" w:footer="0" w:header="0"/>
        </w:sectPr>
      </w:pPr>
    </w:p>
    <w:bookmarkStart w:id="96" w:name="page97"/>
    <w:bookmarkEnd w:id="96"/>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8.2. Year-End Statements.</w:t>
      </w:r>
    </w:p>
    <w:p>
      <w:pPr>
        <w:spacing w:after="0" w:line="121" w:lineRule="exact"/>
        <w:rPr>
          <w:sz w:val="20"/>
          <w:szCs w:val="20"/>
          <w:color w:val="auto"/>
        </w:rPr>
      </w:pPr>
    </w:p>
    <w:p>
      <w:pPr>
        <w:ind w:left="4" w:right="20" w:firstLine="440"/>
        <w:spacing w:after="0" w:line="253" w:lineRule="auto"/>
        <w:rPr>
          <w:sz w:val="20"/>
          <w:szCs w:val="20"/>
          <w:color w:val="auto"/>
        </w:rPr>
      </w:pPr>
      <w:r>
        <w:rPr>
          <w:rFonts w:ascii="Times New Roman" w:cs="Times New Roman" w:eastAsia="Times New Roman" w:hAnsi="Times New Roman"/>
          <w:sz w:val="18"/>
          <w:szCs w:val="18"/>
          <w:color w:val="auto"/>
        </w:rPr>
        <w:t>As soon as available and in any event within five (5) days after the same is required to be filed with the Securities and Exchange Commission (but in no event later than 95 days after the end of each fiscal year of the Borrower), the audited consolidated balance sheet of the Borrower and its Subsidiaries as at the end of such fiscal year and the related audited consolidated statements of operations, shareholders’ equity and cash flows of the Borrower and its Subsidiaries for such fiscal year, setting forth in comparative form the figures as at the end of and for the previous fiscal year, all of which shall, to the extent applicable, be in the form required by the Securities Exchange Act and (a) certified by the chief accounting officer or chief financial officer of the Borrower, in his or her opinion, to present fairly, in accordance with GAAP, the consolidated financial position of the Borrower and its Subsidiaries as at the date thereof and the result of operations for such period and (b) accompanied by the report thereon of Grant Thornton LLP or any other independent certified public accountants of recognized national standing acceptable to the Administrative Agent, whose report shall be unqualified and who shall have authorized the Borrower to deliver such financial statements and report thereon to the Administrative Agent and the Lenders pursuant to this Agreement.</w:t>
      </w:r>
    </w:p>
    <w:p>
      <w:pPr>
        <w:spacing w:after="0" w:line="19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8.3. Compliance Certificate.</w:t>
      </w:r>
    </w:p>
    <w:p>
      <w:pPr>
        <w:spacing w:after="0" w:line="121" w:lineRule="exact"/>
        <w:rPr>
          <w:sz w:val="20"/>
          <w:szCs w:val="20"/>
          <w:color w:val="auto"/>
        </w:rPr>
      </w:pPr>
    </w:p>
    <w:p>
      <w:pPr>
        <w:ind w:left="4" w:firstLine="440"/>
        <w:spacing w:after="0" w:line="251" w:lineRule="auto"/>
        <w:rPr>
          <w:sz w:val="20"/>
          <w:szCs w:val="20"/>
          <w:color w:val="auto"/>
        </w:rPr>
      </w:pPr>
      <w:r>
        <w:rPr>
          <w:rFonts w:ascii="Times New Roman" w:cs="Times New Roman" w:eastAsia="Times New Roman" w:hAnsi="Times New Roman"/>
          <w:sz w:val="18"/>
          <w:szCs w:val="18"/>
          <w:color w:val="auto"/>
        </w:rPr>
        <w:t>At the time the financial statements are furnished pursuant to Sections 8.1. and 8.2. and, if (i) the Requisite Lenders provide notice to the Administrative Agent and the Borrower that they reasonably believe that an Event of Default specified in Section 10.1.(a), 10.1.(e) or 10.1.(f) or a Default under Section 10.1.(f) may occur, or if (ii) a casualty or condemnation of a Property secured by Material Indebtedness requiring payment in excess of $125,000,000 as a result of such casualty or condemnation occurs, then within 5 Business Days of the Administrative Agent’s request with respect to any other fiscal period, a certificate substantially in the form of Exhibit P (a “</w:t>
      </w:r>
      <w:r>
        <w:rPr>
          <w:rFonts w:ascii="Times New Roman" w:cs="Times New Roman" w:eastAsia="Times New Roman" w:hAnsi="Times New Roman"/>
          <w:sz w:val="18"/>
          <w:szCs w:val="18"/>
          <w:b w:val="1"/>
          <w:bCs w:val="1"/>
          <w:color w:val="auto"/>
        </w:rPr>
        <w:t>Compliance Certificate</w:t>
      </w:r>
      <w:r>
        <w:rPr>
          <w:rFonts w:ascii="Times New Roman" w:cs="Times New Roman" w:eastAsia="Times New Roman" w:hAnsi="Times New Roman"/>
          <w:sz w:val="18"/>
          <w:szCs w:val="18"/>
          <w:color w:val="auto"/>
        </w:rPr>
        <w:t>”) executed on behalf of the Borrower by the chief accounting officer or the chief financial officer of the Borrower (a) setting forth in reasonable detail as of the end of such quarterly accounting period or fiscal year or such other fiscal period, as the case may be, the calculations required to establish whether the Borrower was in compliance with the covenants contained in Section 9.1.; and (b) stating that, to the best of his or her knowledge, information, and belief after due inquiry, no Default or Event of Default exists, or, if such is not the case, specifying such Default or Event of Default and its nature, when it occurred and the steps being taken by the Borrower with respect to such event, condition or failure. Together with each Compliance Certificate delivered in connection with quarterly or annual financial statements, the Borrower shall deliver a report, in form and detail reasonably satisfactory to the Administrative Agent, setting forth (i) a statement of Funds From Operations for the fiscal period then ending; (ii) a list of each Wholly Owned Property, Controlled Property and Non-Controlled Property included in the calculation of Unencumbered Asset Value, such list to identify any Property that has ceased to be included in the calculation of Unencumbered Asset Value since the previous such list delivered to the Administrative Agent; and</w:t>
      </w:r>
    </w:p>
    <w:p>
      <w:pPr>
        <w:spacing w:after="0" w:line="12" w:lineRule="exact"/>
        <w:rPr>
          <w:sz w:val="20"/>
          <w:szCs w:val="20"/>
          <w:color w:val="auto"/>
        </w:rPr>
      </w:pPr>
    </w:p>
    <w:p>
      <w:pPr>
        <w:jc w:val="both"/>
        <w:ind w:left="4" w:right="400" w:hanging="4"/>
        <w:spacing w:after="0" w:line="255" w:lineRule="auto"/>
        <w:tabs>
          <w:tab w:leader="none" w:pos="319"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listing of all Properties acquired by the Borrower or any Subsidiary since the delivery of the previous such list, including their Net Operating Income, the purchase price for such Property and indicating whether such Property is collateral for any Secured Indebtedness of the owner of such Property.</w:t>
      </w:r>
    </w:p>
    <w:p>
      <w:pPr>
        <w:spacing w:after="0" w:line="18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8.4. Other Information.</w:t>
      </w:r>
    </w:p>
    <w:p>
      <w:pPr>
        <w:spacing w:after="0" w:line="121" w:lineRule="exact"/>
        <w:rPr>
          <w:sz w:val="20"/>
          <w:szCs w:val="20"/>
          <w:color w:val="auto"/>
        </w:rPr>
      </w:pPr>
    </w:p>
    <w:p>
      <w:pPr>
        <w:ind w:left="4" w:right="280" w:firstLine="436"/>
        <w:spacing w:after="0" w:line="282" w:lineRule="auto"/>
        <w:tabs>
          <w:tab w:leader="none" w:pos="689"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upon receipt thereof, copies of all management reports, if any, submitted to the Borrower or its partners by its independent public accountants;</w:t>
      </w:r>
    </w:p>
    <w:p>
      <w:pPr>
        <w:spacing w:after="0" w:line="53" w:lineRule="exact"/>
        <w:rPr>
          <w:rFonts w:ascii="Times New Roman" w:cs="Times New Roman" w:eastAsia="Times New Roman" w:hAnsi="Times New Roman"/>
          <w:sz w:val="18"/>
          <w:szCs w:val="18"/>
          <w:color w:val="auto"/>
        </w:rPr>
      </w:pPr>
    </w:p>
    <w:p>
      <w:pPr>
        <w:ind w:left="4" w:right="20" w:firstLine="436"/>
        <w:spacing w:after="0" w:line="261" w:lineRule="auto"/>
        <w:tabs>
          <w:tab w:leader="none" w:pos="699"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five (5) Business Days of the filing thereof, copies of all registration statements (excluding the exhibits thereto (unless requested by the Administrative Agent) and any registration statements on Form S-8 or its equivalent), reports on Forms 10-K, 10-Q and 8-K (or their equivalents) and all other periodic reports which the Parent or any Loan Party or any other Subsidiary shall file with the Securities and Exchange Commission (or any Governmental Authority substituted therefor) or any national securities exchange;</w:t>
      </w:r>
    </w:p>
    <w:p>
      <w:pPr>
        <w:spacing w:after="0" w:line="112"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87 -</w:t>
      </w:r>
    </w:p>
    <w:p>
      <w:pPr>
        <w:sectPr>
          <w:pgSz w:w="11900" w:h="16838" w:orient="portrait"/>
          <w:cols w:equalWidth="0" w:num="1">
            <w:col w:w="10984"/>
          </w:cols>
          <w:pgMar w:left="436" w:top="266" w:right="479" w:bottom="1440" w:gutter="0" w:footer="0" w:header="0"/>
        </w:sectPr>
      </w:pPr>
    </w:p>
    <w:bookmarkStart w:id="97" w:name="page98"/>
    <w:bookmarkEnd w:id="97"/>
    <w:p>
      <w:pPr>
        <w:ind w:left="4" w:right="120" w:firstLine="436"/>
        <w:spacing w:after="0" w:line="266" w:lineRule="auto"/>
        <w:tabs>
          <w:tab w:leader="none" w:pos="689"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Promptly upon the mailing thereof to the shareholders of the Parent or the Borrower generally, copies of all financial statements, reports and proxy statements so mailed and promptly upon the issuance thereof copies of all press releases issued by the Parent, the General Partner, the Borrower, any Subsidiary or any other Loan Party;</w:t>
      </w:r>
    </w:p>
    <w:p>
      <w:pPr>
        <w:spacing w:after="0" w:line="67" w:lineRule="exact"/>
        <w:rPr>
          <w:rFonts w:ascii="Times New Roman" w:cs="Times New Roman" w:eastAsia="Times New Roman" w:hAnsi="Times New Roman"/>
          <w:sz w:val="18"/>
          <w:szCs w:val="18"/>
          <w:color w:val="auto"/>
        </w:rPr>
      </w:pPr>
    </w:p>
    <w:p>
      <w:pPr>
        <w:ind w:left="4" w:firstLine="436"/>
        <w:spacing w:after="0" w:line="256" w:lineRule="auto"/>
        <w:tabs>
          <w:tab w:leader="none" w:pos="699"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later than the last day of February of each year, projected consolidated financial statements of Borrower and its consolidated Subsidiaries, for the next fiscal year set forth on a quarterly basis, to include projected statements of income and loss and statements of cash flow. Such projected consolidated financial statements shall represent the reasonable best estimate by the Borrower of the future financial performance of the Borrower and its Subsidiaries for the periods set forth therein and have been prepared on the basis of assumptions set forth therein, which the Borrower believes are fair and reasonable as of the date of preparation in light of current and reasonably foreseeable business conditions (it being understood that actual results may differ from those set forth in such projected financial statements);</w:t>
      </w:r>
    </w:p>
    <w:p>
      <w:pPr>
        <w:spacing w:after="0" w:line="79" w:lineRule="exact"/>
        <w:rPr>
          <w:rFonts w:ascii="Times New Roman" w:cs="Times New Roman" w:eastAsia="Times New Roman" w:hAnsi="Times New Roman"/>
          <w:sz w:val="18"/>
          <w:szCs w:val="18"/>
          <w:color w:val="auto"/>
        </w:rPr>
      </w:pPr>
    </w:p>
    <w:p>
      <w:pPr>
        <w:ind w:left="4" w:right="140" w:firstLine="436"/>
        <w:spacing w:after="0" w:line="266" w:lineRule="auto"/>
        <w:tabs>
          <w:tab w:leader="none" w:pos="689"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ERISA Event shall occur that individually, or together with any other ERISA Event that has occurred, could reasonably be expected to have a Material Adverse Effect, a certificate of the chief executive officer or chief financial officer of the Borrower setting forth details as to such occurrence and the action, if any, which the Borrower or applicable member of the ERISA Group is required or proposes to take;</w:t>
      </w:r>
    </w:p>
    <w:p>
      <w:pPr>
        <w:spacing w:after="0" w:line="67" w:lineRule="exact"/>
        <w:rPr>
          <w:rFonts w:ascii="Times New Roman" w:cs="Times New Roman" w:eastAsia="Times New Roman" w:hAnsi="Times New Roman"/>
          <w:sz w:val="18"/>
          <w:szCs w:val="18"/>
          <w:color w:val="auto"/>
        </w:rPr>
      </w:pPr>
    </w:p>
    <w:p>
      <w:pPr>
        <w:ind w:left="4" w:right="40" w:firstLine="436"/>
        <w:spacing w:after="0" w:line="258" w:lineRule="auto"/>
        <w:tabs>
          <w:tab w:leader="none" w:pos="669"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the Parent, the General Partner, any Loan Party or any other Subsidiary is aware of the same, prompt notice of the commencement of any proceeding or investigation by or before any Governmental Authority and any action or proceeding in any court or other tribunal or before any arbitrator against or in any other way relating adversely to, or adversely affecting, the Parent, the General Partner, any Loan Party or any other Subsidiary or any of their respective properties, assets or businesses which could reasonably be expected to have a Material Adverse Effect, and prompt notice of the receipt of notice that any United States income tax returns of any Loan Party or any other Subsidiary are being audited;</w:t>
      </w:r>
    </w:p>
    <w:p>
      <w:pPr>
        <w:spacing w:after="0" w:line="75"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any amendment to the agreement of limited partnership or other organizational documents of the Borrower within fifteen</w:t>
      </w:r>
    </w:p>
    <w:p>
      <w:pPr>
        <w:spacing w:after="0" w:line="27" w:lineRule="exact"/>
        <w:rPr>
          <w:rFonts w:ascii="Times New Roman" w:cs="Times New Roman" w:eastAsia="Times New Roman" w:hAnsi="Times New Roman"/>
          <w:sz w:val="18"/>
          <w:szCs w:val="18"/>
          <w:color w:val="auto"/>
        </w:rPr>
      </w:pPr>
    </w:p>
    <w:p>
      <w:pPr>
        <w:ind w:left="4" w:right="160" w:hanging="4"/>
        <w:spacing w:after="0" w:line="260" w:lineRule="auto"/>
        <w:tabs>
          <w:tab w:leader="none" w:pos="349"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after the effectiveness thereof, other than an amendment to such agreement of limited partnership to reflect issuances of additional interests in the Borrower as authorized by such agreement;</w:t>
      </w:r>
    </w:p>
    <w:p>
      <w:pPr>
        <w:spacing w:after="0" w:line="73" w:lineRule="exact"/>
        <w:rPr>
          <w:rFonts w:ascii="Times New Roman" w:cs="Times New Roman" w:eastAsia="Times New Roman" w:hAnsi="Times New Roman"/>
          <w:sz w:val="18"/>
          <w:szCs w:val="18"/>
          <w:color w:val="auto"/>
        </w:rPr>
      </w:pPr>
    </w:p>
    <w:p>
      <w:pPr>
        <w:jc w:val="both"/>
        <w:ind w:left="4" w:right="60" w:firstLine="436"/>
        <w:spacing w:after="0" w:line="266" w:lineRule="auto"/>
        <w:tabs>
          <w:tab w:leader="none" w:pos="699"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 notice of (i) any change in the chief executive officer, chief financial officer or chief operating officer of the Borrower, any Subsidiary or any other Loan Party, or (ii) any change in the business, assets, liabilities, financial condition or results of operations of the Borrower, any Subsidiary or any other Loan Party which has had, or could reasonably be expected to have, a Material Adverse Effect;</w:t>
      </w:r>
    </w:p>
    <w:p>
      <w:pPr>
        <w:spacing w:after="0" w:line="67" w:lineRule="exact"/>
        <w:rPr>
          <w:rFonts w:ascii="Times New Roman" w:cs="Times New Roman" w:eastAsia="Times New Roman" w:hAnsi="Times New Roman"/>
          <w:sz w:val="18"/>
          <w:szCs w:val="18"/>
          <w:color w:val="auto"/>
        </w:rPr>
      </w:pPr>
    </w:p>
    <w:p>
      <w:pPr>
        <w:ind w:left="4" w:firstLine="436"/>
        <w:spacing w:after="0" w:line="261" w:lineRule="auto"/>
        <w:tabs>
          <w:tab w:leader="none" w:pos="659"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upon a Responsible Officer of the Borrower obtaining knowledge thereof, prompt notice of the occurrence of any Default or Event of Default or any event which constitutes or which with the passage of time, the giving of notice, or otherwise, would constitute a default or event of default by any Loan Party or any other Subsidiary under any Material Contract to which any such Person is a party or by which any such Person or any of its respective properties may be bound;</w:t>
      </w:r>
    </w:p>
    <w:p>
      <w:pPr>
        <w:spacing w:after="0" w:line="71" w:lineRule="exact"/>
        <w:rPr>
          <w:rFonts w:ascii="Times New Roman" w:cs="Times New Roman" w:eastAsia="Times New Roman" w:hAnsi="Times New Roman"/>
          <w:sz w:val="18"/>
          <w:szCs w:val="18"/>
          <w:color w:val="auto"/>
        </w:rPr>
      </w:pPr>
    </w:p>
    <w:p>
      <w:pPr>
        <w:ind w:left="4" w:right="40" w:firstLine="436"/>
        <w:spacing w:after="0" w:line="282" w:lineRule="auto"/>
        <w:tabs>
          <w:tab w:leader="none" w:pos="659"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 notice of any order, judgment or decree not covered by insurance in excess of $25,000,000 having been entered against any Loan Party or any other Subsidiary or any of their respective properties or assets;</w:t>
      </w:r>
    </w:p>
    <w:p>
      <w:pPr>
        <w:spacing w:after="0" w:line="94"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2"/>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88 -</w:t>
      </w:r>
    </w:p>
    <w:p>
      <w:pPr>
        <w:sectPr>
          <w:pgSz w:w="11900" w:h="16838" w:orient="portrait"/>
          <w:cols w:equalWidth="0" w:num="1">
            <w:col w:w="10984"/>
          </w:cols>
          <w:pgMar w:left="436" w:top="270" w:right="479" w:bottom="1440" w:gutter="0" w:footer="0" w:header="0"/>
        </w:sectPr>
      </w:pPr>
    </w:p>
    <w:bookmarkStart w:id="98" w:name="page99"/>
    <w:bookmarkEnd w:id="98"/>
    <w:p>
      <w:pPr>
        <w:jc w:val="both"/>
        <w:ind w:left="-436" w:right="520" w:firstLine="436"/>
        <w:spacing w:after="0" w:line="312" w:lineRule="auto"/>
        <w:tabs>
          <w:tab w:leader="none" w:pos="259"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Prompt notice if the Borrower, any Subsidiary or any other Loan Party shall receive any notification from any Governmental Authority alleging a violation of any Applicable Law or any inquiry which, in either case, could reasonably be expected to have a Material Adverse Effect</w:t>
      </w:r>
    </w:p>
    <w:p>
      <w:pPr>
        <w:spacing w:after="0" w:line="31" w:lineRule="exact"/>
        <w:rPr>
          <w:rFonts w:ascii="Times New Roman" w:cs="Times New Roman" w:eastAsia="Times New Roman" w:hAnsi="Times New Roman"/>
          <w:sz w:val="17"/>
          <w:szCs w:val="17"/>
          <w:color w:val="auto"/>
        </w:rPr>
      </w:pPr>
    </w:p>
    <w:p>
      <w:pPr>
        <w:ind w:left="-436" w:firstLine="436"/>
        <w:spacing w:after="0" w:line="258" w:lineRule="auto"/>
        <w:tabs>
          <w:tab w:leader="none" w:pos="219"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Parent does not provide the balance sheet of the Parent and its Subsidiaries and the related consolidated statements of operations, shareholders’ equity and cash flows for any quarterly or annual period on Form 10-K or 10-Q filed with the Securities and Exchange Commission, the Borrower shall deliver such information to the Administrative Agent for distribution to the Lenders as soon as available and in any event no later than 50 days after the end of each of the first, second and third fiscal quarters of the Parent and 90 days after the end of each fiscal year of the Parent;</w:t>
      </w:r>
    </w:p>
    <w:p>
      <w:pPr>
        <w:spacing w:after="0" w:line="75" w:lineRule="exact"/>
        <w:rPr>
          <w:rFonts w:ascii="Times New Roman" w:cs="Times New Roman" w:eastAsia="Times New Roman" w:hAnsi="Times New Roman"/>
          <w:sz w:val="18"/>
          <w:szCs w:val="18"/>
          <w:color w:val="auto"/>
        </w:rPr>
      </w:pPr>
    </w:p>
    <w:p>
      <w:pPr>
        <w:ind w:left="-436" w:right="360" w:firstLine="436"/>
        <w:spacing w:after="0" w:line="282" w:lineRule="auto"/>
        <w:tabs>
          <w:tab w:leader="none" w:pos="309"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upon the request of the Administrative Agent, evidence of the Borrower’s calculation of the Ownership Share with respect to a Subsidiary or an Unconsolidated Affiliate, such evidence to be in form and detail satisfactory to the Administrative Agent;</w:t>
      </w:r>
    </w:p>
    <w:p>
      <w:pPr>
        <w:spacing w:after="0" w:line="53" w:lineRule="exact"/>
        <w:rPr>
          <w:rFonts w:ascii="Times New Roman" w:cs="Times New Roman" w:eastAsia="Times New Roman" w:hAnsi="Times New Roman"/>
          <w:sz w:val="18"/>
          <w:szCs w:val="18"/>
          <w:color w:val="auto"/>
        </w:rPr>
      </w:pPr>
    </w:p>
    <w:p>
      <w:pPr>
        <w:ind w:left="-436" w:right="180" w:firstLine="436"/>
        <w:spacing w:after="0" w:line="282" w:lineRule="auto"/>
        <w:tabs>
          <w:tab w:leader="none" w:pos="259"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upon any change in the Borrower’s Credit Rating, a certificate stating that the Borrower’s Credit Rating has changed and the new Credit Rating that is in effect;</w:t>
      </w:r>
    </w:p>
    <w:p>
      <w:pPr>
        <w:spacing w:after="0" w:line="53" w:lineRule="exact"/>
        <w:rPr>
          <w:rFonts w:ascii="Times New Roman" w:cs="Times New Roman" w:eastAsia="Times New Roman" w:hAnsi="Times New Roman"/>
          <w:sz w:val="18"/>
          <w:szCs w:val="18"/>
          <w:color w:val="auto"/>
        </w:rPr>
      </w:pPr>
    </w:p>
    <w:p>
      <w:pPr>
        <w:ind w:left="-436" w:right="320" w:firstLine="436"/>
        <w:spacing w:after="0" w:line="266" w:lineRule="auto"/>
        <w:tabs>
          <w:tab w:leader="none" w:pos="259"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upon the request therefor, such other information and documentation required under applicable “know your customer” rules and regulations, the PATRIOT Act or any applicable Anti-Money Laundering Laws, in each case as from time to time reasonably requested by the Administrative Agent or any Lender;</w:t>
      </w:r>
    </w:p>
    <w:p>
      <w:pPr>
        <w:spacing w:after="0" w:line="67" w:lineRule="exact"/>
        <w:rPr>
          <w:rFonts w:ascii="Times New Roman" w:cs="Times New Roman" w:eastAsia="Times New Roman" w:hAnsi="Times New Roman"/>
          <w:sz w:val="18"/>
          <w:szCs w:val="18"/>
          <w:color w:val="auto"/>
        </w:rPr>
      </w:pPr>
    </w:p>
    <w:p>
      <w:pPr>
        <w:ind w:left="-436" w:right="180" w:firstLine="436"/>
        <w:spacing w:after="0" w:line="282" w:lineRule="auto"/>
        <w:tabs>
          <w:tab w:leader="none" w:pos="259"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 notice of the sale, transfer or other disposition of any material assets of the Borrower, any Subsidiary or any other Loan Party to any Person other than the Borrower, any Subsidiary or any other Loan Party;</w:t>
      </w:r>
    </w:p>
    <w:p>
      <w:pPr>
        <w:spacing w:after="0" w:line="53" w:lineRule="exact"/>
        <w:rPr>
          <w:rFonts w:ascii="Times New Roman" w:cs="Times New Roman" w:eastAsia="Times New Roman" w:hAnsi="Times New Roman"/>
          <w:sz w:val="18"/>
          <w:szCs w:val="18"/>
          <w:color w:val="auto"/>
        </w:rPr>
      </w:pPr>
    </w:p>
    <w:p>
      <w:pPr>
        <w:ind w:left="-436" w:right="80" w:firstLine="436"/>
        <w:spacing w:after="0" w:line="254" w:lineRule="auto"/>
        <w:tabs>
          <w:tab w:leader="none" w:pos="259"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 written notice, meaning within ten (10) Business Days after the Borrower obtains knowledge thereof, of the occurrence of any of the following: (i) the Borrower, any Loan Party or any other Subsidiary shall receive written notice that any violation of Environmental Law has or may have been committed or is about to be committed; (ii) the Borrower, any Loan Party or any other Subsidiary shall receive written notice that any administrative or judicial complaint, or order has been filed or is about to be filed against any such Person alleging any violation of any Environmental Law or requiring the Borrower, any Loan Party or any other Subsidiary to take any action in connection with the release or threatened release of Hazardous Materials; or (iii) the Borrower, any Loan Party or any other Subsidiary shall receive any notice from a Governmental Authority or private party alleging that any such Person may be liable or responsible for any costs associated with a response to, or remediation or cleanup of, a release of Hazardous Materials or any damages caused thereby; and the matters covered by such notice(s) under the foregoing clauses (i) through (iii) above, whether individually or in the aggregate, could reasonably be expected to have a Material Adverse Effect;</w:t>
      </w:r>
    </w:p>
    <w:p>
      <w:pPr>
        <w:spacing w:after="0" w:line="80" w:lineRule="exact"/>
        <w:rPr>
          <w:rFonts w:ascii="Times New Roman" w:cs="Times New Roman" w:eastAsia="Times New Roman" w:hAnsi="Times New Roman"/>
          <w:sz w:val="18"/>
          <w:szCs w:val="18"/>
          <w:color w:val="auto"/>
        </w:rPr>
      </w:pPr>
    </w:p>
    <w:p>
      <w:pPr>
        <w:ind w:left="-436" w:right="240" w:firstLine="436"/>
        <w:spacing w:after="0" w:line="282" w:lineRule="auto"/>
        <w:tabs>
          <w:tab w:leader="none" w:pos="229"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upon the request of the Administrative Agent, the Derivatives Termination Value in respect of any Specified Derivatives Contract from time to time outstanding;</w:t>
      </w:r>
    </w:p>
    <w:p>
      <w:pPr>
        <w:spacing w:after="0" w:line="53" w:lineRule="exact"/>
        <w:rPr>
          <w:rFonts w:ascii="Times New Roman" w:cs="Times New Roman" w:eastAsia="Times New Roman" w:hAnsi="Times New Roman"/>
          <w:sz w:val="18"/>
          <w:szCs w:val="18"/>
          <w:color w:val="auto"/>
        </w:rPr>
      </w:pPr>
    </w:p>
    <w:p>
      <w:pPr>
        <w:ind w:left="-436" w:firstLine="436"/>
        <w:spacing w:after="0" w:line="266" w:lineRule="auto"/>
        <w:tabs>
          <w:tab w:leader="none" w:pos="239"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time to time and promptly upon each request, such data, certificates, reports, statements, opinions of counsel, documents or further information regarding the business, assets, liabilities, financial condition or results of operations of the Parent, the General Partner, the Borrower, any of their respective Subsidiaries, or any other Loan Party as the Administrative Agent or any Lender may reasonably request; and</w:t>
      </w:r>
    </w:p>
    <w:p>
      <w:pPr>
        <w:spacing w:after="0" w:line="108" w:lineRule="exact"/>
        <w:rPr>
          <w:rFonts w:ascii="Times New Roman" w:cs="Times New Roman" w:eastAsia="Times New Roman" w:hAnsi="Times New Roman"/>
          <w:sz w:val="18"/>
          <w:szCs w:val="18"/>
          <w:color w:val="auto"/>
        </w:rPr>
      </w:pPr>
    </w:p>
    <w:p>
      <w:pPr>
        <w:ind w:left="4984" w:hanging="111"/>
        <w:spacing w:after="0"/>
        <w:tabs>
          <w:tab w:leader="none" w:pos="4984"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89 -</w:t>
      </w:r>
    </w:p>
    <w:p>
      <w:pPr>
        <w:sectPr>
          <w:pgSz w:w="11900" w:h="16838" w:orient="portrait"/>
          <w:cols w:equalWidth="0" w:num="1">
            <w:col w:w="10504"/>
          </w:cols>
          <w:pgMar w:left="876" w:top="270" w:right="519" w:bottom="1440" w:gutter="0" w:footer="0" w:header="0"/>
        </w:sectPr>
      </w:pPr>
    </w:p>
    <w:bookmarkStart w:id="99" w:name="page100"/>
    <w:bookmarkEnd w:id="99"/>
    <w:p>
      <w:pPr>
        <w:ind w:firstLine="436"/>
        <w:spacing w:after="0" w:line="266" w:lineRule="auto"/>
        <w:tabs>
          <w:tab w:leader="none" w:pos="65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Promptly, upon any change in the tax identification number of the Borrower, and in any event within ten (10) Business Days of a Responsible Officer of the Borrower obtaining knowledge thereof, evidence of such new tax identification number issued by the appropriate Governmental Authority in form and substance satisfactory to the Administrative Agent.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8.5. Electronic Delivery of Certain Information.</w:t>
      </w:r>
    </w:p>
    <w:p>
      <w:pPr>
        <w:spacing w:after="0" w:line="121" w:lineRule="exact"/>
        <w:rPr>
          <w:sz w:val="20"/>
          <w:szCs w:val="20"/>
          <w:color w:val="auto"/>
        </w:rPr>
      </w:pPr>
    </w:p>
    <w:p>
      <w:pPr>
        <w:ind w:firstLine="436"/>
        <w:spacing w:after="0" w:line="252" w:lineRule="auto"/>
        <w:tabs>
          <w:tab w:leader="none" w:pos="68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Documents required to be delivered pursuant to the Loan Documents shall be delivered by electronic communication and delivery, including, the Internet, e-mail or intranet websites to which the Administrative Agent and each Lender have access (including a commercial, third-party website or a website sponsored or hosted by the Administrative Agent or the Borrower) provided that the foregoing shall not apply to (i) notices to any Lender (or the Issuing Bank) pursuant to Article II. and (ii) any Lender that has notified the Administrative Agent and the Borrower that it cannot or does not want to receive electronic communications. The Administrative Agent or the Borrower may, in its discretion, agree to accept notices and other communications to it hereunder by electronic delivery pursuant to procedures approved by it for all or particular notices or communications. Documents or notices delivered electronically shall be deemed to have been delivered on the date and time on which the Administrative Agent or the Borrower posts such documents or the documents become available on a commercial website and the Borrower notifies the Administrative Agent of said posting by causing an e-mail notification to be sent to an e-mail address specified from time to time by the Administrative Agent and provides a link thereto; provided if such notice or other communication is not sent or posted during the normal business hours of the recipient, said posting date and time shall be deemed to have commenced as of 9:00 a.m. Pacific time on the opening of business on the next business day for the recipient. Notwithstanding anything contained herein, in every instance the Borrower shall be required to provide paper copies of the certificate required by Section 8.3. to the Administrative Agent and shall deliver paper copies of any documents to the Administrative Agent or to any Lender that requests such paper copies until a written request to cease delivering paper copies is given by the Administrative Agent or such Lender. Except for the certificates required by Section 8.3., the Administrative Agent shall have no obligation to request the delivery of or to maintain paper copies of the documents delivered electronically, and in any event shall have no responsibility to monitor compliance by the Borrower with any such request for delivery. Each Lender shall be solely responsible for requesting delivery to it of paper copies and maintaining its paper or electronic documents.</w:t>
      </w:r>
    </w:p>
    <w:p>
      <w:pPr>
        <w:spacing w:after="0" w:line="85" w:lineRule="exact"/>
        <w:rPr>
          <w:rFonts w:ascii="Times New Roman" w:cs="Times New Roman" w:eastAsia="Times New Roman" w:hAnsi="Times New Roman"/>
          <w:sz w:val="18"/>
          <w:szCs w:val="18"/>
          <w:color w:val="auto"/>
        </w:rPr>
      </w:pPr>
    </w:p>
    <w:p>
      <w:pPr>
        <w:ind w:right="500" w:firstLine="436"/>
        <w:spacing w:after="0" w:line="282" w:lineRule="auto"/>
        <w:tabs>
          <w:tab w:leader="none" w:pos="69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Documents required to be delivered pursuant to Article II. may be delivered electronically to a website provided for such purpose by the Administrative Agent pursuant to the procedures provided to the Borrower by the Administrative Agent.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8.6. Public/Private Information.</w:t>
      </w:r>
    </w:p>
    <w:p>
      <w:pPr>
        <w:spacing w:after="0" w:line="121"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The Borrower will cooperate with the Administrative Agent in connection with the publication of certain materials and/or information provided by or on behalf of the Borrower to the Administrative Agent and the Lenders (collectively, “</w:t>
      </w:r>
      <w:r>
        <w:rPr>
          <w:rFonts w:ascii="Times New Roman" w:cs="Times New Roman" w:eastAsia="Times New Roman" w:hAnsi="Times New Roman"/>
          <w:sz w:val="18"/>
          <w:szCs w:val="18"/>
          <w:b w:val="1"/>
          <w:bCs w:val="1"/>
          <w:color w:val="auto"/>
        </w:rPr>
        <w:t>Information Materials</w:t>
      </w:r>
      <w:r>
        <w:rPr>
          <w:rFonts w:ascii="Times New Roman" w:cs="Times New Roman" w:eastAsia="Times New Roman" w:hAnsi="Times New Roman"/>
          <w:sz w:val="18"/>
          <w:szCs w:val="18"/>
          <w:color w:val="auto"/>
        </w:rPr>
        <w:t>”) pursuant to this Article and the Borrower will designate Information Materials (a) that are either available to the public or not material with respect to the Borrower and its Subsidiaries or any of their respective securities for purposes of United States federal and state securities laws, as “Public Information” and (b) that are not Public Information as “Private Information”. The Administrative Agent and the Borrower acknowledge and agree that the Borrower is obligated to file reports under the Securities Exchange Act. All Information Materials filed with or furnished to the Securities and Exchange Commission by, or on behalf of, the Borrower pursuant to the Securities Exchange Act or filed by, or on behalf of, the Borrower with the Securities and Exchange Commission pursuant to the Securities Act, distributed by, or on behalf of, the Borrower by press release through a widely disseminated news or wire service, or otherwise expressly designated by the Borrower as Public Information are hereby designated as Public Information and all other Information Materials are hereby designated as Private Information.</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- 90 -</w:t>
      </w:r>
    </w:p>
    <w:p>
      <w:pPr>
        <w:sectPr>
          <w:pgSz w:w="11900" w:h="16838" w:orient="portrait"/>
          <w:cols w:equalWidth="0" w:num="1">
            <w:col w:w="11000"/>
          </w:cols>
          <w:pgMar w:left="440" w:top="270" w:right="45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8.7. USA Patriot Act Notice; Compliance.</w:t>
      </w:r>
    </w:p>
    <w:p>
      <w:pPr>
        <w:spacing w:after="0" w:line="121"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The Administrative Agent and each Lender hereby notifies the Borrower that pursuant to the requirements of the PATRIOT Act or any other Anti-Money Laundering Laws, each of them is required to obtain, verify and record information that identifies each Loan Party, which information includes the name and address of each Loan Party and other information that will allow such Lender to identify each Loan Party in accordance with the PATRIOT Act or such Anti-Money Laundering Laws.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18"/>
          <w:szCs w:val="18"/>
          <w:b w:val="1"/>
          <w:bCs w:val="1"/>
          <w:color w:val="auto"/>
        </w:rPr>
        <w:t xml:space="preserve"> IX. N</w:t>
      </w:r>
      <w:r>
        <w:rPr>
          <w:rFonts w:ascii="Times New Roman" w:cs="Times New Roman" w:eastAsia="Times New Roman" w:hAnsi="Times New Roman"/>
          <w:sz w:val="14"/>
          <w:szCs w:val="14"/>
          <w:b w:val="1"/>
          <w:bCs w:val="1"/>
          <w:color w:val="auto"/>
        </w:rPr>
        <w:t>EGATIVE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OVENANTS</w:t>
      </w:r>
    </w:p>
    <w:p>
      <w:pPr>
        <w:spacing w:after="0" w:line="229" w:lineRule="exact"/>
        <w:rPr>
          <w:sz w:val="20"/>
          <w:szCs w:val="20"/>
          <w:color w:val="auto"/>
        </w:rPr>
      </w:pPr>
    </w:p>
    <w:p>
      <w:pPr>
        <w:ind w:right="720" w:firstLine="440"/>
        <w:spacing w:after="0" w:line="282" w:lineRule="auto"/>
        <w:rPr>
          <w:sz w:val="20"/>
          <w:szCs w:val="20"/>
          <w:color w:val="auto"/>
        </w:rPr>
      </w:pPr>
      <w:r>
        <w:rPr>
          <w:rFonts w:ascii="Times New Roman" w:cs="Times New Roman" w:eastAsia="Times New Roman" w:hAnsi="Times New Roman"/>
          <w:sz w:val="18"/>
          <w:szCs w:val="18"/>
          <w:color w:val="auto"/>
        </w:rPr>
        <w:t>For so long as this Agreement is in effect, unless the Requisite Lenders (or, if required pursuant to Section 12.7., all of the Lenders) shall otherwise consent in the manner set forth in Section 12.7., the Borrower shall comply with the following covenants: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9.1. Financial Covenants.</w:t>
      </w:r>
    </w:p>
    <w:p>
      <w:pPr>
        <w:spacing w:after="0" w:line="121" w:lineRule="exact"/>
        <w:rPr>
          <w:sz w:val="20"/>
          <w:szCs w:val="20"/>
          <w:color w:val="auto"/>
        </w:rPr>
      </w:pPr>
    </w:p>
    <w:p>
      <w:pPr>
        <w:ind w:left="680" w:hanging="244"/>
        <w:spacing w:after="0"/>
        <w:tabs>
          <w:tab w:leader="none" w:pos="6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Omitted]</w:t>
      </w:r>
    </w:p>
    <w:p>
      <w:pPr>
        <w:spacing w:after="0" w:line="117" w:lineRule="exact"/>
        <w:rPr>
          <w:rFonts w:ascii="Times New Roman" w:cs="Times New Roman" w:eastAsia="Times New Roman" w:hAnsi="Times New Roman"/>
          <w:sz w:val="18"/>
          <w:szCs w:val="18"/>
          <w:color w:val="auto"/>
        </w:rPr>
      </w:pPr>
    </w:p>
    <w:p>
      <w:pPr>
        <w:ind w:firstLine="436"/>
        <w:spacing w:after="0" w:line="255" w:lineRule="auto"/>
        <w:tabs>
          <w:tab w:leader="none" w:pos="69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Maximum Leverage Ratio</w:t>
      </w:r>
      <w:r>
        <w:rPr>
          <w:rFonts w:ascii="Times New Roman" w:cs="Times New Roman" w:eastAsia="Times New Roman" w:hAnsi="Times New Roman"/>
          <w:sz w:val="18"/>
          <w:szCs w:val="18"/>
          <w:color w:val="auto"/>
        </w:rPr>
        <w:t xml:space="preserve">. The Borrower shall not permit the ratio of (i) Total Indebtedness to (ii) Total Asset Value to exceed 0.60 to 1.00 at any time;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if such ratio is greater than 0.60 to 1.00 but is not greater than 0.65 to 1.00, then the Borrower shall be deemed to be in compliance with this Section 9.1.(b) so long as (a) the Borrower completed a Material Acquisition which resulted in such ratio (after giving effect to such Material Acquisition) exceeding 0.60 to 1.00 at any time during the fiscal quarter in which such Material Acquisition took place and for any subsequent consecutive fiscal quarters, (b) the Borrower has not maintained compliance with this Section 9.1.(b) in reliance on this proviso for more than four fiscal quarters (whether or not consecutive) during the term of this Agreement and (c) such ratio (after giving effect to such Material Acquisition) is not greater than 0.65 to 1.00 at any time.</w:t>
      </w:r>
    </w:p>
    <w:p>
      <w:pPr>
        <w:spacing w:after="0" w:line="80" w:lineRule="exact"/>
        <w:rPr>
          <w:rFonts w:ascii="Times New Roman" w:cs="Times New Roman" w:eastAsia="Times New Roman" w:hAnsi="Times New Roman"/>
          <w:sz w:val="18"/>
          <w:szCs w:val="18"/>
          <w:color w:val="auto"/>
        </w:rPr>
      </w:pPr>
    </w:p>
    <w:p>
      <w:pPr>
        <w:ind w:right="240" w:firstLine="436"/>
        <w:spacing w:after="0" w:line="282" w:lineRule="auto"/>
        <w:tabs>
          <w:tab w:leader="none" w:pos="68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Minimum Fixed Charge Coverage Ratio</w:t>
      </w:r>
      <w:r>
        <w:rPr>
          <w:rFonts w:ascii="Times New Roman" w:cs="Times New Roman" w:eastAsia="Times New Roman" w:hAnsi="Times New Roman"/>
          <w:sz w:val="18"/>
          <w:szCs w:val="18"/>
          <w:color w:val="auto"/>
        </w:rPr>
        <w:t>. The Borrower shall not permit the ratio of (i) Adjusted EBITDA for the period of four consecutive fiscal quarters most recently ended to (ii) Fixed Charges for such period, to be less than 1.50 to 1.00 as of the last day of such period.</w:t>
      </w:r>
    </w:p>
    <w:p>
      <w:pPr>
        <w:spacing w:after="0" w:line="53" w:lineRule="exact"/>
        <w:rPr>
          <w:rFonts w:ascii="Times New Roman" w:cs="Times New Roman" w:eastAsia="Times New Roman" w:hAnsi="Times New Roman"/>
          <w:sz w:val="18"/>
          <w:szCs w:val="18"/>
          <w:color w:val="auto"/>
        </w:rPr>
      </w:pPr>
    </w:p>
    <w:p>
      <w:pPr>
        <w:ind w:right="860" w:firstLine="436"/>
        <w:spacing w:after="0" w:line="282" w:lineRule="auto"/>
        <w:tabs>
          <w:tab w:leader="none" w:pos="69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Maximum Secured Indebtedness Ratio</w:t>
      </w:r>
      <w:r>
        <w:rPr>
          <w:rFonts w:ascii="Times New Roman" w:cs="Times New Roman" w:eastAsia="Times New Roman" w:hAnsi="Times New Roman"/>
          <w:sz w:val="18"/>
          <w:szCs w:val="18"/>
          <w:color w:val="auto"/>
        </w:rPr>
        <w:t>. The Borrower shall not permit the ratio of (i) Secured Indebtedness of the Borrower and its Subsidiaries determined on a consolidated basis to (ii) Total Asset Value to exceed 0.35 to 1.00 at any time.</w:t>
      </w:r>
    </w:p>
    <w:p>
      <w:pPr>
        <w:spacing w:after="0" w:line="53" w:lineRule="exact"/>
        <w:rPr>
          <w:rFonts w:ascii="Times New Roman" w:cs="Times New Roman" w:eastAsia="Times New Roman" w:hAnsi="Times New Roman"/>
          <w:sz w:val="18"/>
          <w:szCs w:val="18"/>
          <w:color w:val="auto"/>
        </w:rPr>
      </w:pPr>
    </w:p>
    <w:p>
      <w:pPr>
        <w:ind w:right="20" w:firstLine="436"/>
        <w:spacing w:after="0" w:line="254" w:lineRule="auto"/>
        <w:tabs>
          <w:tab w:leader="none" w:pos="68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Maximum Unencumbered Leverage Ratio</w:t>
      </w:r>
      <w:r>
        <w:rPr>
          <w:rFonts w:ascii="Times New Roman" w:cs="Times New Roman" w:eastAsia="Times New Roman" w:hAnsi="Times New Roman"/>
          <w:sz w:val="18"/>
          <w:szCs w:val="18"/>
          <w:color w:val="auto"/>
        </w:rPr>
        <w:t xml:space="preserve">. The Borrower shall not permit the ratio of (i) Unsecured Indebtedness of the Borrower and its Subsidiaries determined on a consolidated basis to (ii) Unencumbered Asset Value, to exceed 0.60 to 1.00 at any time;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if such ratio is greater than 0.60 to 1.00 but is not greater than 0.65 to 1.00, then the Borrower shall be deemed to be in compliance with this Section 9.1.(e) so long as (a) the Borrower completed a Material Acquisition which resulted in such ratio (after giving effect to such Material Acquisition) exceeding 0.60 to 1.00 at any time during the fiscal quarter in which such Material Acquisition took place and for any subsequent consecutive fiscal quarters, (b) the Borrower has not maintained compliance with this Section 9.1.(e) in reliance on this proviso for more than four fiscal quarters (whether or not consecutive) during the term of this Agreement and (c) such ratio (after giving effect to such Material Acquisition) is not greater than 0.65 to 1.00 at any time.</w:t>
      </w:r>
    </w:p>
    <w:p>
      <w:pPr>
        <w:spacing w:after="0" w:line="124"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91 -</w:t>
      </w:r>
    </w:p>
    <w:p>
      <w:pPr>
        <w:sectPr>
          <w:pgSz w:w="11900" w:h="16838" w:orient="portrait"/>
          <w:cols w:equalWidth="0" w:num="1">
            <w:col w:w="11000"/>
          </w:cols>
          <w:pgMar w:left="440" w:top="266" w:right="459" w:bottom="1440" w:gutter="0" w:footer="0" w:header="0"/>
        </w:sectPr>
      </w:pPr>
    </w:p>
    <w:bookmarkStart w:id="101" w:name="page102"/>
    <w:bookmarkEnd w:id="101"/>
    <w:p>
      <w:pPr>
        <w:ind w:left="664" w:hanging="224"/>
        <w:spacing w:after="0"/>
        <w:tabs>
          <w:tab w:leader="none" w:pos="664"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[Intentionally Omitted].</w:t>
      </w:r>
    </w:p>
    <w:p>
      <w:pPr>
        <w:spacing w:after="0" w:line="117"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Omitted].</w:t>
      </w:r>
    </w:p>
    <w:p>
      <w:pPr>
        <w:spacing w:after="0" w:line="117"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Omitted].</w:t>
      </w:r>
    </w:p>
    <w:p>
      <w:pPr>
        <w:spacing w:after="0" w:line="117" w:lineRule="exact"/>
        <w:rPr>
          <w:rFonts w:ascii="Times New Roman" w:cs="Times New Roman" w:eastAsia="Times New Roman" w:hAnsi="Times New Roman"/>
          <w:sz w:val="18"/>
          <w:szCs w:val="18"/>
          <w:color w:val="auto"/>
        </w:rPr>
      </w:pPr>
    </w:p>
    <w:p>
      <w:pPr>
        <w:ind w:left="4" w:right="140" w:firstLine="436"/>
        <w:spacing w:after="0" w:line="253" w:lineRule="auto"/>
        <w:tabs>
          <w:tab w:leader="none" w:pos="659"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 and Other Restricted Payments</w:t>
      </w:r>
      <w:r>
        <w:rPr>
          <w:rFonts w:ascii="Times New Roman" w:cs="Times New Roman" w:eastAsia="Times New Roman" w:hAnsi="Times New Roman"/>
          <w:sz w:val="18"/>
          <w:szCs w:val="18"/>
          <w:color w:val="auto"/>
        </w:rPr>
        <w:t>. The Borrower shall not, and shall not permit any of its Subsidiaries to, declare or make any Restricted Payment if an Event of Default shall have occurred and is continuing; except that the Borrower may, subject to the immediately following sentence, (i) declare and make cash distributions to its partners during any fiscal year in an aggregate amount not to exceed the minimum amount necessary for the Parent to maintain its status as a REIT and (ii) make cash distributions to the Parent to the extent required to fund administrative and operating expenses of the Parent to the extent attributable to any activity of or with respect to the Parent that is not otherwise prohibited by this Agreement (including liabilities incurred in connection with its maintenance of corporate status, preparation of Securities and Exchange Commission filings, accountant’s fees and similar administrative matters). Notwithstanding the foregoing, if an Event of Default specified in Section 10.1.(a), Section 10.1.(e) or Section 10.1.(f) shall have occurred and is continuing, or if as a result of the occurrence of any other Event of Default any of the Obligations have been accelerated pursuant to Section 10.2.(a), the Borrower shall not, and shall not permit any Subsidiary to, make any Restricted Payment to any Person other than to the Borrower or any Subsidiary.</w:t>
      </w:r>
    </w:p>
    <w:p>
      <w:pPr>
        <w:spacing w:after="0" w:line="19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9.2. [Intentionally Omitted].</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9.3. Liens; Negative Pledges.</w:t>
      </w:r>
    </w:p>
    <w:p>
      <w:pPr>
        <w:spacing w:after="0" w:line="121" w:lineRule="exact"/>
        <w:rPr>
          <w:sz w:val="20"/>
          <w:szCs w:val="20"/>
          <w:color w:val="auto"/>
        </w:rPr>
      </w:pPr>
    </w:p>
    <w:p>
      <w:pPr>
        <w:ind w:left="4" w:right="60" w:firstLine="436"/>
        <w:spacing w:after="0" w:line="258" w:lineRule="auto"/>
        <w:tabs>
          <w:tab w:leader="none" w:pos="689"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not, and shall not permit any Subsidiary (other than an Excluded Subsidiary) or other Loan Party to, create, assume, or incur any Lien (other than Permitted Liens) upon any of its properties, assets, income or profits of any character whether now owned or hereafter acquired if as a result of the creation, assumption or incurring of such Lien, a Default or Event of Default is or would be caused thereby or any other Major Default or Event of Default has occurred and is continuing, including without limitation, a Default or Event of Default resulting from a violation of any of the covenants contained in Section 9.1.</w:t>
      </w:r>
    </w:p>
    <w:p>
      <w:pPr>
        <w:spacing w:after="0" w:line="75" w:lineRule="exact"/>
        <w:rPr>
          <w:rFonts w:ascii="Times New Roman" w:cs="Times New Roman" w:eastAsia="Times New Roman" w:hAnsi="Times New Roman"/>
          <w:sz w:val="18"/>
          <w:szCs w:val="18"/>
          <w:color w:val="auto"/>
        </w:rPr>
      </w:pPr>
    </w:p>
    <w:p>
      <w:pPr>
        <w:ind w:left="4" w:firstLine="436"/>
        <w:spacing w:after="0" w:line="256" w:lineRule="auto"/>
        <w:tabs>
          <w:tab w:leader="none" w:pos="699"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not, and shall not permit any Subsidiary (other than an Excluded Subsidiary) or other Loan Party to, enter into, assume or otherwise be bound by any Negative Pledge except for (i) a Negative Pledge contained in any agreement (x) evidencing Indebtedness which (A) the Borrower or such Subsidiary may create, incur, assume, or permit or suffer to exist under this Agreement and (B) is secured by a Lien permitted to exist hereunder and (y) which prohibits the creation of any other Lien on only the property securing such Indebtedness as of the date such agreement was entered into or (ii) a Negative Pledge contained in any agreement that evidences unsecured Indebtedness which contains restrictions on encumbering assets that are substantially similar to, or less restrictive than, those restrictions contained in the Loan Documents.</w:t>
      </w:r>
    </w:p>
    <w:p>
      <w:pPr>
        <w:spacing w:after="0" w:line="18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9.4. Restrictions on Intercompany Transfers.</w:t>
      </w:r>
    </w:p>
    <w:p>
      <w:pPr>
        <w:spacing w:after="0" w:line="121" w:lineRule="exact"/>
        <w:rPr>
          <w:sz w:val="20"/>
          <w:szCs w:val="20"/>
          <w:color w:val="auto"/>
        </w:rPr>
      </w:pPr>
    </w:p>
    <w:p>
      <w:pPr>
        <w:ind w:left="4" w:right="40" w:firstLine="440"/>
        <w:spacing w:after="0" w:line="272" w:lineRule="auto"/>
        <w:rPr>
          <w:sz w:val="20"/>
          <w:szCs w:val="20"/>
          <w:color w:val="auto"/>
        </w:rPr>
      </w:pPr>
      <w:r>
        <w:rPr>
          <w:rFonts w:ascii="Times New Roman" w:cs="Times New Roman" w:eastAsia="Times New Roman" w:hAnsi="Times New Roman"/>
          <w:sz w:val="17"/>
          <w:szCs w:val="17"/>
          <w:color w:val="auto"/>
        </w:rPr>
        <w:t>The Borrower shall not, and shall not permit any other Loan Party or any other Subsidiary (other than an Excluded Subsidiary) to, create or otherwise cause or suffer to exist or become effective any consensual encumbrance or restriction of any kind on the ability of any Subsidiary to: (a) pay dividends or make any other distribution on any of such Subsidiary’s capital stock or other equity interests owned by the Borrower or any Subsidiary;</w:t>
      </w:r>
    </w:p>
    <w:p>
      <w:pPr>
        <w:spacing w:after="0" w:line="2" w:lineRule="exact"/>
        <w:rPr>
          <w:sz w:val="20"/>
          <w:szCs w:val="20"/>
          <w:color w:val="auto"/>
        </w:rPr>
      </w:pPr>
    </w:p>
    <w:p>
      <w:pPr>
        <w:ind w:left="264" w:hanging="264"/>
        <w:spacing w:after="0"/>
        <w:tabs>
          <w:tab w:leader="none" w:pos="264"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any Indebtedness owed to the Borrower or any Subsidiary; (c) make</w:t>
      </w:r>
    </w:p>
    <w:p>
      <w:pPr>
        <w:spacing w:after="0" w:line="139"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92 -</w:t>
      </w:r>
    </w:p>
    <w:p>
      <w:pPr>
        <w:sectPr>
          <w:pgSz w:w="11900" w:h="16838" w:orient="portrait"/>
          <w:cols w:equalWidth="0" w:num="1">
            <w:col w:w="10944"/>
          </w:cols>
          <w:pgMar w:left="436" w:top="270" w:right="519" w:bottom="1440" w:gutter="0" w:footer="0" w:header="0"/>
        </w:sectPr>
      </w:pPr>
    </w:p>
    <w:bookmarkStart w:id="102" w:name="page103"/>
    <w:bookmarkEnd w:id="102"/>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loans or advances to the Borrower or any Subsidiary; or (d) transfer any of its property or assets to the Borrower or any Subsidiary; other than (i) with respect to clauses (a) through (d), those encumbrances or restrictions contained in any Loan Document or in any other agreement (A) evidencing Unsecured Indebtedness that the Borrower, any other Loan Party or any other Subsidiary may create, incur, assume or permit or suffer to exist under this Agreement and (B) containing encumbrances and restrictions imposed in connection with such Unsecured Indebtedness that are either substantially similar to, or less restrictive than, such encumbrances and restrictions set forth in the Loan Documents, (ii) with respect to clause (d), customary provisions restricting assignment of any agreement entered into by the Borrower, any other Loan Party or any Subsidiary in the ordinary course of business and (iii) with respect to clauses (a) through (d), in the case of a Subsidiary that is not a Wholly Owned Subsidiary, limitations arising after the date hereof to the effect that any such dividends, distributions, loans, advances or transfers of property must be on fair and reasonable terms and on an arm’s length basis.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9.5. Merger, Consolidation, Sales of Assets and Other Arrangements.</w:t>
      </w:r>
    </w:p>
    <w:p>
      <w:pPr>
        <w:spacing w:after="0" w:line="117"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The Borrower shall not, and shall not permit any other Loan Party or any other Subsidiary to, (a) enter into any transaction of merger or consolidation; (b) liquidate, windup or dissolve itself (or suffer any liquidation or dissolution); or (c) convey, sell, lease, sublease, transfer or otherwise dispose of, in one transaction or a series of transactions, all or any substantial part of its business or assets whether now owned or hereafter acquired; provided, however, that:</w:t>
      </w:r>
    </w:p>
    <w:p>
      <w:pPr>
        <w:spacing w:after="0" w:line="72" w:lineRule="exact"/>
        <w:rPr>
          <w:sz w:val="20"/>
          <w:szCs w:val="20"/>
          <w:color w:val="auto"/>
        </w:rPr>
      </w:pPr>
    </w:p>
    <w:p>
      <w:pPr>
        <w:ind w:left="440" w:right="100" w:firstLine="419"/>
        <w:spacing w:after="0" w:line="269" w:lineRule="auto"/>
        <w:tabs>
          <w:tab w:leader="none" w:pos="1078" w:val="left"/>
        </w:tabs>
        <w:numPr>
          <w:ilvl w:val="1"/>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of the actions described in the immediately preceding clauses (a), (b) and (c) may be taken with respect to any Subsidiary or any other Loan Party (other than the Borrower) so long as, as a result of the taking of such action, and after giving effect thereto, no Default or Event of Default is or would be caused thereby, and no other Major Default or Event of Default has occurred and is continuing; notwithstanding the foregoing, any such Loan Party may enter into a transaction of merger pursuant to which such Loan Party is not the survivor of such merger only if (A) the Borrower shall have given the Administrative Agent and the Lenders at least 10 Business Days’ prior written notice of such merger;</w:t>
      </w:r>
    </w:p>
    <w:p>
      <w:pPr>
        <w:spacing w:after="0" w:line="2" w:lineRule="exact"/>
        <w:rPr>
          <w:rFonts w:ascii="Times New Roman" w:cs="Times New Roman" w:eastAsia="Times New Roman" w:hAnsi="Times New Roman"/>
          <w:sz w:val="17"/>
          <w:szCs w:val="17"/>
          <w:color w:val="auto"/>
        </w:rPr>
      </w:pPr>
    </w:p>
    <w:p>
      <w:pPr>
        <w:ind w:left="440" w:right="20" w:hanging="4"/>
        <w:spacing w:after="0" w:line="251" w:lineRule="auto"/>
        <w:tabs>
          <w:tab w:leader="none" w:pos="72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survivor entity is already a Loan Party or is required to become a Guarantor pursuant to Section 7.14. (and is not already a Guarantor), within five (5) Business Days of consummation of such merger, the survivor entity shall have executed and delivered an Accession Agreement (or if the Guaranty is not then in existence, a Guaranty executed by such survivor entity); (C) within 30 days of consummation of such merger, the survivor entity delivers to the Administrative Agent the following: (1) items of the type referred to in Sections 5.1.(a)(iv) through (viii) with respect to the survivor entity as in effect after consummation of such merger (if not previously delivered to the Administrative Agent and still in effect), (2) copies of all documents entered into by such Loan Party or the survivor entity to effectuate the consummation of such merger, including, but not limited to, articles of merger and the plan of merger, (3) copies, certified by the Secretary or Assistant Secretary (or other individual performing similar functions) of such Loan Party or the survivor entity, of all corporate and shareholder action authorizing such merger and (4) copies of any filings with the Securities and Exchange Commission in connection with such merger; and (D) such Loan Party and the survivor entity each takes such other action and delivers such other documents, instruments, opinions and agreements as the Administrative Agent may reasonably request;</w:t>
      </w:r>
    </w:p>
    <w:p>
      <w:pPr>
        <w:spacing w:after="0" w:line="84" w:lineRule="exact"/>
        <w:rPr>
          <w:rFonts w:ascii="Times New Roman" w:cs="Times New Roman" w:eastAsia="Times New Roman" w:hAnsi="Times New Roman"/>
          <w:sz w:val="18"/>
          <w:szCs w:val="18"/>
          <w:color w:val="auto"/>
        </w:rPr>
      </w:pPr>
    </w:p>
    <w:p>
      <w:pPr>
        <w:ind w:left="440" w:right="120" w:firstLine="419"/>
        <w:spacing w:after="0" w:line="282" w:lineRule="auto"/>
        <w:tabs>
          <w:tab w:leader="none" w:pos="1128"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the other Loan Parties and the other Subsidiaries may lease and sublease their respective assets, as lessor or sublessor (as the case may be), in the ordinary course of their business;</w:t>
      </w:r>
    </w:p>
    <w:p>
      <w:pPr>
        <w:spacing w:after="0" w:line="94"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2"/>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93 -</w:t>
      </w:r>
    </w:p>
    <w:p>
      <w:pPr>
        <w:sectPr>
          <w:pgSz w:w="11900" w:h="16838" w:orient="portrait"/>
          <w:cols w:equalWidth="0" w:num="1">
            <w:col w:w="10980"/>
          </w:cols>
          <w:pgMar w:left="440" w:top="270" w:right="479" w:bottom="1440" w:gutter="0" w:footer="0" w:header="0"/>
        </w:sectPr>
      </w:pPr>
    </w:p>
    <w:bookmarkStart w:id="103" w:name="page104"/>
    <w:bookmarkEnd w:id="103"/>
    <w:p>
      <w:pPr>
        <w:ind w:left="444" w:right="100" w:firstLine="419"/>
        <w:spacing w:after="0" w:line="276" w:lineRule="auto"/>
        <w:tabs>
          <w:tab w:leader="none" w:pos="1182" w:val="left"/>
        </w:tabs>
        <w:numPr>
          <w:ilvl w:val="1"/>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Person may merge with and into the Borrower so long as (A) the Borrower is the survivor of such merger, (B) immediately prior to such merger, and immediately thereafter and after giving effect thereto, no Default or Event of Default shall have occurred and be continuing and</w:t>
      </w:r>
    </w:p>
    <w:p>
      <w:pPr>
        <w:ind w:left="444" w:right="560" w:hanging="4"/>
        <w:spacing w:after="0" w:line="260" w:lineRule="auto"/>
        <w:tabs>
          <w:tab w:leader="none" w:pos="729"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have given the Administrative Agent and the Lenders at least 10 Business Days’ prior written notice of such merger (except that such prior notice shall not be required in the case of a merger by a Subsidiary with and into the Borrower);</w:t>
      </w:r>
    </w:p>
    <w:p>
      <w:pPr>
        <w:spacing w:after="0" w:line="73" w:lineRule="exact"/>
        <w:rPr>
          <w:rFonts w:ascii="Times New Roman" w:cs="Times New Roman" w:eastAsia="Times New Roman" w:hAnsi="Times New Roman"/>
          <w:sz w:val="18"/>
          <w:szCs w:val="18"/>
          <w:color w:val="auto"/>
        </w:rPr>
      </w:pPr>
    </w:p>
    <w:p>
      <w:pPr>
        <w:ind w:left="444" w:right="360" w:firstLine="419"/>
        <w:spacing w:after="0" w:line="282" w:lineRule="auto"/>
        <w:tabs>
          <w:tab w:leader="none" w:pos="1172"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and each Subsidiary may sell, transfer or dispose of assets (including by merger or liquidation of Subsidiaries) among themselves; and</w:t>
      </w:r>
    </w:p>
    <w:p>
      <w:pPr>
        <w:spacing w:after="0" w:line="53" w:lineRule="exact"/>
        <w:rPr>
          <w:rFonts w:ascii="Times New Roman" w:cs="Times New Roman" w:eastAsia="Times New Roman" w:hAnsi="Times New Roman"/>
          <w:sz w:val="18"/>
          <w:szCs w:val="18"/>
          <w:color w:val="auto"/>
        </w:rPr>
      </w:pPr>
    </w:p>
    <w:p>
      <w:pPr>
        <w:ind w:left="1124" w:hanging="261"/>
        <w:spacing w:after="0"/>
        <w:tabs>
          <w:tab w:leader="none" w:pos="1124"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and each Subsidiary may transfer property as security for Indebtedness to the extent permitted under Section 9.3.</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9.6. Plans.</w:t>
      </w:r>
    </w:p>
    <w:p>
      <w:pPr>
        <w:spacing w:after="0" w:line="121" w:lineRule="exact"/>
        <w:rPr>
          <w:sz w:val="20"/>
          <w:szCs w:val="20"/>
          <w:color w:val="auto"/>
        </w:rPr>
      </w:pPr>
    </w:p>
    <w:p>
      <w:pPr>
        <w:ind w:left="4" w:right="160" w:firstLine="440"/>
        <w:spacing w:after="0" w:line="261" w:lineRule="auto"/>
        <w:rPr>
          <w:sz w:val="20"/>
          <w:szCs w:val="20"/>
          <w:color w:val="auto"/>
        </w:rPr>
      </w:pPr>
      <w:r>
        <w:rPr>
          <w:rFonts w:ascii="Times New Roman" w:cs="Times New Roman" w:eastAsia="Times New Roman" w:hAnsi="Times New Roman"/>
          <w:sz w:val="18"/>
          <w:szCs w:val="18"/>
          <w:color w:val="auto"/>
        </w:rPr>
        <w:t>The Borrower shall not, and shall not permit any other Loan Party or any other Subsidiary to, permit any of its respective assets to become or be deemed to be “plan assets” within the meaning of ERISA (other than as a result of contributions, in the normal course and on behalf of the Plan participants, by the Borrower, any other Loan Party, or any other Subsidiary to Benefit Arrangements, Plans, or Multiemployer Plans not prohibited by this agreement or any other loan document), the Internal Revenue Code and the respective regulations promulgated thereunder.</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9.7. Fiscal Year.</w:t>
      </w:r>
    </w:p>
    <w:p>
      <w:pPr>
        <w:spacing w:after="0" w:line="121" w:lineRule="exact"/>
        <w:rPr>
          <w:sz w:val="20"/>
          <w:szCs w:val="20"/>
          <w:color w:val="auto"/>
        </w:rPr>
      </w:pPr>
    </w:p>
    <w:p>
      <w:pPr>
        <w:ind w:left="4" w:right="600" w:firstLine="440"/>
        <w:spacing w:after="0" w:line="282" w:lineRule="auto"/>
        <w:rPr>
          <w:sz w:val="20"/>
          <w:szCs w:val="20"/>
          <w:color w:val="auto"/>
        </w:rPr>
      </w:pPr>
      <w:r>
        <w:rPr>
          <w:rFonts w:ascii="Times New Roman" w:cs="Times New Roman" w:eastAsia="Times New Roman" w:hAnsi="Times New Roman"/>
          <w:sz w:val="18"/>
          <w:szCs w:val="18"/>
          <w:color w:val="auto"/>
        </w:rPr>
        <w:t>The Borrower shall not, and shall not permit any other Loan Party or other Subsidiary to, change its fiscal year from that in effect as of the Agreement Date.</w:t>
      </w:r>
    </w:p>
    <w:p>
      <w:pPr>
        <w:spacing w:after="0" w:line="1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9.8. Modifications of Organizational Documents.</w:t>
      </w:r>
    </w:p>
    <w:p>
      <w:pPr>
        <w:spacing w:after="0" w:line="121" w:lineRule="exact"/>
        <w:rPr>
          <w:sz w:val="20"/>
          <w:szCs w:val="20"/>
          <w:color w:val="auto"/>
        </w:rPr>
      </w:pPr>
    </w:p>
    <w:p>
      <w:pPr>
        <w:ind w:left="4" w:right="120" w:firstLine="440"/>
        <w:spacing w:after="0" w:line="261" w:lineRule="auto"/>
        <w:rPr>
          <w:sz w:val="20"/>
          <w:szCs w:val="20"/>
          <w:color w:val="auto"/>
        </w:rPr>
      </w:pPr>
      <w:r>
        <w:rPr>
          <w:rFonts w:ascii="Times New Roman" w:cs="Times New Roman" w:eastAsia="Times New Roman" w:hAnsi="Times New Roman"/>
          <w:sz w:val="18"/>
          <w:szCs w:val="18"/>
          <w:color w:val="auto"/>
        </w:rPr>
        <w:t>The Borrower shall not, and shall not permit any other Loan Party or any other Subsidiary to, amend, supplement, restate or otherwise modify its certificate or articles of incorporation or formation, by-laws, operating agreement, declaration of trust, partnership agreement or other applicable organizational document if such amendment, supplement, restatement or other modification could reasonably be expected to have a Material Adverse Effect.</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9.9. Transactions with Affiliates.</w:t>
      </w:r>
    </w:p>
    <w:p>
      <w:pPr>
        <w:spacing w:after="0" w:line="121" w:lineRule="exact"/>
        <w:rPr>
          <w:sz w:val="20"/>
          <w:szCs w:val="20"/>
          <w:color w:val="auto"/>
        </w:rPr>
      </w:pPr>
    </w:p>
    <w:p>
      <w:pPr>
        <w:ind w:left="4" w:right="200" w:firstLine="440"/>
        <w:spacing w:after="0" w:line="261" w:lineRule="auto"/>
        <w:rPr>
          <w:sz w:val="20"/>
          <w:szCs w:val="20"/>
          <w:color w:val="auto"/>
        </w:rPr>
      </w:pPr>
      <w:r>
        <w:rPr>
          <w:rFonts w:ascii="Times New Roman" w:cs="Times New Roman" w:eastAsia="Times New Roman" w:hAnsi="Times New Roman"/>
          <w:sz w:val="18"/>
          <w:szCs w:val="18"/>
          <w:color w:val="auto"/>
        </w:rPr>
        <w:t>The Borrower shall not permit to exist or enter into, and shall not permit any other Loan Party or any other Subsidiary to permit to exist or enter into, any transaction (including the purchase, sale, lease or exchange of any property or the rendering of any service) with any Affiliate, except</w:t>
      </w:r>
    </w:p>
    <w:p>
      <w:pPr>
        <w:ind w:left="4" w:hanging="4"/>
        <w:spacing w:after="0" w:line="252" w:lineRule="auto"/>
        <w:tabs>
          <w:tab w:leader="none" w:pos="249"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bonus and benefit arrangements with employees, officers and trustees as permitted by Applicable Law, (b) transactions permitted by Section 9.5. to the extent among the Borrower, the other Loan Parties and other Subsidiaries, (c) Restricted Payments to the Parent and the other partners of the Borrower in accordance with Section 9.1.(i), or (d) transactions in the ordinary course of and pursuant to the reasonable requirements of the business of the Borrower, such other Loan Party or such other Subsidiary and upon fair and reasonable terms which are no less favorable to the Borrower, such other Loan Party or such other Subsidiary than would be obtained in a comparable arm’s length transaction with a Person that is not an Affiliate.</w:t>
      </w:r>
    </w:p>
    <w:p>
      <w:pPr>
        <w:spacing w:after="0" w:line="122"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94 -</w:t>
      </w:r>
    </w:p>
    <w:p>
      <w:pPr>
        <w:sectPr>
          <w:pgSz w:w="11900" w:h="16838" w:orient="portrait"/>
          <w:cols w:equalWidth="0" w:num="1">
            <w:col w:w="11004"/>
          </w:cols>
          <w:pgMar w:left="436" w:top="270" w:right="459" w:bottom="1440" w:gutter="0" w:footer="0" w:header="0"/>
        </w:sectPr>
      </w:pPr>
    </w:p>
    <w:bookmarkStart w:id="104" w:name="page105"/>
    <w:bookmarkEnd w:id="104"/>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9.10. Environmental Matters.</w:t>
      </w:r>
    </w:p>
    <w:p>
      <w:pPr>
        <w:spacing w:after="0" w:line="121" w:lineRule="exact"/>
        <w:rPr>
          <w:sz w:val="20"/>
          <w:szCs w:val="20"/>
          <w:color w:val="auto"/>
        </w:rPr>
      </w:pPr>
    </w:p>
    <w:p>
      <w:pPr>
        <w:ind w:left="4" w:right="100" w:firstLine="440"/>
        <w:spacing w:after="0" w:line="255" w:lineRule="auto"/>
        <w:rPr>
          <w:sz w:val="20"/>
          <w:szCs w:val="20"/>
          <w:color w:val="auto"/>
        </w:rPr>
      </w:pPr>
      <w:r>
        <w:rPr>
          <w:rFonts w:ascii="Times New Roman" w:cs="Times New Roman" w:eastAsia="Times New Roman" w:hAnsi="Times New Roman"/>
          <w:sz w:val="18"/>
          <w:szCs w:val="18"/>
          <w:color w:val="auto"/>
        </w:rPr>
        <w:t>The Borrower shall not, and shall not permit any other Loan Party, or any other Subsidiary, and shall use commercially reasonable efforts (which shall include, for purposes of this Section, including customary provisions in lease agreements with tenants restricting such activities) not to permit any other Person to, use, generate, discharge, emit, manufacture, handle, process, store, release, transport, remove, dispose of or clean up any Hazardous Materials on, under or from the Properties in violation of any Environmental Law or in a manner that could reasonably be expected to lead to any environmental claim or pose a material risk to human health, safety or the environment, in each case which violation, claim or risk could reasonably be expected to have a Material Adverse Effect. Nothing in this Section shall impose any obligation or liability whatsoever on the Administrative Agent or any Lender.</w:t>
      </w:r>
    </w:p>
    <w:p>
      <w:pPr>
        <w:spacing w:after="0" w:line="18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9.11. Non-Controlled Properties.</w:t>
      </w:r>
    </w:p>
    <w:p>
      <w:pPr>
        <w:spacing w:after="0" w:line="121" w:lineRule="exact"/>
        <w:rPr>
          <w:sz w:val="20"/>
          <w:szCs w:val="20"/>
          <w:color w:val="auto"/>
        </w:rPr>
      </w:pPr>
    </w:p>
    <w:p>
      <w:pPr>
        <w:ind w:left="4" w:right="20" w:firstLine="440"/>
        <w:spacing w:after="0" w:line="282" w:lineRule="auto"/>
        <w:rPr>
          <w:sz w:val="20"/>
          <w:szCs w:val="20"/>
          <w:color w:val="auto"/>
        </w:rPr>
      </w:pPr>
      <w:r>
        <w:rPr>
          <w:rFonts w:ascii="Times New Roman" w:cs="Times New Roman" w:eastAsia="Times New Roman" w:hAnsi="Times New Roman"/>
          <w:sz w:val="18"/>
          <w:szCs w:val="18"/>
          <w:color w:val="auto"/>
        </w:rPr>
        <w:t>The Borrower shall not permit any Subsidiary that owns a Non-Controlled Property to own any assets other than another Non-Controlled Property and other nonmaterial assets incidental to the ownership of a Non-Controlled Property.</w:t>
      </w:r>
    </w:p>
    <w:p>
      <w:pPr>
        <w:spacing w:after="0" w:line="1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9.12. Derivatives Contracts.</w:t>
      </w:r>
    </w:p>
    <w:p>
      <w:pPr>
        <w:spacing w:after="0" w:line="121" w:lineRule="exact"/>
        <w:rPr>
          <w:sz w:val="20"/>
          <w:szCs w:val="20"/>
          <w:color w:val="auto"/>
        </w:rPr>
      </w:pPr>
    </w:p>
    <w:p>
      <w:pPr>
        <w:ind w:left="4" w:right="80" w:firstLine="440"/>
        <w:spacing w:after="0" w:line="261" w:lineRule="auto"/>
        <w:rPr>
          <w:sz w:val="20"/>
          <w:szCs w:val="20"/>
          <w:color w:val="auto"/>
        </w:rPr>
      </w:pPr>
      <w:r>
        <w:rPr>
          <w:rFonts w:ascii="Times New Roman" w:cs="Times New Roman" w:eastAsia="Times New Roman" w:hAnsi="Times New Roman"/>
          <w:sz w:val="18"/>
          <w:szCs w:val="18"/>
          <w:color w:val="auto"/>
        </w:rPr>
        <w:t>The Borrower shall not, and shall not permit any other Loan Party or any other Subsidiary to, enter into or become obligated in respect of Derivatives Contracts other than Derivatives Contracts entered into by the Borrower, any such Loan Party or any such Subsidiary in the ordinary course of business and which establish an effective hedge in respect of liabilities, commitments or assets held or reasonably anticipated by the Borrower, such other Loan Party or such other Subsidiary.</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9.13. Use of Proceeds.</w:t>
      </w:r>
    </w:p>
    <w:p>
      <w:pPr>
        <w:spacing w:after="0" w:line="121" w:lineRule="exact"/>
        <w:rPr>
          <w:sz w:val="20"/>
          <w:szCs w:val="20"/>
          <w:color w:val="auto"/>
        </w:rPr>
      </w:pPr>
    </w:p>
    <w:p>
      <w:pPr>
        <w:ind w:left="684" w:hanging="244"/>
        <w:spacing w:after="0"/>
        <w:tabs>
          <w:tab w:leader="none" w:pos="684"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not, and shall not permit any other Loan Party or any other Subsidiary to, use any part of the proceeds of the Loans to</w:t>
      </w:r>
    </w:p>
    <w:p>
      <w:pPr>
        <w:spacing w:after="0" w:line="27" w:lineRule="exact"/>
        <w:rPr>
          <w:rFonts w:ascii="Times New Roman" w:cs="Times New Roman" w:eastAsia="Times New Roman" w:hAnsi="Times New Roman"/>
          <w:sz w:val="18"/>
          <w:szCs w:val="18"/>
          <w:color w:val="auto"/>
        </w:rPr>
      </w:pPr>
    </w:p>
    <w:p>
      <w:pPr>
        <w:ind w:left="4" w:right="180" w:hanging="4"/>
        <w:spacing w:after="0" w:line="260" w:lineRule="auto"/>
        <w:tabs>
          <w:tab w:leader="none" w:pos="219"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or carry, or to reduce or retire or refinance any credit incurred to purchase or carry, any margin stock (within the meaning of Regulation U or Regulation X of the FRB) or (ii) to extend credit to others for the purpose of purchasing or carrying any such margin stock.</w:t>
      </w:r>
    </w:p>
    <w:p>
      <w:pPr>
        <w:spacing w:after="0" w:line="73" w:lineRule="exact"/>
        <w:rPr>
          <w:rFonts w:ascii="Times New Roman" w:cs="Times New Roman" w:eastAsia="Times New Roman" w:hAnsi="Times New Roman"/>
          <w:sz w:val="18"/>
          <w:szCs w:val="18"/>
          <w:color w:val="auto"/>
        </w:rPr>
      </w:pPr>
    </w:p>
    <w:p>
      <w:pPr>
        <w:ind w:left="4" w:right="120" w:firstLine="436"/>
        <w:spacing w:after="0" w:line="256" w:lineRule="auto"/>
        <w:tabs>
          <w:tab w:leader="none" w:pos="699"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will not request any Loans or Letters of Credit, and the Borrower shall not use, and shall ensure that its Subsidiaries and its or their respective directors, officers, employees and agents shall not use, the proceeds of any Loans or Letters of Credit, directly or indirectly, (i) in furtherance of an offer, payment, promise to pay, or authorization of the payment or giving of money, or anything else of value, to any Person in violation of any Anti-Corruption Laws or Anti-Money Laundering Law, (ii) for the purpose of funding, financing or facilitating any activities, business or transaction of or with any Sanctioned Person, or in any Sanctioned Country, or (iii) in any manner that would result in the violation of any Sanctions applicable to any party hereto.</w:t>
      </w:r>
    </w:p>
    <w:p>
      <w:pPr>
        <w:spacing w:after="0" w:line="18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9.14. Parent and General Partner.</w:t>
      </w:r>
    </w:p>
    <w:p>
      <w:pPr>
        <w:spacing w:after="0" w:line="121"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For so long as the Parent is not a Guarantor, the Parent’s assets shall consist solely of Equity Interests in the Borrower or Equity Interests in any Wholly Owned Subsidiaries (including the General Partner) whose assets consist solely of direct or indirect Equity Interests in the Borrower; provided, that the Parent may (A) have cash and other assets of nominal value incidental to its ownership of such Equity Interests, (B) maintain assets on a temporary or pass-through basis that are held for subsequent payment of dividends or other Restricted Payments not prohibited by this Agreement or any other Loan Document or for contribution to any Subsidiary for a period not in excess of ten (10) Business Days and (C) maintain reasonable reserves for liabilities of the type permitted by the remainder of this Section 9.14. In addition, none of the Parent, the General Partner, or any Wholly Owned Subsidiaries of the Parent whose assets consist solely of direct or indirect Equity Interests in the Borrower, shall have any liabilities other than</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- 95 -</w:t>
      </w:r>
    </w:p>
    <w:p>
      <w:pPr>
        <w:sectPr>
          <w:pgSz w:w="11900" w:h="16838" w:orient="portrait"/>
          <w:cols w:equalWidth="0" w:num="1">
            <w:col w:w="11004"/>
          </w:cols>
          <w:pgMar w:left="436" w:top="266" w:right="459" w:bottom="1440" w:gutter="0" w:footer="0" w:header="0"/>
        </w:sectPr>
      </w:pPr>
    </w:p>
    <w:bookmarkStart w:id="105" w:name="page106"/>
    <w:bookmarkEnd w:id="105"/>
    <w:p>
      <w:pPr>
        <w:jc w:val="both"/>
        <w:ind w:left="4" w:right="4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liabilities that would be reflected in consolidated financial statements of the Borrower; provided, that the Parent may have (1) other liabilities incidental to its status as a publicly traded REIT and not constituting liabilities in respect of Indebtedness for borrowed money, including liabilities associated with employment contracts, employee benefit matters, indemnification obligations pursuant to purchase and sale agreements and tax liabilities,</w:t>
      </w:r>
    </w:p>
    <w:p>
      <w:pPr>
        <w:spacing w:after="0" w:line="1" w:lineRule="exact"/>
        <w:rPr>
          <w:sz w:val="20"/>
          <w:szCs w:val="20"/>
          <w:color w:val="auto"/>
        </w:rPr>
      </w:pPr>
    </w:p>
    <w:p>
      <w:pPr>
        <w:ind w:left="4" w:right="360" w:hanging="4"/>
        <w:spacing w:after="0" w:line="265" w:lineRule="auto"/>
        <w:tabs>
          <w:tab w:leader="none" w:pos="259"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nonconsensual obligations imposed by operation of Applicable Law, (3) immaterial intercompany obligations or other intercompany obligations owing by the Parent or any Subsidiary of the Parent that is not a Subsidiary of the Borrower to the Borrower or any Subsidiary of the Borrower,</w:t>
      </w:r>
    </w:p>
    <w:p>
      <w:pPr>
        <w:ind w:left="4" w:right="140" w:hanging="4"/>
        <w:spacing w:after="0" w:line="265" w:lineRule="auto"/>
        <w:tabs>
          <w:tab w:leader="none" w:pos="259"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liabilities incurred in connection with its maintenance of corporate status, preparation of Securities and Exchange Commission filings, accountants’ fees and similar administrative matters, (5) liabilities and other obligations to underwriters, private placement agents and forward purchasers incurred under underwriting agreements, private placement agreements and forward sale agreements in connection with offerings of securities by the Parent,</w:t>
      </w:r>
    </w:p>
    <w:p>
      <w:pPr>
        <w:ind w:left="4" w:hanging="4"/>
        <w:spacing w:after="0" w:line="260" w:lineRule="auto"/>
        <w:tabs>
          <w:tab w:leader="none" w:pos="259"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arising in connection with litigation or similar matters arising in the ordinary course of business, and (7) liabilities of a kind similar to those described above which are not, individually or in the aggregate, material to the Parent, the Borrower and their Subsidiaries taken as a whole.</w:t>
      </w:r>
    </w:p>
    <w:p>
      <w:pPr>
        <w:spacing w:after="0" w:line="39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18"/>
          <w:szCs w:val="18"/>
          <w:b w:val="1"/>
          <w:bCs w:val="1"/>
          <w:color w:val="auto"/>
        </w:rPr>
        <w:t xml:space="preserve"> X. D</w:t>
      </w:r>
      <w:r>
        <w:rPr>
          <w:rFonts w:ascii="Times New Roman" w:cs="Times New Roman" w:eastAsia="Times New Roman" w:hAnsi="Times New Roman"/>
          <w:sz w:val="14"/>
          <w:szCs w:val="14"/>
          <w:b w:val="1"/>
          <w:bCs w:val="1"/>
          <w:color w:val="auto"/>
        </w:rPr>
        <w:t>EFAULT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10.1. Events of Default.</w:t>
      </w:r>
    </w:p>
    <w:p>
      <w:pPr>
        <w:spacing w:after="0" w:line="121" w:lineRule="exact"/>
        <w:rPr>
          <w:sz w:val="20"/>
          <w:szCs w:val="20"/>
          <w:color w:val="auto"/>
        </w:rPr>
      </w:pPr>
    </w:p>
    <w:p>
      <w:pPr>
        <w:ind w:left="4" w:right="140" w:firstLine="440"/>
        <w:spacing w:after="0" w:line="282" w:lineRule="auto"/>
        <w:rPr>
          <w:sz w:val="20"/>
          <w:szCs w:val="20"/>
          <w:color w:val="auto"/>
        </w:rPr>
      </w:pPr>
      <w:r>
        <w:rPr>
          <w:rFonts w:ascii="Times New Roman" w:cs="Times New Roman" w:eastAsia="Times New Roman" w:hAnsi="Times New Roman"/>
          <w:sz w:val="18"/>
          <w:szCs w:val="18"/>
          <w:color w:val="auto"/>
        </w:rPr>
        <w:t>Each of the following shall constitute an Event of Default, whatever the reason for such event and whether it shall be voluntary or involuntary or be effected by operation of Applicable Law or pursuant to any judgment or order of any Governmental Authority:</w:t>
      </w:r>
    </w:p>
    <w:p>
      <w:pPr>
        <w:spacing w:after="0" w:line="54" w:lineRule="exact"/>
        <w:rPr>
          <w:sz w:val="20"/>
          <w:szCs w:val="20"/>
          <w:color w:val="auto"/>
        </w:rPr>
      </w:pPr>
    </w:p>
    <w:p>
      <w:pPr>
        <w:ind w:left="4" w:right="220" w:firstLine="436"/>
        <w:spacing w:after="0" w:line="276" w:lineRule="auto"/>
        <w:tabs>
          <w:tab w:leader="none" w:pos="689" w:val="left"/>
        </w:tabs>
        <w:numPr>
          <w:ilvl w:val="1"/>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Default in Payment</w:t>
      </w:r>
      <w:r>
        <w:rPr>
          <w:rFonts w:ascii="Times New Roman" w:cs="Times New Roman" w:eastAsia="Times New Roman" w:hAnsi="Times New Roman"/>
          <w:sz w:val="17"/>
          <w:szCs w:val="17"/>
          <w:color w:val="auto"/>
        </w:rPr>
        <w:t>. The Borrower or any other Loan Party shall fail to pay (i) when due under this Agreement or any other Loan Document (whether upon demand, at maturity, by reason of acceleration or otherwise) the principal of any of the Loans or any Reimbursement Obligation, or</w:t>
      </w:r>
    </w:p>
    <w:p>
      <w:pPr>
        <w:ind w:left="4" w:right="60" w:hanging="4"/>
        <w:spacing w:after="0" w:line="255" w:lineRule="auto"/>
        <w:tabs>
          <w:tab w:leader="none" w:pos="269"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due under this Agreement, any other Loan Document or the Fee Letter any interest on, any of the Loans or any Reimbursement Obligation, any of the other payment Obligations owing by the Borrower under this Agreement, any other Loan Document or the Fee Letter and, solely with respect to this clause (ii) such failure shall continue for a period of five (5) Business Days.</w:t>
      </w:r>
    </w:p>
    <w:p>
      <w:pPr>
        <w:spacing w:after="0" w:line="77"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 in Performance</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left="444" w:right="160" w:firstLine="419"/>
        <w:spacing w:after="0" w:line="266" w:lineRule="auto"/>
        <w:tabs>
          <w:tab w:leader="none" w:pos="1082" w:val="left"/>
        </w:tabs>
        <w:numPr>
          <w:ilvl w:val="2"/>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Loan Party shall fail to perform or observe any term, covenant, condition or agreement on its part to be performed or observed and contained in Sections 7.1 (with respect to the existence of the Borrower or any other Loan Party), 8.4(i) (with respect to notice of the occurrence of a Default or Event of Default), 8.4.(k) or Article IX.; or</w:t>
      </w:r>
    </w:p>
    <w:p>
      <w:pPr>
        <w:spacing w:after="0" w:line="67" w:lineRule="exact"/>
        <w:rPr>
          <w:rFonts w:ascii="Times New Roman" w:cs="Times New Roman" w:eastAsia="Times New Roman" w:hAnsi="Times New Roman"/>
          <w:sz w:val="18"/>
          <w:szCs w:val="18"/>
          <w:color w:val="auto"/>
        </w:rPr>
      </w:pPr>
    </w:p>
    <w:p>
      <w:pPr>
        <w:ind w:left="444" w:right="80" w:firstLine="419"/>
        <w:spacing w:after="0" w:line="258" w:lineRule="auto"/>
        <w:tabs>
          <w:tab w:leader="none" w:pos="1132" w:val="left"/>
        </w:tabs>
        <w:numPr>
          <w:ilvl w:val="2"/>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Loan Party shall fail to perform or observe any term, covenant, condition or agreement contained in this Agreement or any other Loan Document to which it is a party and not otherwise mentioned in this Section, and in the case of this subsection (b)(ii) only, such failure shall continue for a period of 30 days after the earlier of (x) the date upon which a Responsible Officer of the Borrower or such other Loan Party obtains knowledge of such failure or (y) the date upon which the Borrower has received written notice of such failure from the Administrative Agent.</w:t>
      </w:r>
    </w:p>
    <w:p>
      <w:pPr>
        <w:spacing w:after="0" w:line="75" w:lineRule="exact"/>
        <w:rPr>
          <w:rFonts w:ascii="Times New Roman" w:cs="Times New Roman" w:eastAsia="Times New Roman" w:hAnsi="Times New Roman"/>
          <w:sz w:val="18"/>
          <w:szCs w:val="18"/>
          <w:color w:val="auto"/>
        </w:rPr>
      </w:pPr>
    </w:p>
    <w:p>
      <w:pPr>
        <w:ind w:left="4" w:right="120" w:firstLine="436"/>
        <w:spacing w:after="0" w:line="258" w:lineRule="auto"/>
        <w:tabs>
          <w:tab w:leader="none" w:pos="689"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Misrepresentations</w:t>
      </w:r>
      <w:r>
        <w:rPr>
          <w:rFonts w:ascii="Times New Roman" w:cs="Times New Roman" w:eastAsia="Times New Roman" w:hAnsi="Times New Roman"/>
          <w:sz w:val="18"/>
          <w:szCs w:val="18"/>
          <w:color w:val="auto"/>
        </w:rPr>
        <w:t>. Any written statement, representation or warranty made or deemed made by or on behalf of any Loan Party under this Agreement or under any other Loan Document, or any amendment hereto or thereto, or in any other writing or statement at any time furnished by, or at the direction of, any Loan Party to the Administrative Agent, the Issuing Bank or any Lender, shall at any time prove to have been incorrect or misleading, in light of the circumstances in which made or deemed made, in any material respect (or, to the extent qualified by materiality or Material Adverse Effect, in all respects) when furnished or made or deemed made.</w:t>
      </w:r>
    </w:p>
    <w:p>
      <w:pPr>
        <w:spacing w:after="0" w:line="115"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3"/>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96 -</w:t>
      </w:r>
    </w:p>
    <w:p>
      <w:pPr>
        <w:sectPr>
          <w:pgSz w:w="11900" w:h="16838" w:orient="portrait"/>
          <w:cols w:equalWidth="0" w:num="1">
            <w:col w:w="11004"/>
          </w:cols>
          <w:pgMar w:left="436" w:top="270" w:right="459" w:bottom="1440" w:gutter="0" w:footer="0" w:header="0"/>
        </w:sectPr>
      </w:pPr>
    </w:p>
    <w:bookmarkStart w:id="106" w:name="page107"/>
    <w:bookmarkEnd w:id="106"/>
    <w:p>
      <w:pPr>
        <w:ind w:left="704" w:hanging="264"/>
        <w:spacing w:after="0"/>
        <w:tabs>
          <w:tab w:leader="none" w:pos="704"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Indebtedness Cross-Default</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4" w:firstLine="419"/>
        <w:spacing w:after="0" w:line="255" w:lineRule="auto"/>
        <w:tabs>
          <w:tab w:leader="none" w:pos="1082"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any other Loan Party or any other Subsidiary shall fail to make any payment when due and payable of the principal of, or interest on (after giving effect to the expiration of any grace period for such payment), any Indebtedness (other than the Loans and Reimbursement Obligations but including Secured Indebtedness accelerated or required to be prepaid or repurchased prior to the stated maturity as a result of a casualty with respect to, or condemnation of, the Property securing such Secured Indebtedness) having an aggregate outstanding principal amount (or, in the case of any Derivatives Contract, having, without regard to the effect of any close-out netting provision, a Derivatives Termination Value), in each case individually or in the aggregate with all other Indebtedness as to which such a failure exists, of more than $125,000,000 (“</w:t>
      </w:r>
      <w:r>
        <w:rPr>
          <w:rFonts w:ascii="Times New Roman" w:cs="Times New Roman" w:eastAsia="Times New Roman" w:hAnsi="Times New Roman"/>
          <w:sz w:val="18"/>
          <w:szCs w:val="18"/>
          <w:b w:val="1"/>
          <w:bCs w:val="1"/>
          <w:color w:val="auto"/>
        </w:rPr>
        <w:t>Material Indebtedness</w:t>
      </w:r>
      <w:r>
        <w:rPr>
          <w:rFonts w:ascii="Times New Roman" w:cs="Times New Roman" w:eastAsia="Times New Roman" w:hAnsi="Times New Roman"/>
          <w:sz w:val="18"/>
          <w:szCs w:val="18"/>
          <w:color w:val="auto"/>
        </w:rPr>
        <w:t>”); or</w:t>
      </w:r>
    </w:p>
    <w:p>
      <w:pPr>
        <w:spacing w:after="0" w:line="80" w:lineRule="exact"/>
        <w:rPr>
          <w:rFonts w:ascii="Times New Roman" w:cs="Times New Roman" w:eastAsia="Times New Roman" w:hAnsi="Times New Roman"/>
          <w:sz w:val="18"/>
          <w:szCs w:val="18"/>
          <w:color w:val="auto"/>
        </w:rPr>
      </w:pPr>
    </w:p>
    <w:p>
      <w:pPr>
        <w:ind w:left="444" w:firstLine="419"/>
        <w:spacing w:after="0" w:line="266" w:lineRule="auto"/>
        <w:tabs>
          <w:tab w:leader="none" w:pos="1132"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The maturity of any Material Indebtedness shall have been accelerated in accordance with the provisions of any indenture, contract or instrument evidencing, providing for the creation of or otherwise concerning such Material Indebtedness or (y) any Material Indebtedness shall have been required to be prepaid or repurchased prior to the stated maturity thereof; or</w:t>
      </w:r>
    </w:p>
    <w:p>
      <w:pPr>
        <w:spacing w:after="0" w:line="67" w:lineRule="exact"/>
        <w:rPr>
          <w:rFonts w:ascii="Times New Roman" w:cs="Times New Roman" w:eastAsia="Times New Roman" w:hAnsi="Times New Roman"/>
          <w:sz w:val="18"/>
          <w:szCs w:val="18"/>
          <w:color w:val="auto"/>
        </w:rPr>
      </w:pPr>
    </w:p>
    <w:p>
      <w:pPr>
        <w:ind w:left="444" w:right="20" w:firstLine="419"/>
        <w:spacing w:after="0" w:line="266" w:lineRule="auto"/>
        <w:tabs>
          <w:tab w:leader="none" w:pos="1182"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shall have occurred and be continuing (and any related grace period shall have expired) which would permit any holder or holders of any Material Indebtedness, any trustee or agent acting on behalf of such holder or holders or any other Person, to accelerate the maturity of any such Material Indebtedness or require any such Material Indebtedness to be prepaid or repurchased prior to its stated maturity;</w:t>
      </w:r>
    </w:p>
    <w:p>
      <w:pPr>
        <w:spacing w:after="0" w:line="67" w:lineRule="exact"/>
        <w:rPr>
          <w:rFonts w:ascii="Times New Roman" w:cs="Times New Roman" w:eastAsia="Times New Roman" w:hAnsi="Times New Roman"/>
          <w:sz w:val="18"/>
          <w:szCs w:val="18"/>
          <w:color w:val="auto"/>
        </w:rPr>
      </w:pPr>
    </w:p>
    <w:p>
      <w:pPr>
        <w:ind w:left="444" w:right="360" w:firstLine="419"/>
        <w:spacing w:after="0" w:line="282" w:lineRule="auto"/>
        <w:tabs>
          <w:tab w:leader="none" w:pos="1172"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Loan Party shall fail to pay when due and payable amounts in excess of $125,000,000 in the aggregate owing in respect of any Derivatives Contracts; or</w:t>
      </w:r>
    </w:p>
    <w:p>
      <w:pPr>
        <w:spacing w:after="0" w:line="53" w:lineRule="exact"/>
        <w:rPr>
          <w:rFonts w:ascii="Times New Roman" w:cs="Times New Roman" w:eastAsia="Times New Roman" w:hAnsi="Times New Roman"/>
          <w:sz w:val="18"/>
          <w:szCs w:val="18"/>
          <w:color w:val="auto"/>
        </w:rPr>
      </w:pPr>
    </w:p>
    <w:p>
      <w:pPr>
        <w:ind w:left="444" w:right="80" w:firstLine="419"/>
        <w:spacing w:after="0" w:line="258" w:lineRule="auto"/>
        <w:tabs>
          <w:tab w:leader="none" w:pos="1122"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under and as defined in that certain Term Loan Agreement, dated as of May 6, 2020 (as amended, supplemented, restated or otherwise modified from time to time), by and among the Borrower, PNC Bank, National Association, as administrative agent thereunder, and the other parties from time to time party thereto, shall have occurred and be continuing; provided, however, if a lender thereunder has agreed to waive such “Event of Default” thereunder and such lender is also a Lender under this Agreement, then such Lender shall also be deemed to have waived the corresponding Event of Default under this Section 10.1.(d)(v).</w:t>
      </w:r>
    </w:p>
    <w:p>
      <w:pPr>
        <w:spacing w:after="0" w:line="183" w:lineRule="exact"/>
        <w:rPr>
          <w:sz w:val="20"/>
          <w:szCs w:val="20"/>
          <w:color w:val="auto"/>
        </w:rPr>
      </w:pPr>
    </w:p>
    <w:p>
      <w:pPr>
        <w:jc w:val="both"/>
        <w:ind w:left="4" w:right="460" w:firstLine="440"/>
        <w:spacing w:after="0" w:line="266" w:lineRule="auto"/>
        <w:rPr>
          <w:sz w:val="20"/>
          <w:szCs w:val="20"/>
          <w:color w:val="auto"/>
        </w:rPr>
      </w:pPr>
      <w:r>
        <w:rPr>
          <w:rFonts w:ascii="Times New Roman" w:cs="Times New Roman" w:eastAsia="Times New Roman" w:hAnsi="Times New Roman"/>
          <w:sz w:val="18"/>
          <w:szCs w:val="18"/>
          <w:color w:val="auto"/>
        </w:rPr>
        <w:t>The provisions of the immediately preceding clauses (ii) and (iii) shall not apply to any Secured Indebtedness accelerated, or required to be prepaid or repurchased prior to the stated maturity thereof, as a result of a casualty with respect to, or condemnation of, the Property securing such Secured Indebtedness.</w:t>
      </w:r>
    </w:p>
    <w:p>
      <w:pPr>
        <w:spacing w:after="0" w:line="68" w:lineRule="exact"/>
        <w:rPr>
          <w:sz w:val="20"/>
          <w:szCs w:val="20"/>
          <w:color w:val="auto"/>
        </w:rPr>
      </w:pPr>
    </w:p>
    <w:p>
      <w:pPr>
        <w:ind w:left="684" w:hanging="244"/>
        <w:spacing w:after="0"/>
        <w:tabs>
          <w:tab w:leader="none" w:pos="684"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Bankruptcy Proceeding</w:t>
      </w:r>
      <w:r>
        <w:rPr>
          <w:rFonts w:ascii="Times New Roman" w:cs="Times New Roman" w:eastAsia="Times New Roman" w:hAnsi="Times New Roman"/>
          <w:sz w:val="18"/>
          <w:szCs w:val="18"/>
          <w:color w:val="auto"/>
        </w:rPr>
        <w:t>. The Borrower, any other Loan Party, the Parent, the General Partner, or any Significant Subsidiary, shall:</w:t>
      </w:r>
    </w:p>
    <w:p>
      <w:pPr>
        <w:spacing w:after="0" w:line="27" w:lineRule="exact"/>
        <w:rPr>
          <w:rFonts w:ascii="Times New Roman" w:cs="Times New Roman" w:eastAsia="Times New Roman" w:hAnsi="Times New Roman"/>
          <w:sz w:val="18"/>
          <w:szCs w:val="18"/>
          <w:color w:val="auto"/>
        </w:rPr>
      </w:pPr>
    </w:p>
    <w:p>
      <w:pPr>
        <w:ind w:left="4" w:right="100" w:hanging="4"/>
        <w:spacing w:after="0" w:line="253" w:lineRule="auto"/>
        <w:tabs>
          <w:tab w:leader="none" w:pos="219"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a voluntary case under the Bankruptcy Code or other federal bankruptcy laws (as now or hereafter in effect); (ii) file a petition seeking to take advantage of any other Applicable Laws, domestic or foreign, relating to bankruptcy, insolvency, reorganization, winding- up, or composition or adjustment of debts; (iii) consent to, or fail to contest in a timely and appropriate manner, any petition filed against it in an involuntary case under such bankruptcy laws or other Applicable Laws or consent to any proceeding or action described in the immediately following subsection (f); (iv) apply for or consent to, or fail to contest in a timely and appropriate manner,</w:t>
      </w:r>
    </w:p>
    <w:p>
      <w:pPr>
        <w:spacing w:after="0" w:line="119"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2"/>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97 -</w:t>
      </w:r>
    </w:p>
    <w:p>
      <w:pPr>
        <w:sectPr>
          <w:pgSz w:w="11900" w:h="16838" w:orient="portrait"/>
          <w:cols w:equalWidth="0" w:num="1">
            <w:col w:w="11004"/>
          </w:cols>
          <w:pgMar w:left="436" w:top="270" w:right="459" w:bottom="1440" w:gutter="0" w:footer="0" w:header="0"/>
        </w:sectPr>
      </w:pPr>
    </w:p>
    <w:bookmarkStart w:id="107" w:name="page108"/>
    <w:bookmarkEnd w:id="107"/>
    <w:p>
      <w:pPr>
        <w:ind w:left="4"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appointment of, or the taking of possession by, a receiver, custodian, trustee, or liquidator of itself or of a substantial part of its property, domestic or foreign; (v) admit in writing its inability to pay its debts as they become due; (vi) make a general assignment for the benefit of creditors; (vii) make a conveyance fraudulent as to creditors under any Applicable Law; or (viii) take any corporate or partnership action for the purpose of effecting any of the foregoing.</w:t>
      </w:r>
    </w:p>
    <w:p>
      <w:pPr>
        <w:spacing w:after="0" w:line="72" w:lineRule="exact"/>
        <w:rPr>
          <w:sz w:val="20"/>
          <w:szCs w:val="20"/>
          <w:color w:val="auto"/>
        </w:rPr>
      </w:pPr>
    </w:p>
    <w:p>
      <w:pPr>
        <w:ind w:left="4" w:firstLine="436"/>
        <w:spacing w:after="0" w:line="273" w:lineRule="auto"/>
        <w:tabs>
          <w:tab w:leader="none" w:pos="669" w:val="left"/>
        </w:tabs>
        <w:numPr>
          <w:ilvl w:val="1"/>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Involuntary Bankruptcy Proceeding</w:t>
      </w:r>
      <w:r>
        <w:rPr>
          <w:rFonts w:ascii="Times New Roman" w:cs="Times New Roman" w:eastAsia="Times New Roman" w:hAnsi="Times New Roman"/>
          <w:sz w:val="17"/>
          <w:szCs w:val="17"/>
          <w:color w:val="auto"/>
        </w:rPr>
        <w:t>. A case or other proceeding shall be commenced against the Borrower, any other Loan Party, the Parent, the General Partner, or any other Significant Subsidiary, in any court of competent jurisdiction seeking: (i) relief under the Bankruptcy Code or other federal bankruptcy laws (as now or hereafter in effect) or under any other Applicable Laws, domestic or foreign, relating to bankruptcy, insolvency, reorganization, winding-up, or composition or adjustment of debts; or (ii) the appointment of a trustee, receiver, custodian, liquidator or the like of such Person, or of all or any substantial part of the assets, domestic or foreign, of such Person, and in the case of either clause (i) or (ii) such case or proceeding shall continue undismissed or unstayed for a period of 60 consecutive days, or an order granting the remedy or other relief requested in such case or proceeding (including, but not limited to, an order for relief under such Bankruptcy Code or such other federal bankruptcy laws) shall be entered.</w:t>
      </w:r>
    </w:p>
    <w:p>
      <w:pPr>
        <w:spacing w:after="0" w:line="63" w:lineRule="exact"/>
        <w:rPr>
          <w:rFonts w:ascii="Times New Roman" w:cs="Times New Roman" w:eastAsia="Times New Roman" w:hAnsi="Times New Roman"/>
          <w:sz w:val="17"/>
          <w:szCs w:val="17"/>
          <w:color w:val="auto"/>
        </w:rPr>
      </w:pPr>
    </w:p>
    <w:p>
      <w:pPr>
        <w:ind w:left="4" w:right="180" w:firstLine="436"/>
        <w:spacing w:after="0" w:line="261" w:lineRule="auto"/>
        <w:tabs>
          <w:tab w:leader="none" w:pos="699"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Revocation of Loan Documents</w:t>
      </w:r>
      <w:r>
        <w:rPr>
          <w:rFonts w:ascii="Times New Roman" w:cs="Times New Roman" w:eastAsia="Times New Roman" w:hAnsi="Times New Roman"/>
          <w:sz w:val="18"/>
          <w:szCs w:val="18"/>
          <w:color w:val="auto"/>
        </w:rPr>
        <w:t>. The Borrower or any other Loan Party shall disavow, revoke or terminate (or, except as expressly permitted herein, attempt to terminate) any Loan Document or the Fee Letter to which it is a party or shall otherwise challenge or contest in any action, suit or proceeding in any court or before any Governmental Authority the validity or enforceability of any Loan Document or the Fee Letter or any Loan Document or the Fee Letter shall cease to be in full force and effect (except as a result of the express terms thereof).</w:t>
      </w:r>
    </w:p>
    <w:p>
      <w:pPr>
        <w:spacing w:after="0" w:line="71" w:lineRule="exact"/>
        <w:rPr>
          <w:rFonts w:ascii="Times New Roman" w:cs="Times New Roman" w:eastAsia="Times New Roman" w:hAnsi="Times New Roman"/>
          <w:sz w:val="18"/>
          <w:szCs w:val="18"/>
          <w:color w:val="auto"/>
        </w:rPr>
      </w:pPr>
    </w:p>
    <w:p>
      <w:pPr>
        <w:ind w:left="4" w:firstLine="436"/>
        <w:spacing w:after="0" w:line="276" w:lineRule="auto"/>
        <w:tabs>
          <w:tab w:leader="none" w:pos="699" w:val="left"/>
        </w:tabs>
        <w:numPr>
          <w:ilvl w:val="1"/>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Judgment</w:t>
      </w:r>
      <w:r>
        <w:rPr>
          <w:rFonts w:ascii="Times New Roman" w:cs="Times New Roman" w:eastAsia="Times New Roman" w:hAnsi="Times New Roman"/>
          <w:sz w:val="17"/>
          <w:szCs w:val="17"/>
          <w:color w:val="auto"/>
        </w:rPr>
        <w:t>. A judgment or order for the payment of money or for an injunction or other non-monetary relief shall be entered against the Borrower, any other Loan Party, or any other Subsidiary by any court or other tribunal and (i) such judgment or order shall continue for a period of thirty</w:t>
      </w:r>
    </w:p>
    <w:p>
      <w:pPr>
        <w:ind w:left="4" w:right="20" w:hanging="4"/>
        <w:spacing w:after="0" w:line="253" w:lineRule="auto"/>
        <w:tabs>
          <w:tab w:leader="none" w:pos="349"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without being paid, stayed or dismissed through appropriate appellate proceedings and (ii) either (A) the amount of such judgment or order for which insurance has not been acknowledged in writing by the applicable insurance carrier (or the amount as to which the insurer has denied liability) exceeds, individually or together with all other such outstanding judgments or orders entered against the Loan Parties or any other Subsidiary, $125,000,000 or (B) in the case of an injunction or other non-monetary relief, such injunction or judgment or order could reasonably be expected to have a Material Adverse Effect.</w:t>
      </w:r>
    </w:p>
    <w:p>
      <w:pPr>
        <w:spacing w:after="0" w:line="78" w:lineRule="exact"/>
        <w:rPr>
          <w:rFonts w:ascii="Times New Roman" w:cs="Times New Roman" w:eastAsia="Times New Roman" w:hAnsi="Times New Roman"/>
          <w:sz w:val="18"/>
          <w:szCs w:val="18"/>
          <w:color w:val="auto"/>
        </w:rPr>
      </w:pPr>
    </w:p>
    <w:p>
      <w:pPr>
        <w:ind w:left="4" w:right="160" w:firstLine="436"/>
        <w:spacing w:after="0" w:line="255" w:lineRule="auto"/>
        <w:tabs>
          <w:tab w:leader="none" w:pos="659"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Attachment</w:t>
      </w:r>
      <w:r>
        <w:rPr>
          <w:rFonts w:ascii="Times New Roman" w:cs="Times New Roman" w:eastAsia="Times New Roman" w:hAnsi="Times New Roman"/>
          <w:sz w:val="18"/>
          <w:szCs w:val="18"/>
          <w:color w:val="auto"/>
        </w:rPr>
        <w:t>. A warrant, writ of attachment, execution or similar process shall be issued against any property of the Borrower, any other Loan Party or any other Subsidiary, which exceeds, individually or together with all other such warrants, writs, executions and processes, $125,000,000 in amount and such warrant, writ, execution or process shall not be paid, discharged, vacated, stayed or bonded for a period of thirty (30) days; provided, however, that if a bond has been issued in favor of the claimant or other Person obtaining such warrant, writ, execution or process, the issuer of such bond shall execute a waiver or subordination agreement in form and substance satisfactory to the Administrative Agent pursuant to which the issuer of such bond subordinates its right of reimbursement, contribution or subrogation to the Obligations and waives or subordinates any Lien it may have on the assets of the Borrower, any other Loan Party or any Subsidiary.</w:t>
      </w:r>
    </w:p>
    <w:p>
      <w:pPr>
        <w:spacing w:after="0" w:line="80" w:lineRule="exact"/>
        <w:rPr>
          <w:rFonts w:ascii="Times New Roman" w:cs="Times New Roman" w:eastAsia="Times New Roman" w:hAnsi="Times New Roman"/>
          <w:sz w:val="18"/>
          <w:szCs w:val="18"/>
          <w:color w:val="auto"/>
        </w:rPr>
      </w:pPr>
    </w:p>
    <w:p>
      <w:pPr>
        <w:ind w:left="664" w:hanging="224"/>
        <w:spacing w:after="0"/>
        <w:tabs>
          <w:tab w:leader="none" w:pos="664"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4" w:right="380" w:firstLine="419"/>
        <w:spacing w:after="0" w:line="282" w:lineRule="auto"/>
        <w:tabs>
          <w:tab w:leader="none" w:pos="1082" w:val="left"/>
        </w:tabs>
        <w:numPr>
          <w:ilvl w:val="2"/>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ERISA Event shall have occurred that results or could reasonably be expected to result in liability to any member of the ERISA Group aggregating in excess of $125,000,000; or</w:t>
      </w:r>
    </w:p>
    <w:p>
      <w:pPr>
        <w:spacing w:after="0" w:line="53" w:lineRule="exact"/>
        <w:rPr>
          <w:rFonts w:ascii="Times New Roman" w:cs="Times New Roman" w:eastAsia="Times New Roman" w:hAnsi="Times New Roman"/>
          <w:sz w:val="18"/>
          <w:szCs w:val="18"/>
          <w:color w:val="auto"/>
        </w:rPr>
      </w:pPr>
    </w:p>
    <w:p>
      <w:pPr>
        <w:ind w:left="444" w:right="20" w:firstLine="419"/>
        <w:spacing w:after="0" w:line="282" w:lineRule="auto"/>
        <w:tabs>
          <w:tab w:leader="none" w:pos="1132" w:val="left"/>
        </w:tabs>
        <w:numPr>
          <w:ilvl w:val="2"/>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most recent valuation date, the “benefit obligation” of all Plans exceeds the “fair market value of plan assets” for such Plans by more than $125,000,000, all as determined, and with such terms defined, in accordance with FASB ASC 715.</w:t>
      </w:r>
    </w:p>
    <w:p>
      <w:pPr>
        <w:spacing w:after="0" w:line="94"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3"/>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98 -</w:t>
      </w:r>
    </w:p>
    <w:p>
      <w:pPr>
        <w:sectPr>
          <w:pgSz w:w="11900" w:h="16838" w:orient="portrait"/>
          <w:cols w:equalWidth="0" w:num="1">
            <w:col w:w="11004"/>
          </w:cols>
          <w:pgMar w:left="436" w:top="270" w:right="459" w:bottom="1440" w:gutter="0" w:footer="0" w:header="0"/>
        </w:sectPr>
      </w:pPr>
    </w:p>
    <w:bookmarkStart w:id="108" w:name="page109"/>
    <w:bookmarkEnd w:id="108"/>
    <w:p>
      <w:pPr>
        <w:ind w:left="700" w:hanging="264"/>
        <w:spacing w:after="0"/>
        <w:tabs>
          <w:tab w:leader="none" w:pos="7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Loan Documents</w:t>
      </w:r>
      <w:r>
        <w:rPr>
          <w:rFonts w:ascii="Times New Roman" w:cs="Times New Roman" w:eastAsia="Times New Roman" w:hAnsi="Times New Roman"/>
          <w:sz w:val="18"/>
          <w:szCs w:val="18"/>
          <w:color w:val="auto"/>
        </w:rPr>
        <w:t>. An Event of Default (as defined therein) shall occur under any of the other Loan Documents.</w:t>
      </w:r>
    </w:p>
    <w:p>
      <w:pPr>
        <w:spacing w:after="0" w:line="117"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Control/Change in Management</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right="40" w:firstLine="419"/>
        <w:spacing w:after="0" w:line="256" w:lineRule="auto"/>
        <w:tabs>
          <w:tab w:leader="none" w:pos="1078"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Any “person” or “group” (as such terms are used in Sections 13(d) and 14(d) of the Securities Exchange Act), is or becomes the “beneficial owner” (as defined in Rules 13d-3 and 13d-5 under the Exchange Act, except that a Person will be deemed to have “beneficial ownership” of all securities that such Person has the right to acquire, whether such right is exercisable immediately or only after the passage of time), directly or indirectly, of more than 35% of the total voting power of the then outstanding voting securities of the Parent, (y) the Parent shall cease to own, directly or indirectly, greater than 50% of the partnership interests of the Borrower or (z) the Parent ceases to, directly or indirectly, have the power to exercise management and control of the Borrower; or</w:t>
      </w:r>
    </w:p>
    <w:p>
      <w:pPr>
        <w:spacing w:after="0" w:line="79" w:lineRule="exact"/>
        <w:rPr>
          <w:rFonts w:ascii="Times New Roman" w:cs="Times New Roman" w:eastAsia="Times New Roman" w:hAnsi="Times New Roman"/>
          <w:sz w:val="18"/>
          <w:szCs w:val="18"/>
          <w:color w:val="auto"/>
        </w:rPr>
      </w:pPr>
    </w:p>
    <w:p>
      <w:pPr>
        <w:ind w:left="440" w:right="160" w:firstLine="419"/>
        <w:spacing w:after="0" w:line="258" w:lineRule="auto"/>
        <w:tabs>
          <w:tab w:leader="none" w:pos="1128"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period of 12 consecutive months ending after the Agreement Date, individuals who at the beginning of any such 12 month period constituted the Board of Trustees of the Parent (together with any new trustees whose election by such Board or whose nomination for election by the shareholders of the Parent was approved by a vote of a majority of the trustees then still in office who were either trustees at the beginning of such period or whose election or nomination for election was previously so approved) cease for any reason to constitute two-thirds (2/3) of the Board of Trustees of the Parent then in office; or</w:t>
      </w:r>
    </w:p>
    <w:p>
      <w:pPr>
        <w:spacing w:after="0" w:line="75" w:lineRule="exact"/>
        <w:rPr>
          <w:rFonts w:ascii="Times New Roman" w:cs="Times New Roman" w:eastAsia="Times New Roman" w:hAnsi="Times New Roman"/>
          <w:sz w:val="18"/>
          <w:szCs w:val="18"/>
          <w:color w:val="auto"/>
        </w:rPr>
      </w:pPr>
    </w:p>
    <w:p>
      <w:pPr>
        <w:ind w:left="440" w:right="100" w:firstLine="419"/>
        <w:spacing w:after="0" w:line="282" w:lineRule="auto"/>
        <w:tabs>
          <w:tab w:leader="none" w:pos="1178"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other than the General Partner, the Parent or any Wholly Owned Subsidiary of the Parent shall become the general partner of the Borrower; or</w:t>
      </w:r>
    </w:p>
    <w:p>
      <w:pPr>
        <w:spacing w:after="0" w:line="53"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shall cease to be the sole member of the General Partner.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10.2. Remedies Upon Event of Default.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Upon the occurrence of an Event of Default the following provisions shall apply:</w:t>
      </w:r>
    </w:p>
    <w:p>
      <w:pPr>
        <w:spacing w:after="0" w:line="117" w:lineRule="exact"/>
        <w:rPr>
          <w:sz w:val="20"/>
          <w:szCs w:val="20"/>
          <w:color w:val="auto"/>
        </w:rPr>
      </w:pPr>
    </w:p>
    <w:p>
      <w:pPr>
        <w:ind w:left="680" w:hanging="244"/>
        <w:spacing w:after="0"/>
        <w:tabs>
          <w:tab w:leader="none" w:pos="6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Acceleration; Termination of Facilities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firstLine="419"/>
        <w:spacing w:after="0" w:line="254" w:lineRule="auto"/>
        <w:tabs>
          <w:tab w:leader="none" w:pos="1078"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Automatic</w:t>
      </w:r>
      <w:r>
        <w:rPr>
          <w:rFonts w:ascii="Times New Roman" w:cs="Times New Roman" w:eastAsia="Times New Roman" w:hAnsi="Times New Roman"/>
          <w:sz w:val="18"/>
          <w:szCs w:val="18"/>
          <w:color w:val="auto"/>
        </w:rPr>
        <w:t>. Upon the occurrence of an Event of Default specified in Sections 10.1.(e) or 10.1.(f), (1)(A) the principal of, and all accrued interest on, the Loans and the Notes at the time outstanding, (B) an amount equal to the Stated Amount of all Letters of Credit outstanding as of the date of the occurrence of such Event of Default for deposit into the Letter of Credit Collateral Account and (C) all of the other Obligations, including, but not limited to, the other amounts owed to the Lenders and the Administrative Agent under this Agreement, the Notes or any of the other Loan Documents shall become immediately and automatically due and payable without presentment, demand, protest, or other notice of any kind, all of which are expressly waived by the Borrower on behalf of itself and the other Loan Parties, and (2) the Commitments and the Swingline Commitment and the obligation of the Issuing Bank to issue Letters of Credit hereunder, shall all immediately and automatically terminate.</w:t>
      </w:r>
    </w:p>
    <w:p>
      <w:pPr>
        <w:spacing w:after="0" w:line="124"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2"/>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99 -</w:t>
      </w:r>
    </w:p>
    <w:p>
      <w:pPr>
        <w:sectPr>
          <w:pgSz w:w="11900" w:h="16838" w:orient="portrait"/>
          <w:cols w:equalWidth="0" w:num="1">
            <w:col w:w="10960"/>
          </w:cols>
          <w:pgMar w:left="440" w:top="270" w:right="499" w:bottom="1440" w:gutter="0" w:footer="0" w:header="0"/>
        </w:sectPr>
      </w:pPr>
    </w:p>
    <w:bookmarkStart w:id="109" w:name="page110"/>
    <w:bookmarkEnd w:id="109"/>
    <w:p>
      <w:pPr>
        <w:ind w:left="1120" w:hanging="261"/>
        <w:spacing w:after="0"/>
        <w:tabs>
          <w:tab w:leader="none" w:pos="112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Optional</w:t>
      </w:r>
      <w:r>
        <w:rPr>
          <w:rFonts w:ascii="Times New Roman" w:cs="Times New Roman" w:eastAsia="Times New Roman" w:hAnsi="Times New Roman"/>
          <w:sz w:val="18"/>
          <w:szCs w:val="18"/>
          <w:color w:val="auto"/>
        </w:rPr>
        <w:t>. If any other Event of Default shall exist, the Administrative Agent may, and at the direction of the Requisite Lenders shall:</w:t>
      </w:r>
    </w:p>
    <w:p>
      <w:pPr>
        <w:spacing w:after="0" w:line="27" w:lineRule="exact"/>
        <w:rPr>
          <w:rFonts w:ascii="Times New Roman" w:cs="Times New Roman" w:eastAsia="Times New Roman" w:hAnsi="Times New Roman"/>
          <w:sz w:val="18"/>
          <w:szCs w:val="18"/>
          <w:color w:val="auto"/>
        </w:rPr>
      </w:pPr>
    </w:p>
    <w:p>
      <w:pPr>
        <w:ind w:left="440" w:right="20" w:hanging="4"/>
        <w:spacing w:after="0" w:line="252" w:lineRule="auto"/>
        <w:tabs>
          <w:tab w:leader="none" w:pos="695"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(A) the principal of, and accrued interest on, the Loans and the Notes at the time outstanding, (B) an amount equal to the Stated Amount of all Letters of Credit outstanding as of the date of the occurrence of such Event of Default for deposit into the Letter of Credit Collateral Account and (C) all of the other Obligations, including, but not limited to, the other amounts owed to the Lenders and the Administrative Agent under this Agreement, the Notes or any of the other Loan Documents to be forthwith due and payable, whereupon the same shall immediately become due and payable without presentment, demand, protest or other notice of any kind, all of which are expressly waived by the Borrower on behalf of itself and the other Loan Parties, and (2) terminate the Commitments and the Swingline Commitment and the obligation of the Issuing Bank to issue Letters of Credit hereunder.</w:t>
      </w:r>
    </w:p>
    <w:p>
      <w:pPr>
        <w:spacing w:after="0" w:line="80" w:lineRule="exact"/>
        <w:rPr>
          <w:sz w:val="20"/>
          <w:szCs w:val="20"/>
          <w:color w:val="auto"/>
        </w:rPr>
      </w:pPr>
    </w:p>
    <w:p>
      <w:pPr>
        <w:ind w:right="240" w:firstLine="436"/>
        <w:spacing w:after="0" w:line="282" w:lineRule="auto"/>
        <w:tabs>
          <w:tab w:leader="none" w:pos="695"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The Requisite Lenders may direct the Administrative Agent to, and the Administrative Agent if so directed shall, exercise any and all of its rights under any and all of the other Loan Documents.</w:t>
      </w:r>
    </w:p>
    <w:p>
      <w:pPr>
        <w:spacing w:after="0" w:line="53" w:lineRule="exact"/>
        <w:rPr>
          <w:rFonts w:ascii="Times New Roman" w:cs="Times New Roman" w:eastAsia="Times New Roman" w:hAnsi="Times New Roman"/>
          <w:sz w:val="18"/>
          <w:szCs w:val="18"/>
          <w:color w:val="auto"/>
        </w:rPr>
      </w:pPr>
    </w:p>
    <w:p>
      <w:pPr>
        <w:ind w:right="100" w:firstLine="436"/>
        <w:spacing w:after="0" w:line="282" w:lineRule="auto"/>
        <w:tabs>
          <w:tab w:leader="none" w:pos="685"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The Requisite Lenders may direct the Administrative Agent to, and the Administrative Agent if so directed shall, exercise all other rights and remedies it may have under any Applicable Law.</w:t>
      </w:r>
    </w:p>
    <w:p>
      <w:pPr>
        <w:spacing w:after="0" w:line="53" w:lineRule="exact"/>
        <w:rPr>
          <w:rFonts w:ascii="Times New Roman" w:cs="Times New Roman" w:eastAsia="Times New Roman" w:hAnsi="Times New Roman"/>
          <w:sz w:val="18"/>
          <w:szCs w:val="18"/>
          <w:color w:val="auto"/>
        </w:rPr>
      </w:pPr>
    </w:p>
    <w:p>
      <w:pPr>
        <w:ind w:right="40" w:firstLine="436"/>
        <w:spacing w:after="0" w:line="261" w:lineRule="auto"/>
        <w:tabs>
          <w:tab w:leader="none" w:pos="695"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Appointment of Receiver</w:t>
      </w:r>
      <w:r>
        <w:rPr>
          <w:rFonts w:ascii="Times New Roman" w:cs="Times New Roman" w:eastAsia="Times New Roman" w:hAnsi="Times New Roman"/>
          <w:sz w:val="18"/>
          <w:szCs w:val="18"/>
          <w:color w:val="auto"/>
        </w:rPr>
        <w:t>. To the extent permitted by Applicable Law, the Administrative Agent and the Lenders shall be entitled to the appointment of a receiver for the assets and properties of the Borrower and its Subsidiaries, without notice of any kind whatsoever and without regard to the adequacy of any security for the Obligations or the solvency of any party bound for its payment, to take possession of all or any portion of the property and/or the business operations of the Borrower and its Subsidiaries and to exercise such power as the court shall confer upon such receiver.</w:t>
      </w:r>
    </w:p>
    <w:p>
      <w:pPr>
        <w:spacing w:after="0" w:line="71" w:lineRule="exact"/>
        <w:rPr>
          <w:rFonts w:ascii="Times New Roman" w:cs="Times New Roman" w:eastAsia="Times New Roman" w:hAnsi="Times New Roman"/>
          <w:sz w:val="18"/>
          <w:szCs w:val="18"/>
          <w:color w:val="auto"/>
        </w:rPr>
      </w:pPr>
    </w:p>
    <w:p>
      <w:pPr>
        <w:ind w:firstLine="436"/>
        <w:spacing w:after="0" w:line="253" w:lineRule="auto"/>
        <w:tabs>
          <w:tab w:leader="none" w:pos="685"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Specified Derivatives Contract Remedies</w:t>
      </w:r>
      <w:r>
        <w:rPr>
          <w:rFonts w:ascii="Times New Roman" w:cs="Times New Roman" w:eastAsia="Times New Roman" w:hAnsi="Times New Roman"/>
          <w:sz w:val="18"/>
          <w:szCs w:val="18"/>
          <w:color w:val="auto"/>
        </w:rPr>
        <w:t>. Notwithstanding any other provision of this Agreement or other Loan Document, each Specified Derivatives Provider shall have the right, with prompt notice to the Administrative Agent, but without the approval or consent of or other action by the Administrative Agent or the Lenders, and without limitation of other remedies available to such Specified Derivatives Provider under contract or Applicable Law, to undertake any of the following: (a) to declare an event of default, termination event or other similar event under any Specified Derivatives Contract and to create an “Early Termination Date” (as defined therein) in respect thereof, (b) to determine net termination amounts in respect of any and all Specified Derivatives Contracts in accordance with the terms thereof, and to set off amounts among such contracts, (c) to set off or proceed against deposit account balances, securities account balances and other property and amounts held by such Specified Derivatives Provider pursuant to any Derivatives Support Document, including any “Posted Collateral” (as defined in any credit support annex included in any such Derivatives Support Document to which such Specified Derivatives Provider may be a party), and (d) to prosecute any legal action against the Borrower, any Loan Party or other Subsidiary to enforce or collect net amounts owing to such Specified Derivatives Provider pursuant to any Specified Derivatives Contract. For the avoidance of doubt, none of the foregoing remedies instituted by a Specified Derivatives Provider shall by itself constitute a Default or Event of Default hereunder unless otherwise specifically set forth herein.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10.3. Remedies Upon Default.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Upon the occurrence of a Default specified in Section 10.1.(f), the Commitments shall immediately and automatically terminate.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- 100 -</w:t>
      </w:r>
    </w:p>
    <w:p>
      <w:pPr>
        <w:sectPr>
          <w:pgSz w:w="11900" w:h="16838" w:orient="portrait"/>
          <w:cols w:equalWidth="0" w:num="1">
            <w:col w:w="11020"/>
          </w:cols>
          <w:pgMar w:left="440" w:top="270" w:right="4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10.4. Marshaling; Payments Set Aside.</w:t>
      </w:r>
    </w:p>
    <w:p>
      <w:pPr>
        <w:spacing w:after="0" w:line="12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None of the Administrative Agent, the Issuing Bank, any Lender or any Specified Derivatives Provider shall be under any obligation to marshal any assets in favor of any Loan Party or any other party or against or in payment of any or all of the Obligations or the Specified Derivatives Obligations. To the extent that any Loan Party makes a payment or payments to the Administrative Agent, the Issuing Bank, any Lender or any Specified Derivatives Provider, or the Administrative Agent, the Issuing Bank, any Lender or any Specified Derivatives Provider enforce their security interests or exercise their rights of setoff, and such payment or payments or the proceeds of such enforcement or setoff or any part thereof are subsequently invalidated, declared to be fraudulent or preferential, set aside and/or required to be repaid to a trustee, receiver or any other party under any bankruptcy law, state or federal law, common law or equitable cause, then to the extent of such recovery, the Obligations or Specified Derivatives Obligations, or part thereof originally intended to be satisfied, and all Liens, rights and remedies therefor, shall be revived and continued in full force and effect as if such payment had not been made or such enforcement or setoff had not occurred.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10.5. Allocation of Proceeds.</w:t>
      </w:r>
    </w:p>
    <w:p>
      <w:pPr>
        <w:spacing w:after="0" w:line="121"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If an Event of Default exists, all payments received by the Administrative Agent under any of the Loan Documents (or any Lender as a result of exercise of remedies pursuant to Section 12.4.), in respect of any principal of or interest on the Obligations or any other amounts payable by the Borrower hereunder or thereunder, shall be applied in the following order and priority:</w:t>
      </w:r>
    </w:p>
    <w:p>
      <w:pPr>
        <w:spacing w:after="0" w:line="68" w:lineRule="exact"/>
        <w:rPr>
          <w:sz w:val="20"/>
          <w:szCs w:val="20"/>
          <w:color w:val="auto"/>
        </w:rPr>
      </w:pPr>
    </w:p>
    <w:p>
      <w:pPr>
        <w:ind w:left="440" w:firstLine="419"/>
        <w:spacing w:after="0" w:line="282" w:lineRule="auto"/>
        <w:tabs>
          <w:tab w:leader="none" w:pos="1108"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due to the Administrative Agent, the Issuing Bank and the Lenders in respect of expenses due under Section 12.2. until paid in full, and then Fees;</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of interest on Swingline Loans;</w:t>
      </w:r>
    </w:p>
    <w:p>
      <w:pPr>
        <w:spacing w:after="0" w:line="117" w:lineRule="exact"/>
        <w:rPr>
          <w:rFonts w:ascii="Times New Roman" w:cs="Times New Roman" w:eastAsia="Times New Roman" w:hAnsi="Times New Roman"/>
          <w:sz w:val="18"/>
          <w:szCs w:val="18"/>
          <w:color w:val="auto"/>
        </w:rPr>
      </w:pPr>
    </w:p>
    <w:p>
      <w:pPr>
        <w:ind w:left="440" w:right="340" w:firstLine="419"/>
        <w:spacing w:after="0" w:line="282" w:lineRule="auto"/>
        <w:tabs>
          <w:tab w:leader="none" w:pos="1108"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of interest on all other Loans and Reimbursement Obligations to be applied for the ratable benefit of the Lenders and the Issuing Bank;</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of principal of Swingline Loans;</w:t>
      </w:r>
    </w:p>
    <w:p>
      <w:pPr>
        <w:spacing w:after="0" w:line="117" w:lineRule="exact"/>
        <w:rPr>
          <w:rFonts w:ascii="Times New Roman" w:cs="Times New Roman" w:eastAsia="Times New Roman" w:hAnsi="Times New Roman"/>
          <w:sz w:val="18"/>
          <w:szCs w:val="18"/>
          <w:color w:val="auto"/>
        </w:rPr>
      </w:pPr>
    </w:p>
    <w:p>
      <w:pPr>
        <w:ind w:left="440" w:firstLine="419"/>
        <w:spacing w:after="0" w:line="261" w:lineRule="auto"/>
        <w:tabs>
          <w:tab w:leader="none" w:pos="1108"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of principal of all other Loans, Reimbursement Obligations and other Letter of Credit Liabilities, to be applied for the ratable benefit of the Lenders and the Issuing Bank; provided, however, to the extent that any amounts available for distribution pursuant to this subsection are attributable to the issued but undrawn amount of an outstanding Letter of Credit, such amounts shall be paid to the Administrative Agent for deposit into the Letter of Credit Collateral Account;</w:t>
      </w:r>
    </w:p>
    <w:p>
      <w:pPr>
        <w:spacing w:after="0" w:line="71"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due to the Administrative Agent and the Lenders pursuant to Sections 11.6. and 12.10.;</w:t>
      </w:r>
    </w:p>
    <w:p>
      <w:pPr>
        <w:spacing w:after="0" w:line="117" w:lineRule="exact"/>
        <w:rPr>
          <w:rFonts w:ascii="Times New Roman" w:cs="Times New Roman" w:eastAsia="Times New Roman" w:hAnsi="Times New Roman"/>
          <w:sz w:val="18"/>
          <w:szCs w:val="18"/>
          <w:color w:val="auto"/>
        </w:rPr>
      </w:pPr>
    </w:p>
    <w:p>
      <w:pPr>
        <w:ind w:left="440" w:right="120" w:firstLine="419"/>
        <w:spacing w:after="0" w:line="282" w:lineRule="auto"/>
        <w:tabs>
          <w:tab w:leader="none" w:pos="1118"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of all other Obligations and other amounts due under any of the Loan Documents to be applied for the ratable benefit of the Lenders; and</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 remaining after application as provided above, shall be paid to the Borrower or whomever else may be legally entitled</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thereto.</w:t>
      </w:r>
    </w:p>
    <w:p>
      <w:pPr>
        <w:spacing w:after="0" w:line="139" w:lineRule="exact"/>
        <w:rPr>
          <w:rFonts w:ascii="Times New Roman" w:cs="Times New Roman" w:eastAsia="Times New Roman" w:hAnsi="Times New Roman"/>
          <w:sz w:val="18"/>
          <w:szCs w:val="18"/>
          <w:color w:val="auto"/>
        </w:rPr>
      </w:pPr>
    </w:p>
    <w:p>
      <w:pPr>
        <w:ind w:left="5360" w:hanging="96"/>
        <w:spacing w:after="0"/>
        <w:tabs>
          <w:tab w:leader="none" w:pos="536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101 -</w:t>
      </w:r>
    </w:p>
    <w:p>
      <w:pPr>
        <w:sectPr>
          <w:pgSz w:w="11900" w:h="16838" w:orient="portrait"/>
          <w:cols w:equalWidth="0" w:num="1">
            <w:col w:w="10860"/>
          </w:cols>
          <w:pgMar w:left="440" w:top="266" w:right="59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10.6. Letter of Credit Collateral Account.</w:t>
      </w:r>
    </w:p>
    <w:p>
      <w:pPr>
        <w:spacing w:after="0" w:line="121" w:lineRule="exact"/>
        <w:rPr>
          <w:sz w:val="20"/>
          <w:szCs w:val="20"/>
          <w:color w:val="auto"/>
        </w:rPr>
      </w:pPr>
    </w:p>
    <w:p>
      <w:pPr>
        <w:ind w:firstLine="436"/>
        <w:spacing w:after="0" w:line="255" w:lineRule="auto"/>
        <w:tabs>
          <w:tab w:leader="none" w:pos="685"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collateral security for the prompt payment in full when due of all Letter of Credit Liabilities and the other Obligations, the Borrower hereby pledges and grants to the Administrative Agent, for the ratable benefit of the Administrative Agent, the Issuing Bank and the Lenders as provided herein, a security interest in all of its right, title and interest in and to the Letter of Credit Collateral Account and the balances from time to time in the Letter of Credit Collateral Account (including the investments and reinvestments therein provided for below). The balances from time to time in the Letter of Credit Collateral Account shall not constitute payment of any Letter of Credit Liabilities until applied by the Issuing Bank as provided herein. Anything in this Agreement to the contrary notwithstanding, funds held in the Letter of Credit Collateral Account shall be subject to withdrawal only as provided in this Section.</w:t>
      </w:r>
    </w:p>
    <w:p>
      <w:pPr>
        <w:spacing w:after="0" w:line="188" w:lineRule="exact"/>
        <w:rPr>
          <w:rFonts w:ascii="Times New Roman" w:cs="Times New Roman" w:eastAsia="Times New Roman" w:hAnsi="Times New Roman"/>
          <w:sz w:val="18"/>
          <w:szCs w:val="18"/>
          <w:color w:val="auto"/>
        </w:rPr>
      </w:pPr>
    </w:p>
    <w:p>
      <w:pPr>
        <w:ind w:right="60" w:firstLine="436"/>
        <w:spacing w:after="0" w:line="254" w:lineRule="auto"/>
        <w:tabs>
          <w:tab w:leader="none" w:pos="695"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Amounts on deposit in the Letter of Credit Collateral Account shall be invested and reinvested by the Administrative Agent in such Cash Equivalents as the Administrative Agent shall determine in its sole discretion. All such investments and reinvestments shall be held in the name of and be under the sole dominion and control of the Administrative Agent for the ratable benefit of the Administrative Agent, the Issuing Bank and the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all earnings on such investments will be credited to and retained in the Letter of Credit Collateral Account. The Administrative Agent shall exercise reasonable care in the custody and preservation of any funds held in the Letter of Credit Collateral Account and shall be deemed to have exercised such care if such funds are accorded treatment substantially equivalent to that which the Administrative Agent accords other funds deposited with the Administrative Agent, it being understood that the Administrative Agent shall not have any responsibility for taking any necessary steps to preserve rights against any parties with respect to any funds held in the Letter of Credit Collateral Account.</w:t>
      </w:r>
    </w:p>
    <w:p>
      <w:pPr>
        <w:spacing w:after="0" w:line="191" w:lineRule="exact"/>
        <w:rPr>
          <w:rFonts w:ascii="Times New Roman" w:cs="Times New Roman" w:eastAsia="Times New Roman" w:hAnsi="Times New Roman"/>
          <w:sz w:val="18"/>
          <w:szCs w:val="18"/>
          <w:color w:val="auto"/>
        </w:rPr>
      </w:pPr>
    </w:p>
    <w:p>
      <w:pPr>
        <w:ind w:firstLine="436"/>
        <w:spacing w:after="0" w:line="266" w:lineRule="auto"/>
        <w:tabs>
          <w:tab w:leader="none" w:pos="685"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drawing pursuant to any Letter of Credit occurs on or prior to the expiration date of such Letter of Credit, the Borrower and the Lenders authorize the Administrative Agent to use the monies deposited in the Letter of Credit Collateral Account to reimburse the Issuing Bank for the payment made by the Issuing Bank to the beneficiary with respect to such drawing or the payee with respect to such presentment.</w:t>
      </w:r>
    </w:p>
    <w:p>
      <w:pPr>
        <w:spacing w:after="0" w:line="175" w:lineRule="exact"/>
        <w:rPr>
          <w:rFonts w:ascii="Times New Roman" w:cs="Times New Roman" w:eastAsia="Times New Roman" w:hAnsi="Times New Roman"/>
          <w:sz w:val="18"/>
          <w:szCs w:val="18"/>
          <w:color w:val="auto"/>
        </w:rPr>
      </w:pPr>
    </w:p>
    <w:p>
      <w:pPr>
        <w:ind w:right="20" w:firstLine="436"/>
        <w:spacing w:after="0" w:line="258" w:lineRule="auto"/>
        <w:tabs>
          <w:tab w:leader="none" w:pos="695"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Event of Default exists, the Administrative Agent may (and, if instructed by the Requisite Lenders, shall) in its (or their) discretion at any time and from time to time elect to liquidate any such investments and reinvestments and apply the proceeds thereof to the Obligations in accordance with Section 10.5. Notwithstanding the foregoing, the Administrative Agent shall not be required to liquidate and release any such amounts if such liquidation or release would result in the amount available in the Letter of Credit Collateral Account to be less than the Stated Amount of all Extended Letters of Credit that remain outstanding.</w:t>
      </w:r>
    </w:p>
    <w:p>
      <w:pPr>
        <w:spacing w:after="0" w:line="183" w:lineRule="exact"/>
        <w:rPr>
          <w:rFonts w:ascii="Times New Roman" w:cs="Times New Roman" w:eastAsia="Times New Roman" w:hAnsi="Times New Roman"/>
          <w:sz w:val="18"/>
          <w:szCs w:val="18"/>
          <w:color w:val="auto"/>
        </w:rPr>
      </w:pPr>
    </w:p>
    <w:p>
      <w:pPr>
        <w:ind w:right="120" w:firstLine="436"/>
        <w:spacing w:after="0" w:line="254" w:lineRule="auto"/>
        <w:tabs>
          <w:tab w:leader="none" w:pos="685"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no Major Default or Event of Default exists, and to the extent amounts on deposit in or credited to the Letter of Credit Collateral Account exceed the aggregate amount of the Letter of Credit Liabilities then due and owing, the Administrative Agent shall, from time to time, at the request of the Borrower, deliver to the Borrower within 10 Business Days after the Administrative Agent’s receipt of such request from the Borrower, against receipt but without any recourse, warranty or representation whatsoever, such amount of the credit balances in the Letter of Credit Collateral Account as exceeds the aggregate amount of Letter of Credit Liabilities at such time. Upon the expiration, termination or cancellation of an Extended Letter of Credit for which the Lenders reimbursed (or funded participations in) a drawing deemed to have occurred under the fourth sentence of Section 2.3.(b) for deposit into the Letter of Credit Collateral Account but in respect of which the Lenders have not otherwise received payment for the amount so reimbursed or funded, the Administrative Agent shall promptly remit to the Lenders the amount so reimbursed or funded for such Extended Letter of Credit that remains in the Letter of Credit Collateral</w:t>
      </w:r>
    </w:p>
    <w:p>
      <w:pPr>
        <w:spacing w:after="0" w:line="120" w:lineRule="exact"/>
        <w:rPr>
          <w:rFonts w:ascii="Times New Roman" w:cs="Times New Roman" w:eastAsia="Times New Roman" w:hAnsi="Times New Roman"/>
          <w:sz w:val="18"/>
          <w:szCs w:val="18"/>
          <w:color w:val="auto"/>
        </w:rPr>
      </w:pPr>
    </w:p>
    <w:p>
      <w:pPr>
        <w:ind w:left="5360" w:hanging="96"/>
        <w:spacing w:after="0"/>
        <w:tabs>
          <w:tab w:leader="none" w:pos="536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102 -</w:t>
      </w:r>
    </w:p>
    <w:p>
      <w:pPr>
        <w:sectPr>
          <w:pgSz w:w="11900" w:h="16838" w:orient="portrait"/>
          <w:cols w:equalWidth="0" w:num="1">
            <w:col w:w="10980"/>
          </w:cols>
          <w:pgMar w:left="440" w:top="266" w:right="479" w:bottom="1440" w:gutter="0" w:footer="0" w:header="0"/>
        </w:sectPr>
      </w:pPr>
    </w:p>
    <w:bookmarkStart w:id="112" w:name="page113"/>
    <w:bookmarkEnd w:id="112"/>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Account, pro rata in accordance with the respective unpaid reimbursements or funded participations of the Lenders in respect of such Extended Letter of Credit, against receipt but without any recourse, warranty or representation whatsoever. When all of the Obligations shall have been paid in full in cash and no Letters of Credit remain outstanding, the Administrative Agent shall deliver to the Borrower, against receipt but without any recourse, warranty or representation whatsoever, the balances remaining in the Letter of Credit Collateral Account.</w:t>
      </w:r>
    </w:p>
    <w:p>
      <w:pPr>
        <w:spacing w:after="0" w:line="180" w:lineRule="exact"/>
        <w:rPr>
          <w:sz w:val="20"/>
          <w:szCs w:val="20"/>
          <w:color w:val="auto"/>
        </w:rPr>
      </w:pPr>
    </w:p>
    <w:p>
      <w:pPr>
        <w:ind w:right="160" w:firstLine="436"/>
        <w:spacing w:after="0" w:line="266" w:lineRule="auto"/>
        <w:tabs>
          <w:tab w:leader="none" w:pos="665"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pay to the Administrative Agent from time to time such fees as the Administrative Agent normally charges for similar services in connection with the Administrative Agent’s administration of the Letter of Credit Collateral Account and investments and reinvestments of funds therein.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10.7. Rescission of Acceleration by Requisite Lenders.</w:t>
      </w:r>
    </w:p>
    <w:p>
      <w:pPr>
        <w:spacing w:after="0" w:line="121" w:lineRule="exact"/>
        <w:rPr>
          <w:sz w:val="20"/>
          <w:szCs w:val="20"/>
          <w:color w:val="auto"/>
        </w:rPr>
      </w:pPr>
    </w:p>
    <w:p>
      <w:pPr>
        <w:ind w:right="120" w:firstLine="440"/>
        <w:spacing w:after="0" w:line="254" w:lineRule="auto"/>
        <w:rPr>
          <w:sz w:val="20"/>
          <w:szCs w:val="20"/>
          <w:color w:val="auto"/>
        </w:rPr>
      </w:pPr>
      <w:r>
        <w:rPr>
          <w:rFonts w:ascii="Times New Roman" w:cs="Times New Roman" w:eastAsia="Times New Roman" w:hAnsi="Times New Roman"/>
          <w:sz w:val="18"/>
          <w:szCs w:val="18"/>
          <w:color w:val="auto"/>
        </w:rPr>
        <w:t>If at any time after acceleration of the maturity of the Loans and the other Obligations, the Borrower shall pay all arrears of interest and all payments on account of principal of the Obligations which shall have become due otherwise than by acceleration (with interest on principal and, to the extent permitted by Applicable Law, on overdue interest, at the rates specified in this Agreement) and all Events of Default and Defaults (other than nonpayment of principal of and accrued interest on the Obligations due and payable solely by virtue of acceleration) shall become remedied or waived to the satisfaction of the Requisite Lenders, then by written notice to the Borrower, the Requisite Lenders may elect, in the sole discretion of such Requisite Lenders, to rescind and annul the acceleration and its consequences. The provisions of the preceding sentence are intended merely to bind all of the Lenders to a decision which may be made at the election of the Requisite Lenders, and are not intended to benefit the Borrower and do not give the Borrower the right to require the Lenders to rescind or annul any acceleration hereunder, even if the conditions set forth herein are satisfied.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10.8. Performance by Administrative Agent.</w:t>
      </w:r>
    </w:p>
    <w:p>
      <w:pPr>
        <w:spacing w:after="0" w:line="121" w:lineRule="exact"/>
        <w:rPr>
          <w:sz w:val="20"/>
          <w:szCs w:val="20"/>
          <w:color w:val="auto"/>
        </w:rPr>
      </w:pPr>
    </w:p>
    <w:p>
      <w:pPr>
        <w:ind w:right="160" w:firstLine="440"/>
        <w:spacing w:after="0" w:line="255" w:lineRule="auto"/>
        <w:rPr>
          <w:sz w:val="20"/>
          <w:szCs w:val="20"/>
          <w:color w:val="auto"/>
        </w:rPr>
      </w:pPr>
      <w:r>
        <w:rPr>
          <w:rFonts w:ascii="Times New Roman" w:cs="Times New Roman" w:eastAsia="Times New Roman" w:hAnsi="Times New Roman"/>
          <w:sz w:val="18"/>
          <w:szCs w:val="18"/>
          <w:color w:val="auto"/>
        </w:rPr>
        <w:t>If the Borrower or any other Loan Party shall fail to perform any covenant, duty or agreement contained in any of the Loan Documents, the Administrative Agent may, after notice to the Borrower, perform or attempt to perform such covenant, duty or agreement on behalf of the Borrower or such other Loan Party after the expiration of any cure or grace periods set forth herein. In such event, the Borrower shall, at the request of the Administrative Agent, promptly pay any amount reasonably expended by the Administrative Agent in such performance or attempted performance to the Administrative Agent, together with interest thereon at the applicable Post-Default Rate from the date of such expenditure until paid. Notwithstanding the foregoing, neither the Administrative Agent nor any Lender shall have any liability or responsibility whatsoever to perform any obligation of the Borrower under this Agreement or any other Loan Document.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10.9. Rights Cumulative.</w:t>
      </w:r>
    </w:p>
    <w:p>
      <w:pPr>
        <w:spacing w:after="0" w:line="121" w:lineRule="exact"/>
        <w:rPr>
          <w:sz w:val="20"/>
          <w:szCs w:val="20"/>
          <w:color w:val="auto"/>
        </w:rPr>
      </w:pPr>
    </w:p>
    <w:p>
      <w:pPr>
        <w:ind w:firstLine="436"/>
        <w:spacing w:after="0" w:line="256" w:lineRule="auto"/>
        <w:tabs>
          <w:tab w:leader="none" w:pos="685"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Generally</w:t>
      </w:r>
      <w:r>
        <w:rPr>
          <w:rFonts w:ascii="Times New Roman" w:cs="Times New Roman" w:eastAsia="Times New Roman" w:hAnsi="Times New Roman"/>
          <w:sz w:val="18"/>
          <w:szCs w:val="18"/>
          <w:color w:val="auto"/>
        </w:rPr>
        <w:t>. The rights and remedies of the Administrative Agent, the Issuing Bank, the Lenders and the Specified Derivatives Providers under this Agreement, each of the other Loan Documents, the Fee Letter and Specified Derivatives Contracts shall be cumulative and not exclusive of any rights or remedies which any of them may otherwise have under Applicable Law. In exercising their respective rights and remedies the Administrative Agent, the Issuing Bank, the Lenders and the Specified Derivatives Providers may be selective and no failure or delay by the Administrative Agent, the Issuing Bank, any of the Lenders or any of the Specified Derivatives Providers in exercising any right shall operate as a waiver of it, nor shall any single or partial exercise of any power or right preclude its other or further exercise or the exercise of any other power or right.</w:t>
      </w:r>
    </w:p>
    <w:p>
      <w:pPr>
        <w:spacing w:after="0" w:line="362" w:lineRule="exact"/>
        <w:rPr>
          <w:rFonts w:ascii="Times New Roman" w:cs="Times New Roman" w:eastAsia="Times New Roman" w:hAnsi="Times New Roman"/>
          <w:sz w:val="18"/>
          <w:szCs w:val="18"/>
          <w:color w:val="auto"/>
        </w:rPr>
      </w:pPr>
    </w:p>
    <w:p>
      <w:pPr>
        <w:ind w:left="5360" w:hanging="96"/>
        <w:spacing w:after="0"/>
        <w:tabs>
          <w:tab w:leader="none" w:pos="536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103 -</w:t>
      </w:r>
    </w:p>
    <w:p>
      <w:pPr>
        <w:sectPr>
          <w:pgSz w:w="11900" w:h="16838" w:orient="portrait"/>
          <w:cols w:equalWidth="0" w:num="1">
            <w:col w:w="10980"/>
          </w:cols>
          <w:pgMar w:left="440" w:top="270" w:right="479" w:bottom="1440" w:gutter="0" w:footer="0" w:header="0"/>
        </w:sectPr>
      </w:pPr>
    </w:p>
    <w:bookmarkStart w:id="113" w:name="page114"/>
    <w:bookmarkEnd w:id="113"/>
    <w:p>
      <w:pPr>
        <w:ind w:right="60" w:firstLine="436"/>
        <w:spacing w:after="0" w:line="252" w:lineRule="auto"/>
        <w:tabs>
          <w:tab w:leader="none" w:pos="695"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Enforcement by Administrative Agent</w:t>
      </w:r>
      <w:r>
        <w:rPr>
          <w:rFonts w:ascii="Times New Roman" w:cs="Times New Roman" w:eastAsia="Times New Roman" w:hAnsi="Times New Roman"/>
          <w:sz w:val="18"/>
          <w:szCs w:val="18"/>
          <w:color w:val="auto"/>
        </w:rPr>
        <w:t xml:space="preserve">. 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Article X. for the benefit of all the Lenders and the Issuing Banks;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prohibit (i) the Administrative Agent from exercising on its own behalf the rights and remedies that inure to its benefit (solely in its capacity as Administrative Agent) hereunder and under the other Loan Documents, (ii) the Issuing Banks or the Swingline Lender from exercising the rights and remedies that inure to their benefit (solely in their capacity as an Issuing Bank or Swingline Lender, as the case may be) hereunder or under the other Loan Documents, (iii) any Specified Derivatives Provider from exercising the rights and remedies that inure to its benefit under any Specified Derivatives Contract, (iv) any Lender from exercising setoff rights in accordance with Section 12.4. (subject to the terms of Section 3.3.), or (v) any Lender from filing proofs of claim or appearing and filing pleadings on its own behalf during the pendency of a proceeding relative to any Loan Party under any Debtor Relief Law;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at any time there is no Person acting as Administrative Agent hereunder and under the other Loan Documents, then (x) the Requisite Lenders shall have the rights otherwise ascribed to the Administrative Agent pursuant to Article X. and (y) in addition to the matters set forth in clauses (ii), (iv) and (v) of the preceding proviso and subject to Section 3.3., any Lender may, with the consent of the Requisite Lenders, enforce any rights and remedies available to it and as authorized by the Requisite Lenders.</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18"/>
          <w:szCs w:val="18"/>
          <w:b w:val="1"/>
          <w:bCs w:val="1"/>
          <w:color w:val="auto"/>
        </w:rPr>
        <w:t xml:space="preserve"> XI. T</w:t>
      </w:r>
      <w:r>
        <w:rPr>
          <w:rFonts w:ascii="Times New Roman" w:cs="Times New Roman" w:eastAsia="Times New Roman" w:hAnsi="Times New Roman"/>
          <w:sz w:val="14"/>
          <w:szCs w:val="14"/>
          <w:b w:val="1"/>
          <w:bCs w:val="1"/>
          <w:color w:val="auto"/>
        </w:rPr>
        <w:t>HE</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DMINISTRATIVE</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11.1. Appointment and Authorization.</w:t>
      </w:r>
    </w:p>
    <w:p>
      <w:pPr>
        <w:spacing w:after="0" w:line="121"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7"/>
          <w:szCs w:val="17"/>
          <w:color w:val="auto"/>
        </w:rPr>
        <w:t>Each Lender hereby irrevocably appoints and authorizes the Administrative Agent to take such action as contractual representative on such Lender’s behalf and to exercise such powers under this Agreement and the other Loan Documents as are specifically delegated to the Administrative Agent by the terms hereof and thereof, together with such powers as are reasonably incidental thereto. Not in limitation of the foregoing, each Lender authorizes and directs the Administrative Agent to enter into the Loan Documents for the benefit of the Lenders. Each Lender hereby agrees that, except as otherwise set forth herein, any action taken by the Requisite Lenders in accordance with the provisions of this Agreement or the Loan Documents, and the exercise by the Requisite Lenders of the powers set forth herein or therein, together with such other powers as are reasonably incidental thereto, shall be authorized and binding upon all of the Lenders. Nothing herein shall be construed to deem the Administrative Agent a trustee or fiduciary for any Lender or to impose on the Administrative Agent duties or obligations other than those expressly provided for herein. Without limiting the generality of the foregoing, the use of the terms “Agent”, “Administrative Agent”, “agent” and similar terms in the Loan Documents with reference to the Administrative Agent is not intended to connote any fiduciary or other implied (or express) obligations arising under agency doctrine of any Applicable Law. Instead, use of such terms is merely a matter of market custom, and is intended to create or reflect only an administrative relationship between independent contracting parties. The Administrative Agent shall deliver to each Lender, promptly upon receipt thereof by the Administrative Agent, copies of each of the financial statements, certificates, notices and other documents delivered to the Administrative Agent pursuant to</w:t>
      </w:r>
    </w:p>
    <w:p>
      <w:pPr>
        <w:spacing w:after="0" w:line="10"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Article VIII. that the Borrower is not otherwise required to deliver directly to the Lenders. The Administrative Agent will furnish to any Lender, upon the request of such Lender, a copy (or, where appropriate, an original) of any document, instrument, agreement, certificate or notice furnished to the Administrative Agent by the Borrower, any other Loan Party or any other Affiliate of the Borrower, pursuant to this Agreement or any other Loan Document not already delivered to such Lender pursuant to the terms of this Agreement or any such other Loan Document. As to any matters not expressly provided for by the Loan Documents (including, without limitation,</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- 104 -</w:t>
      </w:r>
    </w:p>
    <w:p>
      <w:pPr>
        <w:sectPr>
          <w:pgSz w:w="11900" w:h="16838" w:orient="portrait"/>
          <w:cols w:equalWidth="0" w:num="1">
            <w:col w:w="10960"/>
          </w:cols>
          <w:pgMar w:left="440" w:top="270" w:right="499" w:bottom="1440" w:gutter="0" w:footer="0" w:header="0"/>
        </w:sectPr>
      </w:pPr>
    </w:p>
    <w:bookmarkStart w:id="114" w:name="page115"/>
    <w:bookmarkEnd w:id="114"/>
    <w:p>
      <w:pPr>
        <w:ind w:left="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enforcement or collection of any of the Obligations), the Administrative Agent shall not be required to exercise any discretion or take any action, but shall be required to act or to refrain from acting (and shall be fully protected in so acting or refraining from acting) upon the instructions of the Requisite Lenders (or all of the Lenders if explicitly required under any other provision of this Agreement), and such instructions shall be binding upon all Lenders and all holders of any of the Obligations; provided, however, that, notwithstanding anything in this Agreement to the contrary, the Administrative Agent shall not be required to take any action which exposes the Administrative Agent to personal liability or which is contrary to this Agreement or any other Loan Document or Applicable Law. Not in limitation of the foregoing, the Administrative Agent may exercise any right or remedy it or the Lenders may have under any Loan Document upon the occurrence of a Default or an Event of Default unless the Requisite Lenders have directed the Administrative Agent otherwise. Without limiting the foregoing, no Lender shall have any right of action whatsoever against the Administrative Agent as a result of the Administrative Agent acting or refraining from acting under this Agreement or any of the other Loan Documents in accordance with the instructions of the Requisite Lenders, or where applicable, all the Lenders.</w:t>
      </w:r>
    </w:p>
    <w:p>
      <w:pPr>
        <w:spacing w:after="0" w:line="29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11.2. Wells Fargo as Lender.</w:t>
      </w:r>
    </w:p>
    <w:p>
      <w:pPr>
        <w:spacing w:after="0" w:line="121" w:lineRule="exact"/>
        <w:rPr>
          <w:sz w:val="20"/>
          <w:szCs w:val="20"/>
          <w:color w:val="auto"/>
        </w:rPr>
      </w:pPr>
    </w:p>
    <w:p>
      <w:pPr>
        <w:ind w:left="4" w:right="40" w:firstLine="440"/>
        <w:spacing w:after="0" w:line="253" w:lineRule="auto"/>
        <w:rPr>
          <w:sz w:val="20"/>
          <w:szCs w:val="20"/>
          <w:color w:val="auto"/>
        </w:rPr>
      </w:pPr>
      <w:r>
        <w:rPr>
          <w:rFonts w:ascii="Times New Roman" w:cs="Times New Roman" w:eastAsia="Times New Roman" w:hAnsi="Times New Roman"/>
          <w:sz w:val="18"/>
          <w:szCs w:val="18"/>
          <w:color w:val="auto"/>
        </w:rPr>
        <w:t>Wells Fargo, as a Lender or as a Specified Derivatives Provider, as the case may be, shall have the same rights and powers under this Agreement and any other Loan Document and under any Specified Derivatives Contract, as the case may be, as any other Lender or Specified Derivatives Provider and may exercise the same as though it were not the Administrative Agent; and the term “Lender” or “Lenders” shall, unless otherwise expressly indicated, include Wells Fargo in each case in its individual capacity. Wells Fargo and its Affiliates may each accept deposits from, maintain deposits or credit balances for, invest in, lend money to, act as trustee under indentures of, serve as financial advisor to, and generally engage in any kind of business with the Borrower, any other Loan Party or any other Affiliate thereof as if it were any other bank and without any duty to account therefor to the Issuing Bank, other Lenders, or any other Specified Derivatives Providers. Further, the Administrative Agent and any Affiliate may accept fees and other consideration from the Borrower for services in connection with this Agreement or any Specified Derivatives Contract, or otherwise without having to account for the same to the Issuing Bank, the other Lenders or any other Specified Derivatives Providers. The Issuing Bank and the Lenders acknowledge that, pursuant to such activities, Wells Fargo or its Affiliates may receive information regarding the Borrower, other Loan Parties, other Subsidiaries and other Affiliates (including information that may be subject to confidentiality obligations in favor of such Person) and acknowledge that the Administrative Agent shall be under no obligation to provide such information to them.</w:t>
      </w:r>
    </w:p>
    <w:p>
      <w:pPr>
        <w:spacing w:after="0" w:line="29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11.3. Approvals of Lenders.</w:t>
      </w:r>
    </w:p>
    <w:p>
      <w:pPr>
        <w:spacing w:after="0" w:line="121" w:lineRule="exact"/>
        <w:rPr>
          <w:sz w:val="20"/>
          <w:szCs w:val="20"/>
          <w:color w:val="auto"/>
        </w:rPr>
      </w:pPr>
    </w:p>
    <w:p>
      <w:pPr>
        <w:ind w:left="4" w:right="60" w:firstLine="440"/>
        <w:spacing w:after="0" w:line="268" w:lineRule="auto"/>
        <w:rPr>
          <w:sz w:val="20"/>
          <w:szCs w:val="20"/>
          <w:color w:val="auto"/>
        </w:rPr>
      </w:pPr>
      <w:r>
        <w:rPr>
          <w:rFonts w:ascii="Times New Roman" w:cs="Times New Roman" w:eastAsia="Times New Roman" w:hAnsi="Times New Roman"/>
          <w:sz w:val="17"/>
          <w:szCs w:val="17"/>
          <w:color w:val="auto"/>
        </w:rPr>
        <w:t>All communications from the Administrative Agent to any Lender requesting such Lender’s determination, consent or approval (a) shall be given in the form of a written notice to such Lender, (b) shall be accompanied by a description of the matter or issue as to which such determination, approval or consent is requested, or shall advise such Lender where information, if any, regarding such matter or issue may be inspected, or shall otherwise describe the matter or issue to be resolved, and (c) shall include, if reasonably requested by such Lender and to the extent not previously provided to such Lender, written materials provided to the Administrative Agent by the Borrower in respect of the matter or issue to be resolved. Unless a Lender shall give written notice to the Administrative Agent that it specifically objects to the requested determination, consent or approval within ten</w:t>
      </w:r>
    </w:p>
    <w:p>
      <w:pPr>
        <w:spacing w:after="0" w:line="5" w:lineRule="exact"/>
        <w:rPr>
          <w:sz w:val="20"/>
          <w:szCs w:val="20"/>
          <w:color w:val="auto"/>
        </w:rPr>
      </w:pPr>
    </w:p>
    <w:p>
      <w:pPr>
        <w:jc w:val="both"/>
        <w:ind w:left="4" w:right="120" w:hanging="4"/>
        <w:spacing w:after="0" w:line="255" w:lineRule="auto"/>
        <w:tabs>
          <w:tab w:leader="none" w:pos="349"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(or such lesser or greater period as may be specifically required under the express terms of the Loan Documents) of receipt of such communication, such Lender shall be deemed to have conclusively approved such requested determination, consent or approval. The provisions of this Section shall not apply to any amendment, waiver or consent regarding any of the matters described in Section 12.7.(c).</w:t>
      </w:r>
    </w:p>
    <w:p>
      <w:pPr>
        <w:spacing w:after="0" w:line="118" w:lineRule="exact"/>
        <w:rPr>
          <w:rFonts w:ascii="Times New Roman" w:cs="Times New Roman" w:eastAsia="Times New Roman" w:hAnsi="Times New Roman"/>
          <w:sz w:val="18"/>
          <w:szCs w:val="18"/>
          <w:color w:val="auto"/>
        </w:rPr>
      </w:pPr>
    </w:p>
    <w:p>
      <w:pPr>
        <w:ind w:left="5364" w:hanging="96"/>
        <w:spacing w:after="0"/>
        <w:tabs>
          <w:tab w:leader="none" w:pos="5364"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105 -</w:t>
      </w:r>
    </w:p>
    <w:p>
      <w:pPr>
        <w:sectPr>
          <w:pgSz w:w="11900" w:h="16838" w:orient="portrait"/>
          <w:cols w:equalWidth="0" w:num="1">
            <w:col w:w="10984"/>
          </w:cols>
          <w:pgMar w:left="436" w:top="270" w:right="47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11.4. Notice of Events of Default.</w:t>
      </w:r>
    </w:p>
    <w:p>
      <w:pPr>
        <w:spacing w:after="0" w:line="121"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The Administrative Agent shall not be deemed to have knowledge or notice of the occurrence of a Default or Event of Default unless the Administrative Agent has received notice thereof from a Lender or the Borrower referring to this Agreement, describing with reasonable specificity such Default or Event of Default and stating that such notice is a “notice of default.” If any Lender (excluding the Lender which is also serving as the Administrative Agent) becomes aware of any Default or Event of Default, it shall promptly send to the Administrative Agent such a “notice of default”. Further, if the Administrative Agent receives such a “notice of default,” the Administrative Agent shall give prompt notice thereof to the Lenders.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11.5. Administrative Agent’s Reliance.</w:t>
      </w:r>
    </w:p>
    <w:p>
      <w:pPr>
        <w:spacing w:after="0" w:line="121"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Notwithstanding any other provisions of this Agreement or any other Loan Documents, neither the Administrative Agent nor any of its directors, officers, agents, employees or counsel shall be liable for any action taken or not taken by it under or in connection with this Agreement or any other Loan Document, except for its or their own gross negligence or willful misconduct in connection with its duties expressly set forth herein or therein as determined by a court of competent jurisdiction in a final non-appealable judgment. Without limiting the generality of the foregoing, the Administrative Agent may consult with legal counsel (including its own counsel or counsel for the Borrower or any other Loan Party), independent public accountants and other experts selected by it and shall not be liable for any action taken or omitted to be taken in good faith by it in accordance with the advice of such counsel, accountants or experts. Neither the Administrative Agent nor any of its directors, officers, agents, employees or counsel: (a) makes any warranty or representation to any Lender, the Issuing Bank or any other Person, or shall be responsible to any Lender, the Issuing Bank or any other Person for any statement, warranty or representation made or deemed made by the Borrower, any other Loan Party or any other Person in or in connection with this Agreement or any other Loan Document; (b) shall have any duty to ascertain or to inquire as to the performance or observance of any of the terms, covenants or conditions of this Agreement or any other Loan Document or the satisfaction of any conditions precedent under this Agreement or any Loan Document on the part of the Borrower or other Persons, or to inspect the property, books or records of the Borrower or any other Person; (c) shall be responsible to any Lender or the Issuing Bank for the due execution, legality, validity, enforceability, genuineness, sufficiency or value of this Agreement or any other Loan Document, any other instrument or document furnished pursuant thereto; (d) shall have any liability in respect of any recitals, statements, certifications, representations or warranties contained in any of the Loan Documents or any other document, instrument, agreement, certificate or statement delivered in connection therewith; and (e) shall incur any liability under or in respect of this Agreement or any other Loan Document by acting upon any notice, consent, certificate or other instrument or writing (which may be by telephone or electronic mail) believed by it to be genuine and signed, sent or given by the proper party or parties. The Administrative Agent may execute any of its duties under the Loan Documents by or through agents, employees or attorneys-in-fact and shall not itself be responsible for the negligence or misconduct of any agent or attorney-in-fact that it selects in the absence of gross negligence or willful misconduct as determined by a court of competent jurisdiction in a final non-appealable judgment.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11.6. Indemnification of Administrative Agent.</w:t>
      </w:r>
    </w:p>
    <w:p>
      <w:pPr>
        <w:spacing w:after="0" w:line="121" w:lineRule="exact"/>
        <w:rPr>
          <w:sz w:val="20"/>
          <w:szCs w:val="20"/>
          <w:color w:val="auto"/>
        </w:rPr>
      </w:pPr>
    </w:p>
    <w:p>
      <w:pPr>
        <w:ind w:right="220" w:firstLine="440"/>
        <w:spacing w:after="0" w:line="258" w:lineRule="auto"/>
        <w:rPr>
          <w:sz w:val="20"/>
          <w:szCs w:val="20"/>
          <w:color w:val="auto"/>
        </w:rPr>
      </w:pPr>
      <w:r>
        <w:rPr>
          <w:rFonts w:ascii="Times New Roman" w:cs="Times New Roman" w:eastAsia="Times New Roman" w:hAnsi="Times New Roman"/>
          <w:sz w:val="18"/>
          <w:szCs w:val="18"/>
          <w:color w:val="auto"/>
        </w:rPr>
        <w:t>Each Lender agrees to indemnify the Administrative Agent (to the extent not reimbursed by the Borrower and without limiting the obligation of the Borrower to do so) pro rata in accordance with such Lender’s respective Revolving Commitment Percentage (determined as of the time of such claim), from and against any and all liabilities, obligations, losses, damages, penalties, actions, judgments, suits, reasonable out-of-pocket costs and expenses of any kind or nature whatsoever which may at any time be imposed on, incurred by, or asserted against the Administrative Agent (in its capacity as Administrative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- 106 -</w:t>
      </w:r>
    </w:p>
    <w:p>
      <w:pPr>
        <w:sectPr>
          <w:pgSz w:w="11900" w:h="16838" w:orient="portrait"/>
          <w:cols w:equalWidth="0" w:num="1">
            <w:col w:w="11020"/>
          </w:cols>
          <w:pgMar w:left="440" w:top="266" w:right="439" w:bottom="1440" w:gutter="0" w:footer="0" w:header="0"/>
        </w:sectPr>
      </w:pPr>
    </w:p>
    <w:bookmarkStart w:id="116" w:name="page117"/>
    <w:bookmarkEnd w:id="116"/>
    <w:p>
      <w:pPr>
        <w:ind w:right="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Agent but not as a Lender) in any way relating to or arising out of the Loan Documents, any transaction contemplated hereby or thereby or any action taken or omitted by the Administrative Agent under the Loan Documents (collectively, “</w:t>
      </w:r>
      <w:r>
        <w:rPr>
          <w:rFonts w:ascii="Times New Roman" w:cs="Times New Roman" w:eastAsia="Times New Roman" w:hAnsi="Times New Roman"/>
          <w:sz w:val="18"/>
          <w:szCs w:val="18"/>
          <w:b w:val="1"/>
          <w:bCs w:val="1"/>
          <w:color w:val="auto"/>
        </w:rPr>
        <w:t>Indemnifiable Amounts</w:t>
      </w:r>
      <w:r>
        <w:rPr>
          <w:rFonts w:ascii="Times New Roman" w:cs="Times New Roman" w:eastAsia="Times New Roman" w:hAnsi="Times New Roman"/>
          <w:sz w:val="18"/>
          <w:szCs w:val="18"/>
          <w:color w:val="auto"/>
        </w:rPr>
        <w:t xml:space="preserve">”); provided, however, that no Lender shall be liable for any portion of such Indemnifiable Amounts to the extent resulting from the Administrative Agent’s gross negligence or willful misconduct as determined by a court of competent jurisdiction in a final, non-appealable judgment;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action taken in accordance with the directions of the Requisite Lenders (or all of the Lenders, if expressly required hereunder) shall be deemed to constitute gross negligence or willful misconduct for purposes of this Section. Without limiting the generality of the foregoing, each Lender agrees to reimburse the Administrative Agent (to the extent not reimbursed by the Borrower and without limiting the obligation of the Borrower to do so) promptly upon demand for its ratable share of any out-of-pocket expenses (including the reasonable fees and expenses of the counsel to the Administrative Agent) incurred by the Administrative Agent in connection with the preparation, negotiation, execution, administration, or enforcement (whether through negotiations, legal proceedings, or otherwise) of, or legal advice with respect to the rights or responsibilities of the parties under, the Loan Documents, any suit or action brought by the Administrative Agent to enforce the terms of the Loan Documents and/or collect any Obligations, any “lender liability” suit or claim brought against the Administrative Agent and/or the Lenders, and any claim or suit brought against the Administrative Agent and/or the Lenders arising under any Environmental Laws. Such out-of-pocket expenses (including counsel fees) shall be advanced by the Lenders on the request of the Administrative Agent notwithstanding any claim or assertion that the Administrative Agent is not entitled to indemnification hereunder upon receipt of an undertaking by the Administrative Agent that the Administrative Agent will reimburse the Lenders if it is actually and finally determined by a court of competent jurisdiction that the Administrative Agent is not so entitled to indemnification. The agreements in this Section shall survive the payment of the Loans and all other amounts payable hereunder or under the other Loan Documents and the termination of this Agreement. If the Borrower shall reimburse the Administrative Agent for any Indemnifiable Amount following payment by any Lender to the Administrative Agent in respect of such Indemnifiable Amount pursuant to this Section, the Administrative Agent shall share such reimbursement on a ratable basis with each Lender making any such payment.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11.7. Lender Credit Decision, Etc.</w:t>
      </w:r>
    </w:p>
    <w:p>
      <w:pPr>
        <w:spacing w:after="0" w:line="121"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Each of the Lenders and the Issuing Bank expressly acknowledges and agrees that neither the Administrative Agent nor any of its officers, directors, employees, agents, counsel, attorneys-in-fact or other Affiliates has made any representations or warranties to the Issuing Bank or such Lender and that no act by the Administrative Agent hereafter taken, including any review of the affairs of the Borrower, any other Loan Party or any other Subsidiary or Affiliate, shall be deemed to constitute any such representation or warranty by the Administrative Agent to the Issuing Bank or any Lender. Each of the Lenders and the Issuing Bank acknowledges that it has made its own credit and legal analysis and decision to enter into this Agreement and the transactions contemplated hereby, independently and without reliance upon the Administrative Agent, any other Lender or counsel to the Administrative Agent, or any of their respective officers, directors, employees, agents or counsel, and based on the financial statements of the Borrower, the other Loan Parties, the other Subsidiaries and other Affiliates, and inquiries of such Persons, its independent due diligence of the business and affairs of the Borrower, the other Loan Parties, the other Subsidiaries and other Persons, its review of the Loan Documents, the legal opinions required to be delivered to it hereunder, the advice of its own counsel and such other documents and information as it has deemed appropriate. Each of the Lenders and the Issuing Bank also acknowledges that it will, independently and without reliance upon the Administrative Agent, any other Lender or counsel to the Administrative Agent or any of their respective officers, directors, employees and agents, and based on such review, advice, documents and information as it shall deem appropriate at the time, continue to make its own decisions in taking or not taking action under the Loan Documents. The Administrative Agent shall not be required to keep itself informed as to the performance or observance by the Borrower or any other Loan Party of the Loan</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- 107 -</w:t>
      </w:r>
    </w:p>
    <w:p>
      <w:pPr>
        <w:sectPr>
          <w:pgSz w:w="11900" w:h="16838" w:orient="portrait"/>
          <w:cols w:equalWidth="0" w:num="1">
            <w:col w:w="11000"/>
          </w:cols>
          <w:pgMar w:left="440" w:top="270" w:right="459" w:bottom="1440" w:gutter="0" w:footer="0" w:header="0"/>
        </w:sectPr>
      </w:pPr>
    </w:p>
    <w:bookmarkStart w:id="117" w:name="page118"/>
    <w:bookmarkEnd w:id="117"/>
    <w:p>
      <w:pPr>
        <w:ind w:left="4"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Documents or any other document referred to or provided for therein or to inspect the properties or books of, or make any other investigation of, the Borrower, any other Loan Party or any other Subsidiary. Except for notices, reports and other documents and information expressly required to be furnished to the Lenders and the Issuing Bank by the Administrative Agent under this Agreement or any of the other Loan Documents, the Administrative Agent shall have no duty or responsibility to provide any Lender or the Issuing Bank with any credit or other information concerning the business, operations, property, financial and other condition or creditworthiness of the Borrower, any other Loan Party or any other Affiliate thereof which may come into possession of the Administrative Agent or any of its officers, directors, employees, agents, attorneys-in-fact or other Affiliates. Each of the Lenders and the Issuing Bank acknowledges that the Administrative Agent’s legal counsel in connection with the transactions contemplated by this Agreement is only acting as counsel to the Administrative Agent and is not acting as counsel to any Lender or the Issuing Bank.</w:t>
      </w:r>
    </w:p>
    <w:p>
      <w:pPr>
        <w:spacing w:after="0" w:line="29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11.8. Successor Administrative Agent.</w:t>
      </w:r>
    </w:p>
    <w:p>
      <w:pPr>
        <w:spacing w:after="0" w:line="121" w:lineRule="exact"/>
        <w:rPr>
          <w:sz w:val="20"/>
          <w:szCs w:val="20"/>
          <w:color w:val="auto"/>
        </w:rPr>
      </w:pPr>
    </w:p>
    <w:p>
      <w:pPr>
        <w:ind w:left="4" w:firstLine="440"/>
        <w:spacing w:after="0" w:line="267" w:lineRule="auto"/>
        <w:rPr>
          <w:sz w:val="20"/>
          <w:szCs w:val="20"/>
          <w:color w:val="auto"/>
        </w:rPr>
      </w:pPr>
      <w:r>
        <w:rPr>
          <w:rFonts w:ascii="Times New Roman" w:cs="Times New Roman" w:eastAsia="Times New Roman" w:hAnsi="Times New Roman"/>
          <w:sz w:val="17"/>
          <w:szCs w:val="17"/>
          <w:color w:val="auto"/>
        </w:rPr>
        <w:t>The Administrative Agent may (i) be removed as administrative agent by all of the Lenders (other than the Lender then acting as Administrative Agent) and the Borrower upon 30 days’ prior written notice if the Administrative Agent (A) is found by a court of competent jurisdiction in a final, non-appealable judgment to have committed gross negligence or willful misconduct in the course of performing its duties hereunder or (B) has become or is insolvent or has become the subject of a bankruptcy or insolvency proceeding, or has had a receiver, conservator, trustee or custodian appointed for it, or has taken any action in furtherance of, or indicating its consent to, approval of or acquiescence in any such proceeding or appointment (ii) resign at any time as Administrative Agent under the Loan Documents by giving written notice thereof to the Lenders and the Borrower. Upon any such removal or resignation, the Requisite Lenders shall have the right to appoint a successor Administrative Agent which appointment shall, provided no Event of Default exists, be subject to the Borrower’s approval, which approval shall not be unreasonably withheld or delayed (except that the Borrower shall, in all events, be deemed to have approved each Lender and any of its Affiliates as a successor Administrative Agent). If no successor Administrative Agent shall have been so appointed in accordance with the immediately preceding sentence, and shall have accepted such appointment, within 30 days after</w:t>
      </w:r>
    </w:p>
    <w:p>
      <w:pPr>
        <w:spacing w:after="0" w:line="4" w:lineRule="exact"/>
        <w:rPr>
          <w:sz w:val="20"/>
          <w:szCs w:val="20"/>
          <w:color w:val="auto"/>
        </w:rPr>
      </w:pPr>
    </w:p>
    <w:p>
      <w:pPr>
        <w:ind w:left="4" w:right="20" w:hanging="4"/>
        <w:spacing w:after="0" w:line="251" w:lineRule="auto"/>
        <w:tabs>
          <w:tab w:leader="none" w:pos="219"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Lenders’ giving of notice of removal or (ii) the resigning Administrative Agent’s giving of notice of resignation, then the removed or resigning Administrative Agent shall be discharged from its duties and obligations under the Loan Documents and may, on behalf of the Lenders and the Issuing Banks, appoint a successor Administrative Agent, which shall be a Lender, if any Lender shall be willing to serve, and otherwise shall be an Eligible Assignee which, provided no Event of Default exists, shall be approved by the Borrower (such approval shall not be unreasonably withheld or delayed); provided that if the Administrative Agent shall notify the Borrower and the Lenders that no Lender has accepted such appointment, then such resignation shall nonetheless become effective in accordance with such notice and (1) the Administrative Agent shall be discharged from its duties and obligations hereunder and under the other Loan Documents and (2) all payments, communications and determinations provided to be made by, to or through the Administrative Agent shall instead be made to each Lender and the Issuing Banks directly until such time as a successor Administrative Agent has been appointed as provided for above in this Section; provided, further that such Lenders and the Issuing Banks so acting directly shall be and be deemed to be protected by all indemnities and other provisions herein for the benefit and protection of the Administrative Agent as if each such Lender or Issuing Bank were itself the Administrative Agent. Upon the acceptance of any appointment as Administrative Agent hereunder by a successor Administrative Agent such successor Administrative Agent, or, if no such successor has been appointed, the Requisite Lenders, shall thereupon succeed to and become vested with all the rights, powers, privileges and duties of the removed or resigning Administrative Agent. Any resignation by an Administrative Agent shall also constitute the resignation as an Issuing Bank and as the Swingline Lender by the Lender then acting as Administrative Agent (the “Resigning Lender”). Upon the acceptance of a successor’s appointment as Administrative Agent hereunder (i) the Resigning Lender shall be discharged</w:t>
      </w:r>
    </w:p>
    <w:p>
      <w:pPr>
        <w:spacing w:after="0" w:line="122" w:lineRule="exact"/>
        <w:rPr>
          <w:rFonts w:ascii="Times New Roman" w:cs="Times New Roman" w:eastAsia="Times New Roman" w:hAnsi="Times New Roman"/>
          <w:sz w:val="18"/>
          <w:szCs w:val="18"/>
          <w:color w:val="auto"/>
        </w:rPr>
      </w:pPr>
    </w:p>
    <w:p>
      <w:pPr>
        <w:ind w:left="5364" w:hanging="96"/>
        <w:spacing w:after="0"/>
        <w:tabs>
          <w:tab w:leader="none" w:pos="5364"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108 -</w:t>
      </w:r>
    </w:p>
    <w:p>
      <w:pPr>
        <w:sectPr>
          <w:pgSz w:w="11900" w:h="16838" w:orient="portrait"/>
          <w:cols w:equalWidth="0" w:num="1">
            <w:col w:w="11004"/>
          </w:cols>
          <w:pgMar w:left="436" w:top="270" w:right="459" w:bottom="1440" w:gutter="0" w:footer="0" w:header="0"/>
        </w:sectPr>
      </w:pPr>
    </w:p>
    <w:bookmarkStart w:id="118" w:name="page119"/>
    <w:bookmarkEnd w:id="118"/>
    <w:p>
      <w:pPr>
        <w:ind w:right="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from all duties and obligations of an Issuing Bank and the Swingline Lender hereunder and under the other Loan Documents and (ii) the successor Issuing Bank shall issue letters of credit in substitution for all Letters of Credit issued by the Resigning Lender as Issuing Bank outstanding at the time of such succession (which letters of credit issued in substitutions shall be deemed to be Letters of Credit issued hereunder) or make other arrangements satisfactory to the Resigning Lender to effectively assume the obligations of the Resigning Lender with respect to such Letters of Credit. After any Administrative Agent’s removal or resignation hereunder as Administrative Agent, the provisions of this Article XI. shall continue to inure to its benefit as to any actions taken or omitted to be taken by it while it was Administrative Agent under the Loan Documents. Notwithstanding anything contained herein to the contrary, subject to the Borrower’s approval, the Administrative Agent may assign its rights and duties under the Loan Documents to any of its Affiliates reasonably acceptable to the Borrower by giving the Borrower and each Lender prior written notice.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11.9. Titled Agents.</w:t>
      </w:r>
    </w:p>
    <w:p>
      <w:pPr>
        <w:spacing w:after="0" w:line="117" w:lineRule="exact"/>
        <w:rPr>
          <w:sz w:val="20"/>
          <w:szCs w:val="20"/>
          <w:color w:val="auto"/>
        </w:rPr>
      </w:pPr>
    </w:p>
    <w:p>
      <w:pPr>
        <w:ind w:right="40" w:firstLine="440"/>
        <w:spacing w:after="0" w:line="257" w:lineRule="auto"/>
        <w:rPr>
          <w:sz w:val="20"/>
          <w:szCs w:val="20"/>
          <w:color w:val="auto"/>
        </w:rPr>
      </w:pPr>
      <w:r>
        <w:rPr>
          <w:rFonts w:ascii="Times New Roman" w:cs="Times New Roman" w:eastAsia="Times New Roman" w:hAnsi="Times New Roman"/>
          <w:sz w:val="18"/>
          <w:szCs w:val="18"/>
          <w:color w:val="auto"/>
        </w:rPr>
        <w:t>The Arrangers, Book Managers, Syndication Agent, Documentation Agents and the Sustainability Structuring Agent (collectively, the “</w:t>
      </w:r>
      <w:r>
        <w:rPr>
          <w:rFonts w:ascii="Times New Roman" w:cs="Times New Roman" w:eastAsia="Times New Roman" w:hAnsi="Times New Roman"/>
          <w:sz w:val="18"/>
          <w:szCs w:val="18"/>
          <w:b w:val="1"/>
          <w:bCs w:val="1"/>
          <w:color w:val="auto"/>
        </w:rPr>
        <w:t>Titled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Agents</w:t>
      </w:r>
      <w:r>
        <w:rPr>
          <w:rFonts w:ascii="Times New Roman" w:cs="Times New Roman" w:eastAsia="Times New Roman" w:hAnsi="Times New Roman"/>
          <w:sz w:val="18"/>
          <w:szCs w:val="18"/>
          <w:color w:val="auto"/>
        </w:rPr>
        <w:t>”) in such respective capacities, assume no responsibility or obligation hereunder, including, without limitation, for servicing, enforcement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collection of any of the Loans, nor any duties as an agent hereunder for the Lenders. The titles given to the Titled Agents are solely honorific and imply no fiduciary responsibility on the part of the Titled Agents to the Administrative Agent, any Lender, the Issuing Bank, the Borrower or any other Loan Party and the use of such titles does not impose on the Titled Agents any duties or obligations greater than those of any other Lender or entitle the Titled Agents to any rights other than those to which any other Lender is entitled.</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11.10. Erroneous Payments.</w:t>
      </w:r>
    </w:p>
    <w:p>
      <w:pPr>
        <w:spacing w:after="0" w:line="121" w:lineRule="exact"/>
        <w:rPr>
          <w:sz w:val="20"/>
          <w:szCs w:val="20"/>
          <w:color w:val="auto"/>
        </w:rPr>
      </w:pPr>
    </w:p>
    <w:p>
      <w:pPr>
        <w:ind w:firstLine="436"/>
        <w:spacing w:after="0" w:line="252" w:lineRule="auto"/>
        <w:tabs>
          <w:tab w:leader="none" w:pos="685"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each Issuing Lender, each other Specified Derivatives Provider and any other party hereto hereby severally agrees that if (i) the Administrative Agent notifies (which such notice shall be conclusive absent manifest error) such Lender or Issuing Lender or any other Specified Derivatives Provider or any other Person that has received funds from the Administrative Agent or any of its Affiliates, either for its own account or on behalf of a Lender, Issuing Lender or other Specified Derivatives Provider (each such recipient, a “</w:t>
      </w:r>
      <w:r>
        <w:rPr>
          <w:rFonts w:ascii="Times New Roman" w:cs="Times New Roman" w:eastAsia="Times New Roman" w:hAnsi="Times New Roman"/>
          <w:sz w:val="18"/>
          <w:szCs w:val="18"/>
          <w:u w:val="single" w:color="auto"/>
          <w:color w:val="auto"/>
        </w:rPr>
        <w:t>Payment Recipient</w:t>
      </w:r>
      <w:r>
        <w:rPr>
          <w:rFonts w:ascii="Times New Roman" w:cs="Times New Roman" w:eastAsia="Times New Roman" w:hAnsi="Times New Roman"/>
          <w:sz w:val="18"/>
          <w:szCs w:val="18"/>
          <w:color w:val="auto"/>
        </w:rPr>
        <w:t xml:space="preserve">”) that the Administrative Agent has determined in its sole discretion that any funds received by such Payment Recipient were erroneously transmitted to, or otherwise erroneously or mistakenly received by, such Payment Recipient (whether or not known to such Payment Recipient) or (ii) any Payment Recipient receives any payment from the Administrative Agent (or any of its Affiliates) (x) that is in a different amount than, or on a different date from, that specified in a notice of payment, prepayment or repayment sent by the Administrative Agent (or any of its Affiliates) with respect to such payment, prepayment or repayment, as applicable, (y) that was not preceded or accompanied by a notice of payment, prepayment or repayment sent by the Administrative Agent (or any of its Affiliates) with respect to such payment, prepayment or repayment, as applicable, or (z) that such Payment Recipient otherwise becomes aware was transmitted or received in error or by mistake (in whole or in part) then, in each case, an error in payment shall be presumed to have been made (any such amounts specified in clauses (i) or (ii) of this </w:t>
      </w:r>
      <w:r>
        <w:rPr>
          <w:rFonts w:ascii="Times New Roman" w:cs="Times New Roman" w:eastAsia="Times New Roman" w:hAnsi="Times New Roman"/>
          <w:sz w:val="18"/>
          <w:szCs w:val="18"/>
          <w:u w:val="single" w:color="auto"/>
          <w:color w:val="auto"/>
        </w:rPr>
        <w:t>Section 11.10(a),</w:t>
      </w:r>
      <w:r>
        <w:rPr>
          <w:rFonts w:ascii="Times New Roman" w:cs="Times New Roman" w:eastAsia="Times New Roman" w:hAnsi="Times New Roman"/>
          <w:sz w:val="18"/>
          <w:szCs w:val="18"/>
          <w:color w:val="auto"/>
        </w:rPr>
        <w:t xml:space="preserve"> whether received as a payment, prepayment or repayment of principal, interest, fees, distribution or otherwise; individually and collectively, an “</w:t>
      </w:r>
      <w:r>
        <w:rPr>
          <w:rFonts w:ascii="Times New Roman" w:cs="Times New Roman" w:eastAsia="Times New Roman" w:hAnsi="Times New Roman"/>
          <w:sz w:val="18"/>
          <w:szCs w:val="18"/>
          <w:u w:val="single" w:color="auto"/>
          <w:color w:val="auto"/>
        </w:rPr>
        <w:t>Erroneous Payment</w:t>
      </w:r>
      <w:r>
        <w:rPr>
          <w:rFonts w:ascii="Times New Roman" w:cs="Times New Roman" w:eastAsia="Times New Roman" w:hAnsi="Times New Roman"/>
          <w:sz w:val="18"/>
          <w:szCs w:val="18"/>
          <w:color w:val="auto"/>
        </w:rPr>
        <w:t xml:space="preserve">”), then, in each case, such Payment Recipient is deemed to have knowledge of such error at the time of its receipt of such Erroneous Payment;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in this Section shall require the Administrative Agent to provide any of the notices specified in clauses (i) or (ii) above. Each Payment Recipient agrees that it shall not assert any right or claim to any Erroneous Payment, and hereby waives any claim, counterclaim, defense or right of set-off or recoupment with respect to any demand, claim or counterclaim by the Administrative Agent for the return of any Erroneous Payments, including without limitation waiver of any defense based on “discharge for value” or any similar doctrine.</w:t>
      </w:r>
    </w:p>
    <w:p>
      <w:pPr>
        <w:spacing w:after="0" w:line="124" w:lineRule="exact"/>
        <w:rPr>
          <w:rFonts w:ascii="Times New Roman" w:cs="Times New Roman" w:eastAsia="Times New Roman" w:hAnsi="Times New Roman"/>
          <w:sz w:val="18"/>
          <w:szCs w:val="18"/>
          <w:color w:val="auto"/>
        </w:rPr>
      </w:pPr>
    </w:p>
    <w:p>
      <w:pPr>
        <w:ind w:left="5360" w:hanging="96"/>
        <w:spacing w:after="0"/>
        <w:tabs>
          <w:tab w:leader="none" w:pos="536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109 -</w:t>
      </w:r>
    </w:p>
    <w:p>
      <w:pPr>
        <w:sectPr>
          <w:pgSz w:w="11900" w:h="16838" w:orient="portrait"/>
          <w:cols w:equalWidth="0" w:num="1">
            <w:col w:w="11000"/>
          </w:cols>
          <w:pgMar w:left="440" w:top="270" w:right="459" w:bottom="1440" w:gutter="0" w:footer="0" w:header="0"/>
        </w:sectPr>
      </w:pPr>
    </w:p>
    <w:bookmarkStart w:id="119" w:name="page120"/>
    <w:bookmarkEnd w:id="119"/>
    <w:p>
      <w:pPr>
        <w:ind w:left="-436" w:firstLine="436"/>
        <w:spacing w:after="0" w:line="282" w:lineRule="auto"/>
        <w:tabs>
          <w:tab w:leader="none" w:pos="259"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Without limiting the immediately preceding clause (a), each Payment Recipient agrees that, in the case of clause (a)(ii) above, it shall promptly notify the Administrative Agent in writing of such occurrence.</w:t>
      </w:r>
    </w:p>
    <w:p>
      <w:pPr>
        <w:spacing w:after="0" w:line="161" w:lineRule="exact"/>
        <w:rPr>
          <w:rFonts w:ascii="Times New Roman" w:cs="Times New Roman" w:eastAsia="Times New Roman" w:hAnsi="Times New Roman"/>
          <w:sz w:val="18"/>
          <w:szCs w:val="18"/>
          <w:color w:val="auto"/>
        </w:rPr>
      </w:pPr>
    </w:p>
    <w:p>
      <w:pPr>
        <w:ind w:left="-436" w:right="20" w:firstLine="436"/>
        <w:spacing w:after="0" w:line="254" w:lineRule="auto"/>
        <w:tabs>
          <w:tab w:leader="none" w:pos="249"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either clause (a)(i) or (a)(ii) above, such Erroneous Payment shall at all times remain the property of the Administrative Agent and shall be segregated by the Payment Recipient and held in trust for the benefit of the Administrative Agent, and upon demand from the Administrative Agent such Payment Recipient shall (or, shall cause any Person who received any portion of an Erroneous Payment on its behalf to), promptly, but in all events no later than two Business Days thereafter, return to the Administrative Agent the amount of any such Erroneous Payment (or portion thereof) as to which such a demand was made in same day funds and in the currency so received, together with interest thereon in respect of each day from and including the date such Erroneous Payment (or portion thereof) was received by such Payment Recipient to the date such amount is repaid to the Administrative Agent at the greater of the Federal Funds Rate and a rate determined by the Administrative Agent in accordance with banking industry rules on interbank compensation from time to time in effect.</w:t>
      </w:r>
    </w:p>
    <w:p>
      <w:pPr>
        <w:spacing w:after="0" w:line="191" w:lineRule="exact"/>
        <w:rPr>
          <w:rFonts w:ascii="Times New Roman" w:cs="Times New Roman" w:eastAsia="Times New Roman" w:hAnsi="Times New Roman"/>
          <w:sz w:val="18"/>
          <w:szCs w:val="18"/>
          <w:color w:val="auto"/>
        </w:rPr>
      </w:pPr>
    </w:p>
    <w:p>
      <w:pPr>
        <w:ind w:left="-436" w:right="20" w:firstLine="436"/>
        <w:spacing w:after="0" w:line="252" w:lineRule="auto"/>
        <w:tabs>
          <w:tab w:leader="none" w:pos="259"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 Erroneous Payment (or portion thereof) is not recovered by the Administrative Agent for any reason, after demand therefor by the Administrative Agent in accordance with immediately preceding clause (c), from any Lender that is a Payment Recipient or an Affiliate of a Payment Recipient (such unrecovered amount as to such Lender, an “</w:t>
      </w:r>
      <w:r>
        <w:rPr>
          <w:rFonts w:ascii="Times New Roman" w:cs="Times New Roman" w:eastAsia="Times New Roman" w:hAnsi="Times New Roman"/>
          <w:sz w:val="18"/>
          <w:szCs w:val="18"/>
          <w:u w:val="single" w:color="auto"/>
          <w:color w:val="auto"/>
        </w:rPr>
        <w:t>Erroneous Payment Return Deficiency</w:t>
      </w:r>
      <w:r>
        <w:rPr>
          <w:rFonts w:ascii="Times New Roman" w:cs="Times New Roman" w:eastAsia="Times New Roman" w:hAnsi="Times New Roman"/>
          <w:sz w:val="18"/>
          <w:szCs w:val="18"/>
          <w:color w:val="auto"/>
        </w:rPr>
        <w:t>”), then at the sole discretion of the Administrative Agent and upon the Administrative Agent’s written notice to such Lender (i) such Lender shall be deemed to have made a cashless assignment of the full face amount of the portion of its Loans (but not its Commitments) of the relevant Type with respect to which such Erroneous Payment was made (the “</w:t>
      </w:r>
      <w:r>
        <w:rPr>
          <w:rFonts w:ascii="Times New Roman" w:cs="Times New Roman" w:eastAsia="Times New Roman" w:hAnsi="Times New Roman"/>
          <w:sz w:val="18"/>
          <w:szCs w:val="18"/>
          <w:u w:val="single" w:color="auto"/>
          <w:color w:val="auto"/>
        </w:rPr>
        <w:t>Erroneous Payment Impacted Class</w:t>
      </w:r>
      <w:r>
        <w:rPr>
          <w:rFonts w:ascii="Times New Roman" w:cs="Times New Roman" w:eastAsia="Times New Roman" w:hAnsi="Times New Roman"/>
          <w:sz w:val="18"/>
          <w:szCs w:val="18"/>
          <w:color w:val="auto"/>
        </w:rPr>
        <w:t>”) to the Administrative Agent or, at the option of the Administrative Agent, the Administrative Agent’s applicable lending affiliate in an amount that is equal to the Erroneous Payment Return Deficiency (or such lesser amount as the Administrative Agent may specify) (such assignment of the Loans (but not Commitments) of the Erroneous Payment Impacted Class, the “</w:t>
      </w:r>
      <w:r>
        <w:rPr>
          <w:rFonts w:ascii="Times New Roman" w:cs="Times New Roman" w:eastAsia="Times New Roman" w:hAnsi="Times New Roman"/>
          <w:sz w:val="18"/>
          <w:szCs w:val="18"/>
          <w:u w:val="single" w:color="auto"/>
          <w:color w:val="auto"/>
        </w:rPr>
        <w:t>Erroneous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Payment Deficiency Assignment</w:t>
      </w:r>
      <w:r>
        <w:rPr>
          <w:rFonts w:ascii="Times New Roman" w:cs="Times New Roman" w:eastAsia="Times New Roman" w:hAnsi="Times New Roman"/>
          <w:sz w:val="18"/>
          <w:szCs w:val="18"/>
          <w:color w:val="auto"/>
        </w:rPr>
        <w:t xml:space="preserve">”) plus any accrued and unpaid interest on such assigned amount, without further consent or approval of any party hereto and without any payment by the Administrative Agent or its applicable lending affiliate as the assignee of such Erroneous Payment Deficiency Assignment. The parties hereto acknowledge and agree that (1) any assignment contemplated in this clause (d) shall be made without any requirement for any payment or other consideration paid by the applicable assignee or received by the assignor, (2) the provisions of this clause (d) shall govern in the event of any conflict with the terms and conditions of </w:t>
      </w:r>
      <w:r>
        <w:rPr>
          <w:rFonts w:ascii="Times New Roman" w:cs="Times New Roman" w:eastAsia="Times New Roman" w:hAnsi="Times New Roman"/>
          <w:sz w:val="18"/>
          <w:szCs w:val="18"/>
          <w:u w:val="single" w:color="auto"/>
          <w:color w:val="auto"/>
        </w:rPr>
        <w:t>Section 12.6</w:t>
      </w:r>
      <w:r>
        <w:rPr>
          <w:rFonts w:ascii="Times New Roman" w:cs="Times New Roman" w:eastAsia="Times New Roman" w:hAnsi="Times New Roman"/>
          <w:sz w:val="18"/>
          <w:szCs w:val="18"/>
          <w:color w:val="auto"/>
        </w:rPr>
        <w:t xml:space="preserve"> and (3) the Administrative Agent may reflect such assignments in the Register without further consent or action by any other Person.</w:t>
      </w:r>
    </w:p>
    <w:p>
      <w:pPr>
        <w:spacing w:after="0" w:line="197" w:lineRule="exact"/>
        <w:rPr>
          <w:rFonts w:ascii="Times New Roman" w:cs="Times New Roman" w:eastAsia="Times New Roman" w:hAnsi="Times New Roman"/>
          <w:sz w:val="18"/>
          <w:szCs w:val="18"/>
          <w:color w:val="auto"/>
        </w:rPr>
      </w:pPr>
    </w:p>
    <w:p>
      <w:pPr>
        <w:ind w:left="-436" w:right="40" w:firstLine="436"/>
        <w:spacing w:after="0" w:line="253" w:lineRule="auto"/>
        <w:tabs>
          <w:tab w:leader="none" w:pos="249"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hereto hereby agrees that (x) in the event an Erroneous Payment (or portion thereof) is not recovered from any Payment Recipient that has received such Erroneous Payment (or portion thereof) for any reason, the Administrative Agent (1) shall be subrogated to all the rights of such Payment Recipient with respect to such amount and (2) is authorized to set off, net and apply any and all amounts at any time owing to such Payment Recipient under any Loan Document, or otherwise payable or distributable by the Administrative Agent to such Payment Recipient from any source, against any amount due to the Administrative Agent under this </w:t>
      </w:r>
      <w:r>
        <w:rPr>
          <w:rFonts w:ascii="Times New Roman" w:cs="Times New Roman" w:eastAsia="Times New Roman" w:hAnsi="Times New Roman"/>
          <w:sz w:val="18"/>
          <w:szCs w:val="18"/>
          <w:u w:val="single" w:color="auto"/>
          <w:color w:val="auto"/>
        </w:rPr>
        <w:t>Section 11.10</w:t>
      </w:r>
      <w:r>
        <w:rPr>
          <w:rFonts w:ascii="Times New Roman" w:cs="Times New Roman" w:eastAsia="Times New Roman" w:hAnsi="Times New Roman"/>
          <w:sz w:val="18"/>
          <w:szCs w:val="18"/>
          <w:color w:val="auto"/>
        </w:rPr>
        <w:t xml:space="preserve"> or under the indemnification provisions of this Agreement, (y) the receipt of an Erroneous Payment by a Payment Recipient shall not for the purpose of this Agreement be treated as a payment, prepayment, repayment, discharge or other satisfaction of any Obligations owed by the Borrower or any other Loan Party, except, in each case, to the extent such Erroneous Payment is, and solely with respect to the amount of such Erroneous Payment that is, comprised of funds received by the Administrative Agent from the Borrower or any other Loan Party for the purpose of making a payment on the Obligations and (z) to the extent that an Erroneous Payment was in any way or at any time credited as payment or satisfaction of any of the Obligations, the Obligations or any part thereof that were so</w:t>
      </w:r>
    </w:p>
    <w:p>
      <w:pPr>
        <w:spacing w:after="0" w:line="126" w:lineRule="exact"/>
        <w:rPr>
          <w:rFonts w:ascii="Times New Roman" w:cs="Times New Roman" w:eastAsia="Times New Roman" w:hAnsi="Times New Roman"/>
          <w:sz w:val="18"/>
          <w:szCs w:val="18"/>
          <w:color w:val="auto"/>
        </w:rPr>
      </w:pPr>
    </w:p>
    <w:p>
      <w:pPr>
        <w:ind w:left="4944" w:hanging="112"/>
        <w:spacing w:after="0"/>
        <w:tabs>
          <w:tab w:leader="none" w:pos="4944"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110 -</w:t>
      </w:r>
    </w:p>
    <w:p>
      <w:pPr>
        <w:sectPr>
          <w:pgSz w:w="11900" w:h="16838" w:orient="portrait"/>
          <w:cols w:equalWidth="0" w:num="1">
            <w:col w:w="10564"/>
          </w:cols>
          <w:pgMar w:left="876" w:top="270" w:right="459" w:bottom="1440" w:gutter="0" w:footer="0" w:header="0"/>
        </w:sectPr>
      </w:pPr>
    </w:p>
    <w:bookmarkStart w:id="120" w:name="page121"/>
    <w:bookmarkEnd w:id="120"/>
    <w:p>
      <w:pPr>
        <w:ind w:right="4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credited, and all rights of the Payment Recipient, as the case may be, shall be reinstated and continue in full force and effect as if such payment or satisfaction had never been received.</w:t>
      </w:r>
    </w:p>
    <w:p>
      <w:pPr>
        <w:spacing w:after="0" w:line="162" w:lineRule="exact"/>
        <w:rPr>
          <w:sz w:val="20"/>
          <w:szCs w:val="20"/>
          <w:color w:val="auto"/>
        </w:rPr>
      </w:pPr>
    </w:p>
    <w:p>
      <w:pPr>
        <w:ind w:right="240" w:firstLine="436"/>
        <w:spacing w:after="0" w:line="266" w:lineRule="auto"/>
        <w:tabs>
          <w:tab w:leader="none" w:pos="665"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party’s obligations under this </w:t>
      </w:r>
      <w:r>
        <w:rPr>
          <w:rFonts w:ascii="Times New Roman" w:cs="Times New Roman" w:eastAsia="Times New Roman" w:hAnsi="Times New Roman"/>
          <w:sz w:val="18"/>
          <w:szCs w:val="18"/>
          <w:u w:val="single" w:color="auto"/>
          <w:color w:val="auto"/>
        </w:rPr>
        <w:t>Section 11.10</w:t>
      </w:r>
      <w:r>
        <w:rPr>
          <w:rFonts w:ascii="Times New Roman" w:cs="Times New Roman" w:eastAsia="Times New Roman" w:hAnsi="Times New Roman"/>
          <w:sz w:val="18"/>
          <w:szCs w:val="18"/>
          <w:color w:val="auto"/>
        </w:rPr>
        <w:t xml:space="preserve"> shall survive the resignation or replacement of the Administrative Agent or any transfer of right or obligations by, or the replacement of, a Lender, the termination of the Commitments or the repayment, satisfaction or discharge of all Obligations (or any portion thereof) under any Loan Document.</w:t>
      </w:r>
    </w:p>
    <w:p>
      <w:pPr>
        <w:spacing w:after="0" w:line="175" w:lineRule="exact"/>
        <w:rPr>
          <w:rFonts w:ascii="Times New Roman" w:cs="Times New Roman" w:eastAsia="Times New Roman" w:hAnsi="Times New Roman"/>
          <w:sz w:val="18"/>
          <w:szCs w:val="18"/>
          <w:color w:val="auto"/>
        </w:rPr>
      </w:pPr>
    </w:p>
    <w:p>
      <w:pPr>
        <w:ind w:firstLine="436"/>
        <w:spacing w:after="0" w:line="282" w:lineRule="auto"/>
        <w:tabs>
          <w:tab w:leader="none" w:pos="695"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in this </w:t>
      </w:r>
      <w:r>
        <w:rPr>
          <w:rFonts w:ascii="Times New Roman" w:cs="Times New Roman" w:eastAsia="Times New Roman" w:hAnsi="Times New Roman"/>
          <w:sz w:val="18"/>
          <w:szCs w:val="18"/>
          <w:u w:val="single" w:color="auto"/>
          <w:color w:val="auto"/>
        </w:rPr>
        <w:t>Section 11.10</w:t>
      </w:r>
      <w:r>
        <w:rPr>
          <w:rFonts w:ascii="Times New Roman" w:cs="Times New Roman" w:eastAsia="Times New Roman" w:hAnsi="Times New Roman"/>
          <w:sz w:val="18"/>
          <w:szCs w:val="18"/>
          <w:color w:val="auto"/>
        </w:rPr>
        <w:t xml:space="preserve"> will constitute a waiver or release of any claim of the Administrative Agent hereunder arising from any Payment Recipient’s receipt of an Erroneous Payment.</w:t>
      </w:r>
    </w:p>
    <w:p>
      <w:pPr>
        <w:spacing w:after="0" w:line="3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18"/>
          <w:szCs w:val="18"/>
          <w:b w:val="1"/>
          <w:bCs w:val="1"/>
          <w:color w:val="auto"/>
        </w:rPr>
        <w:t xml:space="preserve"> XII. M</w:t>
      </w:r>
      <w:r>
        <w:rPr>
          <w:rFonts w:ascii="Times New Roman" w:cs="Times New Roman" w:eastAsia="Times New Roman" w:hAnsi="Times New Roman"/>
          <w:sz w:val="14"/>
          <w:szCs w:val="14"/>
          <w:b w:val="1"/>
          <w:bCs w:val="1"/>
          <w:color w:val="auto"/>
        </w:rPr>
        <w:t>ISCELLANEOUS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12.1. Notices.</w:t>
      </w:r>
    </w:p>
    <w:p>
      <w:pPr>
        <w:spacing w:after="0" w:line="121"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Unless otherwise provided herein (including without limitation as provided in Section 8.5.), communications provided for hereunder shall be in writing and shall be mailed, sent via electronic mail, or delivered as follows: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to the Borrower:</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Federal Realty OP LP</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909 Rose Avenue, Suite 200</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North Bethesda, Maryland 20852</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Attn: Chief Accounting Officer</w:t>
      </w:r>
    </w:p>
    <w:p>
      <w:pPr>
        <w:spacing w:after="0" w:line="9" w:lineRule="exact"/>
        <w:rPr>
          <w:sz w:val="20"/>
          <w:szCs w:val="20"/>
          <w:color w:val="auto"/>
        </w:rPr>
      </w:pPr>
    </w:p>
    <w:p>
      <w:pPr>
        <w:ind w:left="980"/>
        <w:spacing w:after="0"/>
        <w:tabs>
          <w:tab w:leader="none" w:pos="1980" w:val="left"/>
        </w:tabs>
        <w:rPr>
          <w:sz w:val="20"/>
          <w:szCs w:val="20"/>
          <w:color w:val="auto"/>
        </w:rPr>
      </w:pPr>
      <w:r>
        <w:rPr>
          <w:rFonts w:ascii="Times New Roman" w:cs="Times New Roman" w:eastAsia="Times New Roman" w:hAnsi="Times New Roman"/>
          <w:sz w:val="18"/>
          <w:szCs w:val="18"/>
          <w:color w:val="auto"/>
        </w:rPr>
        <w:t>Telephone:</w:t>
        <w:tab/>
        <w:t>(301) 998-8143</w:t>
      </w:r>
    </w:p>
    <w:p>
      <w:pPr>
        <w:spacing w:after="0" w:line="9" w:lineRule="exact"/>
        <w:rPr>
          <w:sz w:val="20"/>
          <w:szCs w:val="20"/>
          <w:color w:val="auto"/>
        </w:rPr>
      </w:pPr>
    </w:p>
    <w:p>
      <w:pPr>
        <w:ind w:left="980"/>
        <w:spacing w:after="0"/>
        <w:tabs>
          <w:tab w:leader="none" w:pos="19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msolis@federalrealty.com</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and for all notices (other than notices solely under Article II), with copies to:</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Federal Realty OP LP</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909 Rose Avenue, Suite 200</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North Bethesda, Maryland 20852</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Attn: General Counsel</w:t>
      </w:r>
    </w:p>
    <w:p>
      <w:pPr>
        <w:sectPr>
          <w:pgSz w:w="11900" w:h="16838" w:orient="portrait"/>
          <w:cols w:equalWidth="0" w:num="1">
            <w:col w:w="10960"/>
          </w:cols>
          <w:pgMar w:left="440" w:top="270" w:right="499" w:bottom="1440" w:gutter="0" w:footer="0" w:header="0"/>
        </w:sectPr>
      </w:pP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Telephone:</w:t>
      </w:r>
    </w:p>
    <w:p>
      <w:pPr>
        <w:spacing w:after="0" w:line="3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(301) 998-8100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dbecker@federalrealty.com and legal@federalrealty.com</w:t>
      </w:r>
    </w:p>
    <w:p>
      <w:pPr>
        <w:spacing w:after="0" w:line="211" w:lineRule="exact"/>
        <w:rPr>
          <w:sz w:val="20"/>
          <w:szCs w:val="20"/>
          <w:color w:val="auto"/>
        </w:rPr>
      </w:pPr>
    </w:p>
    <w:p>
      <w:pPr>
        <w:sectPr>
          <w:pgSz w:w="11900" w:h="16838" w:orient="portrait"/>
          <w:cols w:equalWidth="0" w:num="2">
            <w:col w:w="1780" w:space="220"/>
            <w:col w:w="8960"/>
          </w:cols>
          <w:pgMar w:left="440" w:top="270" w:right="499" w:bottom="1440" w:gutter="0" w:footer="0" w:header="0"/>
          <w:type w:val="continuous"/>
        </w:sectPr>
      </w:pPr>
    </w:p>
    <w:p>
      <w:pPr>
        <w:spacing w:after="0" w:line="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and</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Pillsbury Winthrop Shaw Pittman LLP</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1200 Seventeenth Street NW</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Washington, DC 20036</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Attn: Justin J. Bintrim, Esq.</w:t>
      </w:r>
    </w:p>
    <w:p>
      <w:pPr>
        <w:spacing w:after="0" w:line="9" w:lineRule="exact"/>
        <w:rPr>
          <w:sz w:val="20"/>
          <w:szCs w:val="20"/>
          <w:color w:val="auto"/>
        </w:rPr>
      </w:pPr>
    </w:p>
    <w:p>
      <w:pPr>
        <w:ind w:left="980"/>
        <w:spacing w:after="0"/>
        <w:tabs>
          <w:tab w:leader="none" w:pos="1980" w:val="left"/>
        </w:tabs>
        <w:rPr>
          <w:sz w:val="20"/>
          <w:szCs w:val="20"/>
          <w:color w:val="auto"/>
        </w:rPr>
      </w:pPr>
      <w:r>
        <w:rPr>
          <w:rFonts w:ascii="Times New Roman" w:cs="Times New Roman" w:eastAsia="Times New Roman" w:hAnsi="Times New Roman"/>
          <w:sz w:val="18"/>
          <w:szCs w:val="18"/>
          <w:color w:val="auto"/>
        </w:rPr>
        <w:t>Telephone:</w:t>
        <w:tab/>
        <w:t>(202) 663-8364</w:t>
      </w:r>
    </w:p>
    <w:p>
      <w:pPr>
        <w:spacing w:after="0" w:line="9" w:lineRule="exact"/>
        <w:rPr>
          <w:sz w:val="20"/>
          <w:szCs w:val="20"/>
          <w:color w:val="auto"/>
        </w:rPr>
      </w:pPr>
    </w:p>
    <w:p>
      <w:pPr>
        <w:ind w:left="980"/>
        <w:spacing w:after="0"/>
        <w:tabs>
          <w:tab w:leader="none" w:pos="19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justin.bintrim@pillsburylaw.com</w:t>
      </w:r>
    </w:p>
    <w:p>
      <w:pPr>
        <w:spacing w:after="0" w:line="1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- 111 -</w:t>
      </w:r>
    </w:p>
    <w:p>
      <w:pPr>
        <w:sectPr>
          <w:pgSz w:w="11900" w:h="16838" w:orient="portrait"/>
          <w:cols w:equalWidth="0" w:num="1">
            <w:col w:w="10960"/>
          </w:cols>
          <w:pgMar w:left="440" w:top="270" w:right="499" w:bottom="1440" w:gutter="0" w:footer="0" w:header="0"/>
          <w:type w:val="continuous"/>
        </w:sectPr>
      </w:pPr>
    </w:p>
    <w:bookmarkStart w:id="121" w:name="page122"/>
    <w:bookmarkEnd w:id="12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to the Administrative Agent:</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Wells Fargo Bank, National Association</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550 S Tryon Street</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Charlotte, NC 28202</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Attn: Kate Brown</w:t>
      </w:r>
    </w:p>
    <w:p>
      <w:pPr>
        <w:spacing w:after="0" w:line="9" w:lineRule="exact"/>
        <w:rPr>
          <w:sz w:val="20"/>
          <w:szCs w:val="20"/>
          <w:color w:val="auto"/>
        </w:rPr>
      </w:pPr>
    </w:p>
    <w:p>
      <w:pPr>
        <w:ind w:left="980"/>
        <w:spacing w:after="0"/>
        <w:tabs>
          <w:tab w:leader="none" w:pos="1980" w:val="left"/>
        </w:tabs>
        <w:rPr>
          <w:sz w:val="20"/>
          <w:szCs w:val="20"/>
          <w:color w:val="auto"/>
        </w:rPr>
      </w:pPr>
      <w:r>
        <w:rPr>
          <w:rFonts w:ascii="Times New Roman" w:cs="Times New Roman" w:eastAsia="Times New Roman" w:hAnsi="Times New Roman"/>
          <w:sz w:val="18"/>
          <w:szCs w:val="18"/>
          <w:color w:val="auto"/>
        </w:rPr>
        <w:t>Telephone:</w:t>
        <w:tab/>
        <w:t>(704) 410-5151</w:t>
      </w:r>
    </w:p>
    <w:p>
      <w:pPr>
        <w:spacing w:after="0" w:line="9" w:lineRule="exact"/>
        <w:rPr>
          <w:sz w:val="20"/>
          <w:szCs w:val="20"/>
          <w:color w:val="auto"/>
        </w:rPr>
      </w:pPr>
    </w:p>
    <w:p>
      <w:pPr>
        <w:ind w:left="980"/>
        <w:spacing w:after="0"/>
        <w:tabs>
          <w:tab w:leader="none" w:pos="19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Kate.Brown4@wellsfargo.com</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with a copy to:</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Wells Fargo Bank, National Association</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550 South Tryon Street</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Charlotte, NC 28202</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Attn: Lindsey Hucks</w:t>
      </w:r>
    </w:p>
    <w:p>
      <w:pPr>
        <w:spacing w:after="0" w:line="9" w:lineRule="exact"/>
        <w:rPr>
          <w:sz w:val="20"/>
          <w:szCs w:val="20"/>
          <w:color w:val="auto"/>
        </w:rPr>
      </w:pPr>
    </w:p>
    <w:p>
      <w:pPr>
        <w:ind w:left="980"/>
        <w:spacing w:after="0"/>
        <w:tabs>
          <w:tab w:leader="none" w:pos="1980" w:val="left"/>
        </w:tabs>
        <w:rPr>
          <w:sz w:val="20"/>
          <w:szCs w:val="20"/>
          <w:color w:val="auto"/>
        </w:rPr>
      </w:pPr>
      <w:r>
        <w:rPr>
          <w:rFonts w:ascii="Times New Roman" w:cs="Times New Roman" w:eastAsia="Times New Roman" w:hAnsi="Times New Roman"/>
          <w:sz w:val="18"/>
          <w:szCs w:val="18"/>
          <w:color w:val="auto"/>
        </w:rPr>
        <w:t>Telephone:</w:t>
        <w:tab/>
        <w:t>(704) 410-6810</w:t>
      </w:r>
    </w:p>
    <w:p>
      <w:pPr>
        <w:spacing w:after="0" w:line="9" w:lineRule="exact"/>
        <w:rPr>
          <w:sz w:val="20"/>
          <w:szCs w:val="20"/>
          <w:color w:val="auto"/>
        </w:rPr>
      </w:pPr>
    </w:p>
    <w:p>
      <w:pPr>
        <w:ind w:left="980"/>
        <w:spacing w:after="0"/>
        <w:tabs>
          <w:tab w:leader="none" w:pos="19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Lindsey.hucks@wellsfargo.com</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to the Administrative Agent under Article II.:</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Wells Fargo Bank, National Association</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Loan Center-Agency Services</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600 South 4th Street, Floor 10</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Minneapolis, Minnesota 55415</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Attn: Kirby Wilson</w:t>
      </w:r>
    </w:p>
    <w:p>
      <w:pPr>
        <w:spacing w:after="0" w:line="9" w:lineRule="exact"/>
        <w:rPr>
          <w:sz w:val="20"/>
          <w:szCs w:val="20"/>
          <w:color w:val="auto"/>
        </w:rPr>
      </w:pPr>
    </w:p>
    <w:p>
      <w:pPr>
        <w:ind w:left="980"/>
        <w:spacing w:after="0"/>
        <w:tabs>
          <w:tab w:leader="none" w:pos="2300" w:val="left"/>
        </w:tabs>
        <w:rPr>
          <w:sz w:val="20"/>
          <w:szCs w:val="20"/>
          <w:color w:val="auto"/>
        </w:rPr>
      </w:pPr>
      <w:r>
        <w:rPr>
          <w:rFonts w:ascii="Times New Roman" w:cs="Times New Roman" w:eastAsia="Times New Roman" w:hAnsi="Times New Roman"/>
          <w:sz w:val="18"/>
          <w:szCs w:val="18"/>
          <w:color w:val="auto"/>
        </w:rPr>
        <w:t>Telephone:</w:t>
      </w:r>
      <w:r>
        <w:rPr>
          <w:sz w:val="20"/>
          <w:szCs w:val="20"/>
          <w:color w:val="auto"/>
        </w:rPr>
        <w:tab/>
      </w:r>
      <w:r>
        <w:rPr>
          <w:rFonts w:ascii="Times New Roman" w:cs="Times New Roman" w:eastAsia="Times New Roman" w:hAnsi="Times New Roman"/>
          <w:sz w:val="18"/>
          <w:szCs w:val="18"/>
          <w:color w:val="auto"/>
        </w:rPr>
        <w:t>(612) 667-6009</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Kirby.D.Wilson@wellsfargo.com</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to the Issuing Bank:</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Wells Fargo Bank, National Association</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550 S Tryon Street</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Charlotte, NC 28202</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Attn: Kate Brown</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Telephone: (704) 410-5151</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Kate.Brown4@wellsfargo.com</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to any other Lender:</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To such Lender’s address or electronic mail address as set forth in the applicable Administrative Questionnaire</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or, as to each party at such other address as shall be designated by such party in a written notice to the other parties delivered in compliance with this Section; provided, a Lender or the Issuing Bank shall only be required to give notice of any such other address to the Administrative Agent and the Borrower. All such notices and other communications shall be effective (i) if mailed, upon receipt; (ii) if delivered via electronic mail, upon the sender’s receipt of an acknowledgement from the intended recipient (such as by the “return receipt requested” function, as available, return e-mail or other written acknowledgement); provided that, if such electronic mail is not sent during normal business hours of the recipient, such electronic mail shall be deemed to have been sent at the opening of business of the next business day of the recipient; (iii) if hand delivered or sent by overnight courier, when delivered; or (iv) if delivered in accordance with Section 8.5. to the extent applicable; provided, however, that, in the case of the immediately preceding clauses (i), (ii) and (iii), non-receipt of any communication as of the result of any change of address of which the sending party was not notified or as the result of a refusal to accept delivery</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- 112 -</w:t>
      </w:r>
    </w:p>
    <w:p>
      <w:pPr>
        <w:sectPr>
          <w:pgSz w:w="11900" w:h="16838" w:orient="portrait"/>
          <w:cols w:equalWidth="0" w:num="1">
            <w:col w:w="10980"/>
          </w:cols>
          <w:pgMar w:left="440" w:top="270" w:right="479" w:bottom="1440" w:gutter="0" w:footer="0" w:header="0"/>
        </w:sectPr>
      </w:pPr>
    </w:p>
    <w:bookmarkStart w:id="122" w:name="page123"/>
    <w:bookmarkEnd w:id="122"/>
    <w:p>
      <w:pPr>
        <w:ind w:left="4" w:right="10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shall be deemed receipt of such communication. Notwithstanding the immediately preceding sentence, all notices or communications to the Administrative Agent, the Issuing Bank or any Lender under Article II. shall be effective only when actually received. None of the Administrative Agent, the Issuing Bank or any Lender shall incur any liability to any Loan Party (nor shall the Administrative Agent incur any liability to the Issuing Bank or the Lenders) for acting upon any notice via electronic mail referred to in this Agreement which the Administrative Agent, the Issuing Bank or such Lender, as the case may be, believes in good faith to have been given by a Person authorized to deliver such notice or for otherwise acting in good faith hereunder. Failure of a Person designated to get a copy of a notice to receive such copy shall not affect the validity of notice properly given to another Person.</w:t>
      </w:r>
    </w:p>
    <w:p>
      <w:pPr>
        <w:spacing w:after="0" w:line="29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12.2. Expenses.</w:t>
      </w:r>
    </w:p>
    <w:p>
      <w:pPr>
        <w:spacing w:after="0" w:line="121" w:lineRule="exact"/>
        <w:rPr>
          <w:sz w:val="20"/>
          <w:szCs w:val="20"/>
          <w:color w:val="auto"/>
        </w:rPr>
      </w:pPr>
    </w:p>
    <w:p>
      <w:pPr>
        <w:ind w:left="4" w:firstLine="440"/>
        <w:spacing w:after="0" w:line="266" w:lineRule="auto"/>
        <w:rPr>
          <w:sz w:val="20"/>
          <w:szCs w:val="20"/>
          <w:color w:val="auto"/>
        </w:rPr>
      </w:pPr>
      <w:r>
        <w:rPr>
          <w:rFonts w:ascii="Times New Roman" w:cs="Times New Roman" w:eastAsia="Times New Roman" w:hAnsi="Times New Roman"/>
          <w:sz w:val="17"/>
          <w:szCs w:val="17"/>
          <w:color w:val="auto"/>
        </w:rPr>
        <w:t>The Borrower agrees (a) to pay or reimburse each of the Arrangers and the Administrative Agent for all of its respective reasonable out-of-pocket costs and expenses incurred in connection with the preparation, syndication, negotiation and execution of, and any amendment, supplement or modification to, any of the Loan Documents (including due diligence expenses and reasonable travel expenses related to closing), and the consummation of the transactions contemplated hereby and thereby, including the reasonable fees and disbursements of counsel to the Administrative Agent and all costs and expenses of the Administrative Agent in connection with the use of IntraLinks, SyndTrak or other similar information transmission systems in connection with the Loan Documents, (b) to pay or reimburse the Administrative Agent, the Issuing Bank and the Lenders for all their reasonable costs and expenses incurred in connection with the “workout” or enforcement or preservation of any rights under the Loan Documents and the Fee Letter, including the reasonable fees and disbursements of their respective counsel (including the allocated fees and expenses of in-house counsel to the extent in substitution for, and not in duplication of, outside counsel) and any payments in indemnification or otherwise payable by the Lenders to the Administrative Agent pursuant to the Loan Documents; provided, however, that the Borrower shall not be required to pay the expenses of more than one counsel to the Administrative Agent and one separate counsel for the Lenders (in addition to expenses for any appropriate local or special counsel) in connection with such workout or enforcement or preservation unless the Lenders reasonably determine that joint representation is not appropriate under the circumstances, (c) to pay, and indemnify and hold harmless the Administrative Agent, the Issuing Bank and the Lenders from, any and all recording and filing fees and any and all liabilities with respect to, or resulting from any failure to pay or delay in paying, documentary, stamp, excise and other similar taxes, if any, which may be payable or determined to be payable in connection with the execution and delivery of any of the Loan Documents, or consummation of any amendment, supplement or modification of, or any waiver or consent under or in respect of, any Loan Document and (d) to the extent not already covered by any of the preceding subsections, to pay or reimburse the fees and disbursements of counsel to the Administrative Agent, the Issuing Bank and any Lender incurred in connection with the representation of the Administrative Agent, the Issuing Bank or such Lender in any matter relating to or arising out of any bankruptcy or other proceeding of the type described in Sections 10.1.(e) or 10.1.(f), including, without limitation</w:t>
      </w:r>
    </w:p>
    <w:p>
      <w:pPr>
        <w:spacing w:after="0" w:line="6" w:lineRule="exact"/>
        <w:rPr>
          <w:sz w:val="20"/>
          <w:szCs w:val="20"/>
          <w:color w:val="auto"/>
        </w:rPr>
      </w:pPr>
    </w:p>
    <w:p>
      <w:pPr>
        <w:ind w:left="4" w:right="20" w:hanging="4"/>
        <w:spacing w:after="0" w:line="251" w:lineRule="auto"/>
        <w:tabs>
          <w:tab w:leader="none" w:pos="219"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motion for relief from any stay or similar order, (ii) the negotiation, preparation, execution and delivery of any document relating to the Obligations and (iii) the negotiation and preparation of any debtor-in-possession financing or any plan of reorganization of the Borrower or any other Loan Party, whether proposed by the Borrower, such Loan Party, the Lenders or any other Person, and whether such fees and expenses are incurred prior to, during or after the commencement of such proceeding or the confirmation or conclusion of any such proceeding; provided, however, that the Borrower shall not be required to pay the expenses of more than one counsel to the Administrative Agent and one separate counsel for the Lenders (in addition to expenses for any appropriate local or special counsel) in connection with such bankruptcy or proceeding unless the Lenders reasonably determine that joint representation is not appropriate under the circumstances. If the Borrower shall fail to pay any amounts required to be paid by it pursuant to this Section, the Administrative Agent and/or the Lenders may pay such amounts on behalf of the Borrower and such amounts shall be deemed to be Obligations owing hereunder.</w:t>
      </w:r>
    </w:p>
    <w:p>
      <w:pPr>
        <w:spacing w:after="0" w:line="125" w:lineRule="exact"/>
        <w:rPr>
          <w:rFonts w:ascii="Times New Roman" w:cs="Times New Roman" w:eastAsia="Times New Roman" w:hAnsi="Times New Roman"/>
          <w:sz w:val="18"/>
          <w:szCs w:val="18"/>
          <w:color w:val="auto"/>
        </w:rPr>
      </w:pPr>
    </w:p>
    <w:p>
      <w:pPr>
        <w:ind w:left="5384" w:hanging="112"/>
        <w:spacing w:after="0"/>
        <w:tabs>
          <w:tab w:leader="none" w:pos="5384"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113 -</w:t>
      </w:r>
    </w:p>
    <w:p>
      <w:pPr>
        <w:sectPr>
          <w:pgSz w:w="11900" w:h="16838" w:orient="portrait"/>
          <w:cols w:equalWidth="0" w:num="1">
            <w:col w:w="11004"/>
          </w:cols>
          <w:pgMar w:left="436" w:top="270" w:right="45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12.3. Stamp, Intangible and Recording Taxes.</w:t>
      </w:r>
    </w:p>
    <w:p>
      <w:pPr>
        <w:spacing w:after="0" w:line="121"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The Borrower will pay any and all stamp, excise, intangible, registration, recordation and similar taxes, fees or charges and shall indemnify the Administrative Agent and each Lender against any and all liabilities with respect to or resulting from any delay in the payment or omission to pay any such taxes, fees or charges, which may be payable or determined to be payable in connection with the execution, delivery, recording, performance or enforcement of this Agreement, the Notes and any of the other Loan Documents, the amendment, supplement, modification or waiver of or consent under this Agreement, the Notes or any of the other Loan Documents or the perfection of any rights or Liens under this Agreement, the Notes or any of the other Loan Documents.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12.4. Setoff.</w:t>
      </w:r>
    </w:p>
    <w:p>
      <w:pPr>
        <w:spacing w:after="0" w:line="121"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Subject to Section 3.3. and in addition to any rights now or hereafter granted under Applicable Law and not by way of limitation of any such rights, the Borrower hereby authorizes the Administrative Agent, the Issuing Bank, each Lender and each Affiliate of the Administrative Agent, the Issuing Bank or any Lender, at any time or from time to time during the continuance of an Event of Default, without prior notice to the Borrower or to any other Person, any such notice being hereby expressly waived, but in the case of the Issuing Bank, a Lender or an Affiliate of the Issuing Bank or a Lender, subject to receipt of the prior written consent of the Requisite Lenders exercised in their sole discretion, to set off and to appropriate and to apply any and all deposits (general or special, including, but not limited to, indebtedness evidenced by certificates of deposit, whether matured or unmatured) and any other indebtedness at any time held or owing by the Administrative Agent, the Issuing Bank, such Lender or any Affiliate of the Administrative Agent, the Issuing Bank or such Lender, to or for the credit or the account of the Borrower against and on account of any of the Obligations then due and payable, irrespective of whether or not any or all of the Loans and all other Obligations have been declared to be, or have otherwise become, due and payable as permitted by Section 10.2. Notwithstanding anything to the contrary in this Section, if any Defaulting Lender shall exercise any such right of setoff, (x) all amounts so set off shall be paid over immediately to the Administrative Agent for further application in accordance with the provisions of Section 3.9. and, pending such payment, shall be segregated by such Defaulting Lender from its other funds and deemed held in trust for the benefit of the Administrative Agent, the Issuing Bank and the Lenders and (y) the Defaulting Lender shall provide promptly to the Administrative Agent a statement describing in reasonable detail the Obligations owing to such Defaulting Lender as to which it exercised such right of setoff.</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12.5. Litigation; Jurisdiction; Other Matters; Waivers.</w:t>
      </w:r>
    </w:p>
    <w:p>
      <w:pPr>
        <w:spacing w:after="0" w:line="121" w:lineRule="exact"/>
        <w:rPr>
          <w:sz w:val="20"/>
          <w:szCs w:val="20"/>
          <w:color w:val="auto"/>
        </w:rPr>
      </w:pPr>
    </w:p>
    <w:p>
      <w:pPr>
        <w:ind w:right="60" w:firstLine="436"/>
        <w:spacing w:after="0" w:line="254" w:lineRule="auto"/>
        <w:tabs>
          <w:tab w:leader="none" w:pos="685"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HERETO ACKNOWLEDGES THAT ANY DISPUTE OR CONTROVERSY BETWEEN OR AMONG THE BORROWER, THE ADMINISTRATIVE AGENT, THE ISSUING BANK OR ANY OF THE LENDERS WOULD BE BASED ON DIFFICULT AND COMPLEX ISSUES OF LAW AND FACT AND WOULD RESULT IN DELAY AND EXPENSE TO THE PARTIES. ACCORDINGLY, TO THE EXTENT PERMITTED BY APPLICABLE LAW, EACH OF THE LENDERS, THE ADMINISTRATIVE AGENT, THE ISSUING BANK AND THE BORROWER HEREBY WAIVES ITS RIGHT TO A TRIAL BY JURY IN ANY ACTION OR PROCEEDING OF ANY KIND OR NATURE IN ANY COURT OR TRIBUNAL IN WHICH AN ACTION MAY BE COMMENCED BY OR AGAINST ANY PARTY HERETO ARISING OUT OF THIS AGREEMENT, ANY OTHER LOAN DOCUMENT OR THE FEE LETTER OR BY REASON OF ANY OTHER SUIT, CAUSE OF ACTION OR DISPUTE WHATSOEVER BETWEEN OR AMONG THE BORROWER, THE ADMINISTRATIVE AGENT, THE ISSUING BANK OR ANY OF THE LENDERS OF ANY KIND OR NATURE RELATING TO ANY OF THE LOAN DOCUMENTS.</w:t>
      </w:r>
    </w:p>
    <w:p>
      <w:pPr>
        <w:spacing w:after="0" w:line="363" w:lineRule="exact"/>
        <w:rPr>
          <w:rFonts w:ascii="Times New Roman" w:cs="Times New Roman" w:eastAsia="Times New Roman" w:hAnsi="Times New Roman"/>
          <w:sz w:val="18"/>
          <w:szCs w:val="18"/>
          <w:color w:val="auto"/>
        </w:rPr>
      </w:pPr>
    </w:p>
    <w:p>
      <w:pPr>
        <w:ind w:left="5380" w:hanging="112"/>
        <w:spacing w:after="0"/>
        <w:tabs>
          <w:tab w:leader="none" w:pos="538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114 -</w:t>
      </w:r>
    </w:p>
    <w:p>
      <w:pPr>
        <w:sectPr>
          <w:pgSz w:w="11900" w:h="16838" w:orient="portrait"/>
          <w:cols w:equalWidth="0" w:num="1">
            <w:col w:w="10960"/>
          </w:cols>
          <w:pgMar w:left="440" w:top="266" w:right="499" w:bottom="1440" w:gutter="0" w:footer="0" w:header="0"/>
        </w:sectPr>
      </w:pPr>
    </w:p>
    <w:bookmarkStart w:id="124" w:name="page125"/>
    <w:bookmarkEnd w:id="124"/>
    <w:p>
      <w:pPr>
        <w:ind w:right="20" w:firstLine="436"/>
        <w:spacing w:after="0" w:line="252" w:lineRule="auto"/>
        <w:tabs>
          <w:tab w:leader="none" w:pos="695"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BORROWER IRREVOCABLY AND UNCONDITIONALLY AGREES THAT IT WILL NOT COMMENCE ANY ACTION, LITIGATION OR PROCEEDING OF ANY KIND OR DESCRIPTION, WHETHER IN LAW OR EQUITY, WHETHER IN CONTRACT OR IN TORT OR OTHERWISE, AGAINST THE ADMINISTRATIVE AGENT, ANY LENDER, THE ISSUING BANK, OR ANY RELATED PARTY OF THE FOREGOING IN ANY WAY RELATING TO THIS AGREEMENT OR ANY OTHER LOAN DOCUMENT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ADMINISTRATIVE AGENT, ANY LENDER OR THE ISSUING BANK MAY OTHERWISE HAVE TO BRING ANY ACTION OR PROCEEDING RELATING TO THIS AGREEMENT OR ANY OTHER LOAN DOCUMENT AGAINST THE BORROWER OR ITS PROPERTIES IN THE COURTS OF ANY JURISDICTION. EACH PARTY FURTHER WAIVES ANY OBJECTION THAT IT MAY NOW OR HEREAFTER HAVE TO THE VENUE OF ANY SUCH ACTION OR PROCEEDING IN ANY SUCH COURT OR THAT SUCH ACTION OR PROCEEDING WAS BROUGHT IN AN INCONVENIENT FORUM AND EACH AGREES NOT TO PLEAD OR CLAIM THE SAME.</w:t>
      </w:r>
    </w:p>
    <w:p>
      <w:pPr>
        <w:spacing w:after="0" w:line="191" w:lineRule="exact"/>
        <w:rPr>
          <w:rFonts w:ascii="Times New Roman" w:cs="Times New Roman" w:eastAsia="Times New Roman" w:hAnsi="Times New Roman"/>
          <w:sz w:val="18"/>
          <w:szCs w:val="18"/>
          <w:color w:val="auto"/>
        </w:rPr>
      </w:pPr>
    </w:p>
    <w:p>
      <w:pPr>
        <w:ind w:right="200" w:firstLine="436"/>
        <w:spacing w:after="0" w:line="261" w:lineRule="auto"/>
        <w:tabs>
          <w:tab w:leader="none" w:pos="685"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SECTION HAVE BEEN CONSIDERED BY EACH PARTY WITH THE ADVICE OF COUNSEL AND WITH A FULL UNDERSTANDING OF THE LEGAL CONSEQUENCES THEREOF, AND SHALL SURVIVE THE PAYMENT OF THE LOANS AND ALL OTHER AMOUNTS PAYABLE HEREUNDER OR UNDER THE OTHER LOAN DOCUMENTS, THE TERMINATION OR EXPIRATION OF ALL LETTERS OF CREDIT AND THE TERMINATION OF THIS AGREEMENT.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12.6. Successors and Assigns.</w:t>
      </w:r>
    </w:p>
    <w:p>
      <w:pPr>
        <w:spacing w:after="0" w:line="121" w:lineRule="exact"/>
        <w:rPr>
          <w:sz w:val="20"/>
          <w:szCs w:val="20"/>
          <w:color w:val="auto"/>
        </w:rPr>
      </w:pPr>
    </w:p>
    <w:p>
      <w:pPr>
        <w:ind w:firstLine="436"/>
        <w:spacing w:after="0" w:line="253" w:lineRule="auto"/>
        <w:tabs>
          <w:tab w:leader="none" w:pos="685"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 Generally</w:t>
      </w:r>
      <w:r>
        <w:rPr>
          <w:rFonts w:ascii="Times New Roman" w:cs="Times New Roman" w:eastAsia="Times New Roman" w:hAnsi="Times New Roman"/>
          <w:sz w:val="18"/>
          <w:szCs w:val="18"/>
          <w:color w:val="auto"/>
        </w:rPr>
        <w:t>. The provisions of this Agreement shall be binding upon and inure to the benefit of the parties hereto and their respective successors and assigns permitted hereby, except that neither the Borrower nor any other Loan Party may assign or otherwise transfer any of its rights or obligations hereunder without the prior written consent of the Administrative Agent and each Lender and no Lender may assign or otherwise transfer any of its rights or obligations hereunder except (i) to an Eligible Assignee in accordance with the provisions of the immediately following subsection (b), (ii) by way of participation in accordance with the provisions of the immediately following subsection (d) or (iii) by way of pledge or assignment of a security interest subject to the restrictions of the immediately following subsection (f) (and, subject to the last sentence of the immediately following subsection (b),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the immediately following subsection (d) and, to the extent expressly set forth herein, the Related Parties of the Administrative Agent and the Lenders) any legal or equitable right, remedy or claim under or by reason of this Agreement.</w:t>
      </w:r>
    </w:p>
    <w:p>
      <w:pPr>
        <w:spacing w:after="0" w:line="126" w:lineRule="exact"/>
        <w:rPr>
          <w:rFonts w:ascii="Times New Roman" w:cs="Times New Roman" w:eastAsia="Times New Roman" w:hAnsi="Times New Roman"/>
          <w:sz w:val="18"/>
          <w:szCs w:val="18"/>
          <w:color w:val="auto"/>
        </w:rPr>
      </w:pPr>
    </w:p>
    <w:p>
      <w:pPr>
        <w:ind w:left="5380" w:hanging="112"/>
        <w:spacing w:after="0"/>
        <w:tabs>
          <w:tab w:leader="none" w:pos="538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115 -</w:t>
      </w:r>
    </w:p>
    <w:p>
      <w:pPr>
        <w:sectPr>
          <w:pgSz w:w="11900" w:h="16838" w:orient="portrait"/>
          <w:cols w:equalWidth="0" w:num="1">
            <w:col w:w="11020"/>
          </w:cols>
          <w:pgMar w:left="440" w:top="270" w:right="439" w:bottom="1440" w:gutter="0" w:footer="0" w:header="0"/>
        </w:sectPr>
      </w:pPr>
    </w:p>
    <w:bookmarkStart w:id="125" w:name="page126"/>
    <w:bookmarkEnd w:id="125"/>
    <w:p>
      <w:pPr>
        <w:jc w:val="both"/>
        <w:ind w:left="-436" w:right="160" w:firstLine="436"/>
        <w:spacing w:after="0" w:line="266" w:lineRule="auto"/>
        <w:tabs>
          <w:tab w:leader="none" w:pos="259"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Assignments by Lenders</w:t>
      </w:r>
      <w:r>
        <w:rPr>
          <w:rFonts w:ascii="Times New Roman" w:cs="Times New Roman" w:eastAsia="Times New Roman" w:hAnsi="Times New Roman"/>
          <w:sz w:val="18"/>
          <w:szCs w:val="18"/>
          <w:color w:val="auto"/>
        </w:rPr>
        <w:t xml:space="preserve">. Any Lender may at any time assign to one or more Eligible Assignees all or a portion of its rights and obligations under this Agreement (including all or a portion of its Commitment and the Loans at the time owing to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assignment shall be subject to the following conditions:</w:t>
      </w:r>
    </w:p>
    <w:p>
      <w:pPr>
        <w:spacing w:after="0" w:line="67" w:lineRule="exact"/>
        <w:rPr>
          <w:rFonts w:ascii="Times New Roman" w:cs="Times New Roman" w:eastAsia="Times New Roman" w:hAnsi="Times New Roman"/>
          <w:sz w:val="18"/>
          <w:szCs w:val="18"/>
          <w:color w:val="auto"/>
        </w:rPr>
      </w:pPr>
    </w:p>
    <w:p>
      <w:pPr>
        <w:ind w:left="644" w:hanging="221"/>
        <w:spacing w:after="0"/>
        <w:tabs>
          <w:tab w:leader="none" w:pos="644"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Minimum Amounts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544" w:right="20" w:firstLine="408"/>
        <w:spacing w:after="0" w:line="266" w:lineRule="auto"/>
        <w:tabs>
          <w:tab w:leader="none" w:pos="1239" w:val="left"/>
        </w:tabs>
        <w:numPr>
          <w:ilvl w:val="2"/>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assignment of the entire remaining amount of an assigning Lender’s Revolving Commitment and the Loans at the time owing to it or, in the case of an assignment to a Lender, an Affiliate of a Lender or an Approved Fund, no minimum amount need be assigned; and</w:t>
      </w:r>
    </w:p>
    <w:p>
      <w:pPr>
        <w:spacing w:after="0" w:line="67" w:lineRule="exact"/>
        <w:rPr>
          <w:rFonts w:ascii="Times New Roman" w:cs="Times New Roman" w:eastAsia="Times New Roman" w:hAnsi="Times New Roman"/>
          <w:sz w:val="18"/>
          <w:szCs w:val="18"/>
          <w:color w:val="auto"/>
        </w:rPr>
      </w:pPr>
    </w:p>
    <w:p>
      <w:pPr>
        <w:ind w:left="544" w:right="20" w:firstLine="408"/>
        <w:spacing w:after="0" w:line="253" w:lineRule="auto"/>
        <w:tabs>
          <w:tab w:leader="none" w:pos="1229" w:val="left"/>
        </w:tabs>
        <w:numPr>
          <w:ilvl w:val="2"/>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case not described in the immediately preceding subsection (A), the aggregate amount of the Revolving Commitment (which for this purpose includes Loans outstanding thereunder) or, if the applicable Revolving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unless each of the Administrative Agent and, so long as no Event of Default shall exist, the Borrower otherwise consents (each such consent not to be unreasonably withheld or delayed with it being agreed that the Borrower’s withholding of consent to an assignment which would result in the Borrower having to pay amounts under Section 3.10. in an amount that the Borrower reasonably deems to be a significant amount shall be deemed reasonable); provided, however, that if, after giving effect to such assignment, the amount of the Commitment held by such assigning Lender or the outstanding principal balance of the Loans of such assigning Lender, as applicable, would be less than $5,000,000 in the case of a Commitment or Revolving Loans, then such assigning Lender shall assign the entire amount of its Commitment and the Loans at the time owing to it unless the Administrative Agent and Borrower agree otherwise.</w:t>
      </w:r>
    </w:p>
    <w:p>
      <w:pPr>
        <w:spacing w:after="0" w:line="81" w:lineRule="exact"/>
        <w:rPr>
          <w:rFonts w:ascii="Times New Roman" w:cs="Times New Roman" w:eastAsia="Times New Roman" w:hAnsi="Times New Roman"/>
          <w:sz w:val="18"/>
          <w:szCs w:val="18"/>
          <w:color w:val="auto"/>
        </w:rPr>
      </w:pPr>
    </w:p>
    <w:p>
      <w:pPr>
        <w:ind w:left="4" w:right="40" w:firstLine="419"/>
        <w:spacing w:after="0" w:line="266" w:lineRule="auto"/>
        <w:tabs>
          <w:tab w:leader="none" w:pos="691"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Proportionate Amounts</w:t>
      </w:r>
      <w:r>
        <w:rPr>
          <w:rFonts w:ascii="Times New Roman" w:cs="Times New Roman" w:eastAsia="Times New Roman" w:hAnsi="Times New Roman"/>
          <w:sz w:val="18"/>
          <w:szCs w:val="18"/>
          <w:color w:val="auto"/>
        </w:rPr>
        <w:t>. Each partial assignment shall be made as an assignment of a proportionate part of all the assigning Lender’s rights and obligations under this Agreement with respect to the Loan or the Revolving Commitment assigned, except that this clause (ii) shall not apply to rights in respect of a Bid Rate Loan.</w:t>
      </w:r>
    </w:p>
    <w:p>
      <w:pPr>
        <w:spacing w:after="0" w:line="67" w:lineRule="exact"/>
        <w:rPr>
          <w:rFonts w:ascii="Times New Roman" w:cs="Times New Roman" w:eastAsia="Times New Roman" w:hAnsi="Times New Roman"/>
          <w:sz w:val="18"/>
          <w:szCs w:val="18"/>
          <w:color w:val="auto"/>
        </w:rPr>
      </w:pPr>
    </w:p>
    <w:p>
      <w:pPr>
        <w:ind w:left="4" w:right="20" w:firstLine="419"/>
        <w:spacing w:after="0" w:line="282" w:lineRule="auto"/>
        <w:tabs>
          <w:tab w:leader="none" w:pos="741"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Required Consents</w:t>
      </w:r>
      <w:r>
        <w:rPr>
          <w:rFonts w:ascii="Times New Roman" w:cs="Times New Roman" w:eastAsia="Times New Roman" w:hAnsi="Times New Roman"/>
          <w:sz w:val="18"/>
          <w:szCs w:val="18"/>
          <w:color w:val="auto"/>
        </w:rPr>
        <w:t>. No consent shall be required for any assignment except to the extent required by clause (i)(B) of this subsection (b) and, in addition:</w:t>
      </w:r>
    </w:p>
    <w:p>
      <w:pPr>
        <w:spacing w:after="0" w:line="53" w:lineRule="exact"/>
        <w:rPr>
          <w:rFonts w:ascii="Times New Roman" w:cs="Times New Roman" w:eastAsia="Times New Roman" w:hAnsi="Times New Roman"/>
          <w:sz w:val="18"/>
          <w:szCs w:val="18"/>
          <w:color w:val="auto"/>
        </w:rPr>
      </w:pPr>
    </w:p>
    <w:p>
      <w:pPr>
        <w:ind w:left="544" w:firstLine="408"/>
        <w:spacing w:after="0" w:line="256" w:lineRule="auto"/>
        <w:tabs>
          <w:tab w:leader="none" w:pos="1239" w:val="left"/>
        </w:tabs>
        <w:numPr>
          <w:ilvl w:val="2"/>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of the Borrower (such consent not to be unreasonably withheld or delayed with it being agreed that the Borrower’s withholding of consent to an assignment which would result in the Borrower having to pay amounts under Section 3.10. in an amount that the Borrower reasonably deems to be a significant amount shall be deemed reasonable) shall be required unless (x) an Event of Default shall exist at the time of such assignment or (y) such assignment is to a Lender, an Affiliate of a Lender or an Approved Fund; provided that the Borrower shall be deemed to have consented to any such assignment unless it shall object thereto by written notice to the Administrative Agent within 5 Business Days after having received notice thereof;</w:t>
      </w:r>
    </w:p>
    <w:p>
      <w:pPr>
        <w:spacing w:after="0" w:line="119" w:lineRule="exact"/>
        <w:rPr>
          <w:rFonts w:ascii="Times New Roman" w:cs="Times New Roman" w:eastAsia="Times New Roman" w:hAnsi="Times New Roman"/>
          <w:sz w:val="18"/>
          <w:szCs w:val="18"/>
          <w:color w:val="auto"/>
        </w:rPr>
      </w:pPr>
    </w:p>
    <w:p>
      <w:pPr>
        <w:ind w:left="4944" w:hanging="112"/>
        <w:spacing w:after="0"/>
        <w:tabs>
          <w:tab w:leader="none" w:pos="4944" w:val="left"/>
        </w:tabs>
        <w:numPr>
          <w:ilvl w:val="3"/>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116 -</w:t>
      </w:r>
    </w:p>
    <w:p>
      <w:pPr>
        <w:sectPr>
          <w:pgSz w:w="11900" w:h="16838" w:orient="portrait"/>
          <w:cols w:equalWidth="0" w:num="1">
            <w:col w:w="10504"/>
          </w:cols>
          <w:pgMar w:left="876" w:top="270" w:right="519" w:bottom="1440" w:gutter="0" w:footer="0" w:header="0"/>
        </w:sectPr>
      </w:pPr>
    </w:p>
    <w:bookmarkStart w:id="126" w:name="page127"/>
    <w:bookmarkEnd w:id="126"/>
    <w:p>
      <w:pPr>
        <w:jc w:val="both"/>
        <w:ind w:left="980" w:right="660" w:firstLine="408"/>
        <w:spacing w:after="0" w:line="266" w:lineRule="auto"/>
        <w:tabs>
          <w:tab w:leader="none" w:pos="1666"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consent of the Administrative Agent (such consent not to be unreasonably withheld or delayed) shall be required for assignments if such assignment is to a Person that is not already a Lender with a Commitment, an Affiliate of such a Lender or an Approved Fund with respect to such a Lender; and</w:t>
      </w:r>
    </w:p>
    <w:p>
      <w:pPr>
        <w:spacing w:after="0" w:line="67" w:lineRule="exact"/>
        <w:rPr>
          <w:rFonts w:ascii="Times New Roman" w:cs="Times New Roman" w:eastAsia="Times New Roman" w:hAnsi="Times New Roman"/>
          <w:sz w:val="18"/>
          <w:szCs w:val="18"/>
          <w:color w:val="auto"/>
        </w:rPr>
      </w:pPr>
    </w:p>
    <w:p>
      <w:pPr>
        <w:ind w:left="980" w:right="300" w:firstLine="408"/>
        <w:spacing w:after="0" w:line="282" w:lineRule="auto"/>
        <w:tabs>
          <w:tab w:leader="none" w:pos="1666"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of the Swingline Lender and the Issuing Bank (such consent not to be unreasonably withheld or delayed) shall be required for any assignment in respect of a Revolving Commitment.</w:t>
      </w:r>
    </w:p>
    <w:p>
      <w:pPr>
        <w:spacing w:after="0" w:line="53" w:lineRule="exact"/>
        <w:rPr>
          <w:rFonts w:ascii="Times New Roman" w:cs="Times New Roman" w:eastAsia="Times New Roman" w:hAnsi="Times New Roman"/>
          <w:sz w:val="18"/>
          <w:szCs w:val="18"/>
          <w:color w:val="auto"/>
        </w:rPr>
      </w:pPr>
    </w:p>
    <w:p>
      <w:pPr>
        <w:ind w:left="440" w:right="40" w:firstLine="419"/>
        <w:spacing w:after="0" w:line="256" w:lineRule="auto"/>
        <w:tabs>
          <w:tab w:leader="none" w:pos="1168"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 and Assumption; Notes</w:t>
      </w:r>
      <w:r>
        <w:rPr>
          <w:rFonts w:ascii="Times New Roman" w:cs="Times New Roman" w:eastAsia="Times New Roman" w:hAnsi="Times New Roman"/>
          <w:sz w:val="18"/>
          <w:szCs w:val="18"/>
          <w:color w:val="auto"/>
        </w:rPr>
        <w:t>. The parties to each assignment (including an assigning Defaulting Lender) shall execute and deliver to the Administrative Agent an Assignment and Assumption, together with a processing and recordation fee of $4,500 (or $7,500 with respect to an assignment by a Defaulting Lender payable by the assigning Lender (unless otherwise agreed between the assigning Lender and the assignee) for each assignment, and the assignee, if it is not a Lender, shall deliver to the Administrative Agent an Administrative Questionnaire. If requested by the assigning Lender or the Assignee, upon the consummation of any assignment, the assigning Lender, the Administrative Agent and the Borrower shall make appropriate arrangements so that new Notes are issued to the Assignee and such assigning Lender, as appropriate.</w:t>
      </w:r>
    </w:p>
    <w:p>
      <w:pPr>
        <w:spacing w:after="0" w:line="79" w:lineRule="exact"/>
        <w:rPr>
          <w:rFonts w:ascii="Times New Roman" w:cs="Times New Roman" w:eastAsia="Times New Roman" w:hAnsi="Times New Roman"/>
          <w:sz w:val="18"/>
          <w:szCs w:val="18"/>
          <w:color w:val="auto"/>
        </w:rPr>
      </w:pPr>
    </w:p>
    <w:p>
      <w:pPr>
        <w:ind w:left="440" w:firstLine="419"/>
        <w:spacing w:after="0" w:line="282" w:lineRule="auto"/>
        <w:tabs>
          <w:tab w:leader="none" w:pos="1118"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Assignment to Borrower</w:t>
      </w:r>
      <w:r>
        <w:rPr>
          <w:rFonts w:ascii="Times New Roman" w:cs="Times New Roman" w:eastAsia="Times New Roman" w:hAnsi="Times New Roman"/>
          <w:sz w:val="18"/>
          <w:szCs w:val="18"/>
          <w:color w:val="auto"/>
        </w:rPr>
        <w:t>. No such assignment shall be made to a Defaulting Lender, the Borrower or any of the Borrower’s Affiliates or Subsidiaries.</w:t>
      </w:r>
    </w:p>
    <w:p>
      <w:pPr>
        <w:spacing w:after="0" w:line="53"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Assignment to Natural Persons</w:t>
      </w:r>
      <w:r>
        <w:rPr>
          <w:rFonts w:ascii="Times New Roman" w:cs="Times New Roman" w:eastAsia="Times New Roman" w:hAnsi="Times New Roman"/>
          <w:sz w:val="18"/>
          <w:szCs w:val="18"/>
          <w:color w:val="auto"/>
        </w:rPr>
        <w:t>. No such assignment shall be made to a natural person.</w:t>
      </w:r>
    </w:p>
    <w:p>
      <w:pPr>
        <w:spacing w:after="0" w:line="117" w:lineRule="exact"/>
        <w:rPr>
          <w:rFonts w:ascii="Times New Roman" w:cs="Times New Roman" w:eastAsia="Times New Roman" w:hAnsi="Times New Roman"/>
          <w:sz w:val="18"/>
          <w:szCs w:val="18"/>
          <w:color w:val="auto"/>
        </w:rPr>
      </w:pPr>
    </w:p>
    <w:p>
      <w:pPr>
        <w:ind w:left="440" w:right="20" w:firstLine="419"/>
        <w:spacing w:after="0" w:line="261" w:lineRule="auto"/>
        <w:tabs>
          <w:tab w:leader="none" w:pos="1218"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Assignments by Specified Derivatives Provider</w:t>
      </w:r>
      <w:r>
        <w:rPr>
          <w:rFonts w:ascii="Times New Roman" w:cs="Times New Roman" w:eastAsia="Times New Roman" w:hAnsi="Times New Roman"/>
          <w:sz w:val="18"/>
          <w:szCs w:val="18"/>
          <w:color w:val="auto"/>
        </w:rPr>
        <w:t>. If the assigning Lender (or its Affiliate) is a Specified Derivatives Provider and if after giving effect to such assignment such Lender will hold no further Loans or Revolving Commitments under this Agreement, such Lender shall undertake such assignment only contemporaneously with an assignment by such Lender (or its Affiliate, as the case may be) of all of its Specified Derivatives Contracts to the Assignee or another Lender (or Affiliate thereof).</w:t>
      </w:r>
    </w:p>
    <w:p>
      <w:pPr>
        <w:spacing w:after="0" w:line="180"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Subject to acceptance and recording thereof by the Administrative Agent pursuant to the immediately following subsection (c),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4.4., 12.2. and 12.10. and the other provisions of this Agreement and the other Loan Documents as provided in Section 12.11. with respect to facts and circumstances having occurred prior to the effective date of such assignment. Any assignment or transfer by a Lender of rights or obligations under this Agreement that does not comply with this paragraph shall be treated for purposes of this Agreement as a sale by such Lender of a participation in such rights and obligations in accordance with the immediately following subsection (d).</w:t>
      </w:r>
    </w:p>
    <w:p>
      <w:pPr>
        <w:spacing w:after="0" w:line="194" w:lineRule="exact"/>
        <w:rPr>
          <w:sz w:val="20"/>
          <w:szCs w:val="20"/>
          <w:color w:val="auto"/>
        </w:rPr>
      </w:pPr>
    </w:p>
    <w:p>
      <w:pPr>
        <w:ind w:right="160" w:firstLine="436"/>
        <w:spacing w:after="0" w:line="266" w:lineRule="auto"/>
        <w:tabs>
          <w:tab w:leader="none" w:pos="685"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The Administrative Agent, acting solely for this purpose as a non-fiduciary agent of the Borrower, shall maintain at the Principal Office a copy of each Assignment and Assumption delivered to it and a register for the recordation of the names and addresses of the Lenders, and the Commitments of, and principal amounts of the Loans owing to, each Lender pursuant to the terms hereof from time to time</w:t>
      </w:r>
    </w:p>
    <w:p>
      <w:pPr>
        <w:spacing w:after="0" w:line="108" w:lineRule="exact"/>
        <w:rPr>
          <w:rFonts w:ascii="Times New Roman" w:cs="Times New Roman" w:eastAsia="Times New Roman" w:hAnsi="Times New Roman"/>
          <w:sz w:val="18"/>
          <w:szCs w:val="18"/>
          <w:color w:val="auto"/>
        </w:rPr>
      </w:pPr>
    </w:p>
    <w:p>
      <w:pPr>
        <w:ind w:left="5380" w:hanging="112"/>
        <w:spacing w:after="0"/>
        <w:tabs>
          <w:tab w:leader="none" w:pos="5380"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117 -</w:t>
      </w:r>
    </w:p>
    <w:p>
      <w:pPr>
        <w:sectPr>
          <w:pgSz w:w="11900" w:h="16838" w:orient="portrait"/>
          <w:cols w:equalWidth="0" w:num="1">
            <w:col w:w="10980"/>
          </w:cols>
          <w:pgMar w:left="440" w:top="270" w:right="479" w:bottom="1440" w:gutter="0" w:footer="0" w:header="0"/>
        </w:sectPr>
      </w:pPr>
    </w:p>
    <w:bookmarkStart w:id="127" w:name="page128"/>
    <w:bookmarkEnd w:id="127"/>
    <w:p>
      <w:pPr>
        <w:ind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w:t>
      </w: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 In the absence of manifest error, the entries in the Register shall be conclusive, and the Borrower, the Administrative Agent and the Lenders may treat each Person whose name is recorded in the Register pursuant to the terms hereof as a Lender hereunder for all purposes of this Agreement, notwithstanding notice to the contrary. The Register shall be available for inspection by the Borrower and any Lender, at any reasonable time and from time to time upon reasonable prior notice. Each Lender that sells a participation as described in Section 12.6(d) shall, acting solely for this purpose as an agent of the Borrower, maintain a register on which it enters the name and address of each Participant and the principal amounts (and stated interest) of each Participant’s interest in the Loans or other obligations under this Agreement (the “</w:t>
      </w:r>
      <w:r>
        <w:rPr>
          <w:rFonts w:ascii="Times New Roman" w:cs="Times New Roman" w:eastAsia="Times New Roman" w:hAnsi="Times New Roman"/>
          <w:sz w:val="18"/>
          <w:szCs w:val="18"/>
          <w:b w:val="1"/>
          <w:bCs w:val="1"/>
          <w:color w:val="auto"/>
        </w:rPr>
        <w:t>Participant Register</w:t>
      </w:r>
      <w:r>
        <w:rPr>
          <w:rFonts w:ascii="Times New Roman" w:cs="Times New Roman" w:eastAsia="Times New Roman" w:hAnsi="Times New Roman"/>
          <w:sz w:val="18"/>
          <w:szCs w:val="18"/>
          <w:color w:val="auto"/>
        </w:rPr>
        <w:t>”); provided that no Lender shall have any obligation to disclose all or any portion of the Participant Register to any Person (including the identity of any Participant or any information relating to a Participant’s interest in any Commitments, Loans, or its other obligations under this Agreement) except to the extent that such disclosure is necessary to establish that such Commitment, Loan, or other obligation is in registered form under Section 5f.103-1(c) of the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w:t>
      </w:r>
    </w:p>
    <w:p>
      <w:pPr>
        <w:spacing w:after="0" w:line="186" w:lineRule="exact"/>
        <w:rPr>
          <w:sz w:val="20"/>
          <w:szCs w:val="20"/>
          <w:color w:val="auto"/>
        </w:rPr>
      </w:pPr>
    </w:p>
    <w:p>
      <w:pPr>
        <w:ind w:firstLine="436"/>
        <w:spacing w:after="0" w:line="252" w:lineRule="auto"/>
        <w:tabs>
          <w:tab w:leader="none" w:pos="695"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Participations</w:t>
      </w:r>
      <w:r>
        <w:rPr>
          <w:rFonts w:ascii="Times New Roman" w:cs="Times New Roman" w:eastAsia="Times New Roman" w:hAnsi="Times New Roman"/>
          <w:sz w:val="18"/>
          <w:szCs w:val="18"/>
          <w:color w:val="auto"/>
        </w:rPr>
        <w:t>. Any Lender may at any time, without the consent of, or notice to, the Borrower or the Administrative Agent, sell participations to any Person (other than a natural person or the Borrower or any of the Borrower’s Affiliates or Subsidiaries) (each, a “</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 in all or a portion of such Lender’s rights and/or obligations under this Agreement (including all or a portion of its Commitment and/or the Loans owing to it); provided that (i) such Lender’s obligations under this Agreement shall remain unchanged, (ii) such Lender shall remain solely responsible to the other parties hereto for the performance of such obligations and (iii) the Borrower, the Administrative Agent and the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and responsibility to enforce this Agreement, including, without limitation, the right to approve any amendment, modification or waiver of any provision of this Agreement; provided that such agreement or instrument may provide that such Lender will not, without the consent of the Participant, agree to (w) increase such Lender’s Commitment to the extent subject to the participation, (x) extend the date fixed for the payment of principal on the Loans or portions thereof owing to such Lender to the extent subject to such participation except as set forth in Section 2.13., (y) reduce the rate at which interest is payable thereon or (z) release any Guarantor from its Obligations under the Guaranty (except as otherwise permitted under Section 7.14.(c)). Subject to the immediately following subsection (e), the Borrower agrees that each Participant shall be entitled to the benefits of Sections 3.10., 4.1., and 4.4., to the same extent as if it were a Lender and had acquired its interest by assignment pursuant to paragraph (b) of this Section.</w:t>
      </w:r>
    </w:p>
    <w:p>
      <w:pPr>
        <w:spacing w:after="0" w:line="197" w:lineRule="exact"/>
        <w:rPr>
          <w:rFonts w:ascii="Times New Roman" w:cs="Times New Roman" w:eastAsia="Times New Roman" w:hAnsi="Times New Roman"/>
          <w:sz w:val="18"/>
          <w:szCs w:val="18"/>
          <w:color w:val="auto"/>
        </w:rPr>
      </w:pPr>
    </w:p>
    <w:p>
      <w:pPr>
        <w:ind w:right="260" w:firstLine="436"/>
        <w:spacing w:after="0" w:line="258" w:lineRule="auto"/>
        <w:tabs>
          <w:tab w:leader="none" w:pos="685"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upon Participant Rights</w:t>
      </w:r>
      <w:r>
        <w:rPr>
          <w:rFonts w:ascii="Times New Roman" w:cs="Times New Roman" w:eastAsia="Times New Roman" w:hAnsi="Times New Roman"/>
          <w:sz w:val="18"/>
          <w:szCs w:val="18"/>
          <w:color w:val="auto"/>
        </w:rPr>
        <w:t>. A Participant shall not be entitled to receive any greater payment under Sections 3.10. and 4.1. than the applicable Lender would have been entitled to receive with respect to the participation sold to such Participant, unless the sale of the participation to such Participant is made with the Borrower’s prior written consent. A Participant shall not be entitled to the benefits of Section 3.10. unless the Borrower is notified of the participation sold to such Participant and such Participant agrees, for the benefit of the Borrower and the Administrative Agent, to comply with Section 3.10.(c) as though it were a Lender.</w:t>
      </w:r>
    </w:p>
    <w:p>
      <w:pPr>
        <w:spacing w:after="0" w:line="183" w:lineRule="exact"/>
        <w:rPr>
          <w:rFonts w:ascii="Times New Roman" w:cs="Times New Roman" w:eastAsia="Times New Roman" w:hAnsi="Times New Roman"/>
          <w:sz w:val="18"/>
          <w:szCs w:val="18"/>
          <w:color w:val="auto"/>
        </w:rPr>
      </w:pPr>
    </w:p>
    <w:p>
      <w:pPr>
        <w:ind w:right="100" w:firstLine="436"/>
        <w:spacing w:after="0" w:line="289" w:lineRule="auto"/>
        <w:tabs>
          <w:tab w:leader="none" w:pos="665" w:val="left"/>
        </w:tabs>
        <w:numPr>
          <w:ilvl w:val="0"/>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Certain Pledges</w:t>
      </w:r>
      <w:r>
        <w:rPr>
          <w:rFonts w:ascii="Times New Roman" w:cs="Times New Roman" w:eastAsia="Times New Roman" w:hAnsi="Times New Roman"/>
          <w:sz w:val="17"/>
          <w:szCs w:val="17"/>
          <w:color w:val="auto"/>
        </w:rPr>
        <w:t>. Any Lender may at any time pledge or assign a security interest in all or any portion of its rights under this Agreement to secure obligations of such Lender, including any pledge or assignment to secure obligations to a Federal Reserve Bank; provided that no such pledge or assignment shall release such Lender from any of its obligations hereunder or substitute any such pledgee or assignee for such Lender as a party hereto.</w:t>
      </w:r>
    </w:p>
    <w:p>
      <w:pPr>
        <w:spacing w:after="0" w:line="90" w:lineRule="exact"/>
        <w:rPr>
          <w:rFonts w:ascii="Times New Roman" w:cs="Times New Roman" w:eastAsia="Times New Roman" w:hAnsi="Times New Roman"/>
          <w:sz w:val="17"/>
          <w:szCs w:val="17"/>
          <w:color w:val="auto"/>
        </w:rPr>
      </w:pPr>
    </w:p>
    <w:p>
      <w:pPr>
        <w:ind w:left="5380" w:hanging="112"/>
        <w:spacing w:after="0"/>
        <w:tabs>
          <w:tab w:leader="none" w:pos="538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118 -</w:t>
      </w:r>
    </w:p>
    <w:p>
      <w:pPr>
        <w:sectPr>
          <w:pgSz w:w="11900" w:h="16838" w:orient="portrait"/>
          <w:cols w:equalWidth="0" w:num="1">
            <w:col w:w="11020"/>
          </w:cols>
          <w:pgMar w:left="440" w:top="266" w:right="439" w:bottom="1440" w:gutter="0" w:footer="0" w:header="0"/>
        </w:sectPr>
      </w:pPr>
    </w:p>
    <w:bookmarkStart w:id="128" w:name="page129"/>
    <w:bookmarkEnd w:id="128"/>
    <w:p>
      <w:pPr>
        <w:ind w:left="-436" w:right="20" w:firstLine="436"/>
        <w:spacing w:after="0" w:line="266" w:lineRule="auto"/>
        <w:tabs>
          <w:tab w:leader="none" w:pos="259"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Registration</w:t>
      </w:r>
      <w:r>
        <w:rPr>
          <w:rFonts w:ascii="Times New Roman" w:cs="Times New Roman" w:eastAsia="Times New Roman" w:hAnsi="Times New Roman"/>
          <w:sz w:val="18"/>
          <w:szCs w:val="18"/>
          <w:color w:val="auto"/>
        </w:rPr>
        <w:t>. Each Lender agrees that, without the prior written consent of the Borrower and the Administrative Agent, it will not make any assignment hereunder in any manner or under any circumstances that would require registration or qualification of, or filings in respect of, any Loan or Note under the Securities Act or any other securities laws of the United States of America or of any other jurisdiction.</w:t>
      </w:r>
    </w:p>
    <w:p>
      <w:pPr>
        <w:spacing w:after="0" w:line="171" w:lineRule="exact"/>
        <w:rPr>
          <w:rFonts w:ascii="Times New Roman" w:cs="Times New Roman" w:eastAsia="Times New Roman" w:hAnsi="Times New Roman"/>
          <w:sz w:val="18"/>
          <w:szCs w:val="18"/>
          <w:color w:val="auto"/>
        </w:rPr>
      </w:pPr>
    </w:p>
    <w:p>
      <w:pPr>
        <w:ind w:left="-436" w:firstLine="436"/>
        <w:spacing w:after="0" w:line="251" w:lineRule="auto"/>
        <w:tabs>
          <w:tab w:leader="none" w:pos="259"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Designated Lenders</w:t>
      </w:r>
      <w:r>
        <w:rPr>
          <w:rFonts w:ascii="Times New Roman" w:cs="Times New Roman" w:eastAsia="Times New Roman" w:hAnsi="Times New Roman"/>
          <w:sz w:val="18"/>
          <w:szCs w:val="18"/>
          <w:color w:val="auto"/>
        </w:rPr>
        <w:t>. Any Lender (each, a “</w:t>
      </w:r>
      <w:r>
        <w:rPr>
          <w:rFonts w:ascii="Times New Roman" w:cs="Times New Roman" w:eastAsia="Times New Roman" w:hAnsi="Times New Roman"/>
          <w:sz w:val="18"/>
          <w:szCs w:val="18"/>
          <w:b w:val="1"/>
          <w:bCs w:val="1"/>
          <w:color w:val="auto"/>
        </w:rPr>
        <w:t>Designating Lender</w:t>
      </w:r>
      <w:r>
        <w:rPr>
          <w:rFonts w:ascii="Times New Roman" w:cs="Times New Roman" w:eastAsia="Times New Roman" w:hAnsi="Times New Roman"/>
          <w:sz w:val="18"/>
          <w:szCs w:val="18"/>
          <w:color w:val="auto"/>
        </w:rPr>
        <w:t>”) may at any time while the Borrower has been assigned an Investment Grade Rating from either S&amp;P or Moody’s designate one Designated Lender to fund Bid Rate Loans on behalf of such Designating Lender subject to the terms of this subsection, and the provisions in the immediately preceding subsections (b) and (d) shall not apply to such designation. No Lender may designate more than one Designated Lender. The parties to each such designation shall execute and deliver to the Administrative Agent for its acceptance a Designation Agreement. Upon such receipt of an appropriately completed Designation Agreement executed by a Designating Lender and a designee representing that it is a Designated Lender, the Administrative Agent will accept such Designation Agreement and give prompt notice thereof to the Borrower, whereupon (i) the Borrower shall execute and deliver to the Designating Lender a Bid Rate Note payable to the order of the Designated Lender, (ii) from and after the effective date specified in the Designation Agreement, the Designated Lender shall become a party to this Agreement with a right to make Bid Rate Loans on behalf of its Designating Lender pursuant to Section 2.2. after the Borrower has accepted a Bid Rate Loan (or portion thereof) of the Designating Lender, and (iii) the Designated Lender shall not be required to make payments with respect to any obligations in this Agreement except to the extent of excess cash flow of such Designated Lender which is not otherwise required to repay obligations of such Designated Lender which are then due and payable; provided, however, that regardless of such designation and assumption by the Designated Lender, the Designating Lender shall be and remain obligated to the Borrower, the Administrative Agent and the Lenders for each and every of the obligations of the Designating Lender and its related Designated Lender with respect to this Agreement, including, without limitation, any indemnification obligations under Section 11.6. and any sums otherwise payable to the Borrower by the Designated Lender. Each Designating Lender shall serve as the agent of the Designated Lender and shall on behalf of, and to the exclusion of, the Designated Lender: (i) receive any and all payments made for the benefit of the Designated Lender and (ii) give and receive all communications and notices and take all actions hereunder, including, without limitation, votes, approvals, waivers, consents and amendments under or relating to this Agreement and the other Loan Documents. Any such notice, communication, vote, approval, waiver, consent or amendment shall be signed by the Designating Lender as agent for the Designated Lender and shall not be signed by the Designated Lender on its own behalf and shall be binding on the Designated Lender to the same extent as if signed by the Designated Lender on its own behalf. The Borrower, the Administrative Agent and the Lenders may rely thereon without any requirement that the Designated Lender sign or acknowledge the same. No Designated Lender may assign or transfer all or any portion of its interest hereunder or under any other Loan Document, other than assignments to the Designating Lender which originally designated such Designated Lender. The Borrower, the Lenders and the Administrative Agent each hereby agrees that it will not institute against any Designated Lender or join any other Person in instituting against any Designated Lender any bankruptcy, reorganization, arrangement, insolvency or liquidation proceeding under any federal or state bankruptcy or similar law, until the later to occur of (x) one year and one day after the payment in full of the latest maturing commercial paper note issued by such Designated Lender and (y) the Revolving Termination Date. In connection with any such designation, the Designating Lender shall pay to the Administrative Agent an administrative fee for processing such designation in the amount of $2,000.</w:t>
      </w:r>
    </w:p>
    <w:p>
      <w:pPr>
        <w:spacing w:after="0" w:line="139" w:lineRule="exact"/>
        <w:rPr>
          <w:rFonts w:ascii="Times New Roman" w:cs="Times New Roman" w:eastAsia="Times New Roman" w:hAnsi="Times New Roman"/>
          <w:sz w:val="18"/>
          <w:szCs w:val="18"/>
          <w:color w:val="auto"/>
        </w:rPr>
      </w:pPr>
    </w:p>
    <w:p>
      <w:pPr>
        <w:ind w:left="4944" w:hanging="112"/>
        <w:spacing w:after="0"/>
        <w:tabs>
          <w:tab w:leader="none" w:pos="4944"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119 -</w:t>
      </w:r>
    </w:p>
    <w:p>
      <w:pPr>
        <w:sectPr>
          <w:pgSz w:w="11900" w:h="16838" w:orient="portrait"/>
          <w:cols w:equalWidth="0" w:num="1">
            <w:col w:w="10584"/>
          </w:cols>
          <w:pgMar w:left="876" w:top="270" w:right="439" w:bottom="1440" w:gutter="0" w:footer="0" w:header="0"/>
        </w:sectPr>
      </w:pPr>
    </w:p>
    <w:bookmarkStart w:id="129" w:name="page130"/>
    <w:bookmarkEnd w:id="129"/>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12.7. Amendments and Waivers.</w:t>
      </w:r>
    </w:p>
    <w:p>
      <w:pPr>
        <w:spacing w:after="0" w:line="121" w:lineRule="exact"/>
        <w:rPr>
          <w:sz w:val="20"/>
          <w:szCs w:val="20"/>
          <w:color w:val="auto"/>
        </w:rPr>
      </w:pPr>
    </w:p>
    <w:p>
      <w:pPr>
        <w:jc w:val="both"/>
        <w:ind w:left="4" w:right="180" w:firstLine="436"/>
        <w:spacing w:after="0" w:line="276" w:lineRule="auto"/>
        <w:tabs>
          <w:tab w:leader="none" w:pos="689" w:val="left"/>
        </w:tabs>
        <w:numPr>
          <w:ilvl w:val="1"/>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Generally</w:t>
      </w:r>
      <w:r>
        <w:rPr>
          <w:rFonts w:ascii="Times New Roman" w:cs="Times New Roman" w:eastAsia="Times New Roman" w:hAnsi="Times New Roman"/>
          <w:sz w:val="17"/>
          <w:szCs w:val="17"/>
          <w:color w:val="auto"/>
        </w:rPr>
        <w:t>. Except as otherwise expressly provided in this Agreement, (i) any consent or approval required or permitted by this Agreement or any other Loan Document to be given by the Lenders may be given, (ii) any term of this Agreement or of any other Loan Document may be amended,</w:t>
      </w:r>
    </w:p>
    <w:p>
      <w:pPr>
        <w:ind w:left="4" w:right="220" w:hanging="4"/>
        <w:spacing w:after="0" w:line="253" w:lineRule="auto"/>
        <w:tabs>
          <w:tab w:leader="none" w:pos="319"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or observance by the Borrower, any other Loan Party or any other Subsidiary of any terms of this Agreement or such other Loan Document may be waived, and (iv) the continuance of any Default or Event of Default may be waived (either generally or in a particular instance and either retroactively or prospectively) with, but only with, the written consent of the Requisite Lenders (or the Administrative Agent at the written direction of the Requisite Lenders), and, in the case of an amendment to any Loan Document, the written consent of each Loan Party which is party thereto.</w:t>
      </w:r>
    </w:p>
    <w:p>
      <w:pPr>
        <w:spacing w:after="0" w:line="186"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Intentionally Omitted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firstLine="436"/>
        <w:spacing w:after="0" w:line="266" w:lineRule="auto"/>
        <w:tabs>
          <w:tab w:leader="none" w:pos="689"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 of Lenders Directly Affected</w:t>
      </w:r>
      <w:r>
        <w:rPr>
          <w:rFonts w:ascii="Times New Roman" w:cs="Times New Roman" w:eastAsia="Times New Roman" w:hAnsi="Times New Roman"/>
          <w:sz w:val="18"/>
          <w:szCs w:val="18"/>
          <w:color w:val="auto"/>
        </w:rPr>
        <w:t>. In addition to the foregoing requirements, no amendment, waiver or consent shall, unless in writing, and signed by each of the Lenders directly and adversely affected thereby (or the Administrative Agent at the written direction of such Lenders), do any of the following:</w:t>
      </w:r>
    </w:p>
    <w:p>
      <w:pPr>
        <w:spacing w:after="0" w:line="67" w:lineRule="exact"/>
        <w:rPr>
          <w:rFonts w:ascii="Times New Roman" w:cs="Times New Roman" w:eastAsia="Times New Roman" w:hAnsi="Times New Roman"/>
          <w:sz w:val="18"/>
          <w:szCs w:val="18"/>
          <w:color w:val="auto"/>
        </w:rPr>
      </w:pPr>
    </w:p>
    <w:p>
      <w:pPr>
        <w:ind w:left="1084" w:hanging="221"/>
        <w:spacing w:after="0"/>
        <w:tabs>
          <w:tab w:leader="none" w:pos="1084" w:val="left"/>
        </w:tabs>
        <w:numPr>
          <w:ilvl w:val="2"/>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Commitments of such Lenders or subject such Lenders to any additional obligations;</w:t>
      </w:r>
    </w:p>
    <w:p>
      <w:pPr>
        <w:spacing w:after="0" w:line="117" w:lineRule="exact"/>
        <w:rPr>
          <w:rFonts w:ascii="Times New Roman" w:cs="Times New Roman" w:eastAsia="Times New Roman" w:hAnsi="Times New Roman"/>
          <w:sz w:val="18"/>
          <w:szCs w:val="18"/>
          <w:color w:val="auto"/>
        </w:rPr>
      </w:pPr>
    </w:p>
    <w:p>
      <w:pPr>
        <w:ind w:left="444" w:right="280" w:firstLine="419"/>
        <w:spacing w:after="0" w:line="282" w:lineRule="auto"/>
        <w:tabs>
          <w:tab w:leader="none" w:pos="1132" w:val="left"/>
        </w:tabs>
        <w:numPr>
          <w:ilvl w:val="2"/>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interest that has accrued or the rates of interest that will be charged on the outstanding principal amount of, any Loans or other Obligations owing to such Lenders;</w:t>
      </w:r>
    </w:p>
    <w:p>
      <w:pPr>
        <w:spacing w:after="0" w:line="53" w:lineRule="exact"/>
        <w:rPr>
          <w:rFonts w:ascii="Times New Roman" w:cs="Times New Roman" w:eastAsia="Times New Roman" w:hAnsi="Times New Roman"/>
          <w:sz w:val="18"/>
          <w:szCs w:val="18"/>
          <w:color w:val="auto"/>
        </w:rPr>
      </w:pPr>
    </w:p>
    <w:p>
      <w:pPr>
        <w:ind w:left="1184" w:hanging="321"/>
        <w:spacing w:after="0"/>
        <w:tabs>
          <w:tab w:leader="none" w:pos="1184" w:val="left"/>
        </w:tabs>
        <w:numPr>
          <w:ilvl w:val="2"/>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any Fees payable to such Lenders hereunder;</w:t>
      </w:r>
    </w:p>
    <w:p>
      <w:pPr>
        <w:spacing w:after="0" w:line="117" w:lineRule="exact"/>
        <w:rPr>
          <w:rFonts w:ascii="Times New Roman" w:cs="Times New Roman" w:eastAsia="Times New Roman" w:hAnsi="Times New Roman"/>
          <w:sz w:val="18"/>
          <w:szCs w:val="18"/>
          <w:color w:val="auto"/>
        </w:rPr>
      </w:pPr>
    </w:p>
    <w:p>
      <w:pPr>
        <w:ind w:left="444" w:right="20" w:firstLine="419"/>
        <w:spacing w:after="0" w:line="266" w:lineRule="auto"/>
        <w:tabs>
          <w:tab w:leader="none" w:pos="1172" w:val="left"/>
        </w:tabs>
        <w:numPr>
          <w:ilvl w:val="2"/>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the definition of “Revolving Termination Date” (except in accordance with Section 2.13.), otherwise postpone any date fixed for any payment of principal of, or interest on, any Loans or for the payment of Fees or any other Obligations, or extend the expiration date of any Letter of Credit beyond the Revolving Termination Date (except in accordance with Section 2.3.);</w:t>
      </w:r>
    </w:p>
    <w:p>
      <w:pPr>
        <w:spacing w:after="0" w:line="67" w:lineRule="exact"/>
        <w:rPr>
          <w:rFonts w:ascii="Times New Roman" w:cs="Times New Roman" w:eastAsia="Times New Roman" w:hAnsi="Times New Roman"/>
          <w:sz w:val="18"/>
          <w:szCs w:val="18"/>
          <w:color w:val="auto"/>
        </w:rPr>
      </w:pPr>
    </w:p>
    <w:p>
      <w:pPr>
        <w:ind w:left="1124" w:hanging="261"/>
        <w:spacing w:after="0"/>
        <w:tabs>
          <w:tab w:leader="none" w:pos="1124" w:val="left"/>
        </w:tabs>
        <w:numPr>
          <w:ilvl w:val="2"/>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the definitions of “Revolving Commitment Percentage” or amend or otherwise modify the provisions of Section 3.2. or</w:t>
      </w:r>
    </w:p>
    <w:p>
      <w:pPr>
        <w:spacing w:after="0" w:line="2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Section 10.5.;</w:t>
      </w:r>
    </w:p>
    <w:p>
      <w:pPr>
        <w:spacing w:after="0" w:line="99" w:lineRule="exact"/>
        <w:rPr>
          <w:sz w:val="20"/>
          <w:szCs w:val="20"/>
          <w:color w:val="auto"/>
        </w:rPr>
      </w:pPr>
    </w:p>
    <w:p>
      <w:pPr>
        <w:ind w:left="444" w:right="780" w:firstLine="419"/>
        <w:spacing w:after="0" w:line="282" w:lineRule="auto"/>
        <w:tabs>
          <w:tab w:leader="none" w:pos="1172"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this Section or amend the definitions of the terms used in this Agreement or the other Loan Documents insofar as such definitions affect the substance of this Section;</w:t>
      </w:r>
    </w:p>
    <w:p>
      <w:pPr>
        <w:spacing w:after="0" w:line="53" w:lineRule="exact"/>
        <w:rPr>
          <w:rFonts w:ascii="Times New Roman" w:cs="Times New Roman" w:eastAsia="Times New Roman" w:hAnsi="Times New Roman"/>
          <w:sz w:val="18"/>
          <w:szCs w:val="18"/>
          <w:color w:val="auto"/>
        </w:rPr>
      </w:pPr>
    </w:p>
    <w:p>
      <w:pPr>
        <w:ind w:left="444" w:right="60" w:firstLine="419"/>
        <w:spacing w:after="0" w:line="282" w:lineRule="auto"/>
        <w:tabs>
          <w:tab w:leader="none" w:pos="1222"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the definition of the term “Requisite Lenders” or modify in any other manner the number or percentage of the Lenders required to make any determinations or waive any rights hereunder or to modify any provision hereof;</w:t>
      </w:r>
    </w:p>
    <w:p>
      <w:pPr>
        <w:spacing w:after="0" w:line="53" w:lineRule="exact"/>
        <w:rPr>
          <w:rFonts w:ascii="Times New Roman" w:cs="Times New Roman" w:eastAsia="Times New Roman" w:hAnsi="Times New Roman"/>
          <w:sz w:val="18"/>
          <w:szCs w:val="18"/>
          <w:color w:val="auto"/>
        </w:rPr>
      </w:pPr>
    </w:p>
    <w:p>
      <w:pPr>
        <w:ind w:left="1264" w:hanging="401"/>
        <w:spacing w:after="0"/>
        <w:tabs>
          <w:tab w:leader="none" w:pos="1264"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any Guarantor from its obligations under the Guaranty except as contemplated by Section 7.14.(c);</w:t>
      </w:r>
    </w:p>
    <w:p>
      <w:pPr>
        <w:spacing w:after="0" w:line="117" w:lineRule="exact"/>
        <w:rPr>
          <w:rFonts w:ascii="Times New Roman" w:cs="Times New Roman" w:eastAsia="Times New Roman" w:hAnsi="Times New Roman"/>
          <w:sz w:val="18"/>
          <w:szCs w:val="18"/>
          <w:color w:val="auto"/>
        </w:rPr>
      </w:pPr>
    </w:p>
    <w:p>
      <w:pPr>
        <w:ind w:left="1164" w:hanging="301"/>
        <w:spacing w:after="0"/>
        <w:tabs>
          <w:tab w:leader="none" w:pos="1164"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or Event of Default under Section 10.1.(a), except as provided in Section 10.7.; or</w:t>
      </w:r>
    </w:p>
    <w:p>
      <w:pPr>
        <w:spacing w:after="0" w:line="117" w:lineRule="exact"/>
        <w:rPr>
          <w:rFonts w:ascii="Times New Roman" w:cs="Times New Roman" w:eastAsia="Times New Roman" w:hAnsi="Times New Roman"/>
          <w:sz w:val="18"/>
          <w:szCs w:val="18"/>
          <w:color w:val="auto"/>
        </w:rPr>
      </w:pPr>
    </w:p>
    <w:p>
      <w:pPr>
        <w:ind w:left="1124" w:hanging="261"/>
        <w:spacing w:after="0"/>
        <w:tabs>
          <w:tab w:leader="none" w:pos="1124"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waive the Borrower’s compliance with, Section 2.15.</w:t>
      </w:r>
    </w:p>
    <w:p>
      <w:pPr>
        <w:spacing w:after="0" w:line="157" w:lineRule="exact"/>
        <w:rPr>
          <w:rFonts w:ascii="Times New Roman" w:cs="Times New Roman" w:eastAsia="Times New Roman" w:hAnsi="Times New Roman"/>
          <w:sz w:val="18"/>
          <w:szCs w:val="18"/>
          <w:color w:val="auto"/>
        </w:rPr>
      </w:pPr>
    </w:p>
    <w:p>
      <w:pPr>
        <w:ind w:left="5364" w:hanging="96"/>
        <w:spacing w:after="0"/>
        <w:tabs>
          <w:tab w:leader="none" w:pos="5364"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120 -</w:t>
      </w:r>
    </w:p>
    <w:p>
      <w:pPr>
        <w:sectPr>
          <w:pgSz w:w="11900" w:h="16838" w:orient="portrait"/>
          <w:cols w:equalWidth="0" w:num="1">
            <w:col w:w="11004"/>
          </w:cols>
          <w:pgMar w:left="436" w:top="266" w:right="459" w:bottom="1440" w:gutter="0" w:footer="0" w:header="0"/>
        </w:sectPr>
      </w:pPr>
    </w:p>
    <w:bookmarkStart w:id="130" w:name="page131"/>
    <w:bookmarkEnd w:id="130"/>
    <w:p>
      <w:pPr>
        <w:ind w:right="20" w:firstLine="436"/>
        <w:spacing w:after="0" w:line="253" w:lineRule="auto"/>
        <w:tabs>
          <w:tab w:leader="none" w:pos="695"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Amendment of Administrative Agent’s Duties, Etc</w:t>
      </w:r>
      <w:r>
        <w:rPr>
          <w:rFonts w:ascii="Times New Roman" w:cs="Times New Roman" w:eastAsia="Times New Roman" w:hAnsi="Times New Roman"/>
          <w:sz w:val="18"/>
          <w:szCs w:val="18"/>
          <w:color w:val="auto"/>
        </w:rPr>
        <w:t>. No amendment, waiver or consent unless in writing and signed by the Administrative Agent, in addition to the Lenders required hereinabove to take such action, shall affect the rights or duties of the Administrative Agent under this Agreement or any of the other Loan Documents. Any amendment, waiver or consent relating to Section 2.4. or the obligations of the Swingline Lender under this Agreement or any other Loan Document shall, in addition to the Lenders required hereinabove to take such action, require the written consent of the Swingline Lender. Any amendment, waiver or consent relating to Section 2.3. or the obligations of the Issuing Bank under this Agreement or any other Loan Document shall, in addition to the Lenders required hereinabove to take such action, require the written consent of the Issuing Bank. Any amendment, waiver or consent with respect to any Loan Document that increases the liabilities or obligations of a Specified Derivatives Provider shall, in addition to the Lenders required hereinabove to take such action, require the consent of the Lender that is (or having an Affiliate that is) such Specified Derivatives Provider. No waiver shall extend to or affect any obligation not expressly waived or impair any right consequent thereon and any amendment, waiver or consent shall be effective only in the specific instance and for the specific purpose set forth therein. No course of dealing or delay or omission on the part of the Administrative Agent or any Lender in exercising any right shall operate as a waiver thereof or otherwise be prejudicial thereto. Except as otherwise explicitly provided for herein or in any other Loan Document, no notice to or demand upon the Borrower shall entitle the Borrower to other or further notice or demand in similar or other circumstances.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12.8. Nonliability of Administrative Agent and Lenders.</w:t>
      </w:r>
    </w:p>
    <w:p>
      <w:pPr>
        <w:spacing w:after="0" w:line="121"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The relationship between the Borrower, on the one hand, and the Lenders, the Issuing Bank and the Administrative Agent, on the other hand, shall be solely that of borrower and lender. None of the Administrative Agent, the Issuing Bank or any Lender shall have any fiduciary responsibilities to the Borrower and no provision in this Agreement or in any of the other Loan Documents, and no course of dealing between or among any of the parties hereto, shall be deemed to create any fiduciary duty owing by the Administrative Agent, the Issuing Bank or any Lender to any Lender, the Borrower, any Subsidiary or any other Loan Party. None of the Administrative Agent, the Issuing Bank or any Lender undertakes any responsibility to the Borrower to review or inform the Borrower of any matter in connection with any phase of the Borrower’s business or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12.9. Confidentiality.</w:t>
      </w:r>
    </w:p>
    <w:p>
      <w:pPr>
        <w:spacing w:after="0" w:line="121"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The Administrative Agent and each Lender shall use reasonable efforts to maintain the confidentiality of all information about Borrower, the other Loan Parties and other Subsidiaries, and the Properties thereof and their operations, affairs and financial condition, not generally disclosed to the public, which is furnished to the Administrative Agent or any Lender by the Borrower, any other Loan Party, any other Subsidiary or Affiliate of Borrower, any other Loan Party, or any other Subsidiary pursuant to the provisions of this Agreement or any other Loan Document in accordance with its customary procedure for handling confidential information of this nature and in accordance with safe and sound banking practice, but in any event, the Administrative Agent and the Lenders may make disclosure: (a) to any of their respective Affiliates and its and its Affiliates’ respective partners, directors, officers, employees, agents, advisors, consultants, service providers and other representatives (provided they shall agree to keep such information confidential in accordance with the terms of this Section 12.9.); (b) as reasonably requested by any bona fide prospective assignee, Participant or other transferee in connection with the contemplated transfer of any Commitment, Loan or participations therein (provided they shall agree to keep such information confidential in accordance with the terms of this Section); (c) as required or requested by any Governmental Authority or representative thereof or pursuant to legal process or in connection with any legal proceedings or as otherwise required by Applicable Law; (d) to the Administrative Agent’s or such Lender’s independent auditors, consultants and service providers, and other professional advisors (provided</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- 121 -</w:t>
      </w:r>
    </w:p>
    <w:p>
      <w:pPr>
        <w:sectPr>
          <w:pgSz w:w="11900" w:h="16838" w:orient="portrait"/>
          <w:cols w:equalWidth="0" w:num="1">
            <w:col w:w="11000"/>
          </w:cols>
          <w:pgMar w:left="440" w:top="270" w:right="459" w:bottom="1440" w:gutter="0" w:footer="0" w:header="0"/>
        </w:sectPr>
      </w:pPr>
    </w:p>
    <w:bookmarkStart w:id="131" w:name="page132"/>
    <w:bookmarkEnd w:id="131"/>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they shall be notified of the confidential nature of the information); (e) after the happening and during the continuance of an Event of Default hereunder or under any other Loan Document (or Specified Derivatives Contract), to any other Person, as necessary for the exercise by the Administrative Agent or the Lenders (or a Specified Derivatives Provider) of rights and remedies hereunder or under any of the other Loan Documents (or Specified Derivatives Contract); (f) to bank trade publications (such information to consist of deal terms and other information customarily found in such publications), (g) upon Borrower’s prior consent (which consent shall not be unreasonably withheld), to any actual or prospective contractual counter-parties (or its advisors) to any swap or similar hedging agreement or to any rating agency; (h) to any other party hereto; (i) upon Borrower’s prior written consent, to any other Person; and (j) to the extent such information (i) becomes publicly available other than as a result of a breach by such party of this Section actually known by the Administrative Agent and the Lenders to be a breach of this section, or (ii) becomes available to the Administrative Agent or any Lender or any Affiliate of the Administrative Agent or any Lender on a nonconfidential basis from a source other than the Borrower or any Affiliate of the Borrower unless the Administrative Agent or such Lender has actual knowledge that such information became nonconfidential as a result of a breach of a confidential arrangement with the Borrower or such Loan Party. Notwithstanding the foregoing, the Administrative Agent and each Lender may disclose any such confidential information, without notice to the Borrower or any other Loan Party, to Governmental Authorities or similar authority (including any self-regulatory authority, such as the National Association of Insurance Commissioners) having or purporting to have jurisdiction over it in connection with any regulatory examination of the Administrative Agent or such Lender or in accordance with the regulatory compliance policy of the Administrative Agent or such Lender.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its own confidential information.</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12.10. Indemnification.</w:t>
      </w:r>
    </w:p>
    <w:p>
      <w:pPr>
        <w:spacing w:after="0" w:line="121" w:lineRule="exact"/>
        <w:rPr>
          <w:sz w:val="20"/>
          <w:szCs w:val="20"/>
          <w:color w:val="auto"/>
        </w:rPr>
      </w:pPr>
    </w:p>
    <w:p>
      <w:pPr>
        <w:ind w:right="40" w:firstLine="436"/>
        <w:spacing w:after="0" w:line="252" w:lineRule="auto"/>
        <w:tabs>
          <w:tab w:leader="none" w:pos="685"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and hereby agrees to indemnify, defend and hold harmless the Administrative Agent, the Issuing Bank, the Lenders, all of the Affiliates of each of the Administrative Agent, the Issuing Bank or any of the Lenders, and their respective directors, officers, shareholders, agents, employees and counsel (each referred to herein as an “</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from and against any and all of the following (collectively, the “</w:t>
      </w:r>
      <w:r>
        <w:rPr>
          <w:rFonts w:ascii="Times New Roman" w:cs="Times New Roman" w:eastAsia="Times New Roman" w:hAnsi="Times New Roman"/>
          <w:sz w:val="18"/>
          <w:szCs w:val="18"/>
          <w:b w:val="1"/>
          <w:bCs w:val="1"/>
          <w:color w:val="auto"/>
        </w:rPr>
        <w:t>Indemnified Costs</w:t>
      </w:r>
      <w:r>
        <w:rPr>
          <w:rFonts w:ascii="Times New Roman" w:cs="Times New Roman" w:eastAsia="Times New Roman" w:hAnsi="Times New Roman"/>
          <w:sz w:val="18"/>
          <w:szCs w:val="18"/>
          <w:color w:val="auto"/>
        </w:rPr>
        <w:t>”): losses, costs, claims, penalties, damages, liabilities, deficiencies, judgments or reasonable expenses of every kind and nature (including, without limitation, amounts paid in settlement, court costs and the reasonable fees and disbursements of counsel incurred in connection with any litigation, investigation, claim or proceeding or any advice rendered in connection therewith, but excluding Indemnified Costs indemnification in respect of which is specifically covered by Section 3.10. or 4.1. or expressly excluded from the coverage of such Sections) incurred by an Indemnified Party in connection with, arising out of, or by reason of, any suit, cause of action, claim, arbitration, investigation or settlement, consent decree or other proceeding (the foregoing referred to herein as an “</w:t>
      </w:r>
      <w:r>
        <w:rPr>
          <w:rFonts w:ascii="Times New Roman" w:cs="Times New Roman" w:eastAsia="Times New Roman" w:hAnsi="Times New Roman"/>
          <w:sz w:val="18"/>
          <w:szCs w:val="18"/>
          <w:b w:val="1"/>
          <w:bCs w:val="1"/>
          <w:color w:val="auto"/>
        </w:rPr>
        <w:t>Indemnity Proceeding</w:t>
      </w:r>
      <w:r>
        <w:rPr>
          <w:rFonts w:ascii="Times New Roman" w:cs="Times New Roman" w:eastAsia="Times New Roman" w:hAnsi="Times New Roman"/>
          <w:sz w:val="18"/>
          <w:szCs w:val="18"/>
          <w:color w:val="auto"/>
        </w:rPr>
        <w:t>”) which is in any way related directly or indirectly to: (i) this Agreement or any other Loan Document or the transactions contemplated thereby; (ii) the making of any Loans or issuance of Letters of Credit hereunder; (iii) any actual or proposed use by the Borrower of the proceeds of the Loans or Letters of Credit; (iv) the Administrative Agent’s, the Issuing Bank’s or any Lender’s entering into this Agreement; (v) the fact that the Administrative Agent, the Issuing Bank and the Lenders have established the credit facility evidenced hereby in favor of the Borrower; (vi) the fact that the Administrative Agent, the Issuing Bank and the Lenders are creditors of the Borrower and have or are alleged to have information regarding the financial condition, strategic plans or business operations of the Borrower and the Subsidiaries; (vii) the fact that the Administrative Agent, the Issuing Bank and the Lenders are material creditors of the Borrower and are alleged to influence directly or indirectly the business decisions or affairs of the Borrower and the Subsidiaries or their financial condition; (viii) the exercise of any right or remedy the Administrative Agent, the Issuing Bank or the Lenders may have under this</w:t>
      </w:r>
    </w:p>
    <w:p>
      <w:pPr>
        <w:spacing w:after="0" w:line="125" w:lineRule="exact"/>
        <w:rPr>
          <w:rFonts w:ascii="Times New Roman" w:cs="Times New Roman" w:eastAsia="Times New Roman" w:hAnsi="Times New Roman"/>
          <w:sz w:val="18"/>
          <w:szCs w:val="18"/>
          <w:color w:val="auto"/>
        </w:rPr>
      </w:pPr>
    </w:p>
    <w:p>
      <w:pPr>
        <w:ind w:left="5360" w:hanging="96"/>
        <w:spacing w:after="0"/>
        <w:tabs>
          <w:tab w:leader="none" w:pos="5360"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122 -</w:t>
      </w:r>
    </w:p>
    <w:p>
      <w:pPr>
        <w:sectPr>
          <w:pgSz w:w="11900" w:h="16838" w:orient="portrait"/>
          <w:cols w:equalWidth="0" w:num="1">
            <w:col w:w="10960"/>
          </w:cols>
          <w:pgMar w:left="440" w:top="270" w:right="499" w:bottom="1440" w:gutter="0" w:footer="0" w:header="0"/>
        </w:sectPr>
      </w:pPr>
    </w:p>
    <w:bookmarkStart w:id="132" w:name="page133"/>
    <w:bookmarkEnd w:id="132"/>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Agreement or the other Loan Documents; (viii) any civil penalty or fine assessed by the OFAC against, and all reasonable costs and expenses (including counsel fees and disbursements) incurred in connection with defense thereof by, the Administrative Agent, the Issuing Bank or any Lender as a result of conduct of the Borrower, any other Loan Party or any other Subsidiary that violates a sanction administered or enforced by the OFAC; or (ix) any violation or non-compliance by the Borrower or any Subsidiary of any Applicable Law (including any Environmental Law) including, but not limited to, any Indemnity Proceeding commenced by (A) the Internal Revenue Service or state taxing authority or (B) any Governmental Authority or other Person under any Environmental Law, including any Indemnity Proceeding commenced by a Governmental Authority or other Person seeking remedial or other action to cause the Borrower or its Subsidiaries (or its respective properties) (or the Administrative Agent and/or the Lenders and/or the Issuing Bank as successors to the Borrower) to be in compliance with such Environmental Laws; provided, however, that the Borrower shall not be obligated to indemnify any Indemnified Party for (A) any acts or omissions of such Indemnified Party in connection with matters described in this subjection to the extent arising from the gross negligence or willful misconduct of such Indemnified Party, as determined by a court of competent jurisdiction in a final, non-appealable judgment or (B) Indemnified Costs to the extent arising directly out of or resulting directly from claims of one or more Indemnified Parties against another Indemnified Party (other than claims of the Indemnified Parties against the Administrative Agent, the Issuing Bank or the Swingline Lender, acting in their capacities as such). This section shall not apply with respect to Taxes other than any Taxes that represent losses, claims or damages arising from any non-Tax claim. Each Indemnified Party shall be obligated to refund or return any amounts paid by the Borrower under this paragraph to such Indemnified Party to the extent such Indemnified Party was not actually entitled to payment of such amounts in accordance with the terms hereof as determined by such Indemnified Party in its sole discretion exercised in good faith.</w:t>
      </w:r>
    </w:p>
    <w:p>
      <w:pPr>
        <w:spacing w:after="0" w:line="195" w:lineRule="exact"/>
        <w:rPr>
          <w:sz w:val="20"/>
          <w:szCs w:val="20"/>
          <w:color w:val="auto"/>
        </w:rPr>
      </w:pPr>
    </w:p>
    <w:p>
      <w:pPr>
        <w:ind w:right="20" w:firstLine="436"/>
        <w:spacing w:after="0" w:line="254" w:lineRule="auto"/>
        <w:tabs>
          <w:tab w:leader="none" w:pos="695"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indemnification obligations under this Section shall apply to all Indemnity Proceedings arising out of, or related to, the foregoing whether or not an Indemnified Party is a named party in such Indemnity Proceeding. In this connection, this indemnification shall cover all Indemnified Costs of any Indemnified Party in connection with any deposition of any Indemnified Party or compliance with any subpoena (including any subpoena requesting the production of documents). This indemnification shall, among other things, apply to any Indemnity Proceeding commenced by other creditors of the Borrower or any Subsidiary, any shareholder of the Borrower or any Subsidiary (whether such shareholder(s) are prosecuting such Indemnity Proceeding in their individual capacity or derivatively on behalf of the Borrower), any account debtor of the Borrower or any Subsidiary or by any Governmental Authority. If indemnification is to be sought hereunder by an Indemnified Party, then such Indemnified Party shall promptly notify the Borrower of the commencement of any Indemnity Proceeding; provided, however, that the failure to so notify the Borrower shall not otherwise relieve the Borrower from any liability that it may have to such Indemnified Party pursuant to this Section 12.10.</w:t>
      </w:r>
    </w:p>
    <w:p>
      <w:pPr>
        <w:spacing w:after="0" w:line="188" w:lineRule="exact"/>
        <w:rPr>
          <w:rFonts w:ascii="Times New Roman" w:cs="Times New Roman" w:eastAsia="Times New Roman" w:hAnsi="Times New Roman"/>
          <w:sz w:val="18"/>
          <w:szCs w:val="18"/>
          <w:color w:val="auto"/>
        </w:rPr>
      </w:pPr>
    </w:p>
    <w:p>
      <w:pPr>
        <w:ind w:firstLine="436"/>
        <w:spacing w:after="0" w:line="282" w:lineRule="auto"/>
        <w:tabs>
          <w:tab w:leader="none" w:pos="685"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indemnification shall apply to any Indemnity Proceeding arising during the pendency of any bankruptcy proceeding filed by or against the Borrower and/or any Subsidiary.</w:t>
      </w:r>
    </w:p>
    <w:p>
      <w:pPr>
        <w:spacing w:after="0" w:line="161" w:lineRule="exact"/>
        <w:rPr>
          <w:rFonts w:ascii="Times New Roman" w:cs="Times New Roman" w:eastAsia="Times New Roman" w:hAnsi="Times New Roman"/>
          <w:sz w:val="18"/>
          <w:szCs w:val="18"/>
          <w:color w:val="auto"/>
        </w:rPr>
      </w:pPr>
    </w:p>
    <w:p>
      <w:pPr>
        <w:ind w:right="220" w:firstLine="436"/>
        <w:spacing w:after="0" w:line="261" w:lineRule="auto"/>
        <w:tabs>
          <w:tab w:leader="none" w:pos="695"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out-of-pocket fees and expenses of, and all amounts paid to third-persons by, an Indemnified Party shall be advanced by the Borrower at the request of such Indemnified Party notwithstanding any claim or assertion by the Borrower that such Indemnified Party is not entitled to indemnification hereunder upon receipt of an undertaking by such Indemnified Party that such Indemnified Party will reimburse the Borrower if it is actually and finally determined by a court of competent jurisdiction that such Indemnified Party is not so entitled to indemnification hereunder.</w:t>
      </w:r>
    </w:p>
    <w:p>
      <w:pPr>
        <w:spacing w:after="0" w:line="112" w:lineRule="exact"/>
        <w:rPr>
          <w:rFonts w:ascii="Times New Roman" w:cs="Times New Roman" w:eastAsia="Times New Roman" w:hAnsi="Times New Roman"/>
          <w:sz w:val="18"/>
          <w:szCs w:val="18"/>
          <w:color w:val="auto"/>
        </w:rPr>
      </w:pPr>
    </w:p>
    <w:p>
      <w:pPr>
        <w:ind w:left="5360" w:hanging="96"/>
        <w:spacing w:after="0"/>
        <w:tabs>
          <w:tab w:leader="none" w:pos="5360"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123 -</w:t>
      </w:r>
    </w:p>
    <w:p>
      <w:pPr>
        <w:sectPr>
          <w:pgSz w:w="11900" w:h="16838" w:orient="portrait"/>
          <w:cols w:equalWidth="0" w:num="1">
            <w:col w:w="11000"/>
          </w:cols>
          <w:pgMar w:left="440" w:top="270" w:right="459" w:bottom="1440" w:gutter="0" w:footer="0" w:header="0"/>
        </w:sectPr>
      </w:pPr>
    </w:p>
    <w:bookmarkStart w:id="133" w:name="page134"/>
    <w:bookmarkEnd w:id="133"/>
    <w:p>
      <w:pPr>
        <w:ind w:left="4" w:right="160" w:firstLine="436"/>
        <w:spacing w:after="0" w:line="267" w:lineRule="auto"/>
        <w:tabs>
          <w:tab w:leader="none" w:pos="689" w:val="left"/>
        </w:tabs>
        <w:numPr>
          <w:ilvl w:val="1"/>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 Indemnified Party may conduct its own investigation and defense of, and may formulate its own strategy with respect to, any Indemnity Proceeding covered by this Section and, as provided above, all Indemnified Costs incurred by such Indemnified Party shall be reimbursed by the Borrower. No action taken by legal counsel chosen by an Indemnified Party in investigating or defending against any such Indemnity Proceeding shall vitiate or in any way impair the obligations and duties of the Borrower hereunder to indemnify and hold harmless each such Indemnified Party; provided, however, that if (i) the Borrower is required to indemnify an Indemnified Party pursuant hereto and (ii) the Borrower has provided evidence reasonably satisfactory to such Indemnified Party that the Borrower has the financial wherewithal to reimburse such Indemnified Party for any amount paid by such Indemnified Party with respect to such Indemnity Proceeding, such Indemnified Party shall not settle or compromise any such Indemnity Proceeding without the prior written consent of the Borrower (which consent shall not be unreasonably withheld or delayed). Notwithstanding the foregoing, an Indemnified Party may settle or compromise any such Indemnity Proceeding without the prior written consent of the Borrower where</w:t>
      </w:r>
    </w:p>
    <w:p>
      <w:pPr>
        <w:spacing w:after="0" w:line="5" w:lineRule="exact"/>
        <w:rPr>
          <w:rFonts w:ascii="Times New Roman" w:cs="Times New Roman" w:eastAsia="Times New Roman" w:hAnsi="Times New Roman"/>
          <w:sz w:val="17"/>
          <w:szCs w:val="17"/>
          <w:color w:val="auto"/>
        </w:rPr>
      </w:pPr>
    </w:p>
    <w:p>
      <w:pPr>
        <w:ind w:left="4" w:right="140" w:hanging="4"/>
        <w:spacing w:after="0" w:line="255" w:lineRule="auto"/>
        <w:tabs>
          <w:tab w:leader="none" w:pos="259"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monetary relief is sought against such Indemnified Party in such Indemnity Proceeding, (y) there is an allegation of a violation of law by such Indemnified Party, or (z) the proposed settlement or compromise would otherwise be disadvantageous to such Indemnified Party as determined by it in its sole discretion.</w:t>
      </w:r>
    </w:p>
    <w:p>
      <w:pPr>
        <w:spacing w:after="0" w:line="185" w:lineRule="exact"/>
        <w:rPr>
          <w:rFonts w:ascii="Times New Roman" w:cs="Times New Roman" w:eastAsia="Times New Roman" w:hAnsi="Times New Roman"/>
          <w:sz w:val="18"/>
          <w:szCs w:val="18"/>
          <w:color w:val="auto"/>
        </w:rPr>
      </w:pPr>
    </w:p>
    <w:p>
      <w:pPr>
        <w:ind w:left="4" w:right="340" w:firstLine="436"/>
        <w:spacing w:after="0" w:line="282" w:lineRule="auto"/>
        <w:tabs>
          <w:tab w:leader="none" w:pos="669"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to the extent that the obligations of the Borrower under this Section are unenforceable for any reason, the Borrower hereby agrees to make the maximum contribution to the payment and satisfaction of such obligations which is permissible under Applicable Law.</w:t>
      </w:r>
    </w:p>
    <w:p>
      <w:pPr>
        <w:spacing w:after="0" w:line="161" w:lineRule="exact"/>
        <w:rPr>
          <w:rFonts w:ascii="Times New Roman" w:cs="Times New Roman" w:eastAsia="Times New Roman" w:hAnsi="Times New Roman"/>
          <w:sz w:val="18"/>
          <w:szCs w:val="18"/>
          <w:color w:val="auto"/>
        </w:rPr>
      </w:pPr>
    </w:p>
    <w:p>
      <w:pPr>
        <w:ind w:left="4" w:firstLine="436"/>
        <w:spacing w:after="0" w:line="266" w:lineRule="auto"/>
        <w:tabs>
          <w:tab w:leader="none" w:pos="699"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obligations under this Section shall survive any termination of this Agreement and the other Loan Documents and the payment in full in cash of the Obligations, and are in addition to, and not in substitution of, any of the other obligations set forth in this Agreement or any other Loan Document to which it is a party.</w:t>
      </w:r>
    </w:p>
    <w:p>
      <w:pPr>
        <w:spacing w:after="0" w:line="176" w:lineRule="exact"/>
        <w:rPr>
          <w:sz w:val="20"/>
          <w:szCs w:val="20"/>
          <w:color w:val="auto"/>
        </w:rPr>
      </w:pPr>
    </w:p>
    <w:p>
      <w:pPr>
        <w:ind w:left="4" w:right="180"/>
        <w:spacing w:after="0" w:line="282" w:lineRule="auto"/>
        <w:rPr>
          <w:sz w:val="20"/>
          <w:szCs w:val="20"/>
          <w:color w:val="auto"/>
        </w:rPr>
      </w:pPr>
      <w:r>
        <w:rPr>
          <w:rFonts w:ascii="Times New Roman" w:cs="Times New Roman" w:eastAsia="Times New Roman" w:hAnsi="Times New Roman"/>
          <w:sz w:val="18"/>
          <w:szCs w:val="18"/>
          <w:color w:val="auto"/>
        </w:rPr>
        <w:t>References in this Section 12.10. to “Lender” or “Lenders” shall be deemed to include such Persons (and their Affiliates) in their capacity as Specified Derivatives Providers.</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12.11. Termination; Survival.</w:t>
      </w:r>
    </w:p>
    <w:p>
      <w:pPr>
        <w:spacing w:after="0" w:line="121" w:lineRule="exact"/>
        <w:rPr>
          <w:sz w:val="20"/>
          <w:szCs w:val="20"/>
          <w:color w:val="auto"/>
        </w:rPr>
      </w:pPr>
    </w:p>
    <w:p>
      <w:pPr>
        <w:ind w:left="4" w:right="20" w:firstLine="440"/>
        <w:spacing w:after="0" w:line="253" w:lineRule="auto"/>
        <w:rPr>
          <w:sz w:val="20"/>
          <w:szCs w:val="20"/>
          <w:color w:val="auto"/>
        </w:rPr>
      </w:pPr>
      <w:r>
        <w:rPr>
          <w:rFonts w:ascii="Times New Roman" w:cs="Times New Roman" w:eastAsia="Times New Roman" w:hAnsi="Times New Roman"/>
          <w:sz w:val="18"/>
          <w:szCs w:val="18"/>
          <w:color w:val="auto"/>
        </w:rPr>
        <w:t>This Agreement shall terminate at such time as (a) all of the Commitments have been terminated, (b) all Letters of Credit have terminated or expired or been canceled (other than Extended Letters of Credit in respect of which the Borrower has satisfied the requirements to provide Cash Collateral as required in Section 2.3.(b)), (c) none of the Lenders is obligated any longer under this Agreement to make any Loans and the Issuing Bank is no longer obligated under this Agreement to issue Letters of Credit and (d) all Obligations (other than obligations which survive as provided in the following sentence) have been paid and satisfied in full. The indemnities to which the Administrative Agent, the Issuing Bank and the Lenders are entitled under the provisions of Sections 3.10., 4.1., 4.4., 11.6., 12.2. and 12.10. and any other provision of this Agreement and the other Loan Documents, and the provisions of Section 12.5., shall continue in full force and effect and shall protect the Administrative Agent, the Issuing Bank and the Lenders (i) notwithstanding any termination of this Agreement, or of the other Loan Documents, against events arising after such termination as well as before and (ii) at all times after any such party ceases to be a party to this Agreement with respect to all matters and events existing on or prior to the date such party ceased to be a party to this Agreement.</w:t>
      </w:r>
    </w:p>
    <w:p>
      <w:pPr>
        <w:spacing w:after="0" w:line="29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12.12. Severability of Provisions.</w:t>
      </w:r>
    </w:p>
    <w:p>
      <w:pPr>
        <w:spacing w:after="0" w:line="121" w:lineRule="exact"/>
        <w:rPr>
          <w:sz w:val="20"/>
          <w:szCs w:val="20"/>
          <w:color w:val="auto"/>
        </w:rPr>
      </w:pPr>
    </w:p>
    <w:p>
      <w:pPr>
        <w:jc w:val="both"/>
        <w:ind w:left="4" w:right="140" w:firstLine="440"/>
        <w:spacing w:after="0" w:line="266" w:lineRule="auto"/>
        <w:rPr>
          <w:sz w:val="20"/>
          <w:szCs w:val="20"/>
          <w:color w:val="auto"/>
        </w:rPr>
      </w:pPr>
      <w:r>
        <w:rPr>
          <w:rFonts w:ascii="Times New Roman" w:cs="Times New Roman" w:eastAsia="Times New Roman" w:hAnsi="Times New Roman"/>
          <w:sz w:val="18"/>
          <w:szCs w:val="18"/>
          <w:color w:val="auto"/>
        </w:rPr>
        <w:t>Any provision of this Agreement which is prohibited or unenforceable in any jurisdiction shall, as to such jurisdiction, be ineffective only to the extent of such prohibition or unenforceability without invalidating the remainder of such provision or the remaining provisions or affecting the validity or enforceability of such provision in any other jurisdiction.</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- 124 -</w:t>
      </w:r>
    </w:p>
    <w:p>
      <w:pPr>
        <w:sectPr>
          <w:pgSz w:w="11900" w:h="16838" w:orient="portrait"/>
          <w:cols w:equalWidth="0" w:num="1">
            <w:col w:w="11004"/>
          </w:cols>
          <w:pgMar w:left="436" w:top="270" w:right="459" w:bottom="1440" w:gutter="0" w:footer="0" w:header="0"/>
        </w:sectPr>
      </w:pPr>
    </w:p>
    <w:bookmarkStart w:id="134" w:name="page135"/>
    <w:bookmarkEnd w:id="134"/>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12.13. GOVERNING LAW.</w:t>
      </w:r>
    </w:p>
    <w:p>
      <w:pPr>
        <w:spacing w:after="0" w:line="121" w:lineRule="exact"/>
        <w:rPr>
          <w:sz w:val="20"/>
          <w:szCs w:val="20"/>
          <w:color w:val="auto"/>
        </w:rPr>
      </w:pPr>
    </w:p>
    <w:p>
      <w:pPr>
        <w:ind w:left="4" w:right="220" w:firstLine="440"/>
        <w:spacing w:after="0" w:line="282" w:lineRule="auto"/>
        <w:rPr>
          <w:sz w:val="20"/>
          <w:szCs w:val="20"/>
          <w:color w:val="auto"/>
        </w:rPr>
      </w:pPr>
      <w:r>
        <w:rPr>
          <w:rFonts w:ascii="Times New Roman" w:cs="Times New Roman" w:eastAsia="Times New Roman" w:hAnsi="Times New Roman"/>
          <w:sz w:val="18"/>
          <w:szCs w:val="18"/>
          <w:color w:val="auto"/>
        </w:rPr>
        <w:t>THIS AGREEMENT SHALL BE GOVERNED BY, AND CONSTRUED IN ACCORDANCE WITH, THE LAWS OF THE STATE OF NEW YORK APPLICABLE TO CONTRACTS EXECUTED, AND TO BE FULLY PERFORMED, IN SUCH STATE.</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12.14. Counterparts; Integration; Effectiveness; Electronic Execution.</w:t>
      </w:r>
    </w:p>
    <w:p>
      <w:pPr>
        <w:spacing w:after="0" w:line="121" w:lineRule="exact"/>
        <w:rPr>
          <w:sz w:val="20"/>
          <w:szCs w:val="20"/>
          <w:color w:val="auto"/>
        </w:rPr>
      </w:pPr>
    </w:p>
    <w:p>
      <w:pPr>
        <w:ind w:left="4" w:firstLine="436"/>
        <w:spacing w:after="0" w:line="254" w:lineRule="auto"/>
        <w:tabs>
          <w:tab w:leader="none" w:pos="689"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 Integration; Effectiveness</w:t>
      </w:r>
      <w:r>
        <w:rPr>
          <w:rFonts w:ascii="Times New Roman" w:cs="Times New Roman" w:eastAsia="Times New Roman" w:hAnsi="Times New Roman"/>
          <w:sz w:val="18"/>
          <w:szCs w:val="18"/>
          <w:color w:val="auto"/>
        </w:rPr>
        <w:t xml:space="preserve">. This Agreement may be executed in counterparts (and by different parties hereto in different counterparts), each of which shall constitute an original, but all of which when taken together shall constitute a single contract. This Agreement and the other Loan Documents, and any separate letter agreements with respect to fees payable to the Administrative Agent, any Issuing Lender, the Swingline Lender and/or the Arranger, constitute the entire contract among the parties relating to the subject matter hereof and supersede any and all previous agreements and understandings, oral or written, relating to the subject matter hereof. Except as provided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by facsimile or in electronic (i.e., “pdf” or “tif”) format shall be effective as delivery of a manually executed counterpart of this Agreement.</w:t>
      </w:r>
    </w:p>
    <w:p>
      <w:pPr>
        <w:spacing w:after="0" w:line="191" w:lineRule="exact"/>
        <w:rPr>
          <w:rFonts w:ascii="Times New Roman" w:cs="Times New Roman" w:eastAsia="Times New Roman" w:hAnsi="Times New Roman"/>
          <w:sz w:val="18"/>
          <w:szCs w:val="18"/>
          <w:color w:val="auto"/>
        </w:rPr>
      </w:pPr>
    </w:p>
    <w:p>
      <w:pPr>
        <w:ind w:left="4" w:right="40" w:firstLine="436"/>
        <w:spacing w:after="0" w:line="266" w:lineRule="auto"/>
        <w:tabs>
          <w:tab w:leader="none" w:pos="699" w:val="left"/>
        </w:tabs>
        <w:numPr>
          <w:ilvl w:val="1"/>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Electronic Execution</w:t>
      </w:r>
      <w:r>
        <w:rPr>
          <w:rFonts w:ascii="Times New Roman" w:cs="Times New Roman" w:eastAsia="Times New Roman" w:hAnsi="Times New Roman"/>
          <w:sz w:val="17"/>
          <w:szCs w:val="17"/>
          <w:color w:val="auto"/>
        </w:rPr>
        <w:t xml:space="preserve">. The words of like import in or related to this Agreement, any other Loan Document or any document, amendment, approval, consent, waiver, modification, information, notice, certificate, report, statement, disclosure, or authorization to be signed or delivered in connection with this Agreement or any other Loan Document or the transactions contemplated hereby shall be deemed to include Electronic Signatures or execution in the form of an Electronic Record, and contract formations on electronic platforms approved by the Administrative Agent, deliveries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Each party hereto agrees that any Electronic Signature or execution in the form of an Electronic Record shall be valid and binding on itself and each of the other parties hereto to the same extent as a manual, original signature. For the avoidance of doubt, the authorization under this paragraph may include, without limitation, use or acceptance by the parties of a manually signed paper which has been converted into electronic form (such as scanned into PDF format), or an electronically signed paper converted into another format, for transmission, delivery and/or retention. Notwithstanding anything contained herein to the contrary, the Administrative Agent is under no obligation to accept an Electronic Signature in any form or in any format unless expressly agreed to by the Administrative Agent pursuant to procedures approved by it;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without limiting the foregoing, (i) to the extent the Administrative Agent has agreed to accept such Electronic Signature from any party hereto, the Administrative Agent and the other parties hereto shall be entitled to rely on any such Electronic Signature purportedly given by or on behalf of the executing party without further verification and (ii) upon the request of the Administrative Agent or any Lender, any Electronic Signature shall be promptly followed by an original manually executed counterpart thereof. Without limiting the generality of the foregoing, each party hereto hereby</w:t>
      </w:r>
    </w:p>
    <w:p>
      <w:pPr>
        <w:spacing w:after="0" w:line="7" w:lineRule="exact"/>
        <w:rPr>
          <w:rFonts w:ascii="Times New Roman" w:cs="Times New Roman" w:eastAsia="Times New Roman" w:hAnsi="Times New Roman"/>
          <w:sz w:val="17"/>
          <w:szCs w:val="17"/>
          <w:color w:val="auto"/>
        </w:rPr>
      </w:pPr>
    </w:p>
    <w:p>
      <w:pPr>
        <w:ind w:left="4" w:right="40" w:hanging="4"/>
        <w:spacing w:after="0" w:line="253" w:lineRule="auto"/>
        <w:tabs>
          <w:tab w:leader="none" w:pos="299"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that, for all purposes, including without limitation, in connection with any workout, restructuring, enforcement of remedies, bankruptcy proceedings or litigation among the Administrative Agent, the Lenders and any of the Credit Parties, electronic images of this Agreement or any other Loan Document (in each case, including with respect to any signature pages thereto) shall have the same legal effect, validity and enforceability as any paper original, and (B) waives any argument, defense or right to contest the validity or enforceability of the Loan Documents based solely on the lack of paper original copies of any Loan Documents, including with respect to any signature pages thereto.</w:t>
      </w:r>
    </w:p>
    <w:p>
      <w:pPr>
        <w:spacing w:after="0" w:line="119" w:lineRule="exact"/>
        <w:rPr>
          <w:rFonts w:ascii="Times New Roman" w:cs="Times New Roman" w:eastAsia="Times New Roman" w:hAnsi="Times New Roman"/>
          <w:sz w:val="18"/>
          <w:szCs w:val="18"/>
          <w:color w:val="auto"/>
        </w:rPr>
      </w:pPr>
    </w:p>
    <w:p>
      <w:pPr>
        <w:ind w:left="5364" w:hanging="96"/>
        <w:spacing w:after="0"/>
        <w:tabs>
          <w:tab w:leader="none" w:pos="5364" w:val="left"/>
        </w:tabs>
        <w:numPr>
          <w:ilvl w:val="2"/>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125 -</w:t>
      </w:r>
    </w:p>
    <w:p>
      <w:pPr>
        <w:sectPr>
          <w:pgSz w:w="11900" w:h="16838" w:orient="portrait"/>
          <w:cols w:equalWidth="0" w:num="1">
            <w:col w:w="11004"/>
          </w:cols>
          <w:pgMar w:left="436" w:top="266" w:right="45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12.15. Obligations with Respect to Loan Parties.</w:t>
      </w:r>
    </w:p>
    <w:p>
      <w:pPr>
        <w:spacing w:after="0" w:line="121" w:lineRule="exact"/>
        <w:rPr>
          <w:sz w:val="20"/>
          <w:szCs w:val="20"/>
          <w:color w:val="auto"/>
        </w:rPr>
      </w:pPr>
    </w:p>
    <w:p>
      <w:pPr>
        <w:jc w:val="both"/>
        <w:ind w:right="60" w:firstLine="440"/>
        <w:spacing w:after="0" w:line="258" w:lineRule="auto"/>
        <w:rPr>
          <w:sz w:val="20"/>
          <w:szCs w:val="20"/>
          <w:color w:val="auto"/>
        </w:rPr>
      </w:pPr>
      <w:r>
        <w:rPr>
          <w:rFonts w:ascii="Times New Roman" w:cs="Times New Roman" w:eastAsia="Times New Roman" w:hAnsi="Times New Roman"/>
          <w:sz w:val="18"/>
          <w:szCs w:val="18"/>
          <w:color w:val="auto"/>
        </w:rPr>
        <w:t>The obligations of the Borrower including those obligations with respect to actions or inactions by the Parent, the General Partner or any Wholly Owned Subsidiary of the Parent and those obligations to direct or prohibit the taking of certain actions by other Loan Parties as specified herein shall be absolute and not subject to any defense the Borrower may have that the Borrower does not control the Parent, the General Partner or such Loan Parties. Any breach of any term, covenant, condition or agreement contained in this Agreement relating to the Parent, the General Partner or any Wholly Owned Subsidiary of the Parent shall be deemed to be breach of such term by the Borrower.</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12.16. Independence of Covenants.</w:t>
      </w:r>
    </w:p>
    <w:p>
      <w:pPr>
        <w:spacing w:after="0" w:line="121"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If a particular action or condition is expressly prohibited by any covenant (the “prohibiting covenant”), the fact that it would be permitted by an exception to, or be otherwise within the limitations of, another covenant shall not avoid the occurrence of a Default or an Event of Default if such action is taken or condition exists in violation of the prohibiting covenant.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12.17. Limitation of Liability.</w:t>
      </w:r>
    </w:p>
    <w:p>
      <w:pPr>
        <w:spacing w:after="0" w:line="121"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None of the Administrative Agent, the Issuing Bank or any Lender, or any Affiliate, officer, director, employee, attorney, or agent of the Administrative Agent, the Issuing Bank or any Lender shall have any liability with respect to, and the Borrower hereby waives, releases, and agrees not to sue any of them upon, any claim for any special, indirect, incidental, or consequential damages suffered or incurred by the Borrower in connection with, arising out of, or in any way related to, this Agreement, any of the other Loan Documents or the Fee Letter, or any of the transactions contemplated by this Agreement or any of the other Loan Documents. The Borrower shall not have any liability with respect to any claim for any special, indirect, incidental or consequential damages suffered or incurred by the Administrative Agent, the Issuing Bank or any Lender (as distinct from special, indirect, incidental or consequential damages of a third party awarded against the Administrative Agent, the Issuing Bank or any Lender for which the Borrower may be responsible to the extent covered by Section 12.10.) in connection with, arising out of, or in any way related to, this Agreement, any of the other Loan Documents or the Fee Letter, or any of the transactions contemplated by this Agreement or any of the other Loan Documents. The parties hereto hereby waive, release, and agree not to any other party hereto for punitive damages in respect of any claim in connection with, arising out of, or in any way related to, this Agreement, any of the other Loan Documents, the Fee Letter, or any of the transactions contemplated by this Agreement or financed hereby (other than punitive damages of a third party awarded against the Administrative Agent, the Issuing Bank or any Lender for which the Borrower may be responsible to the extent covered by Section 12.10.).</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12.18. Entire Agreement.</w:t>
      </w:r>
    </w:p>
    <w:p>
      <w:pPr>
        <w:spacing w:after="0" w:line="121"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This Agreement, the Notes, the other Loan Documents and the Fee Letter embody the final, entire agreement among the parties hereto and supersede any and all prior commitments, agreements, representations, and understandings, whether written or oral, relating to the subject matter hereof and thereof and may not be contradicted or varied by evidence of prior, contemporaneous, or subsequent oral agreements or discussions of the parties hereto. There are no oral agreements among the parties hereto.</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- 126 -</w:t>
      </w:r>
    </w:p>
    <w:p>
      <w:pPr>
        <w:sectPr>
          <w:pgSz w:w="11900" w:h="16838" w:orient="portrait"/>
          <w:cols w:equalWidth="0" w:num="1">
            <w:col w:w="11020"/>
          </w:cols>
          <w:pgMar w:left="440" w:top="266" w:right="4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12.19. Construction.</w:t>
      </w:r>
    </w:p>
    <w:p>
      <w:pPr>
        <w:spacing w:after="0" w:line="121"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 Administrative Agent, the Issuing Bank, the Borrower and each Lender acknowledge that each of them has had the benefit of legal counsel of its own choice and has been afforded an opportunity to review this Agreement and the other Loan Documents with its legal counsel and that this Agreement and the other Loan Documents shall be construed as if jointly drafted by the Administrative Agent, the Issuing Bank, the Borrower and each Lender.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12.20. Headings.</w:t>
      </w:r>
    </w:p>
    <w:p>
      <w:pPr>
        <w:spacing w:after="0" w:line="121"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The paragraph and section headings in this Agreement are provided for convenience of reference only and shall not affect its construction or interpretation.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12.21. Limitation of Liability of Trustees, Etc.</w:t>
      </w:r>
    </w:p>
    <w:p>
      <w:pPr>
        <w:spacing w:after="0" w:line="121"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NOTWITHSTANDING ANY OTHER PROVISION OF THIS AGREEMENT AND THE OTHER LOAN DOCUMENTS, THE AGENT AND THE LENDERS SHALL LOOK SOLELY TO THE BORROWER AND THE OTHER LOAN PARTIES FOR THE ENFORCEMENT OF ANY CLAIM AGAINST THE BORROWER AND SUCH LOAN PARTY UNDER OR IN RESPECT OF ANY OF THE LOAN DOCUMENTS AND ACCORDINGLY NEITHER THE TRUSTEES, OFFICERS, EMPLOYEES, SHAREHOLDERS NOR PARTNERS OF THE BORROWER, THE PARENT OR THE GENERAL PARTNER SHALL HAVE ANY PERSONAL LIABILITY FOR OBLIGATIONS ENTERED INTO BY OR ON BEHALF OF THE BORROWER OR ANY OTHER LOAN PARTY.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12.22. Acknowledgement and Consent to Bail-In of EEA Financial Institutions.</w:t>
      </w:r>
    </w:p>
    <w:p>
      <w:pPr>
        <w:spacing w:after="0" w:line="121"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80" w:lineRule="exact"/>
        <w:rPr>
          <w:sz w:val="20"/>
          <w:szCs w:val="20"/>
          <w:color w:val="auto"/>
        </w:rPr>
      </w:pPr>
    </w:p>
    <w:p>
      <w:pPr>
        <w:ind w:right="300" w:firstLine="436"/>
        <w:spacing w:after="0" w:line="282" w:lineRule="auto"/>
        <w:tabs>
          <w:tab w:leader="none" w:pos="685"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6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any Bail-In Action on any such liability, including, if applicable:</w:t>
      </w:r>
    </w:p>
    <w:p>
      <w:pPr>
        <w:spacing w:after="0" w:line="117"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full or in part or cancellation of any such liability;</w:t>
      </w:r>
    </w:p>
    <w:p>
      <w:pPr>
        <w:spacing w:after="0" w:line="117" w:lineRule="exact"/>
        <w:rPr>
          <w:rFonts w:ascii="Times New Roman" w:cs="Times New Roman" w:eastAsia="Times New Roman" w:hAnsi="Times New Roman"/>
          <w:sz w:val="18"/>
          <w:szCs w:val="18"/>
          <w:color w:val="auto"/>
        </w:rPr>
      </w:pPr>
    </w:p>
    <w:p>
      <w:pPr>
        <w:ind w:left="440" w:right="60" w:firstLine="419"/>
        <w:spacing w:after="0" w:line="266" w:lineRule="auto"/>
        <w:tabs>
          <w:tab w:leader="none" w:pos="1128"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67" w:lineRule="exact"/>
        <w:rPr>
          <w:rFonts w:ascii="Times New Roman" w:cs="Times New Roman" w:eastAsia="Times New Roman" w:hAnsi="Times New Roman"/>
          <w:sz w:val="18"/>
          <w:szCs w:val="18"/>
          <w:color w:val="auto"/>
        </w:rPr>
      </w:pPr>
    </w:p>
    <w:p>
      <w:pPr>
        <w:ind w:left="440" w:right="120" w:firstLine="419"/>
        <w:spacing w:after="0" w:line="282" w:lineRule="auto"/>
        <w:tabs>
          <w:tab w:leader="none" w:pos="1178"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variation of the terms of such liability in connection with the exercise of the Write-Down and Conversion Powers of the applicable Resolution Authority.</w:t>
      </w:r>
    </w:p>
    <w:p>
      <w:pPr>
        <w:spacing w:after="0" w:line="94" w:lineRule="exact"/>
        <w:rPr>
          <w:rFonts w:ascii="Times New Roman" w:cs="Times New Roman" w:eastAsia="Times New Roman" w:hAnsi="Times New Roman"/>
          <w:sz w:val="18"/>
          <w:szCs w:val="18"/>
          <w:color w:val="auto"/>
        </w:rPr>
      </w:pPr>
    </w:p>
    <w:p>
      <w:pPr>
        <w:ind w:left="5360" w:hanging="96"/>
        <w:spacing w:after="0"/>
        <w:tabs>
          <w:tab w:leader="none" w:pos="5360" w:val="left"/>
        </w:tabs>
        <w:numPr>
          <w:ilvl w:val="2"/>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127 -</w:t>
      </w:r>
    </w:p>
    <w:p>
      <w:pPr>
        <w:sectPr>
          <w:pgSz w:w="11900" w:h="16838" w:orient="portrait"/>
          <w:cols w:equalWidth="0" w:num="1">
            <w:col w:w="10960"/>
          </w:cols>
          <w:pgMar w:left="440" w:top="266" w:right="49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12.23. Effect of Amendment and Restatement.</w:t>
      </w:r>
    </w:p>
    <w:p>
      <w:pPr>
        <w:spacing w:after="0" w:line="121" w:lineRule="exact"/>
        <w:rPr>
          <w:sz w:val="20"/>
          <w:szCs w:val="20"/>
          <w:color w:val="auto"/>
        </w:rPr>
      </w:pPr>
    </w:p>
    <w:p>
      <w:pPr>
        <w:ind w:right="80" w:firstLine="436"/>
        <w:spacing w:after="0" w:line="266" w:lineRule="auto"/>
        <w:tabs>
          <w:tab w:leader="none" w:pos="685"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Existing Credit Agreement</w:t>
      </w:r>
      <w:r>
        <w:rPr>
          <w:rFonts w:ascii="Times New Roman" w:cs="Times New Roman" w:eastAsia="Times New Roman" w:hAnsi="Times New Roman"/>
          <w:sz w:val="18"/>
          <w:szCs w:val="18"/>
          <w:color w:val="auto"/>
        </w:rPr>
        <w:t>. Upon satisfaction of the conditions precedent set forth in Sections 6.1. and 6.2. of this Agreement, this Agreement and the other Loan Documents shall exclusively control and govern the mutual rights and obligations of the parties hereto with respect to the Existing Credit Agreement, and the Existing Credit Agreement shall be superseded in all respects, in each case, on a prospective basis.</w:t>
      </w:r>
    </w:p>
    <w:p>
      <w:pPr>
        <w:spacing w:after="0" w:line="175" w:lineRule="exact"/>
        <w:rPr>
          <w:rFonts w:ascii="Times New Roman" w:cs="Times New Roman" w:eastAsia="Times New Roman" w:hAnsi="Times New Roman"/>
          <w:sz w:val="18"/>
          <w:szCs w:val="18"/>
          <w:color w:val="auto"/>
        </w:rPr>
      </w:pPr>
    </w:p>
    <w:p>
      <w:pPr>
        <w:ind w:right="100" w:firstLine="436"/>
        <w:spacing w:after="0" w:line="256" w:lineRule="auto"/>
        <w:tabs>
          <w:tab w:leader="none" w:pos="695"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NOVATION</w:t>
      </w:r>
      <w:r>
        <w:rPr>
          <w:rFonts w:ascii="Times New Roman" w:cs="Times New Roman" w:eastAsia="Times New Roman" w:hAnsi="Times New Roman"/>
          <w:sz w:val="18"/>
          <w:szCs w:val="18"/>
          <w:color w:val="auto"/>
        </w:rPr>
        <w:t>. THE PARTIES HERETO HAVE ENTERED INTO THIS AGREEMENT SOLELY TO AMEND AND RESTATE THE TERMS OF THE EXISTING CREDIT AGREEMENT. THE PARTIES DO NOT INTEND THIS AGREEMENT NOR THE TRANSACTIONS CONTEMPLATED HEREBY TO BE, AND THIS AGREEMENT AND THE TRANSACTIONS CONTEMPLATED HEREBY SHALL NOT BE CONSTRUED TO BE, A NOVATION OF ANY OF THE OBLIGATIONS OWING BY THE BORROWER OR ANY OTHER LOAN PARTY UNDER OR IN CONNECTION WITH THE EXISTING CREDIT AGREEMENT OR ANY OF THE OTHER LOAN DOCUMENTS (AS DEFINED IN THE EXISTING CREDIT AGREEMENT).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12.24. Acknowledgement Regarding Any Supported QFCs.</w:t>
      </w:r>
    </w:p>
    <w:p>
      <w:pPr>
        <w:spacing w:after="0" w:line="121" w:lineRule="exact"/>
        <w:rPr>
          <w:sz w:val="20"/>
          <w:szCs w:val="20"/>
          <w:color w:val="auto"/>
        </w:rPr>
      </w:pPr>
    </w:p>
    <w:p>
      <w:pPr>
        <w:ind w:right="100" w:firstLine="440"/>
        <w:spacing w:after="0" w:line="255" w:lineRule="auto"/>
        <w:rPr>
          <w:sz w:val="20"/>
          <w:szCs w:val="20"/>
          <w:color w:val="auto"/>
        </w:rPr>
      </w:pPr>
      <w:r>
        <w:rPr>
          <w:rFonts w:ascii="Times New Roman" w:cs="Times New Roman" w:eastAsia="Times New Roman" w:hAnsi="Times New Roman"/>
          <w:sz w:val="18"/>
          <w:szCs w:val="18"/>
          <w:color w:val="auto"/>
        </w:rPr>
        <w:t>To the extent that the Loan Documents provide support, through a guarantee or otherwise, for a Derivatives Contract or any other agreement or instrument that is a QFC (such support, “</w:t>
      </w:r>
      <w:r>
        <w:rPr>
          <w:rFonts w:ascii="Times New Roman" w:cs="Times New Roman" w:eastAsia="Times New Roman" w:hAnsi="Times New Roman"/>
          <w:sz w:val="18"/>
          <w:szCs w:val="18"/>
          <w:b w:val="1"/>
          <w:bCs w:val="1"/>
          <w:color w:val="auto"/>
        </w:rPr>
        <w:t>QFC Credit Support</w:t>
      </w:r>
      <w:r>
        <w:rPr>
          <w:rFonts w:ascii="Times New Roman" w:cs="Times New Roman" w:eastAsia="Times New Roman" w:hAnsi="Times New Roman"/>
          <w:sz w:val="18"/>
          <w:szCs w:val="18"/>
          <w:color w:val="auto"/>
        </w:rPr>
        <w:t>” and each such QFC a “</w:t>
      </w:r>
      <w:r>
        <w:rPr>
          <w:rFonts w:ascii="Times New Roman" w:cs="Times New Roman" w:eastAsia="Times New Roman" w:hAnsi="Times New Roman"/>
          <w:sz w:val="18"/>
          <w:szCs w:val="18"/>
          <w:b w:val="1"/>
          <w:bCs w:val="1"/>
          <w:color w:val="auto"/>
        </w:rPr>
        <w:t>Supported QFC</w:t>
      </w:r>
      <w:r>
        <w:rPr>
          <w:rFonts w:ascii="Times New Roman" w:cs="Times New Roman" w:eastAsia="Times New Roman" w:hAnsi="Times New Roman"/>
          <w:sz w:val="18"/>
          <w:szCs w:val="18"/>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18"/>
          <w:szCs w:val="18"/>
          <w:b w:val="1"/>
          <w:bCs w:val="1"/>
          <w:color w:val="auto"/>
        </w:rPr>
        <w:t>U.S. Special Resolution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Regimes</w:t>
      </w:r>
      <w:r>
        <w:rPr>
          <w:rFonts w:ascii="Times New Roman" w:cs="Times New Roman" w:eastAsia="Times New Roman" w:hAnsi="Times New Roman"/>
          <w:sz w:val="18"/>
          <w:szCs w:val="18"/>
          <w:color w:val="auto"/>
        </w:rPr>
        <w:t>”) in respect of such Supported QFC and QFC Credit Support (with the provisions below applicable notwithstanding that the Loan Documents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any Supported QFC may in fact be stated to be governed by the laws of the State of New York and/or of the United States or any other state of the United States):</w:t>
      </w:r>
    </w:p>
    <w:p>
      <w:pPr>
        <w:spacing w:after="0" w:line="18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In the event a Covered Entity that is party to a Supported QFC (each, a “</w:t>
      </w:r>
      <w:r>
        <w:rPr>
          <w:rFonts w:ascii="Times New Roman" w:cs="Times New Roman" w:eastAsia="Times New Roman" w:hAnsi="Times New Roman"/>
          <w:sz w:val="18"/>
          <w:szCs w:val="18"/>
          <w:b w:val="1"/>
          <w:bCs w:val="1"/>
          <w:color w:val="auto"/>
        </w:rPr>
        <w:t>Covered Party</w:t>
      </w:r>
      <w:r>
        <w:rPr>
          <w:rFonts w:ascii="Times New Roman" w:cs="Times New Roman" w:eastAsia="Times New Roman" w:hAnsi="Times New Roman"/>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- 128 -</w:t>
      </w:r>
    </w:p>
    <w:p>
      <w:pPr>
        <w:sectPr>
          <w:pgSz w:w="11900" w:h="16838" w:orient="portrait"/>
          <w:cols w:equalWidth="0" w:num="1">
            <w:col w:w="11000"/>
          </w:cols>
          <w:pgMar w:left="440" w:top="266" w:right="45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12.25 ESG Amendment.</w:t>
      </w:r>
    </w:p>
    <w:p>
      <w:pPr>
        <w:spacing w:after="0" w:line="121" w:lineRule="exact"/>
        <w:rPr>
          <w:sz w:val="20"/>
          <w:szCs w:val="20"/>
          <w:color w:val="auto"/>
        </w:rPr>
      </w:pPr>
    </w:p>
    <w:p>
      <w:pPr>
        <w:ind w:firstLine="436"/>
        <w:spacing w:after="0" w:line="252" w:lineRule="auto"/>
        <w:tabs>
          <w:tab w:leader="none" w:pos="685"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Effective Date, the Borrower, in consultation with the Sustainability Structuring Agent, shall be entitled to either (i) establish specified Key Performance Indicators (“</w:t>
      </w:r>
      <w:r>
        <w:rPr>
          <w:rFonts w:ascii="Times New Roman" w:cs="Times New Roman" w:eastAsia="Times New Roman" w:hAnsi="Times New Roman"/>
          <w:sz w:val="18"/>
          <w:szCs w:val="18"/>
          <w:u w:val="single" w:color="auto"/>
          <w:color w:val="auto"/>
        </w:rPr>
        <w:t>KPIs</w:t>
      </w:r>
      <w:r>
        <w:rPr>
          <w:rFonts w:ascii="Times New Roman" w:cs="Times New Roman" w:eastAsia="Times New Roman" w:hAnsi="Times New Roman"/>
          <w:sz w:val="18"/>
          <w:szCs w:val="18"/>
          <w:color w:val="auto"/>
        </w:rPr>
        <w:t>”) with respect to certain Environmental, Social and Governance (“</w:t>
      </w:r>
      <w:r>
        <w:rPr>
          <w:rFonts w:ascii="Times New Roman" w:cs="Times New Roman" w:eastAsia="Times New Roman" w:hAnsi="Times New Roman"/>
          <w:sz w:val="18"/>
          <w:szCs w:val="18"/>
          <w:u w:val="single" w:color="auto"/>
          <w:color w:val="auto"/>
        </w:rPr>
        <w:t>ESG</w:t>
      </w:r>
      <w:r>
        <w:rPr>
          <w:rFonts w:ascii="Times New Roman" w:cs="Times New Roman" w:eastAsia="Times New Roman" w:hAnsi="Times New Roman"/>
          <w:sz w:val="18"/>
          <w:szCs w:val="18"/>
          <w:color w:val="auto"/>
        </w:rPr>
        <w:t>”) targets of the Borrower and its Subsidiaries or (ii) establish external ESG ratings (“</w:t>
      </w:r>
      <w:r>
        <w:rPr>
          <w:rFonts w:ascii="Times New Roman" w:cs="Times New Roman" w:eastAsia="Times New Roman" w:hAnsi="Times New Roman"/>
          <w:sz w:val="18"/>
          <w:szCs w:val="18"/>
          <w:u w:val="single" w:color="auto"/>
          <w:color w:val="auto"/>
        </w:rPr>
        <w:t>ESG Ratings</w:t>
      </w:r>
      <w:r>
        <w:rPr>
          <w:rFonts w:ascii="Times New Roman" w:cs="Times New Roman" w:eastAsia="Times New Roman" w:hAnsi="Times New Roman"/>
          <w:sz w:val="18"/>
          <w:szCs w:val="18"/>
          <w:color w:val="auto"/>
        </w:rPr>
        <w:t>”) targets to be mutually agreed between the Borrower and the Sustainability Structuring Agent. Notwithstanding anything in Section 12.7. to the contrary, the Borrower, the Sustainability Structuring Agent, and the Requisite Lenders may amend this Agreement (such amendment, the “</w:t>
      </w:r>
      <w:r>
        <w:rPr>
          <w:rFonts w:ascii="Times New Roman" w:cs="Times New Roman" w:eastAsia="Times New Roman" w:hAnsi="Times New Roman"/>
          <w:sz w:val="18"/>
          <w:szCs w:val="18"/>
          <w:u w:val="single" w:color="auto"/>
          <w:color w:val="auto"/>
        </w:rPr>
        <w:t>ESG Amendment</w:t>
      </w:r>
      <w:r>
        <w:rPr>
          <w:rFonts w:ascii="Times New Roman" w:cs="Times New Roman" w:eastAsia="Times New Roman" w:hAnsi="Times New Roman"/>
          <w:sz w:val="18"/>
          <w:szCs w:val="18"/>
          <w:color w:val="auto"/>
        </w:rPr>
        <w:t>”) solely for the purpose of incorporating either the KPIs or ESG Ratings and other related provisions (the “</w:t>
      </w:r>
      <w:r>
        <w:rPr>
          <w:rFonts w:ascii="Times New Roman" w:cs="Times New Roman" w:eastAsia="Times New Roman" w:hAnsi="Times New Roman"/>
          <w:sz w:val="18"/>
          <w:szCs w:val="18"/>
          <w:u w:val="single" w:color="auto"/>
          <w:color w:val="auto"/>
        </w:rPr>
        <w:t>ESG Pricing Provisions</w:t>
      </w:r>
      <w:r>
        <w:rPr>
          <w:rFonts w:ascii="Times New Roman" w:cs="Times New Roman" w:eastAsia="Times New Roman" w:hAnsi="Times New Roman"/>
          <w:sz w:val="18"/>
          <w:szCs w:val="18"/>
          <w:color w:val="auto"/>
        </w:rPr>
        <w:t xml:space="preserve">”) into this Agreement. In the event that any such ESG Amendment does not obtain requisite consent of the Requisite Lenders, an alternative ESG Amendment may be effectuated with the consent of the Requisite Lenders, the Borrower, the Sustainability Structuring Agent, and the Administrative Agent. Upon effectiveness of any such ESG Amendment, based on either the Borrower’s performance against the KPIs or its obtainment of the target ESG Ratings, certain adjustments to the Applicable Facility Fee, letter of credit fee and Applicable Margin may be made;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amount of any such adjustments made pursuant to an ESG Amendment shall not result in an increase or decrease of more than (x) 4.00 basis points in the Applicable Margin or letter of credit fee and (y) 1.00 basis point in the Applicable Facility Fee. If KPIs are utilized, the pricing adjustments will require, among other things, reporting and validation of the measurement of the KPIs by a sustainability assurance provider who shall be a qualified external reviewer, independent of the Borrower and its Subsidiaries, with relevant expertise, such as an auditor, environmental consultant and/or independent ratings agency of recognized national standing, in each case in a manner that is aligned with the Sustainability Linked Loan Principles in effect at the time of the ESG Amendment and is to be mutually agreed between the Borrower, the Sustainability Structuring Agent, and the Administrative Agent (each acting reasonably). Following the effectiveness of the ESG Amendment, any modification agreed to by the Sustainability Structuring Agent, the Administrative Agent and the Borrower to the ESG Pricing Provisions which does not have the effect of reducing the letter of credit fee or Applicable Margin to a level not otherwise permitted by this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shall become effective on the fifth (5th) Business Day after the date notice of such modification is provided to the Lenders without any amendment to, or further action or consent of any other party to, this Agreement or any other Loan Document so long as the Administrative Agent has not received, by such time, written notice of objection to such modification from Lenders comprising the Requisite Lenders.</w:t>
      </w:r>
    </w:p>
    <w:p>
      <w:pPr>
        <w:spacing w:after="0" w:line="187" w:lineRule="exact"/>
        <w:rPr>
          <w:rFonts w:ascii="Times New Roman" w:cs="Times New Roman" w:eastAsia="Times New Roman" w:hAnsi="Times New Roman"/>
          <w:sz w:val="18"/>
          <w:szCs w:val="18"/>
          <w:color w:val="auto"/>
        </w:rPr>
      </w:pPr>
    </w:p>
    <w:p>
      <w:pPr>
        <w:ind w:right="460" w:firstLine="436"/>
        <w:spacing w:after="0" w:line="312" w:lineRule="auto"/>
        <w:tabs>
          <w:tab w:leader="none" w:pos="695" w:val="left"/>
        </w:tabs>
        <w:numPr>
          <w:ilvl w:val="0"/>
          <w:numId w:val="1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Sustainability Structuring Agent will (i) assist the Borrower in determining the ESG Pricing Provisions in connection with the ESG Amendment and (ii) assist the Borrower in preparing informational materials focused on ESG to be used in connection with the ESG Amendment.</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[Signatures on Following Pages]</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- 129 -</w:t>
      </w:r>
    </w:p>
    <w:p>
      <w:pPr>
        <w:sectPr>
          <w:pgSz w:w="11900" w:h="16838" w:orient="portrait"/>
          <w:cols w:equalWidth="0" w:num="1">
            <w:col w:w="11000"/>
          </w:cols>
          <w:pgMar w:left="440" w:top="266" w:right="459" w:bottom="1440" w:gutter="0" w:footer="0" w:header="0"/>
        </w:sectPr>
      </w:pPr>
    </w:p>
    <w:bookmarkStart w:id="139" w:name="page140"/>
    <w:bookmarkEnd w:id="139"/>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Second Amended and Restated Credit Agreement to be executed by their authorized officers all as of the day and year first above written.</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FEDERAL REALTY OP LP</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Daniel Guglielmone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Executive Vice President – Chief Financial</w:t>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Officer and Treasurer</w:t>
      </w:r>
    </w:p>
    <w:p>
      <w:pPr>
        <w:sectPr>
          <w:pgSz w:w="11900" w:h="16838" w:orient="portrait"/>
          <w:cols w:equalWidth="0" w:num="1">
            <w:col w:w="11000"/>
          </w:cols>
          <w:pgMar w:left="440" w:top="270" w:right="459" w:bottom="1440" w:gutter="0" w:footer="0" w:header="0"/>
        </w:sectPr>
      </w:pPr>
    </w:p>
    <w:bookmarkStart w:id="140" w:name="page141"/>
    <w:bookmarkEnd w:id="140"/>
    <w:p>
      <w:pPr>
        <w:ind w:left="3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 Page to Second Amended and Restated Credit Agreement with Federal Realty Investment Trust]</w:t>
      </w:r>
    </w:p>
    <w:p>
      <w:pPr>
        <w:spacing w:after="0" w:line="25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WELLS FARGO BANK, NATIONAL ASSOCIATION, as</w:t>
      </w:r>
    </w:p>
    <w:p>
      <w:pPr>
        <w:spacing w:after="0" w:line="2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Administrative Agent, Issuing Bank and as a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Kate Farley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Kate Farley</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ectPr>
          <w:pgSz w:w="11900" w:h="16838" w:orient="portrait"/>
          <w:cols w:equalWidth="0" w:num="1">
            <w:col w:w="9880"/>
          </w:cols>
          <w:pgMar w:left="1440" w:top="266" w:right="579" w:bottom="1440" w:gutter="0" w:footer="0" w:header="0"/>
        </w:sectPr>
      </w:pPr>
    </w:p>
    <w:bookmarkStart w:id="141" w:name="page142"/>
    <w:bookmarkEnd w:id="141"/>
    <w:p>
      <w:pPr>
        <w:ind w:left="3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Signature Page to Second Amended and Restated Credit Agreement with Federal Realty Investment Trust]</w:t>
      </w:r>
    </w:p>
    <w:p>
      <w:pPr>
        <w:spacing w:after="0" w:line="25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PNC BANK, NATIONAL ASSOCIATION, as Syndication</w:t>
      </w:r>
    </w:p>
    <w:p>
      <w:pPr>
        <w:spacing w:after="0" w:line="2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Agent and as a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Katie Chowdhry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Katie Chowdhry</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Senior Vice President</w:t>
      </w:r>
    </w:p>
    <w:p>
      <w:pPr>
        <w:sectPr>
          <w:pgSz w:w="11900" w:h="16838" w:orient="portrait"/>
          <w:cols w:equalWidth="0" w:num="1">
            <w:col w:w="9880"/>
          </w:cols>
          <w:pgMar w:left="1440" w:top="266" w:right="579" w:bottom="1440" w:gutter="0" w:footer="0" w:header="0"/>
        </w:sectPr>
      </w:pPr>
    </w:p>
    <w:bookmarkStart w:id="142" w:name="page143"/>
    <w:bookmarkEnd w:id="142"/>
    <w:p>
      <w:pPr>
        <w:ind w:left="3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 Page to Second Amended and Restated Credit Agreement with Federal Realty Investment Trust]</w:t>
      </w:r>
    </w:p>
    <w:p>
      <w:pPr>
        <w:spacing w:after="0" w:line="25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JPMORGAN CHASE BANK, N.A., as a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Cody A. Canafax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Cody A. Canafax</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ectPr>
          <w:pgSz w:w="11900" w:h="16838" w:orient="portrait"/>
          <w:cols w:equalWidth="0" w:num="1">
            <w:col w:w="9120"/>
          </w:cols>
          <w:pgMar w:left="1440" w:top="266" w:right="1339" w:bottom="1440" w:gutter="0" w:footer="0" w:header="0"/>
        </w:sectPr>
      </w:pPr>
    </w:p>
    <w:bookmarkStart w:id="143" w:name="page144"/>
    <w:bookmarkEnd w:id="143"/>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 Page to Second Amended and Restated Credit Agreement with Federal Realty Investment Trust]</w:t>
      </w:r>
    </w:p>
    <w:p>
      <w:pPr>
        <w:spacing w:after="0" w:line="26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REGIONS BANK, as a Lender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William Chalmers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William Chalmers</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ectPr>
          <w:pgSz w:w="11900" w:h="16838" w:orient="portrait"/>
          <w:cols w:equalWidth="0" w:num="1">
            <w:col w:w="9019"/>
          </w:cols>
          <w:pgMar w:left="1440" w:top="266" w:right="1440" w:bottom="1440" w:gutter="0" w:footer="0" w:header="0"/>
        </w:sectPr>
      </w:pPr>
    </w:p>
    <w:bookmarkStart w:id="144" w:name="page145"/>
    <w:bookmarkEnd w:id="144"/>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 Page to Second Amended and Restated Credit Agreement with Federal Realty Investment Trust]</w:t>
      </w:r>
    </w:p>
    <w:p>
      <w:pPr>
        <w:spacing w:after="0" w:line="26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TRUIST BANK, as a Lender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Trudy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Trudy Wilson</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ectPr>
          <w:pgSz w:w="11900" w:h="16838" w:orient="portrait"/>
          <w:cols w:equalWidth="0" w:num="1">
            <w:col w:w="9019"/>
          </w:cols>
          <w:pgMar w:left="1440" w:top="266" w:right="1440" w:bottom="1440" w:gutter="0" w:footer="0" w:header="0"/>
        </w:sectPr>
      </w:pPr>
    </w:p>
    <w:bookmarkStart w:id="145" w:name="page146"/>
    <w:bookmarkEnd w:id="145"/>
    <w:p>
      <w:pPr>
        <w:ind w:left="3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 Page to Second Amended and Restated Credit Agreement with Federal Realty Investment Trust]</w:t>
      </w:r>
    </w:p>
    <w:p>
      <w:pPr>
        <w:spacing w:after="0" w:line="25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U.S. BANK NATIONAL ASSOCIATION, as a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Timothy J. Tillman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Timothy J. Tillman</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Senior Vice President</w:t>
      </w:r>
    </w:p>
    <w:p>
      <w:pPr>
        <w:sectPr>
          <w:pgSz w:w="11900" w:h="16838" w:orient="portrait"/>
          <w:cols w:equalWidth="0" w:num="1">
            <w:col w:w="9580"/>
          </w:cols>
          <w:pgMar w:left="1440" w:top="266" w:right="879" w:bottom="1440" w:gutter="0" w:footer="0" w:header="0"/>
        </w:sectPr>
      </w:pPr>
    </w:p>
    <w:bookmarkStart w:id="146" w:name="page147"/>
    <w:bookmarkEnd w:id="146"/>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 Page to Second Amended and Restated Credit Agreement with Federal Realty Investment Trust]</w:t>
      </w:r>
    </w:p>
    <w:p>
      <w:pPr>
        <w:spacing w:after="0" w:line="26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TD BANK, N.A., as a Lender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William M. Brandt,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William M. Brandt, Jr.</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ectPr>
          <w:pgSz w:w="11900" w:h="16838" w:orient="portrait"/>
          <w:cols w:equalWidth="0" w:num="1">
            <w:col w:w="9019"/>
          </w:cols>
          <w:pgMar w:left="1440" w:top="266" w:right="1440" w:bottom="1440" w:gutter="0" w:footer="0" w:header="0"/>
        </w:sectPr>
      </w:pPr>
    </w:p>
    <w:bookmarkStart w:id="147" w:name="page148"/>
    <w:bookmarkEnd w:id="147"/>
    <w:p>
      <w:pPr>
        <w:ind w:left="38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 Page to Second Amended and Restated Credit Agreement with Federal Realty Investment Trust]</w:t>
      </w:r>
    </w:p>
    <w:p>
      <w:pPr>
        <w:spacing w:after="0" w:line="26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BANK OF AMERICA, N.A., as a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Cheryl Sneor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Cheryl Sneor</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ectPr>
          <w:pgSz w:w="11900" w:h="16838" w:orient="portrait"/>
          <w:cols w:equalWidth="0" w:num="1">
            <w:col w:w="9019"/>
          </w:cols>
          <w:pgMar w:left="1440" w:top="266" w:right="1440" w:bottom="1440" w:gutter="0" w:footer="0" w:header="0"/>
        </w:sectPr>
      </w:pPr>
    </w:p>
    <w:bookmarkStart w:id="148" w:name="page149"/>
    <w:bookmarkEnd w:id="148"/>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 Page to Second Amended and Restated Credit Agreement with Federal Realty Investment Trust]</w:t>
      </w:r>
    </w:p>
    <w:p>
      <w:pPr>
        <w:spacing w:after="0" w:line="26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CITIBANK, N.A., as a Lender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Christopher Albano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Christopher Albano</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Authorized Signatory</w:t>
      </w:r>
    </w:p>
    <w:p>
      <w:pPr>
        <w:sectPr>
          <w:pgSz w:w="11900" w:h="16838" w:orient="portrait"/>
          <w:cols w:equalWidth="0" w:num="1">
            <w:col w:w="9019"/>
          </w:cols>
          <w:pgMar w:left="1440" w:top="266" w:right="1440" w:bottom="1440" w:gutter="0" w:footer="0" w:header="0"/>
        </w:sectPr>
      </w:pPr>
    </w:p>
    <w:bookmarkStart w:id="149" w:name="page150"/>
    <w:bookmarkEnd w:id="149"/>
    <w:p>
      <w:pPr>
        <w:ind w:left="3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 Page to Second Amended and Restated Credit Agreement with Federal Realty Investment Trust]</w:t>
      </w:r>
    </w:p>
    <w:p>
      <w:pPr>
        <w:spacing w:after="0" w:line="25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DEUTSCHE BANK AG NEW YORK BRANCH, as a</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Ming K. Chu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Ming K. Chu</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Douglas Darman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Douglas Darman</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ectPr>
          <w:pgSz w:w="11900" w:h="16838" w:orient="portrait"/>
          <w:cols w:equalWidth="0" w:num="1">
            <w:col w:w="9580"/>
          </w:cols>
          <w:pgMar w:left="1440" w:top="266" w:right="879" w:bottom="1440" w:gutter="0" w:footer="0" w:header="0"/>
        </w:sectPr>
      </w:pPr>
    </w:p>
    <w:bookmarkStart w:id="150" w:name="page151"/>
    <w:bookmarkEnd w:id="150"/>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 Page to Second Amended and Restated Credit Agreement with Federal Realty Investment Trust]</w:t>
      </w:r>
    </w:p>
    <w:p>
      <w:pPr>
        <w:spacing w:after="0" w:line="26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THE BANK OF NOVA SCOTIA, as a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Sacha Boxill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Sacha Boxill</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ectPr>
          <w:pgSz w:w="11900" w:h="16838" w:orient="portrait"/>
          <w:cols w:equalWidth="0" w:num="1">
            <w:col w:w="9019"/>
          </w:cols>
          <w:pgMar w:left="1440" w:top="266" w:right="1440" w:bottom="1440" w:gutter="0" w:footer="0" w:header="0"/>
        </w:sectPr>
      </w:pPr>
    </w:p>
    <w:bookmarkStart w:id="151" w:name="page152"/>
    <w:bookmarkEnd w:id="151"/>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 Page to Second Amended and Restated Credit Agreement with Federal Realty Investment Trust]</w:t>
      </w:r>
    </w:p>
    <w:p>
      <w:pPr>
        <w:spacing w:after="0" w:line="26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BNP PARIBAS, as a Lender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James Goodall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James Goodall</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Kyle Fitzpatrick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Kyle Fitzpatrick</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ectPr>
          <w:pgSz w:w="11900" w:h="16838" w:orient="portrait"/>
          <w:cols w:equalWidth="0" w:num="1">
            <w:col w:w="9019"/>
          </w:cols>
          <w:pgMar w:left="1440" w:top="266" w:right="1440" w:bottom="1440" w:gutter="0" w:footer="0" w:header="0"/>
        </w:sectPr>
      </w:pPr>
    </w:p>
    <w:bookmarkStart w:id="152" w:name="page153"/>
    <w:bookmarkEnd w:id="152"/>
    <w:p>
      <w:pPr>
        <w:ind w:left="3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 Page to Second Amended and Restated Credit Agreement with Federal Realty Investment Trust]</w:t>
      </w:r>
    </w:p>
    <w:p>
      <w:pPr>
        <w:spacing w:after="0" w:line="25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SUMITOMO MITSUI BANKING CORPORATION, as a</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Michael Maguire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Michael Maguire</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Managing Director</w:t>
      </w:r>
    </w:p>
    <w:p>
      <w:pPr>
        <w:sectPr>
          <w:pgSz w:w="11900" w:h="16838" w:orient="portrait"/>
          <w:cols w:equalWidth="0" w:num="1">
            <w:col w:w="9800"/>
          </w:cols>
          <w:pgMar w:left="1440" w:top="266" w:right="659" w:bottom="1440" w:gutter="0" w:footer="0" w:header="0"/>
        </w:sectPr>
      </w:pPr>
    </w:p>
    <w:bookmarkStart w:id="153" w:name="page154"/>
    <w:bookmarkEnd w:id="153"/>
    <w:p>
      <w:pPr>
        <w:ind w:left="3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 Page to Second Amended and Restated Credit Agreement with Federal Realty Investment Trust]</w:t>
      </w:r>
    </w:p>
    <w:p>
      <w:pPr>
        <w:spacing w:after="0" w:line="25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ASSOCIATED BANK, NATIONAL ASSOCIATION, as a</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Mitchell Vega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Mitchell Vega</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Senior Vice President</w:t>
      </w:r>
    </w:p>
    <w:p>
      <w:pPr>
        <w:sectPr>
          <w:pgSz w:w="11900" w:h="16838" w:orient="portrait"/>
          <w:cols w:equalWidth="0" w:num="1">
            <w:col w:w="9860"/>
          </w:cols>
          <w:pgMar w:left="1440" w:top="266" w:right="599" w:bottom="1440" w:gutter="0" w:footer="0" w:header="0"/>
        </w:sectPr>
      </w:pPr>
    </w:p>
    <w:bookmarkStart w:id="154" w:name="page155"/>
    <w:bookmarkEnd w:id="154"/>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THIRD AMENDMENT TO TERM LOAN AGREEMENT</w:t>
      </w:r>
    </w:p>
    <w:p>
      <w:pPr>
        <w:spacing w:after="0" w:line="225" w:lineRule="exact"/>
        <w:rPr>
          <w:sz w:val="20"/>
          <w:szCs w:val="20"/>
          <w:color w:val="auto"/>
        </w:rPr>
      </w:pPr>
    </w:p>
    <w:p>
      <w:pPr>
        <w:ind w:right="160" w:firstLine="440"/>
        <w:spacing w:after="0" w:line="281" w:lineRule="auto"/>
        <w:rPr>
          <w:sz w:val="20"/>
          <w:szCs w:val="20"/>
          <w:color w:val="auto"/>
        </w:rPr>
      </w:pPr>
      <w:r>
        <w:rPr>
          <w:rFonts w:ascii="Times New Roman" w:cs="Times New Roman" w:eastAsia="Times New Roman" w:hAnsi="Times New Roman"/>
          <w:sz w:val="17"/>
          <w:szCs w:val="17"/>
          <w:color w:val="auto"/>
        </w:rPr>
        <w:t>THIS THIRD AMENDMENT TO TERM LOAN AGREEMENT (this “</w:t>
      </w:r>
      <w:r>
        <w:rPr>
          <w:rFonts w:ascii="Times New Roman" w:cs="Times New Roman" w:eastAsia="Times New Roman" w:hAnsi="Times New Roman"/>
          <w:sz w:val="17"/>
          <w:szCs w:val="17"/>
          <w:u w:val="single" w:color="auto"/>
          <w:color w:val="auto"/>
        </w:rPr>
        <w:t>Amendment</w:t>
      </w:r>
      <w:r>
        <w:rPr>
          <w:rFonts w:ascii="Times New Roman" w:cs="Times New Roman" w:eastAsia="Times New Roman" w:hAnsi="Times New Roman"/>
          <w:sz w:val="17"/>
          <w:szCs w:val="17"/>
          <w:color w:val="auto"/>
        </w:rPr>
        <w:t>”) dated as of October 5, 2022, by and among FEDERAL REALTY OP LP, a Delaware limited partnership (the “</w:t>
      </w:r>
      <w:r>
        <w:rPr>
          <w:rFonts w:ascii="Times New Roman" w:cs="Times New Roman" w:eastAsia="Times New Roman" w:hAnsi="Times New Roman"/>
          <w:sz w:val="17"/>
          <w:szCs w:val="17"/>
          <w:u w:val="single" w:color="auto"/>
          <w:color w:val="auto"/>
        </w:rPr>
        <w:t>Borrower</w:t>
      </w:r>
      <w:r>
        <w:rPr>
          <w:rFonts w:ascii="Times New Roman" w:cs="Times New Roman" w:eastAsia="Times New Roman" w:hAnsi="Times New Roman"/>
          <w:sz w:val="17"/>
          <w:szCs w:val="17"/>
          <w:color w:val="auto"/>
        </w:rPr>
        <w:t>”), each of the Lenders party hereto, JPMorgan Chase Bank, N.A. (“</w:t>
      </w:r>
      <w:r>
        <w:rPr>
          <w:rFonts w:ascii="Times New Roman" w:cs="Times New Roman" w:eastAsia="Times New Roman" w:hAnsi="Times New Roman"/>
          <w:sz w:val="17"/>
          <w:szCs w:val="17"/>
          <w:u w:val="single" w:color="auto"/>
          <w:color w:val="auto"/>
        </w:rPr>
        <w:t>JPMorgan</w:t>
      </w:r>
      <w:r>
        <w:rPr>
          <w:rFonts w:ascii="Times New Roman" w:cs="Times New Roman" w:eastAsia="Times New Roman" w:hAnsi="Times New Roman"/>
          <w:sz w:val="17"/>
          <w:szCs w:val="17"/>
          <w:color w:val="auto"/>
        </w:rPr>
        <w:t>”), Sumitomo Mitsui Banking Corporation (“</w:t>
      </w:r>
      <w:r>
        <w:rPr>
          <w:rFonts w:ascii="Times New Roman" w:cs="Times New Roman" w:eastAsia="Times New Roman" w:hAnsi="Times New Roman"/>
          <w:sz w:val="17"/>
          <w:szCs w:val="17"/>
          <w:u w:val="single" w:color="auto"/>
          <w:color w:val="auto"/>
        </w:rPr>
        <w:t>Sumitomo</w:t>
      </w:r>
      <w:r>
        <w:rPr>
          <w:rFonts w:ascii="Times New Roman" w:cs="Times New Roman" w:eastAsia="Times New Roman" w:hAnsi="Times New Roman"/>
          <w:sz w:val="17"/>
          <w:szCs w:val="17"/>
          <w:color w:val="auto"/>
        </w:rPr>
        <w:t>”), Associated Bank, National Association (together with JPMorgan and Sumitomo, each a “</w:t>
      </w:r>
      <w:r>
        <w:rPr>
          <w:rFonts w:ascii="Times New Roman" w:cs="Times New Roman" w:eastAsia="Times New Roman" w:hAnsi="Times New Roman"/>
          <w:sz w:val="17"/>
          <w:szCs w:val="17"/>
          <w:u w:val="single" w:color="auto"/>
          <w:color w:val="auto"/>
        </w:rPr>
        <w:t>New</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Lender</w:t>
      </w:r>
      <w:r>
        <w:rPr>
          <w:rFonts w:ascii="Times New Roman" w:cs="Times New Roman" w:eastAsia="Times New Roman" w:hAnsi="Times New Roman"/>
          <w:sz w:val="17"/>
          <w:szCs w:val="17"/>
          <w:color w:val="auto"/>
        </w:rPr>
        <w:t>” and collectively, the “</w:t>
      </w:r>
      <w:r>
        <w:rPr>
          <w:rFonts w:ascii="Times New Roman" w:cs="Times New Roman" w:eastAsia="Times New Roman" w:hAnsi="Times New Roman"/>
          <w:sz w:val="17"/>
          <w:szCs w:val="17"/>
          <w:u w:val="single" w:color="auto"/>
          <w:color w:val="auto"/>
        </w:rPr>
        <w:t>New Lenders</w:t>
      </w:r>
      <w:r>
        <w:rPr>
          <w:rFonts w:ascii="Times New Roman" w:cs="Times New Roman" w:eastAsia="Times New Roman" w:hAnsi="Times New Roman"/>
          <w:sz w:val="17"/>
          <w:szCs w:val="17"/>
          <w:color w:val="auto"/>
        </w:rPr>
        <w:t>”), and PNC BANK, NATIONAL ASSOCIATION, as Administrative Agent (the “</w:t>
      </w:r>
      <w:r>
        <w:rPr>
          <w:rFonts w:ascii="Times New Roman" w:cs="Times New Roman" w:eastAsia="Times New Roman" w:hAnsi="Times New Roman"/>
          <w:sz w:val="17"/>
          <w:szCs w:val="17"/>
          <w:u w:val="single" w:color="auto"/>
          <w:color w:val="auto"/>
        </w:rPr>
        <w:t>Administrative Agent</w:t>
      </w:r>
      <w:r>
        <w:rPr>
          <w:rFonts w:ascii="Times New Roman" w:cs="Times New Roman" w:eastAsia="Times New Roman" w:hAnsi="Times New Roman"/>
          <w:sz w:val="17"/>
          <w:szCs w:val="17"/>
          <w:color w:val="auto"/>
        </w:rPr>
        <w:t>”).</w:t>
      </w:r>
    </w:p>
    <w:p>
      <w:pPr>
        <w:spacing w:after="0" w:line="164"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WHEREAS, the Borrower, the Lenders, the Administrative Agent and certain other parties have entered into that certain Term Loan Agreement dated as of May 6, 2020 (as in effect immediately prior to this Amendment, the “</w:t>
      </w:r>
      <w:r>
        <w:rPr>
          <w:rFonts w:ascii="Times New Roman" w:cs="Times New Roman" w:eastAsia="Times New Roman" w:hAnsi="Times New Roman"/>
          <w:sz w:val="18"/>
          <w:szCs w:val="18"/>
          <w:u w:val="single" w:color="auto"/>
          <w:color w:val="auto"/>
        </w:rPr>
        <w:t>Existing Credit Agreement</w:t>
      </w:r>
      <w:r>
        <w:rPr>
          <w:rFonts w:ascii="Times New Roman" w:cs="Times New Roman" w:eastAsia="Times New Roman" w:hAnsi="Times New Roman"/>
          <w:sz w:val="18"/>
          <w:szCs w:val="18"/>
          <w:color w:val="auto"/>
        </w:rPr>
        <w:t>”; unless otherwise defined herein, capitalized terms shall have the respective meanings assigned to such terms in the Existing Credit Agreement after giving effect to this Amendment (the “</w:t>
      </w:r>
      <w:r>
        <w:rPr>
          <w:rFonts w:ascii="Times New Roman" w:cs="Times New Roman" w:eastAsia="Times New Roman" w:hAnsi="Times New Roman"/>
          <w:sz w:val="18"/>
          <w:szCs w:val="18"/>
          <w:u w:val="single" w:color="auto"/>
          <w:color w:val="auto"/>
        </w:rPr>
        <w:t>Amended Credit Agreement</w:t>
      </w:r>
      <w:r>
        <w:rPr>
          <w:rFonts w:ascii="Times New Roman" w:cs="Times New Roman" w:eastAsia="Times New Roman" w:hAnsi="Times New Roman"/>
          <w:sz w:val="18"/>
          <w:szCs w:val="18"/>
          <w:color w:val="auto"/>
        </w:rPr>
        <w:t>”)), pursuant to which certain of the Lenders made certain credit extensions to the Borrower upon the terms and conditions set forth therein; and</w:t>
      </w:r>
    </w:p>
    <w:p>
      <w:pPr>
        <w:spacing w:after="0" w:line="183"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WHEREAS, the Borrower has requested that the Lenders and the Administrative Agent (i) provide $300,000,000 of additional Loans (such Loans, the “</w:t>
      </w:r>
      <w:r>
        <w:rPr>
          <w:rFonts w:ascii="Times New Roman" w:cs="Times New Roman" w:eastAsia="Times New Roman" w:hAnsi="Times New Roman"/>
          <w:sz w:val="18"/>
          <w:szCs w:val="18"/>
          <w:u w:val="single" w:color="auto"/>
          <w:color w:val="auto"/>
        </w:rPr>
        <w:t>New Term Loans</w:t>
      </w:r>
      <w:r>
        <w:rPr>
          <w:rFonts w:ascii="Times New Roman" w:cs="Times New Roman" w:eastAsia="Times New Roman" w:hAnsi="Times New Roman"/>
          <w:sz w:val="18"/>
          <w:szCs w:val="18"/>
          <w:color w:val="auto"/>
        </w:rPr>
        <w:t>”), the proceeds of which shall be used for general corporate purposes of the Borrower and (ii) amend certain other provisions of the Existing Credit Agreement, and, subject to the satisfaction of the conditions set forth herein, the Administrative Agent and the Lenders signatory hereto are willing to do so, on the terms set forth herein.</w:t>
      </w:r>
    </w:p>
    <w:p>
      <w:pPr>
        <w:spacing w:after="0" w:line="180"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NOW, THEREFORE, for good and valuable consideration, the receipt and sufficiency of which are hereby acknowledged by the parties hereto, the parties hereto agree as follows: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Outstanding Term Loans; New Term Loans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36"/>
        <w:spacing w:after="0" w:line="256" w:lineRule="auto"/>
        <w:tabs>
          <w:tab w:leader="none" w:pos="685"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Pursuant to the Existing Credit Agreement, certain of the Lenders made “Loans” (as defined in the Existing Credit Agreement) denominated in Dollars to the Borrower. Such “Loans” shall be continued as, and shall constitute Loans under, the Amended Credit Agreement. The Borrower hereby acknowledges and agrees that as of the Third Amendment Date, the outstanding principal balance of the Loans is set forth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and shall for all purposes under the Amended Credit Agreement constitute and be referred to as Loans under the Amended Credit Agreement, without constituting a novation, but in all cases subject to the terms and conditions applicable to the Loans under the Amended Credit Agreement. Once repaid, the principal amount of the Loans (or any portion thereof) may not be reborrowed.</w:t>
      </w:r>
    </w:p>
    <w:p>
      <w:pPr>
        <w:spacing w:after="0" w:line="187" w:lineRule="exact"/>
        <w:rPr>
          <w:rFonts w:ascii="Times New Roman" w:cs="Times New Roman" w:eastAsia="Times New Roman" w:hAnsi="Times New Roman"/>
          <w:sz w:val="18"/>
          <w:szCs w:val="18"/>
          <w:color w:val="auto"/>
        </w:rPr>
      </w:pPr>
    </w:p>
    <w:p>
      <w:pPr>
        <w:ind w:right="20" w:firstLine="436"/>
        <w:spacing w:after="0" w:line="258" w:lineRule="auto"/>
        <w:tabs>
          <w:tab w:leader="none" w:pos="695"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the Third Amendment Date, and pursuant to the terms of Section 2.1 of the Amended Credit Agreement, each applicable Lender hereby, severally and not jointly, agrees to make a Loan to the Borrower in a principal amount equal to such Lender’s Commitment as provided under the heading “New Term Loan Amount”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The Borrower, the Administrative Agent and the Lenders acknowledge and agree that the New Term Loans shall constitute “Loans” under the Amended Credit Agreement and shall be on the same terms and constitute, and be a part of, the existing Loans under the Amended Credit Agreement.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Specific Amendments to the Existing Credit Agreement</w:t>
      </w:r>
      <w:r>
        <w:rPr>
          <w:rFonts w:ascii="Times New Roman" w:cs="Times New Roman" w:eastAsia="Times New Roman" w:hAnsi="Times New Roman"/>
          <w:sz w:val="18"/>
          <w:szCs w:val="18"/>
          <w:color w:val="auto"/>
        </w:rPr>
        <w:t>. As of the Third Amendment Date, the parties hereto agree as follows:</w:t>
      </w:r>
    </w:p>
    <w:p>
      <w:pPr>
        <w:spacing w:after="0" w:line="225" w:lineRule="exact"/>
        <w:rPr>
          <w:sz w:val="20"/>
          <w:szCs w:val="20"/>
          <w:color w:val="auto"/>
        </w:rPr>
      </w:pPr>
    </w:p>
    <w:p>
      <w:pPr>
        <w:ind w:right="20" w:firstLine="436"/>
        <w:spacing w:after="0" w:line="266" w:lineRule="auto"/>
        <w:tabs>
          <w:tab w:leader="none" w:pos="685"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Existing Credit Agreement is amended to delete the stricken text (indicated textually in the same manner as the following example: </w:t>
      </w:r>
      <w:r>
        <w:rPr>
          <w:rFonts w:ascii="Times New Roman" w:cs="Times New Roman" w:eastAsia="Times New Roman" w:hAnsi="Times New Roman"/>
          <w:sz w:val="18"/>
          <w:szCs w:val="18"/>
          <w:color w:val="FF0000"/>
          <w:strike w:val="1"/>
        </w:rPr>
        <w:t>stricken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text</w:t>
      </w:r>
      <w:r>
        <w:rPr>
          <w:rFonts w:ascii="Times New Roman" w:cs="Times New Roman" w:eastAsia="Times New Roman" w:hAnsi="Times New Roman"/>
          <w:sz w:val="18"/>
          <w:szCs w:val="18"/>
          <w:color w:val="000000"/>
        </w:rPr>
        <w:t>) and to add the underlined text (indicated textually in the same manner as the following example: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FF"/>
        </w:rPr>
        <w:t>underlined text</w:t>
      </w:r>
      <w:r>
        <w:rPr>
          <w:rFonts w:ascii="Times New Roman" w:cs="Times New Roman" w:eastAsia="Times New Roman" w:hAnsi="Times New Roman"/>
          <w:sz w:val="18"/>
          <w:szCs w:val="18"/>
          <w:color w:val="000000"/>
        </w:rPr>
        <w:t>) as set forth in</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00"/>
        </w:rPr>
        <w:t>Annex A</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attached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4669155</wp:posOffset>
            </wp:positionH>
            <wp:positionV relativeFrom="paragraph">
              <wp:posOffset>-141605</wp:posOffset>
            </wp:positionV>
            <wp:extent cx="6858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ectPr>
          <w:pgSz w:w="11900" w:h="16838" w:orient="portrait"/>
          <w:cols w:equalWidth="0" w:num="1">
            <w:col w:w="11020"/>
          </w:cols>
          <w:pgMar w:left="440" w:top="117" w:right="439" w:bottom="1440" w:gutter="0" w:footer="0" w:header="0"/>
        </w:sectPr>
      </w:pPr>
    </w:p>
    <w:bookmarkStart w:id="155" w:name="page156"/>
    <w:bookmarkEnd w:id="155"/>
    <w:p>
      <w:pPr>
        <w:ind w:right="20" w:firstLine="436"/>
        <w:spacing w:after="0" w:line="282" w:lineRule="auto"/>
        <w:tabs>
          <w:tab w:leader="none" w:pos="695"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Schedules I, 1.1.(a), 6.1.(b), 6.1.(f), 6.1.(g), 6.1.(i) and 6.1.(z) to the Existing Credit Agreement are replaced with the corresponding schedules set forth in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 xml:space="preserve"> attached hereto; and</w:t>
      </w:r>
    </w:p>
    <w:p>
      <w:pPr>
        <w:spacing w:after="0" w:line="161"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Exhibits C, D and E to the Existing Credit Agreement are replaced with the corresponding exhibits set forth in </w:t>
      </w:r>
      <w:r>
        <w:rPr>
          <w:rFonts w:ascii="Times New Roman" w:cs="Times New Roman" w:eastAsia="Times New Roman" w:hAnsi="Times New Roman"/>
          <w:sz w:val="18"/>
          <w:szCs w:val="18"/>
          <w:u w:val="single" w:color="auto"/>
          <w:color w:val="auto"/>
        </w:rPr>
        <w:t>Annex C</w:t>
      </w:r>
      <w:r>
        <w:rPr>
          <w:rFonts w:ascii="Times New Roman" w:cs="Times New Roman" w:eastAsia="Times New Roman" w:hAnsi="Times New Roman"/>
          <w:sz w:val="18"/>
          <w:szCs w:val="18"/>
          <w:color w:val="auto"/>
        </w:rPr>
        <w:t xml:space="preserve"> attached hereto.</w:t>
      </w:r>
    </w:p>
    <w:p>
      <w:pPr>
        <w:spacing w:after="0" w:line="225"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For purposes of greater certainty, the parties hereto acknowledge and agree that any LIBOR Loans (as defined in the Existing Credit Agreement) outstanding as of the date hereof shall be converted to SOFR Loans on the date hereof and shall remain outstanding as SOFR Loans until the end of the respective Interest Periods relating thereto. The Lenders party hereto acknowledge and agree that any payments due under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of the Existing Credit Agreement as a result of the previous sentence are waived in all respects.</w:t>
      </w:r>
    </w:p>
    <w:p>
      <w:pPr>
        <w:spacing w:after="0" w:line="180"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Conditions Precedent</w:t>
      </w:r>
      <w:r>
        <w:rPr>
          <w:rFonts w:ascii="Times New Roman" w:cs="Times New Roman" w:eastAsia="Times New Roman" w:hAnsi="Times New Roman"/>
          <w:sz w:val="18"/>
          <w:szCs w:val="18"/>
          <w:color w:val="auto"/>
        </w:rPr>
        <w:t>. The effectiveness of this Amendment is subject to receipt by the Administrative Agent of each of the following in form and substance satisfactory to the Administrative Agent:</w:t>
      </w:r>
    </w:p>
    <w:p>
      <w:pPr>
        <w:spacing w:after="0" w:line="67" w:lineRule="exact"/>
        <w:rPr>
          <w:sz w:val="20"/>
          <w:szCs w:val="20"/>
          <w:color w:val="auto"/>
        </w:rPr>
      </w:pPr>
    </w:p>
    <w:p>
      <w:pPr>
        <w:ind w:left="960" w:hanging="532"/>
        <w:spacing w:after="0"/>
        <w:tabs>
          <w:tab w:leader="none" w:pos="96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counterpart of this Amendment duly executed by the Borrower, the Administrative Agent, the Lenders and the New Lenders;</w:t>
      </w:r>
    </w:p>
    <w:p>
      <w:pPr>
        <w:spacing w:after="0" w:line="130" w:lineRule="exact"/>
        <w:rPr>
          <w:rFonts w:ascii="Times New Roman" w:cs="Times New Roman" w:eastAsia="Times New Roman" w:hAnsi="Times New Roman"/>
          <w:sz w:val="18"/>
          <w:szCs w:val="18"/>
          <w:color w:val="auto"/>
        </w:rPr>
      </w:pPr>
    </w:p>
    <w:p>
      <w:pPr>
        <w:ind w:left="960" w:right="180" w:hanging="532"/>
        <w:spacing w:after="0" w:line="282" w:lineRule="auto"/>
        <w:tabs>
          <w:tab w:leader="none" w:pos="96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replacement Notes executed by the Borrower, payable to each applicable Lender and each New Lender and complying with the terms of Section 2.11.(a) of the Amended Credit Agreement;</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of Pillsbury Winthrop Shaw Pittman LLP, counsel to the Borrower, addressed to the Administrative Agent and the Lenders;</w:t>
      </w:r>
    </w:p>
    <w:p>
      <w:pPr>
        <w:spacing w:after="0" w:line="130" w:lineRule="exact"/>
        <w:rPr>
          <w:rFonts w:ascii="Times New Roman" w:cs="Times New Roman" w:eastAsia="Times New Roman" w:hAnsi="Times New Roman"/>
          <w:sz w:val="18"/>
          <w:szCs w:val="18"/>
          <w:color w:val="auto"/>
        </w:rPr>
      </w:pPr>
    </w:p>
    <w:p>
      <w:pPr>
        <w:ind w:left="960" w:hanging="532"/>
        <w:spacing w:after="0" w:line="254" w:lineRule="auto"/>
        <w:tabs>
          <w:tab w:leader="none" w:pos="96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certificate or articles of incorporation or formation, articles of organization, certificate of limited partnership, declaration of trust or other comparable organizational instrument (if any) of each Loan Party certified as of a recent date by the Secretary of State of the state of formation of such Loan Party, or (ii) to the extent a certified copy of the certificate or articles of incorporation or formation, articles of organization, certificate of limited partnership, declaration of trust or other comparable organizational instrument (if any) of each Loan Party was previously delivered on the Second Amendment Date, a certification by the Secretary or Assistant Secretary (or other individual performing similar functions) of the Loan Parties that such certificate or articles of incorporation or formation, articles of organization, certificate of limited partnership, declaration of trust or other comparable organizational instrument (if any), as applicable, have not been amended, modified, supplemented or repealed since the Second Amendment Date;</w:t>
      </w:r>
    </w:p>
    <w:p>
      <w:pPr>
        <w:spacing w:after="0" w:line="97" w:lineRule="exact"/>
        <w:rPr>
          <w:rFonts w:ascii="Times New Roman" w:cs="Times New Roman" w:eastAsia="Times New Roman" w:hAnsi="Times New Roman"/>
          <w:sz w:val="18"/>
          <w:szCs w:val="18"/>
          <w:color w:val="auto"/>
        </w:rPr>
      </w:pPr>
    </w:p>
    <w:p>
      <w:pPr>
        <w:ind w:left="960" w:right="20" w:hanging="532"/>
        <w:spacing w:after="0" w:line="282" w:lineRule="auto"/>
        <w:tabs>
          <w:tab w:leader="none" w:pos="96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good standing (or certificate of similar meaning) with respect to each Loan Party issued as of a recent date by the Secretary of State of the state of formation of each such Loan Party;</w:t>
      </w:r>
    </w:p>
    <w:p>
      <w:pPr>
        <w:spacing w:after="0" w:line="67" w:lineRule="exact"/>
        <w:rPr>
          <w:rFonts w:ascii="Times New Roman" w:cs="Times New Roman" w:eastAsia="Times New Roman" w:hAnsi="Times New Roman"/>
          <w:sz w:val="18"/>
          <w:szCs w:val="18"/>
          <w:color w:val="auto"/>
        </w:rPr>
      </w:pPr>
    </w:p>
    <w:p>
      <w:pPr>
        <w:ind w:left="960" w:hanging="532"/>
        <w:spacing w:after="0" w:line="266" w:lineRule="auto"/>
        <w:tabs>
          <w:tab w:leader="none" w:pos="96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incumbency signed by the Secretary or Assistant Secretary (or other individual performing similar functions) of the Borrower with respect to each of the officers of the Borrower authorized to execute and deliver the Loan Documents including the Notices of Conversion and Notices of Continuation;</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0"/>
          </w:cols>
          <w:pgMar w:left="440" w:top="270" w:right="519" w:bottom="1440" w:gutter="0" w:footer="0" w:header="0"/>
        </w:sectPr>
      </w:pPr>
    </w:p>
    <w:bookmarkStart w:id="156" w:name="page157"/>
    <w:bookmarkEnd w:id="156"/>
    <w:p>
      <w:pPr>
        <w:ind w:left="540" w:hanging="532"/>
        <w:spacing w:after="0" w:line="254" w:lineRule="auto"/>
        <w:tabs>
          <w:tab w:leader="none" w:pos="54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copies certified by the Secretary or Assistant Secretary (or other individual performing similar functions) of each Loan Party of (A)(i) the by-laws of such Loan Party, if a corporation, the operating agreement, if a limited liability company, the partnership agreement, if a limited or general partnership, or other comparable document in the case of any other form of legal entity or (ii) to the extent the by-laws, operating agreement, partnership agreement or comparable document of each Loan Party was previously delivered on the Second Amendment Date, a certification by the Secretary or Assistant Secretary (or other individual performing similar functions) of the Loan Parties that such by-laws, operating agreement, partnership agreement or comparable document, as applicable, has not been amended, modified, supplemented or repealed since the Second Amendment Date and (B) all corporate, partnership, member or other necessary action taken by such Loan Party to authorize the execution, delivery and performance of the Loan Documents to which it is a party;</w:t>
      </w:r>
    </w:p>
    <w:p>
      <w:pPr>
        <w:spacing w:after="0" w:line="97" w:lineRule="exact"/>
        <w:rPr>
          <w:rFonts w:ascii="Times New Roman" w:cs="Times New Roman" w:eastAsia="Times New Roman" w:hAnsi="Times New Roman"/>
          <w:sz w:val="18"/>
          <w:szCs w:val="18"/>
          <w:color w:val="auto"/>
        </w:rPr>
      </w:pPr>
    </w:p>
    <w:p>
      <w:pPr>
        <w:ind w:left="540" w:right="20" w:hanging="532"/>
        <w:spacing w:after="0" w:line="254" w:lineRule="auto"/>
        <w:tabs>
          <w:tab w:leader="none" w:pos="54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signed by a Responsible Officer of the Borrower certifying that immediately after giving effect to this Amendment and all the transactions contemplated herein, (A) each of the Borrower, the other Loan Parties, and the other Subsidiaries is Solvent, (B) no Default or Event of Default exists, and (C) the representations and warranties made or deemed made by the Borrower and each other Loan Party in the Loan Documents to which any of them is a party, are true and correct in all material respects (except in the case of a representation or warranty qualified by materiality, in which case such representation or warranty is true and correct in all respects) on and as of the date hereof immediately after giving effect to this Amendment except to the extent that such representations and warranties expressly relate solely to an earlier date (in which case such representations and warranties were true and correct in all material respects (except in the case of a representation or warranty qualified by materiality, in which case such representation or warranty was true and correct in all respects) on and as of such earlier date) and except for changes in factual circumstances not prohibited thereunder;</w:t>
      </w:r>
    </w:p>
    <w:p>
      <w:pPr>
        <w:spacing w:after="0" w:line="93" w:lineRule="exact"/>
        <w:rPr>
          <w:rFonts w:ascii="Times New Roman" w:cs="Times New Roman" w:eastAsia="Times New Roman" w:hAnsi="Times New Roman"/>
          <w:sz w:val="18"/>
          <w:szCs w:val="18"/>
          <w:color w:val="auto"/>
        </w:rPr>
      </w:pPr>
    </w:p>
    <w:p>
      <w:pPr>
        <w:ind w:left="540" w:right="320" w:hanging="532"/>
        <w:spacing w:after="0" w:line="282" w:lineRule="auto"/>
        <w:tabs>
          <w:tab w:leader="none" w:pos="54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that the Revolver Credit Agreement shall have closed, all signatures thereto shall have been released and the Revolver Credit Agreement shall be effective;</w:t>
      </w:r>
    </w:p>
    <w:p>
      <w:pPr>
        <w:spacing w:after="0" w:line="67"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Compliance Certificate calculated on a pro forma basis for the Borrower’s fiscal quarter ending June 30, 2022;</w:t>
      </w:r>
    </w:p>
    <w:p>
      <w:pPr>
        <w:spacing w:after="0" w:line="130"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good faith judgment of the Administrative Agent:</w:t>
      </w:r>
    </w:p>
    <w:p>
      <w:pPr>
        <w:spacing w:after="0" w:line="130" w:lineRule="exact"/>
        <w:rPr>
          <w:rFonts w:ascii="Times New Roman" w:cs="Times New Roman" w:eastAsia="Times New Roman" w:hAnsi="Times New Roman"/>
          <w:sz w:val="18"/>
          <w:szCs w:val="18"/>
          <w:color w:val="auto"/>
        </w:rPr>
      </w:pPr>
    </w:p>
    <w:p>
      <w:pPr>
        <w:ind w:left="1540" w:right="200" w:hanging="533"/>
        <w:spacing w:after="0" w:line="258" w:lineRule="auto"/>
        <w:tabs>
          <w:tab w:leader="none" w:pos="1540"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not have occurred or become known to the Administrative Agent or any of the Lenders any event, condition, situation or status since the date of the information contained in the financial and business projections, budgets, pro forma data and forecasts concerning the Borrower and its Subsidiaries or the Parent and its Subsidiaries delivered to the Administrative Agent and the Lenders prior to the Third Amendment Date that has had or could reasonably be expected to result in a Material Adverse Effect;</w:t>
      </w:r>
    </w:p>
    <w:p>
      <w:pPr>
        <w:spacing w:after="0" w:line="88" w:lineRule="exact"/>
        <w:rPr>
          <w:rFonts w:ascii="Times New Roman" w:cs="Times New Roman" w:eastAsia="Times New Roman" w:hAnsi="Times New Roman"/>
          <w:sz w:val="18"/>
          <w:szCs w:val="18"/>
          <w:color w:val="auto"/>
        </w:rPr>
      </w:pPr>
    </w:p>
    <w:p>
      <w:pPr>
        <w:ind w:left="1540" w:right="100" w:hanging="533"/>
        <w:spacing w:after="0" w:line="261" w:lineRule="auto"/>
        <w:tabs>
          <w:tab w:leader="none" w:pos="1540"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litigation, action, suit, investigation or other arbitral, administrative or judicial proceeding shall be pending or threatened which could reasonably be expected to (A) result in a Material Adverse Effect or (B) restrain or enjoin, impose materially burdensome conditions on, or otherwise materially and adversely affect, the ability of the Borrower or any other Loan Party to fulfill its obligations under the Loan Documents to which it is a party;</w:t>
      </w:r>
    </w:p>
    <w:p>
      <w:pPr>
        <w:spacing w:after="0" w:line="85" w:lineRule="exact"/>
        <w:rPr>
          <w:rFonts w:ascii="Times New Roman" w:cs="Times New Roman" w:eastAsia="Times New Roman" w:hAnsi="Times New Roman"/>
          <w:sz w:val="18"/>
          <w:szCs w:val="18"/>
          <w:color w:val="auto"/>
        </w:rPr>
      </w:pPr>
    </w:p>
    <w:p>
      <w:pPr>
        <w:ind w:left="1540" w:right="260" w:hanging="533"/>
        <w:spacing w:after="0" w:line="272" w:lineRule="auto"/>
        <w:tabs>
          <w:tab w:leader="none" w:pos="1540" w:val="left"/>
        </w:tabs>
        <w:numPr>
          <w:ilvl w:val="1"/>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Parent, the General Partner, the Borrower and its Subsidiaries shall have received all approvals, consents and waivers, and shall have made or given all necessary filings and notices as shall be required to consummate the transactions contemplated hereby without the occurrence of any default under, conflict with or violation of (A) any Applicable Law or</w:t>
      </w:r>
    </w:p>
    <w:p>
      <w:pPr>
        <w:spacing w:after="0" w:line="1" w:lineRule="exact"/>
        <w:rPr>
          <w:rFonts w:ascii="Times New Roman" w:cs="Times New Roman" w:eastAsia="Times New Roman" w:hAnsi="Times New Roman"/>
          <w:sz w:val="17"/>
          <w:szCs w:val="17"/>
          <w:color w:val="auto"/>
        </w:rPr>
      </w:pPr>
    </w:p>
    <w:p>
      <w:pPr>
        <w:ind w:left="1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any agreement, document or instrument to which any Loan</w:t>
      </w:r>
    </w:p>
    <w:p>
      <w:pPr>
        <w:spacing w:after="0" w:line="139"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560"/>
          </w:cols>
          <w:pgMar w:left="860" w:top="270" w:right="479" w:bottom="1440" w:gutter="0" w:footer="0" w:header="0"/>
        </w:sectPr>
      </w:pPr>
    </w:p>
    <w:bookmarkStart w:id="157" w:name="page158"/>
    <w:bookmarkEnd w:id="157"/>
    <w:p>
      <w:pPr>
        <w:ind w:left="1540" w:right="20"/>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Party is a party or by which any of them or their respective properties is bound, except for such approvals, consents, waivers, filings and notices the receipt, making or giving of which could not reasonably be likely to (x) have a Material Adverse Effect, or (y) restrain or enjoin impose materially burdensome conditions on, or otherwise materially and adversely affect the ability of the Borrower or any other Loan Party to fulfill its obligations under the Loan Documents to which it is a party;</w:t>
      </w:r>
    </w:p>
    <w:p>
      <w:pPr>
        <w:spacing w:after="0" w:line="70" w:lineRule="exact"/>
        <w:rPr>
          <w:sz w:val="20"/>
          <w:szCs w:val="20"/>
          <w:color w:val="auto"/>
        </w:rPr>
      </w:pPr>
    </w:p>
    <w:p>
      <w:pPr>
        <w:ind w:left="1540" w:right="140" w:hanging="533"/>
        <w:spacing w:after="0" w:line="261" w:lineRule="auto"/>
        <w:tabs>
          <w:tab w:leader="none" w:pos="154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and, if applicable, the Parent and the General Partner shall have provided to the Administrative Agent and the Lenders the documentation and other information requested by the Administrative Agent in order to comply with the requirements of any Anti-Money Laundering Laws, including, without limitation, the PATRIOT Act and any applicable “know your customer” rules and regulations;</w:t>
      </w:r>
    </w:p>
    <w:p>
      <w:pPr>
        <w:spacing w:after="0" w:line="85" w:lineRule="exact"/>
        <w:rPr>
          <w:rFonts w:ascii="Times New Roman" w:cs="Times New Roman" w:eastAsia="Times New Roman" w:hAnsi="Times New Roman"/>
          <w:sz w:val="18"/>
          <w:szCs w:val="18"/>
          <w:color w:val="auto"/>
        </w:rPr>
      </w:pPr>
    </w:p>
    <w:p>
      <w:pPr>
        <w:ind w:left="1540" w:right="80" w:hanging="533"/>
        <w:spacing w:after="0" w:line="261" w:lineRule="auto"/>
        <w:tabs>
          <w:tab w:leader="none" w:pos="154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Loan Party or Subsidiary thereof that qualifies as a “legal entity customer” under the Beneficial Ownership Regulation shall have delivered to the Administrative Agent, and any Lender requesting the same, a Beneficial Ownership Certification in relation to such Loan Party or such Subsidiary, in each case at least five Business Days prior to the Third Amendment Date;</w:t>
      </w:r>
    </w:p>
    <w:p>
      <w:pPr>
        <w:spacing w:after="0" w:line="85" w:lineRule="exact"/>
        <w:rPr>
          <w:rFonts w:ascii="Times New Roman" w:cs="Times New Roman" w:eastAsia="Times New Roman" w:hAnsi="Times New Roman"/>
          <w:sz w:val="18"/>
          <w:szCs w:val="18"/>
          <w:color w:val="auto"/>
        </w:rPr>
      </w:pPr>
    </w:p>
    <w:p>
      <w:pPr>
        <w:ind w:left="1540" w:hanging="533"/>
        <w:spacing w:after="0" w:line="266" w:lineRule="auto"/>
        <w:tabs>
          <w:tab w:leader="none" w:pos="154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that all fees, expenses and reimbursement amounts due and payable to the Administrative Agent and the arrangers, including without limitation, (i) the costs and expenses set forth in Section 9 hereto, and (ii) the reasonable fees and expenses of counsel to the Administrative Agent, have been paid; and</w:t>
      </w:r>
    </w:p>
    <w:p>
      <w:pPr>
        <w:spacing w:after="0" w:line="81" w:lineRule="exact"/>
        <w:rPr>
          <w:rFonts w:ascii="Times New Roman" w:cs="Times New Roman" w:eastAsia="Times New Roman" w:hAnsi="Times New Roman"/>
          <w:sz w:val="18"/>
          <w:szCs w:val="18"/>
          <w:color w:val="auto"/>
        </w:rPr>
      </w:pPr>
    </w:p>
    <w:p>
      <w:pPr>
        <w:ind w:left="1540" w:right="200" w:hanging="533"/>
        <w:spacing w:after="0" w:line="282" w:lineRule="auto"/>
        <w:tabs>
          <w:tab w:leader="none" w:pos="154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documents, agreements and instruments as the Administrative Agent, or any Lender through the Administrative Agent, may reasonably request.</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Representations</w:t>
      </w:r>
      <w:r>
        <w:rPr>
          <w:rFonts w:ascii="Times New Roman" w:cs="Times New Roman" w:eastAsia="Times New Roman" w:hAnsi="Times New Roman"/>
          <w:sz w:val="18"/>
          <w:szCs w:val="18"/>
          <w:color w:val="auto"/>
        </w:rPr>
        <w:t>. The Borrower represents and warrants to the Administrative Agent and the Lenders that:</w:t>
      </w:r>
    </w:p>
    <w:p>
      <w:pPr>
        <w:spacing w:after="0" w:line="131" w:lineRule="exact"/>
        <w:rPr>
          <w:sz w:val="20"/>
          <w:szCs w:val="20"/>
          <w:color w:val="auto"/>
        </w:rPr>
      </w:pPr>
    </w:p>
    <w:p>
      <w:pPr>
        <w:ind w:left="540" w:right="80" w:hanging="532"/>
        <w:spacing w:after="0" w:line="254" w:lineRule="auto"/>
        <w:tabs>
          <w:tab w:leader="none" w:pos="54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of Loan Documents and Borrowings</w:t>
      </w:r>
      <w:r>
        <w:rPr>
          <w:rFonts w:ascii="Times New Roman" w:cs="Times New Roman" w:eastAsia="Times New Roman" w:hAnsi="Times New Roman"/>
          <w:sz w:val="18"/>
          <w:szCs w:val="18"/>
          <w:color w:val="auto"/>
        </w:rPr>
        <w:t>. The Borrower has the right and power, and has taken all necessary action to authorize it, to execute and deliver this Amendment and to perform its obligations hereunder and under the Amended Credit Agreement in accordance with their respective terms and to consummate the transactions contemplated hereby and thereby. This Amendment has been duly executed and delivered by the duly authorized officers of the Borrower, and each of this Amendment and the Amended Credit Agreement is a legal, valid and binding obligation of the Borrower, enforceable against the Borrower in accordance with its respective terms, except as the same may be limited by bankruptcy, insolvency, and other similar laws affecting the rights of creditors generally and the availability of equitable remedies for the enforcement of certain obligations (other than the payment of principal) contained herein or therein and as may be limited by equitable principles generally.</w:t>
      </w:r>
    </w:p>
    <w:p>
      <w:pPr>
        <w:spacing w:after="0" w:line="97" w:lineRule="exact"/>
        <w:rPr>
          <w:rFonts w:ascii="Times New Roman" w:cs="Times New Roman" w:eastAsia="Times New Roman" w:hAnsi="Times New Roman"/>
          <w:sz w:val="18"/>
          <w:szCs w:val="18"/>
          <w:color w:val="auto"/>
        </w:rPr>
      </w:pPr>
    </w:p>
    <w:p>
      <w:pPr>
        <w:ind w:left="540" w:right="800" w:hanging="532"/>
        <w:spacing w:after="0" w:line="282" w:lineRule="auto"/>
        <w:tabs>
          <w:tab w:leader="none" w:pos="54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Binding Effect</w:t>
      </w:r>
      <w:r>
        <w:rPr>
          <w:rFonts w:ascii="Times New Roman" w:cs="Times New Roman" w:eastAsia="Times New Roman" w:hAnsi="Times New Roman"/>
          <w:sz w:val="18"/>
          <w:szCs w:val="18"/>
          <w:color w:val="auto"/>
        </w:rPr>
        <w:t>. This Amendment and the Amended Credit Agreement constitute valid and binding agreements of the Borrower, enforceable against the Borrower in accordance with their terms.</w:t>
      </w:r>
    </w:p>
    <w:p>
      <w:pPr>
        <w:spacing w:after="0" w:line="67" w:lineRule="exact"/>
        <w:rPr>
          <w:rFonts w:ascii="Times New Roman" w:cs="Times New Roman" w:eastAsia="Times New Roman" w:hAnsi="Times New Roman"/>
          <w:sz w:val="18"/>
          <w:szCs w:val="18"/>
          <w:color w:val="auto"/>
        </w:rPr>
      </w:pPr>
    </w:p>
    <w:p>
      <w:pPr>
        <w:ind w:left="540" w:right="300" w:hanging="532"/>
        <w:spacing w:after="0" w:line="282" w:lineRule="auto"/>
        <w:tabs>
          <w:tab w:leader="none" w:pos="54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Default</w:t>
      </w:r>
      <w:r>
        <w:rPr>
          <w:rFonts w:ascii="Times New Roman" w:cs="Times New Roman" w:eastAsia="Times New Roman" w:hAnsi="Times New Roman"/>
          <w:sz w:val="18"/>
          <w:szCs w:val="18"/>
          <w:color w:val="auto"/>
        </w:rPr>
        <w:t>. No Default or Event of Default has occurred and is continuing as of the date hereof nor will exist immediately after giving effect to this Amendment.</w:t>
      </w:r>
    </w:p>
    <w:p>
      <w:pPr>
        <w:spacing w:after="0" w:line="9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560"/>
          </w:cols>
          <w:pgMar w:left="860" w:top="270" w:right="479" w:bottom="1440" w:gutter="0" w:footer="0" w:header="0"/>
        </w:sectPr>
      </w:pPr>
    </w:p>
    <w:bookmarkStart w:id="158" w:name="page159"/>
    <w:bookmarkEnd w:id="158"/>
    <w:p>
      <w:pPr>
        <w:ind w:left="960" w:right="80" w:hanging="532"/>
        <w:spacing w:after="0" w:line="261" w:lineRule="auto"/>
        <w:tabs>
          <w:tab w:leader="none" w:pos="96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Material Adverse Change</w:t>
      </w:r>
      <w:r>
        <w:rPr>
          <w:rFonts w:ascii="Times New Roman" w:cs="Times New Roman" w:eastAsia="Times New Roman" w:hAnsi="Times New Roman"/>
          <w:sz w:val="18"/>
          <w:szCs w:val="18"/>
          <w:color w:val="auto"/>
        </w:rPr>
        <w:t>. Since December 31, 2021, there has not been any material adverse condition or material adverse change in or affecting, nor has any circumstance or condition occurred that could reasonably be expected to result in a material adverse change in, or have a material adverse effect on, the business, assets, liabilities, financial condition or results of operations of the Borrower and its subsidiaries, taken as a whole.</w:t>
      </w:r>
    </w:p>
    <w:p>
      <w:pPr>
        <w:spacing w:after="0" w:line="180"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Reaffirmation of Representations</w:t>
      </w:r>
      <w:r>
        <w:rPr>
          <w:rFonts w:ascii="Times New Roman" w:cs="Times New Roman" w:eastAsia="Times New Roman" w:hAnsi="Times New Roman"/>
          <w:sz w:val="18"/>
          <w:szCs w:val="18"/>
          <w:color w:val="auto"/>
        </w:rPr>
        <w:t>. The Borrower hereby repeats and reaffirms all representations and warranties made or deemed made by the Borrower to the Administrative Agent and the Lenders in the Existing Credit Agreement as amended by this Amendment and the other Loan Documents on and as of the date hereof with the same force and effect as if such representations and warranties were set forth in this Amendment in full and such representations and warranties are true and correct in all material respects (except in the case of a representation or warranty qualified by materiality, in which case such representation or warranty is true and correct in all respects) on and as of the date hereof immediately after giving effect to this Amendment except to the extent that such representations and warranties expressly relate solely to an earlier date (in which case such representations and warranties were true and correct in all material respects (except in the case of a representation or warranty qualified by materiality, in which case such representation or warranty was true and correct in all respects) on and as of such earlier date) and except for changes in factual circumstances not prohibited thereunder.</w:t>
      </w:r>
    </w:p>
    <w:p>
      <w:pPr>
        <w:spacing w:after="0" w:line="188"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Representations and Warranties of New Lenders</w:t>
      </w:r>
      <w:r>
        <w:rPr>
          <w:rFonts w:ascii="Times New Roman" w:cs="Times New Roman" w:eastAsia="Times New Roman" w:hAnsi="Times New Roman"/>
          <w:sz w:val="18"/>
          <w:szCs w:val="18"/>
          <w:color w:val="auto"/>
        </w:rPr>
        <w:t xml:space="preserve">. Upon the effectiveness of this Amendment, each New Lender acknowledges and agrees that it shall be a Lender under the Amended Credit Agreement having a Commitment in the amount, if any, set forth for such New Lender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as such New Lender’s “Loan”. Accordingly, each New Lender shall have all of the rights and obligations of a Lender under the Amended Credit Agreement and the other Loan Documents with respect to such New Lender’s Commitment. Each New Lender (a) represents and warrants that (i) it has full power and authority, and has taken all actions necessary, to execute and deliver this Amendment and to consummate the transactions contemplated hereby and to become a Lender under the Amended Credit Agreement, (ii) it is sophisticated with respect to decisions to acquire assets of the type represented by such New Lender’s Loan, and either it, or the person exercising discretion in making its decision with respect to such New Lender’s Loan is experienced in such matters, (iii) it has received a copy of the Amended Credit Agreement, and has received or has been accorded the opportunity to receive copies of the most recent financial statements delivered pursuant to Section 8.1 or 8.2 thereof, as applicable, and such other documents and information as it deems appropriate to make its own credit analysis and decision to enter into this Amendment and to provide such New Lender’s Loan, and (iv) it has, independently and without reliance upon the Administrative Agent or any Lender and based on such documents and information as it has deemed appropriate, made its own credit analysis and decision to enter into this Amendment and to provide such New Lender’s Loan; and (b) agrees that (i) it will, independently and without reliance on the Administrative Agent or any Lender,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w:t>
      </w:r>
    </w:p>
    <w:p>
      <w:pPr>
        <w:spacing w:after="0" w:line="195"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Additional Titled Agent</w:t>
      </w:r>
      <w:r>
        <w:rPr>
          <w:rFonts w:ascii="Times New Roman" w:cs="Times New Roman" w:eastAsia="Times New Roman" w:hAnsi="Times New Roman"/>
          <w:sz w:val="18"/>
          <w:szCs w:val="18"/>
          <w:color w:val="auto"/>
        </w:rPr>
        <w:t>. The parties hereto hereby acknowledge the appointment of JPMorgan Chase Bank, N.A. as a Joint Lead Arranger and Syndication Agent in respect of the arrangement of the Loans on the Third Amendment Date.</w:t>
      </w:r>
    </w:p>
    <w:p>
      <w:pPr>
        <w:spacing w:after="0" w:line="162"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Certain References</w:t>
      </w:r>
      <w:r>
        <w:rPr>
          <w:rFonts w:ascii="Times New Roman" w:cs="Times New Roman" w:eastAsia="Times New Roman" w:hAnsi="Times New Roman"/>
          <w:sz w:val="18"/>
          <w:szCs w:val="18"/>
          <w:color w:val="auto"/>
        </w:rPr>
        <w:t>. Each reference to the Existing Credit Agreement in any of the Loan Documents shall be deemed to be a reference to the Amended Credit Agreement. This Amendment is a Loan Document.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0"/>
          </w:cols>
          <w:pgMar w:left="440" w:top="270" w:right="439" w:bottom="1440" w:gutter="0" w:footer="0" w:header="0"/>
        </w:sectPr>
      </w:pPr>
    </w:p>
    <w:bookmarkStart w:id="159" w:name="page160"/>
    <w:bookmarkEnd w:id="159"/>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 </w:t>
      </w:r>
      <w:r>
        <w:rPr>
          <w:rFonts w:ascii="Times New Roman" w:cs="Times New Roman" w:eastAsia="Times New Roman" w:hAnsi="Times New Roman"/>
          <w:sz w:val="18"/>
          <w:szCs w:val="18"/>
          <w:u w:val="single" w:color="auto"/>
          <w:color w:val="auto"/>
        </w:rPr>
        <w:t>Costs and Expenses</w:t>
      </w:r>
      <w:r>
        <w:rPr>
          <w:rFonts w:ascii="Times New Roman" w:cs="Times New Roman" w:eastAsia="Times New Roman" w:hAnsi="Times New Roman"/>
          <w:sz w:val="18"/>
          <w:szCs w:val="18"/>
          <w:color w:val="auto"/>
        </w:rPr>
        <w:t>. The Borrower shall reimburse the Administrative Agent for all reasonable out-of-pocket costs and expenses (including attorneys’ fees) incurred by the Administrative Agent in connection with the preparation, negotiation and execution of this Amendment and the other agreements and documents executed and delivered in connection herewith.</w:t>
      </w:r>
    </w:p>
    <w:p>
      <w:pPr>
        <w:spacing w:after="0" w:line="176"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Benefits</w:t>
      </w:r>
      <w:r>
        <w:rPr>
          <w:rFonts w:ascii="Times New Roman" w:cs="Times New Roman" w:eastAsia="Times New Roman" w:hAnsi="Times New Roman"/>
          <w:sz w:val="18"/>
          <w:szCs w:val="18"/>
          <w:color w:val="auto"/>
        </w:rPr>
        <w:t>. This Amendment shall be binding upon and shall inure to the benefit of the parties hereto and their respective successors and assigns.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60" w:firstLine="436"/>
        <w:spacing w:after="0" w:line="282" w:lineRule="auto"/>
        <w:tabs>
          <w:tab w:leader="none" w:pos="685"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SHALL BE GOVERNED BY, AND CONSTRUED IN ACCORDANCE WITH, THE LAWS OF THE STATE OF NEW YORK APPLICABLE TO CONTRACTS EXECUTED, AND TO BE FULLY PERFORMED, IN SUCH STATE.</w:t>
      </w:r>
    </w:p>
    <w:p>
      <w:pPr>
        <w:spacing w:after="0" w:line="159"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except to the extent otherwise set forth herein, Sections 12.5 (</w:t>
      </w:r>
      <w:r>
        <w:rPr>
          <w:rFonts w:ascii="Times New Roman" w:cs="Times New Roman" w:eastAsia="Times New Roman" w:hAnsi="Times New Roman"/>
          <w:sz w:val="18"/>
          <w:szCs w:val="18"/>
          <w:i w:val="1"/>
          <w:iCs w:val="1"/>
          <w:color w:val="auto"/>
        </w:rPr>
        <w:t>Litigation; Jurisdiction; Other Matters; Waivers</w:t>
      </w:r>
      <w:r>
        <w:rPr>
          <w:rFonts w:ascii="Times New Roman" w:cs="Times New Roman" w:eastAsia="Times New Roman" w:hAnsi="Times New Roman"/>
          <w:sz w:val="18"/>
          <w:szCs w:val="18"/>
          <w:color w:val="auto"/>
        </w:rPr>
        <w:t>), 12.12</w:t>
      </w:r>
    </w:p>
    <w:p>
      <w:pPr>
        <w:spacing w:after="0" w:line="29" w:lineRule="exact"/>
        <w:rPr>
          <w:sz w:val="20"/>
          <w:szCs w:val="20"/>
          <w:color w:val="auto"/>
        </w:rPr>
      </w:pPr>
    </w:p>
    <w:p>
      <w:pPr>
        <w:ind w:right="54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Severability of Provisions</w:t>
      </w:r>
      <w:r>
        <w:rPr>
          <w:rFonts w:ascii="Times New Roman" w:cs="Times New Roman" w:eastAsia="Times New Roman" w:hAnsi="Times New Roman"/>
          <w:sz w:val="18"/>
          <w:szCs w:val="18"/>
          <w:color w:val="auto"/>
        </w:rPr>
        <w:t>) and 12.18 (</w:t>
      </w:r>
      <w:r>
        <w:rPr>
          <w:rFonts w:ascii="Times New Roman" w:cs="Times New Roman" w:eastAsia="Times New Roman" w:hAnsi="Times New Roman"/>
          <w:sz w:val="18"/>
          <w:szCs w:val="18"/>
          <w:i w:val="1"/>
          <w:iCs w:val="1"/>
          <w:color w:val="auto"/>
        </w:rPr>
        <w:t>Entire Agreement</w:t>
      </w:r>
      <w:r>
        <w:rPr>
          <w:rFonts w:ascii="Times New Roman" w:cs="Times New Roman" w:eastAsia="Times New Roman" w:hAnsi="Times New Roman"/>
          <w:sz w:val="18"/>
          <w:szCs w:val="18"/>
          <w:color w:val="auto"/>
        </w:rPr>
        <w:t xml:space="preserve">) of the Amended Credit Agreement are hereby incorporated herein by reference </w:t>
      </w:r>
      <w:r>
        <w:rPr>
          <w:rFonts w:ascii="Times New Roman" w:cs="Times New Roman" w:eastAsia="Times New Roman" w:hAnsi="Times New Roman"/>
          <w:sz w:val="18"/>
          <w:szCs w:val="18"/>
          <w:i w:val="1"/>
          <w:iCs w:val="1"/>
          <w:color w:val="auto"/>
        </w:rPr>
        <w:t>mutatis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mutandis</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right="1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Effect; Ratification</w:t>
      </w:r>
      <w:r>
        <w:rPr>
          <w:rFonts w:ascii="Times New Roman" w:cs="Times New Roman" w:eastAsia="Times New Roman" w:hAnsi="Times New Roman"/>
          <w:sz w:val="18"/>
          <w:szCs w:val="18"/>
          <w:color w:val="auto"/>
        </w:rPr>
        <w:t>. Except as expressly herein amended, the terms and conditions of the Existing Credit Agreement and the other Loan Documents remain in full force and effect. The amendments contained herein shall be deemed to have prospective application from and after the Third Amendment Date only. The Amended Credit Agreement is hereby ratified and confirmed in all respects. Nothing in this Amendment shall limit, impair or constitute a waiver of the rights, powers or remedies available to the Administrative Agent or the Lenders under the Amended Credit Agreement or any other Loan Document.</w:t>
      </w:r>
    </w:p>
    <w:p>
      <w:pPr>
        <w:spacing w:after="0" w:line="183"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In consideration of the amendments contained herein, the Borrower and each other Loan Party hereby waives and releases the Administrative Agent and each Lender from any and all claims and defenses, whether known or unknown, with respect to the Amended Credit Agreement and the other Loan Documents and the transactions contemplated thereby.</w:t>
      </w:r>
    </w:p>
    <w:p>
      <w:pPr>
        <w:spacing w:after="0" w:line="176"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Amendment may be executed in any number of counterparts, each of which shall be deemed to be an original and shall be binding upon all parties, their successors and assigns.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[Signatures on Next Page]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160" w:name="page161"/>
    <w:bookmarkEnd w:id="160"/>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Third Amendment to Term Loan Agreement to be executed as of the date first above written.</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FEDERAL REALTY OP LP</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Daniel Guglielmone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Executive Vice President – Chief Financial</w:t>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Officer and Treasurer</w:t>
      </w:r>
    </w:p>
    <w:p>
      <w:pPr>
        <w:sectPr>
          <w:pgSz w:w="11900" w:h="16838" w:orient="portrait"/>
          <w:cols w:equalWidth="0" w:num="1">
            <w:col w:w="10560"/>
          </w:cols>
          <w:pgMar w:left="440" w:top="270" w:right="899" w:bottom="1440" w:gutter="0" w:footer="0" w:header="0"/>
        </w:sectPr>
      </w:pPr>
    </w:p>
    <w:bookmarkStart w:id="161" w:name="page162"/>
    <w:bookmarkEnd w:id="161"/>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 Page to Third Amendment to Term Loan Agreement</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Federal Realty OP LP]</w:t>
      </w:r>
    </w:p>
    <w:p>
      <w:pPr>
        <w:spacing w:after="0" w:line="23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PNC BANK, NATIONAL ASSOCIATION, as</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Administrative Agent and as a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Katie Chowdhry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Katie Chowdhry</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Senior Vice President</w:t>
      </w:r>
    </w:p>
    <w:p>
      <w:pPr>
        <w:sectPr>
          <w:pgSz w:w="11900" w:h="16838" w:orient="portrait"/>
          <w:cols w:equalWidth="0" w:num="1">
            <w:col w:w="9019"/>
          </w:cols>
          <w:pgMar w:left="1440" w:top="266" w:right="1440" w:bottom="1440" w:gutter="0" w:footer="0" w:header="0"/>
        </w:sectPr>
      </w:pPr>
    </w:p>
    <w:bookmarkStart w:id="162" w:name="page163"/>
    <w:bookmarkEnd w:id="162"/>
    <w:p>
      <w:pPr>
        <w:jc w:val="center"/>
        <w:ind w:right="50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 Page to Third Amendment to Term Loan Agreement</w:t>
      </w:r>
    </w:p>
    <w:p>
      <w:pPr>
        <w:spacing w:after="0" w:line="43"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for Federal Realty OP LP]</w:t>
      </w:r>
    </w:p>
    <w:p>
      <w:pPr>
        <w:spacing w:after="0" w:line="23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JPMORGAN CHASE BANK, N.A., as a New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Cody A. Canafax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Cody A. Canafax</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Vice President</w:t>
      </w:r>
    </w:p>
    <w:p>
      <w:pPr>
        <w:sectPr>
          <w:pgSz w:w="11900" w:h="16838" w:orient="portrait"/>
          <w:cols w:equalWidth="0" w:num="1">
            <w:col w:w="9520"/>
          </w:cols>
          <w:pgMar w:left="1440" w:top="266" w:right="939" w:bottom="1440" w:gutter="0" w:footer="0" w:header="0"/>
        </w:sectPr>
      </w:pPr>
    </w:p>
    <w:bookmarkStart w:id="163" w:name="page164"/>
    <w:bookmarkEnd w:id="163"/>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 Page to Third Amendment to Term Loan Agreement</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Federal Realty OP LP]</w:t>
      </w:r>
    </w:p>
    <w:p>
      <w:pPr>
        <w:spacing w:after="0" w:line="23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TD BANK, N.A., as a Lender</w:t>
      </w:r>
    </w:p>
    <w:p>
      <w:pPr>
        <w:spacing w:after="0" w:line="225" w:lineRule="exact"/>
        <w:rPr>
          <w:sz w:val="20"/>
          <w:szCs w:val="20"/>
          <w:color w:val="auto"/>
        </w:rPr>
      </w:pPr>
    </w:p>
    <w:p>
      <w:pPr>
        <w:jc w:val="right"/>
        <w:ind w:right="1199"/>
        <w:spacing w:after="0"/>
        <w:rPr>
          <w:sz w:val="20"/>
          <w:szCs w:val="20"/>
          <w:color w:val="auto"/>
        </w:rPr>
      </w:pPr>
      <w:r>
        <w:rPr>
          <w:rFonts w:ascii="Times New Roman" w:cs="Times New Roman" w:eastAsia="Times New Roman" w:hAnsi="Times New Roman"/>
          <w:sz w:val="18"/>
          <w:szCs w:val="18"/>
          <w:color w:val="auto"/>
        </w:rPr>
        <w:t>By: /s/ William M. Brandt,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William M. Brandt, Jr.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Vice President</w:t>
      </w:r>
    </w:p>
    <w:p>
      <w:pPr>
        <w:sectPr>
          <w:pgSz w:w="11900" w:h="16838" w:orient="portrait"/>
          <w:cols w:equalWidth="0" w:num="1">
            <w:col w:w="9019"/>
          </w:cols>
          <w:pgMar w:left="1440" w:top="266" w:right="1440" w:bottom="1440" w:gutter="0" w:footer="0" w:header="0"/>
        </w:sectPr>
      </w:pPr>
    </w:p>
    <w:bookmarkStart w:id="164" w:name="page165"/>
    <w:bookmarkEnd w:id="164"/>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 Page to Third Amendment to Term Loan Agreement</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Federal Realty OP LP]</w:t>
      </w:r>
    </w:p>
    <w:p>
      <w:pPr>
        <w:spacing w:after="0" w:line="23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REGIONS BANK, as a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William Chalmers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William Chalmers</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ectPr>
          <w:pgSz w:w="11900" w:h="16838" w:orient="portrait"/>
          <w:cols w:equalWidth="0" w:num="1">
            <w:col w:w="9019"/>
          </w:cols>
          <w:pgMar w:left="1440" w:top="266" w:right="1440" w:bottom="1440" w:gutter="0" w:footer="0" w:header="0"/>
        </w:sectPr>
      </w:pPr>
    </w:p>
    <w:bookmarkStart w:id="165" w:name="page166"/>
    <w:bookmarkEnd w:id="165"/>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 Page to Third Amendment to Term Loan Agreement</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Federal Realty OP LP]</w:t>
      </w:r>
    </w:p>
    <w:p>
      <w:pPr>
        <w:spacing w:after="0" w:line="23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TRUIST BANK, as a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Trudy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Trudy Wilson</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ectPr>
          <w:pgSz w:w="11900" w:h="16838" w:orient="portrait"/>
          <w:cols w:equalWidth="0" w:num="1">
            <w:col w:w="9019"/>
          </w:cols>
          <w:pgMar w:left="1440" w:top="266" w:right="1440" w:bottom="1440" w:gutter="0" w:footer="0" w:header="0"/>
        </w:sectPr>
      </w:pPr>
    </w:p>
    <w:bookmarkStart w:id="166" w:name="page167"/>
    <w:bookmarkEnd w:id="166"/>
    <w:p>
      <w:pPr>
        <w:jc w:val="center"/>
        <w:ind w:right="56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 Page to Third Amendment to Term Loan Agreement</w:t>
      </w:r>
    </w:p>
    <w:p>
      <w:pPr>
        <w:spacing w:after="0" w:line="43"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for Federal Realty OP LP]</w:t>
      </w:r>
    </w:p>
    <w:p>
      <w:pPr>
        <w:spacing w:after="0" w:line="23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U.S. BANK NATIONAL ASSOCIATION, as a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Timothy J. Tillman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Timothy J. Tillman</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Senior Vice President</w:t>
      </w:r>
    </w:p>
    <w:p>
      <w:pPr>
        <w:sectPr>
          <w:pgSz w:w="11900" w:h="16838" w:orient="portrait"/>
          <w:cols w:equalWidth="0" w:num="1">
            <w:col w:w="9580"/>
          </w:cols>
          <w:pgMar w:left="1440" w:top="266" w:right="879" w:bottom="1440" w:gutter="0" w:footer="0" w:header="0"/>
        </w:sectPr>
      </w:pPr>
    </w:p>
    <w:bookmarkStart w:id="167" w:name="page168"/>
    <w:bookmarkEnd w:id="167"/>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 Page to Third Amendment to Term Loan Agreement</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Federal Realty OP LP]</w:t>
      </w:r>
    </w:p>
    <w:p>
      <w:pPr>
        <w:spacing w:after="0" w:line="23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THE BANK OF NOVA SCOTIA, as a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Sacha Boxill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Sacha Boxill</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ectPr>
          <w:pgSz w:w="11900" w:h="16838" w:orient="portrait"/>
          <w:cols w:equalWidth="0" w:num="1">
            <w:col w:w="9019"/>
          </w:cols>
          <w:pgMar w:left="1440" w:top="266" w:right="1440" w:bottom="1440" w:gutter="0" w:footer="0" w:header="0"/>
        </w:sectPr>
      </w:pPr>
    </w:p>
    <w:bookmarkStart w:id="168" w:name="page169"/>
    <w:bookmarkEnd w:id="168"/>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 Page to Third Amendment to Term Loan Agreement</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Federal Realty OP LP]</w:t>
      </w:r>
    </w:p>
    <w:p>
      <w:pPr>
        <w:spacing w:after="0" w:line="23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BNP PARIBAS, as a Lender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James Goodall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James Goodall</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Title: Managing Director</w:t>
      </w:r>
    </w:p>
    <w:p>
      <w:pPr>
        <w:spacing w:after="0" w:line="2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Kyle Fitzpatrick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Kyle Fitzpatrick</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ectPr>
          <w:pgSz w:w="11900" w:h="16838" w:orient="portrait"/>
          <w:cols w:equalWidth="0" w:num="1">
            <w:col w:w="9019"/>
          </w:cols>
          <w:pgMar w:left="1440" w:top="266" w:right="1440" w:bottom="1440" w:gutter="0" w:footer="0" w:header="0"/>
        </w:sectPr>
      </w:pPr>
    </w:p>
    <w:bookmarkStart w:id="169" w:name="page170"/>
    <w:bookmarkEnd w:id="169"/>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 Page to Third Amendment to Term Loan Agreement</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Federal Realty OP LP]</w:t>
      </w:r>
    </w:p>
    <w:p>
      <w:pPr>
        <w:spacing w:after="0" w:line="23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BANK OF AMERICA, N.A., as a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Cheryl Sneor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Cheryl Sneor</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ectPr>
          <w:pgSz w:w="11900" w:h="16838" w:orient="portrait"/>
          <w:cols w:equalWidth="0" w:num="1">
            <w:col w:w="9019"/>
          </w:cols>
          <w:pgMar w:left="1440" w:top="266" w:right="1440" w:bottom="1440" w:gutter="0" w:footer="0" w:header="0"/>
        </w:sectPr>
      </w:pPr>
    </w:p>
    <w:bookmarkStart w:id="170" w:name="page171"/>
    <w:bookmarkEnd w:id="170"/>
    <w:p>
      <w:pPr>
        <w:jc w:val="center"/>
        <w:ind w:right="98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 Page to Third Amendment to Term Loan Agreement</w:t>
      </w:r>
    </w:p>
    <w:p>
      <w:pPr>
        <w:spacing w:after="0" w:line="43"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for Federal Realty OP LP]</w:t>
      </w:r>
    </w:p>
    <w:p>
      <w:pPr>
        <w:spacing w:after="0" w:line="23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WELLS FARGO BANK, NATIONAL ASSOCIATION, as a</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Kate Farley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Kate Farley</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ectPr>
          <w:pgSz w:w="11900" w:h="16838" w:orient="portrait"/>
          <w:cols w:equalWidth="0" w:num="1">
            <w:col w:w="10000"/>
          </w:cols>
          <w:pgMar w:left="1440" w:top="266" w:right="459" w:bottom="1440" w:gutter="0" w:footer="0" w:header="0"/>
        </w:sectPr>
      </w:pPr>
    </w:p>
    <w:bookmarkStart w:id="171" w:name="page172"/>
    <w:bookmarkEnd w:id="171"/>
    <w:p>
      <w:pPr>
        <w:jc w:val="center"/>
        <w:ind w:right="78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 Page to Third Amendment to Term Loan Agreement</w:t>
      </w:r>
    </w:p>
    <w:p>
      <w:pPr>
        <w:spacing w:after="0" w:line="43"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for Federal Realty OP LP]</w:t>
      </w:r>
    </w:p>
    <w:p>
      <w:pPr>
        <w:spacing w:after="0" w:line="23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SUMITOMO MITSUI BANKING CORPORATION, as a</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New Lender</w:t>
      </w:r>
    </w:p>
    <w:p>
      <w:pPr>
        <w:spacing w:after="0" w:line="20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Maguire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Michael Maguire</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Managing Director</w:t>
      </w:r>
    </w:p>
    <w:p>
      <w:pPr>
        <w:sectPr>
          <w:pgSz w:w="11900" w:h="16838" w:orient="portrait"/>
          <w:cols w:equalWidth="0" w:num="1">
            <w:col w:w="9800"/>
          </w:cols>
          <w:pgMar w:left="1440" w:top="266" w:right="659" w:bottom="1440" w:gutter="0" w:footer="0" w:header="0"/>
        </w:sectPr>
      </w:pPr>
    </w:p>
    <w:bookmarkStart w:id="172" w:name="page173"/>
    <w:bookmarkEnd w:id="172"/>
    <w:p>
      <w:pPr>
        <w:jc w:val="center"/>
        <w:ind w:right="84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 Page to Third Amendment to Term Loan Agreement</w:t>
      </w:r>
    </w:p>
    <w:p>
      <w:pPr>
        <w:spacing w:after="0" w:line="43"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for Federal Realty OP LP]</w:t>
      </w:r>
    </w:p>
    <w:p>
      <w:pPr>
        <w:spacing w:after="0" w:line="23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ASSOCIATED BANK, NATIONAL ASSOCIATION, as a</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New Lender</w:t>
      </w:r>
    </w:p>
    <w:p>
      <w:pPr>
        <w:spacing w:after="0" w:line="20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Mitchell Vega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Mitchell Vega</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Senior Vice President</w:t>
      </w:r>
    </w:p>
    <w:p>
      <w:pPr>
        <w:sectPr>
          <w:pgSz w:w="11900" w:h="16838" w:orient="portrait"/>
          <w:cols w:equalWidth="0" w:num="1">
            <w:col w:w="9860"/>
          </w:cols>
          <w:pgMar w:left="1440" w:top="266" w:right="599" w:bottom="1440" w:gutter="0" w:footer="0" w:header="0"/>
        </w:sectPr>
      </w:pPr>
    </w:p>
    <w:bookmarkStart w:id="173" w:name="page174"/>
    <w:bookmarkEnd w:id="173"/>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t>Amended Credit Agreement</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attached.]</w:t>
      </w:r>
    </w:p>
    <w:p>
      <w:pPr>
        <w:sectPr>
          <w:pgSz w:w="11900" w:h="16838" w:orient="portrait"/>
          <w:cols w:equalWidth="0" w:num="1">
            <w:col w:w="9019"/>
          </w:cols>
          <w:pgMar w:left="1440" w:top="270" w:right="1440" w:bottom="1440" w:gutter="0" w:footer="0" w:header="0"/>
        </w:sectPr>
      </w:pPr>
    </w:p>
    <w:bookmarkStart w:id="174" w:name="page175"/>
    <w:bookmarkEnd w:id="174"/>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Published CUSIP Number: 3137LEAH6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737235</wp:posOffset>
            </wp:positionV>
            <wp:extent cx="699516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780415</wp:posOffset>
            </wp:positionV>
            <wp:extent cx="699516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171450</wp:posOffset>
            </wp:positionV>
            <wp:extent cx="1285875" cy="4025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85875"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TERM LOAN AGREEMENT</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Dated as of May 6, 2020</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by and among</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FEDERAL REALTY OP LP,</w:t>
      </w:r>
    </w:p>
    <w:p>
      <w:pPr>
        <w:spacing w:after="0" w:line="2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as Borrower,</w:t>
      </w:r>
    </w:p>
    <w:p>
      <w:pPr>
        <w:spacing w:after="0" w:line="20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THE FINANCIAL INSTITUTIONS PARTY HERETO</w:t>
      </w:r>
    </w:p>
    <w:p>
      <w:pPr>
        <w:spacing w:after="0" w:line="27"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AND THEIR PERMITTED ASSIGNEES UNDER SECTION 12.6.,</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as Lenders,</w:t>
      </w:r>
    </w:p>
    <w:p>
      <w:pPr>
        <w:spacing w:after="0" w:line="207"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PNC BANK, NATIONAL ASSOCIATION,</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as Administrative Agent,</w:t>
      </w:r>
    </w:p>
    <w:p>
      <w:pPr>
        <w:spacing w:after="0" w:line="20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FF0000"/>
          <w:strike w:val="1"/>
        </w:rPr>
        <w:t>PNC BANK, NATIONAL ASSOCIATION,</w:t>
      </w:r>
    </w:p>
    <w:p>
      <w:pPr>
        <w:spacing w:after="0" w:line="2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REGIONS BANK,</w:t>
      </w:r>
    </w:p>
    <w:p>
      <w:pPr>
        <w:spacing w:after="0" w:line="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TRUIST BANK,</w:t>
      </w:r>
    </w:p>
    <w:p>
      <w:pPr>
        <w:spacing w:after="0" w:line="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FF0000"/>
          <w:strike w:val="1"/>
        </w:rPr>
        <w:t>and</w:t>
      </w:r>
    </w:p>
    <w:p>
      <w:pPr>
        <w:spacing w:after="0" w:line="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u w:val="single" w:color="auto"/>
          <w:color w:val="0000FF"/>
        </w:rPr>
        <w:t>TD BANK, N.A.,</w:t>
      </w:r>
    </w:p>
    <w:p>
      <w:pPr>
        <w:spacing w:after="0" w:line="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U.S. BANK NATIONAL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2456815</wp:posOffset>
            </wp:positionH>
            <wp:positionV relativeFrom="paragraph">
              <wp:posOffset>-121920</wp:posOffset>
            </wp:positionV>
            <wp:extent cx="80581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05815" cy="8255"/>
                    </a:xfrm>
                    <a:prstGeom prst="rect">
                      <a:avLst/>
                    </a:prstGeom>
                    <a:noFill/>
                  </pic:spPr>
                </pic:pic>
              </a:graphicData>
            </a:graphic>
          </wp:anchor>
        </w:drawing>
      </w:r>
    </w:p>
    <w:p>
      <w:pPr>
        <w:jc w:val="center"/>
        <w:ind w:right="1000"/>
        <w:spacing w:after="0"/>
        <w:rPr>
          <w:sz w:val="20"/>
          <w:szCs w:val="20"/>
          <w:color w:val="auto"/>
        </w:rPr>
      </w:pPr>
      <w:r>
        <w:rPr>
          <w:rFonts w:ascii="Times New Roman" w:cs="Times New Roman" w:eastAsia="Times New Roman" w:hAnsi="Times New Roman"/>
          <w:sz w:val="18"/>
          <w:szCs w:val="18"/>
          <w:u w:val="single" w:color="auto"/>
          <w:color w:val="0000FF"/>
        </w:rPr>
        <w:t>and</w:t>
      </w:r>
    </w:p>
    <w:p>
      <w:pPr>
        <w:spacing w:after="0" w:line="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u w:val="single" w:color="auto"/>
          <w:color w:val="0000FF"/>
        </w:rPr>
        <w:t>JPMORGAN CHASE BANK, 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2774315</wp:posOffset>
            </wp:positionH>
            <wp:positionV relativeFrom="paragraph">
              <wp:posOffset>-121920</wp:posOffset>
            </wp:positionV>
            <wp:extent cx="17145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ind w:left="4960"/>
        <w:spacing w:after="0"/>
        <w:rPr>
          <w:sz w:val="20"/>
          <w:szCs w:val="20"/>
          <w:color w:val="auto"/>
        </w:rPr>
      </w:pPr>
      <w:r>
        <w:rPr>
          <w:rFonts w:ascii="Times New Roman" w:cs="Times New Roman" w:eastAsia="Times New Roman" w:hAnsi="Times New Roman"/>
          <w:sz w:val="18"/>
          <w:szCs w:val="18"/>
          <w:color w:val="auto"/>
        </w:rPr>
        <w:t>as Co-Syndication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2019935</wp:posOffset>
            </wp:positionH>
            <wp:positionV relativeFrom="paragraph">
              <wp:posOffset>-121920</wp:posOffset>
            </wp:positionV>
            <wp:extent cx="168021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680210" cy="8890"/>
                    </a:xfrm>
                    <a:prstGeom prst="rect">
                      <a:avLst/>
                    </a:prstGeom>
                    <a:noFill/>
                  </pic:spPr>
                </pic:pic>
              </a:graphicData>
            </a:graphic>
          </wp:anchor>
        </w:drawing>
      </w:r>
    </w:p>
    <w:p>
      <w:pPr>
        <w:spacing w:after="0" w:line="18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PNC CAPITAL MARKETS LLC,</w:t>
      </w:r>
    </w:p>
    <w:p>
      <w:pPr>
        <w:spacing w:after="0" w:line="2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REGIONS CAPITAL MARKETS,</w:t>
      </w:r>
    </w:p>
    <w:p>
      <w:pPr>
        <w:spacing w:after="0" w:line="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FF0000"/>
          <w:strike w:val="1"/>
        </w:rPr>
        <w:t>SUNTRUST ROBINSON HUMPHREY</w:t>
      </w:r>
      <w:r>
        <w:rPr>
          <w:rFonts w:ascii="Times New Roman" w:cs="Times New Roman" w:eastAsia="Times New Roman" w:hAnsi="Times New Roman"/>
          <w:sz w:val="18"/>
          <w:szCs w:val="18"/>
          <w:u w:val="single" w:color="auto"/>
          <w:color w:val="0000FF"/>
        </w:rPr>
        <w:t>TRUIST SECURITIES</w:t>
      </w:r>
      <w:r>
        <w:rPr>
          <w:rFonts w:ascii="Times New Roman" w:cs="Times New Roman" w:eastAsia="Times New Roman" w:hAnsi="Times New Roman"/>
          <w:sz w:val="18"/>
          <w:szCs w:val="18"/>
          <w:color w:val="000000"/>
        </w:rPr>
        <w:t>, INC.,</w:t>
      </w:r>
    </w:p>
    <w:p>
      <w:pPr>
        <w:spacing w:after="0" w:line="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FF0000"/>
          <w:strike w:val="1"/>
        </w:rPr>
        <w:t>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3100070</wp:posOffset>
            </wp:positionH>
            <wp:positionV relativeFrom="paragraph">
              <wp:posOffset>-121920</wp:posOffset>
            </wp:positionV>
            <wp:extent cx="108013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jc w:val="center"/>
        <w:ind w:right="1000"/>
        <w:spacing w:after="0"/>
        <w:rPr>
          <w:sz w:val="20"/>
          <w:szCs w:val="20"/>
          <w:color w:val="auto"/>
        </w:rPr>
      </w:pPr>
      <w:r>
        <w:rPr>
          <w:rFonts w:ascii="Times New Roman" w:cs="Times New Roman" w:eastAsia="Times New Roman" w:hAnsi="Times New Roman"/>
          <w:sz w:val="18"/>
          <w:szCs w:val="18"/>
          <w:color w:val="auto"/>
        </w:rPr>
        <w:t>U.S. BANK NATIONAL ASSOCIATION,</w:t>
      </w:r>
    </w:p>
    <w:p>
      <w:pPr>
        <w:spacing w:after="0" w:line="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u w:val="single" w:color="auto"/>
          <w:color w:val="0000FF"/>
        </w:rPr>
        <w:t>TD SECURITIES (USA) LLC,</w:t>
      </w:r>
    </w:p>
    <w:p>
      <w:pPr>
        <w:spacing w:after="0" w:line="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u w:val="single" w:color="auto"/>
          <w:color w:val="0000FF"/>
        </w:rPr>
        <w:t>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2139950</wp:posOffset>
            </wp:positionH>
            <wp:positionV relativeFrom="paragraph">
              <wp:posOffset>-121920</wp:posOffset>
            </wp:positionV>
            <wp:extent cx="14401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440180" cy="8255"/>
                    </a:xfrm>
                    <a:prstGeom prst="rect">
                      <a:avLst/>
                    </a:prstGeom>
                    <a:noFill/>
                  </pic:spPr>
                </pic:pic>
              </a:graphicData>
            </a:graphic>
          </wp:anchor>
        </w:drawing>
      </w:r>
    </w:p>
    <w:p>
      <w:pPr>
        <w:jc w:val="center"/>
        <w:ind w:right="1000"/>
        <w:spacing w:after="0"/>
        <w:rPr>
          <w:sz w:val="20"/>
          <w:szCs w:val="20"/>
          <w:color w:val="auto"/>
        </w:rPr>
      </w:pPr>
      <w:r>
        <w:rPr>
          <w:rFonts w:ascii="Times New Roman" w:cs="Times New Roman" w:eastAsia="Times New Roman" w:hAnsi="Times New Roman"/>
          <w:sz w:val="18"/>
          <w:szCs w:val="18"/>
          <w:u w:val="single" w:color="auto"/>
          <w:color w:val="0000FF"/>
        </w:rPr>
        <w:t>JPMORGAN CHASE BANK, 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2774315</wp:posOffset>
            </wp:positionH>
            <wp:positionV relativeFrom="paragraph">
              <wp:posOffset>-121920</wp:posOffset>
            </wp:positionV>
            <wp:extent cx="17145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ind w:left="4960"/>
        <w:spacing w:after="0"/>
        <w:rPr>
          <w:sz w:val="20"/>
          <w:szCs w:val="20"/>
          <w:color w:val="auto"/>
        </w:rPr>
      </w:pPr>
      <w:r>
        <w:rPr>
          <w:rFonts w:ascii="Times New Roman" w:cs="Times New Roman" w:eastAsia="Times New Roman" w:hAnsi="Times New Roman"/>
          <w:sz w:val="18"/>
          <w:szCs w:val="18"/>
          <w:color w:val="auto"/>
        </w:rPr>
        <w:t>as Joint Lead Arrangers and Joint Book 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177165</wp:posOffset>
            </wp:positionV>
            <wp:extent cx="699516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220345</wp:posOffset>
            </wp:positionV>
            <wp:extent cx="699516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2019935</wp:posOffset>
            </wp:positionH>
            <wp:positionV relativeFrom="paragraph">
              <wp:posOffset>-121920</wp:posOffset>
            </wp:positionV>
            <wp:extent cx="168021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ectPr>
          <w:pgSz w:w="11900" w:h="16838" w:orient="portrait"/>
          <w:cols w:equalWidth="0" w:num="1">
            <w:col w:w="10020"/>
          </w:cols>
          <w:pgMar w:left="1440" w:top="270" w:right="439" w:bottom="1440" w:gutter="0" w:footer="0" w:header="0"/>
        </w:sectPr>
      </w:pPr>
    </w:p>
    <w:bookmarkStart w:id="175" w:name="page176"/>
    <w:bookmarkEnd w:id="175"/>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660" w:type="dxa"/>
            <w:vAlign w:val="bottom"/>
          </w:tcPr>
          <w:p>
            <w:pPr>
              <w:jc w:val="center"/>
              <w:ind w:right="1430"/>
              <w:spacing w:after="0"/>
              <w:rPr>
                <w:sz w:val="20"/>
                <w:szCs w:val="20"/>
                <w:color w:val="auto"/>
              </w:rPr>
            </w:pPr>
            <w:r>
              <w:rPr>
                <w:rFonts w:ascii="Times New Roman" w:cs="Times New Roman" w:eastAsia="Times New Roman" w:hAnsi="Times New Roman"/>
                <w:sz w:val="18"/>
                <w:szCs w:val="18"/>
                <w:color w:val="auto"/>
                <w:w w:val="98"/>
              </w:rPr>
              <w:t>TABLE OF CONTENTS</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0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I. Definitions</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324"/>
        </w:trPr>
        <w:tc>
          <w:tcPr>
            <w:tcW w:w="36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1.1. Definitions</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324"/>
        </w:trPr>
        <w:tc>
          <w:tcPr>
            <w:tcW w:w="36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1.2. General; References to Eastern Time</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324"/>
        </w:trPr>
        <w:tc>
          <w:tcPr>
            <w:tcW w:w="36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1.3. Financial Attributes of Non-Wholly Owned Subsidiaries</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324"/>
        </w:trPr>
        <w:tc>
          <w:tcPr>
            <w:tcW w:w="36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1.4. Rates</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83"/>
        </w:trPr>
        <w:tc>
          <w:tcPr>
            <w:tcW w:w="36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Section 1.5. Divisions</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36</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1580" w:type="dxa"/>
            <w:vAlign w:val="bottom"/>
            <w:tcBorders>
              <w:top w:val="single" w:sz="8" w:color="0000FF"/>
              <w:bottom w:val="single" w:sz="8" w:color="0000FF"/>
            </w:tcBorders>
          </w:tcPr>
          <w:p>
            <w:pPr>
              <w:spacing w:after="0"/>
              <w:rPr>
                <w:sz w:val="2"/>
                <w:szCs w:val="2"/>
                <w:color w:val="auto"/>
              </w:rPr>
            </w:pPr>
          </w:p>
        </w:tc>
        <w:tc>
          <w:tcPr>
            <w:tcW w:w="8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0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II. Credit Facility</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34</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36</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0" w:type="dxa"/>
            <w:vAlign w:val="bottom"/>
          </w:tcPr>
          <w:p>
            <w:pPr>
              <w:spacing w:after="0"/>
              <w:rPr>
                <w:sz w:val="21"/>
                <w:szCs w:val="21"/>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2.1. Loans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34</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36</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36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2.2. [Intentionally Omitted]</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324"/>
        </w:trPr>
        <w:tc>
          <w:tcPr>
            <w:tcW w:w="36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2.3. [Intentionally Omitted]</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324"/>
        </w:trPr>
        <w:tc>
          <w:tcPr>
            <w:tcW w:w="36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2.4. [Intentionally Omitted]</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324"/>
        </w:trPr>
        <w:tc>
          <w:tcPr>
            <w:tcW w:w="36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2.5. Rates and Payment of Interest on Loans</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83"/>
        </w:trPr>
        <w:tc>
          <w:tcPr>
            <w:tcW w:w="36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2.6. Number of Interest Periods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37</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39</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0" w:type="dxa"/>
            <w:vAlign w:val="bottom"/>
          </w:tcPr>
          <w:p>
            <w:pPr>
              <w:spacing w:after="0"/>
              <w:rPr>
                <w:sz w:val="21"/>
                <w:szCs w:val="21"/>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2.7. Repayment of Loans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37</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39</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0" w:type="dxa"/>
            <w:vAlign w:val="bottom"/>
          </w:tcPr>
          <w:p>
            <w:pPr>
              <w:spacing w:after="0"/>
              <w:rPr>
                <w:sz w:val="21"/>
                <w:szCs w:val="21"/>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2.8. Prepayments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37</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39</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0" w:type="dxa"/>
            <w:vAlign w:val="bottom"/>
          </w:tcPr>
          <w:p>
            <w:pPr>
              <w:spacing w:after="0"/>
              <w:rPr>
                <w:sz w:val="21"/>
                <w:szCs w:val="21"/>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2.9. Continuation</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37</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39</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90"/>
        </w:trPr>
        <w:tc>
          <w:tcPr>
            <w:tcW w:w="36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2.10. Conversion</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83"/>
        </w:trPr>
        <w:tc>
          <w:tcPr>
            <w:tcW w:w="36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2.11. Notes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38</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40</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36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2.12. [Intentionally Omitted]</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324"/>
        </w:trPr>
        <w:tc>
          <w:tcPr>
            <w:tcW w:w="36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2.13. Extension of Maturity Date</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83"/>
        </w:trPr>
        <w:tc>
          <w:tcPr>
            <w:tcW w:w="36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2.14. [Intentionally Omitted]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39</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41</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0" w:type="dxa"/>
            <w:vAlign w:val="bottom"/>
          </w:tcPr>
          <w:p>
            <w:pPr>
              <w:spacing w:after="0"/>
              <w:rPr>
                <w:sz w:val="21"/>
                <w:szCs w:val="21"/>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2.15. [Intentionally Omitted]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39</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41</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0" w:type="dxa"/>
            <w:vAlign w:val="bottom"/>
          </w:tcPr>
          <w:p>
            <w:pPr>
              <w:spacing w:after="0"/>
              <w:rPr>
                <w:sz w:val="21"/>
                <w:szCs w:val="21"/>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2.16. [Intentionally Omitted]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39</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41</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0" w:type="dxa"/>
            <w:vAlign w:val="bottom"/>
          </w:tcPr>
          <w:p>
            <w:pPr>
              <w:spacing w:after="0"/>
              <w:rPr>
                <w:sz w:val="21"/>
                <w:szCs w:val="21"/>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2.17. Funds Transfer Disbursements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40</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42</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0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III. Payments, Fees and Other General Provisions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40</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42</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0" w:type="dxa"/>
            <w:vAlign w:val="bottom"/>
          </w:tcPr>
          <w:p>
            <w:pPr>
              <w:spacing w:after="0"/>
              <w:rPr>
                <w:sz w:val="21"/>
                <w:szCs w:val="21"/>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3.1. Payments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40</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42</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0" w:type="dxa"/>
            <w:vAlign w:val="bottom"/>
          </w:tcPr>
          <w:p>
            <w:pPr>
              <w:spacing w:after="0"/>
              <w:rPr>
                <w:sz w:val="21"/>
                <w:szCs w:val="21"/>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3.2. Pro Rata Treatment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41</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43</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0" w:type="dxa"/>
            <w:vAlign w:val="bottom"/>
          </w:tcPr>
          <w:p>
            <w:pPr>
              <w:spacing w:after="0"/>
              <w:rPr>
                <w:sz w:val="21"/>
                <w:szCs w:val="21"/>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3.3. Sharing of Payments, Etc.</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41</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43</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90"/>
        </w:trPr>
        <w:tc>
          <w:tcPr>
            <w:tcW w:w="36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3.4. Several Obligations</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324"/>
        </w:trPr>
        <w:tc>
          <w:tcPr>
            <w:tcW w:w="36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3.5. Fees</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83"/>
        </w:trPr>
        <w:tc>
          <w:tcPr>
            <w:tcW w:w="36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3.6. Computations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42</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44</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0" w:type="dxa"/>
            <w:vAlign w:val="bottom"/>
          </w:tcPr>
          <w:p>
            <w:pPr>
              <w:spacing w:after="0"/>
              <w:rPr>
                <w:sz w:val="21"/>
                <w:szCs w:val="21"/>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3.7. Usury</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42</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44</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660" w:type="dxa"/>
            <w:vAlign w:val="bottom"/>
            <w:vMerge w:val="restart"/>
          </w:tcPr>
          <w:p>
            <w:pPr>
              <w:jc w:val="center"/>
              <w:ind w:right="1430"/>
              <w:spacing w:after="0"/>
              <w:rPr>
                <w:sz w:val="20"/>
                <w:szCs w:val="20"/>
                <w:color w:val="auto"/>
              </w:rPr>
            </w:pPr>
            <w:r>
              <w:rPr>
                <w:rFonts w:ascii="Times New Roman" w:cs="Times New Roman" w:eastAsia="Times New Roman" w:hAnsi="Times New Roman"/>
                <w:sz w:val="18"/>
                <w:szCs w:val="18"/>
                <w:color w:val="auto"/>
                <w:w w:val="99"/>
              </w:rPr>
              <w:t>- i -</w:t>
            </w: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6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960"/>
          </w:cols>
          <w:pgMar w:left="4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76" w:name="page177"/>
    <w:bookmarkEnd w:id="176"/>
    <w:tbl>
      <w:tblPr>
        <w:tblLayout w:type="fixed"/>
        <w:tblInd w:w="0" w:type="dxa"/>
        <w:tblCellMar>
          <w:top w:w="0" w:type="dxa"/>
          <w:left w:w="0" w:type="dxa"/>
          <w:bottom w:w="0" w:type="dxa"/>
          <w:right w:w="0" w:type="dxa"/>
        </w:tblCellMar>
      </w:tblPr>
      <w:tr>
        <w:trPr>
          <w:trHeight w:val="234"/>
        </w:trPr>
        <w:tc>
          <w:tcPr>
            <w:tcW w:w="1060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Section 3.8. Statements of Account</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324"/>
        </w:trPr>
        <w:tc>
          <w:tcPr>
            <w:tcW w:w="1060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Section 3.9. Defaulting Lenders</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324"/>
        </w:trPr>
        <w:tc>
          <w:tcPr>
            <w:tcW w:w="1060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Section 3.10. Taxes; Foreign Lenders</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324"/>
        </w:trPr>
        <w:tc>
          <w:tcPr>
            <w:tcW w:w="106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Article IV. Yield Protection, Etc.</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324"/>
        </w:trPr>
        <w:tc>
          <w:tcPr>
            <w:tcW w:w="1060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Section 4.1. Additional Costs; Capital Adequacy</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83"/>
        </w:trPr>
        <w:tc>
          <w:tcPr>
            <w:tcW w:w="1060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Section 4.2. Inability to Determine Interest Rates; Alternative Rate of Interest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49</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50</w:t>
            </w:r>
          </w:p>
        </w:tc>
        <w:tc>
          <w:tcPr>
            <w:tcW w:w="0" w:type="dxa"/>
            <w:vAlign w:val="bottom"/>
          </w:tcPr>
          <w:p>
            <w:pPr>
              <w:spacing w:after="0"/>
              <w:rPr>
                <w:sz w:val="1"/>
                <w:szCs w:val="1"/>
                <w:color w:val="auto"/>
              </w:rPr>
            </w:pPr>
          </w:p>
        </w:tc>
      </w:tr>
      <w:tr>
        <w:trPr>
          <w:trHeight w:val="34"/>
        </w:trPr>
        <w:tc>
          <w:tcPr>
            <w:tcW w:w="3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1060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Section 4.3. Illegality</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324"/>
        </w:trPr>
        <w:tc>
          <w:tcPr>
            <w:tcW w:w="1060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Section 4.4. Compensation</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324"/>
        </w:trPr>
        <w:tc>
          <w:tcPr>
            <w:tcW w:w="1060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Section 4.5. Treatment of Affected Loans</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324"/>
        </w:trPr>
        <w:tc>
          <w:tcPr>
            <w:tcW w:w="1060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Section 4.6. Affected Lenders</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324"/>
        </w:trPr>
        <w:tc>
          <w:tcPr>
            <w:tcW w:w="1060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Section 4.7. Change of Lending Office</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83"/>
        </w:trPr>
        <w:tc>
          <w:tcPr>
            <w:tcW w:w="3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4.8. Assumptions Concerning Funding of</w:t>
            </w: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96"/>
              </w:rPr>
              <w:t>LIBOR</w:t>
            </w:r>
          </w:p>
        </w:tc>
        <w:tc>
          <w:tcPr>
            <w:tcW w:w="61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 xml:space="preserve">SOFR </w:t>
            </w:r>
            <w:r>
              <w:rPr>
                <w:rFonts w:ascii="Times New Roman" w:cs="Times New Roman" w:eastAsia="Times New Roman" w:hAnsi="Times New Roman"/>
                <w:sz w:val="18"/>
                <w:szCs w:val="18"/>
                <w:color w:val="000000"/>
              </w:rPr>
              <w:t>Loans</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34"/>
        </w:trPr>
        <w:tc>
          <w:tcPr>
            <w:tcW w:w="3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40" w:type="dxa"/>
            <w:vAlign w:val="bottom"/>
            <w:tcBorders>
              <w:top w:val="single" w:sz="8" w:color="0000FF"/>
              <w:bottom w:val="single" w:sz="8" w:color="0000FF"/>
            </w:tcBorders>
          </w:tcPr>
          <w:p>
            <w:pPr>
              <w:spacing w:after="0"/>
              <w:rPr>
                <w:sz w:val="2"/>
                <w:szCs w:val="2"/>
                <w:color w:val="auto"/>
              </w:rPr>
            </w:pPr>
          </w:p>
        </w:tc>
        <w:tc>
          <w:tcPr>
            <w:tcW w:w="5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106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Article V. Conditions Precedent</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324"/>
        </w:trPr>
        <w:tc>
          <w:tcPr>
            <w:tcW w:w="1060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Section 5.1. Initial Conditions Precedent</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324"/>
        </w:trPr>
        <w:tc>
          <w:tcPr>
            <w:tcW w:w="1060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Section 5.2. Conditions Precedent to All Loans</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324"/>
        </w:trPr>
        <w:tc>
          <w:tcPr>
            <w:tcW w:w="106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Article VI. Representations and Warranties</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324"/>
        </w:trPr>
        <w:tc>
          <w:tcPr>
            <w:tcW w:w="1060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Section 6.1. Representations and Warranties</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324"/>
        </w:trPr>
        <w:tc>
          <w:tcPr>
            <w:tcW w:w="1060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Section 6.2. Survival of Representations and Warranties, Etc.</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83"/>
        </w:trPr>
        <w:tc>
          <w:tcPr>
            <w:tcW w:w="106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Article VII. Affirmative Covenants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62</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65</w:t>
            </w:r>
          </w:p>
        </w:tc>
        <w:tc>
          <w:tcPr>
            <w:tcW w:w="0" w:type="dxa"/>
            <w:vAlign w:val="bottom"/>
          </w:tcPr>
          <w:p>
            <w:pPr>
              <w:spacing w:after="0"/>
              <w:rPr>
                <w:sz w:val="1"/>
                <w:szCs w:val="1"/>
                <w:color w:val="auto"/>
              </w:rPr>
            </w:pPr>
          </w:p>
        </w:tc>
      </w:tr>
      <w:tr>
        <w:trPr>
          <w:trHeight w:val="34"/>
        </w:trPr>
        <w:tc>
          <w:tcPr>
            <w:tcW w:w="3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1060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Section 7.1. Preservation of Existence and Similar Matters</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324"/>
        </w:trPr>
        <w:tc>
          <w:tcPr>
            <w:tcW w:w="1060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Section 7.2. Compliance with Applicable Law and Material Contracts</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324"/>
        </w:trPr>
        <w:tc>
          <w:tcPr>
            <w:tcW w:w="1060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Section 7.3. Maintenance of Property</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324"/>
        </w:trPr>
        <w:tc>
          <w:tcPr>
            <w:tcW w:w="1060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Section 7.4. Conduct of Business</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83"/>
        </w:trPr>
        <w:tc>
          <w:tcPr>
            <w:tcW w:w="1060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Section 7.5. Insurance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63</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65</w:t>
            </w:r>
          </w:p>
        </w:tc>
        <w:tc>
          <w:tcPr>
            <w:tcW w:w="0" w:type="dxa"/>
            <w:vAlign w:val="bottom"/>
          </w:tcPr>
          <w:p>
            <w:pPr>
              <w:spacing w:after="0"/>
              <w:rPr>
                <w:sz w:val="1"/>
                <w:szCs w:val="1"/>
                <w:color w:val="auto"/>
              </w:rPr>
            </w:pPr>
          </w:p>
        </w:tc>
      </w:tr>
      <w:tr>
        <w:trPr>
          <w:trHeight w:val="34"/>
        </w:trPr>
        <w:tc>
          <w:tcPr>
            <w:tcW w:w="3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1060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Section 7.6. Payment of Taxes and Claims</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324"/>
        </w:trPr>
        <w:tc>
          <w:tcPr>
            <w:tcW w:w="1060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Section 7.7. Books and Records; Inspections</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83"/>
        </w:trPr>
        <w:tc>
          <w:tcPr>
            <w:tcW w:w="1060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Section 7.8. Use of Proceeds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64</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66</w:t>
            </w:r>
          </w:p>
        </w:tc>
        <w:tc>
          <w:tcPr>
            <w:tcW w:w="0" w:type="dxa"/>
            <w:vAlign w:val="bottom"/>
          </w:tcPr>
          <w:p>
            <w:pPr>
              <w:spacing w:after="0"/>
              <w:rPr>
                <w:sz w:val="1"/>
                <w:szCs w:val="1"/>
                <w:color w:val="auto"/>
              </w:rPr>
            </w:pPr>
          </w:p>
        </w:tc>
      </w:tr>
      <w:tr>
        <w:trPr>
          <w:trHeight w:val="34"/>
        </w:trPr>
        <w:tc>
          <w:tcPr>
            <w:tcW w:w="3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060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Section 7.9. Environmental Matters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64</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66</w:t>
            </w:r>
          </w:p>
        </w:tc>
        <w:tc>
          <w:tcPr>
            <w:tcW w:w="0" w:type="dxa"/>
            <w:vAlign w:val="bottom"/>
          </w:tcPr>
          <w:p>
            <w:pPr>
              <w:spacing w:after="0"/>
              <w:rPr>
                <w:sz w:val="1"/>
                <w:szCs w:val="1"/>
                <w:color w:val="auto"/>
              </w:rPr>
            </w:pPr>
          </w:p>
        </w:tc>
      </w:tr>
      <w:tr>
        <w:trPr>
          <w:trHeight w:val="34"/>
        </w:trPr>
        <w:tc>
          <w:tcPr>
            <w:tcW w:w="3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1060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Section 7.10. Further Assurances</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324"/>
        </w:trPr>
        <w:tc>
          <w:tcPr>
            <w:tcW w:w="1060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Section 7.11. Compliance with Anti-Corruption Laws; Beneficial Ownership Regulation, Anti-Money Laundering Laws and Sanctions</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324"/>
        </w:trPr>
        <w:tc>
          <w:tcPr>
            <w:tcW w:w="1060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Section 7.12. REIT Status</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83"/>
        </w:trPr>
        <w:tc>
          <w:tcPr>
            <w:tcW w:w="1060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Section 7.13. Exchange Listing</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65</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67</w:t>
            </w:r>
          </w:p>
        </w:tc>
        <w:tc>
          <w:tcPr>
            <w:tcW w:w="0" w:type="dxa"/>
            <w:vAlign w:val="bottom"/>
          </w:tcPr>
          <w:p>
            <w:pPr>
              <w:spacing w:after="0"/>
              <w:rPr>
                <w:sz w:val="1"/>
                <w:szCs w:val="1"/>
                <w:color w:val="auto"/>
              </w:rPr>
            </w:pPr>
          </w:p>
        </w:tc>
      </w:tr>
      <w:tr>
        <w:trPr>
          <w:trHeight w:val="34"/>
        </w:trPr>
        <w:tc>
          <w:tcPr>
            <w:tcW w:w="3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40" w:type="dxa"/>
            <w:vAlign w:val="bottom"/>
            <w:vMerge w:val="restart"/>
          </w:tcPr>
          <w:p>
            <w:pPr>
              <w:ind w:left="380"/>
              <w:spacing w:after="0"/>
              <w:rPr>
                <w:sz w:val="20"/>
                <w:szCs w:val="20"/>
                <w:color w:val="auto"/>
              </w:rPr>
            </w:pPr>
            <w:r>
              <w:rPr>
                <w:rFonts w:ascii="Times New Roman" w:cs="Times New Roman" w:eastAsia="Times New Roman" w:hAnsi="Times New Roman"/>
                <w:sz w:val="18"/>
                <w:szCs w:val="18"/>
                <w:color w:val="auto"/>
              </w:rPr>
              <w:t>- ii -</w:t>
            </w: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3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960"/>
          </w:cols>
          <w:pgMar w:left="4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77" w:name="page178"/>
    <w:bookmarkEnd w:id="177"/>
    <w:tbl>
      <w:tblPr>
        <w:tblLayout w:type="fixed"/>
        <w:tblInd w:w="0" w:type="dxa"/>
        <w:tblCellMar>
          <w:top w:w="0" w:type="dxa"/>
          <w:left w:w="0" w:type="dxa"/>
          <w:bottom w:w="0" w:type="dxa"/>
          <w:right w:w="0" w:type="dxa"/>
        </w:tblCellMar>
      </w:tblPr>
      <w:tr>
        <w:trPr>
          <w:trHeight w:val="33"/>
        </w:trPr>
        <w:tc>
          <w:tcPr>
            <w:tcW w:w="360" w:type="dxa"/>
            <w:vAlign w:val="bottom"/>
            <w:vMerge w:val="restart"/>
          </w:tcPr>
          <w:p>
            <w:pPr>
              <w:spacing w:after="0"/>
              <w:rPr>
                <w:sz w:val="2"/>
                <w:szCs w:val="2"/>
                <w:color w:val="auto"/>
              </w:rPr>
            </w:pPr>
          </w:p>
        </w:tc>
        <w:tc>
          <w:tcPr>
            <w:tcW w:w="102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Section 7.14. Guarantors</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FF0000"/>
                <w:strike w:val="1"/>
                <w:w w:val="88"/>
              </w:rPr>
              <w:t>65</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0000FF"/>
                <w:w w:val="88"/>
              </w:rPr>
              <w:t>67</w:t>
            </w:r>
          </w:p>
        </w:tc>
        <w:tc>
          <w:tcPr>
            <w:tcW w:w="0" w:type="dxa"/>
            <w:vAlign w:val="bottom"/>
          </w:tcPr>
          <w:p>
            <w:pPr>
              <w:spacing w:after="0" w:line="20" w:lineRule="exact"/>
              <w:rPr>
                <w:sz w:val="1"/>
                <w:szCs w:val="1"/>
                <w:color w:val="auto"/>
              </w:rPr>
            </w:pPr>
          </w:p>
        </w:tc>
      </w:tr>
      <w:tr>
        <w:trPr>
          <w:trHeight w:val="179"/>
        </w:trPr>
        <w:tc>
          <w:tcPr>
            <w:tcW w:w="360" w:type="dxa"/>
            <w:vAlign w:val="bottom"/>
            <w:vMerge w:val="continue"/>
          </w:tcPr>
          <w:p>
            <w:pPr>
              <w:spacing w:after="0"/>
              <w:rPr>
                <w:sz w:val="15"/>
                <w:szCs w:val="15"/>
                <w:color w:val="auto"/>
              </w:rPr>
            </w:pPr>
          </w:p>
        </w:tc>
        <w:tc>
          <w:tcPr>
            <w:tcW w:w="10240" w:type="dxa"/>
            <w:vAlign w:val="bottom"/>
            <w:gridSpan w:val="2"/>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80" w:type="dxa"/>
            <w:vAlign w:val="bottom"/>
            <w:tcBorders>
              <w:bottom w:val="single" w:sz="8" w:color="0000FF"/>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0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VIII. Information</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66</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68</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0" w:type="dxa"/>
            <w:vAlign w:val="bottom"/>
          </w:tcPr>
          <w:p>
            <w:pPr>
              <w:spacing w:after="0"/>
              <w:rPr>
                <w:sz w:val="21"/>
                <w:szCs w:val="21"/>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8.1. Quarterly Financial Statements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66</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68</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36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8.2. Year-End Statements</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324"/>
        </w:trPr>
        <w:tc>
          <w:tcPr>
            <w:tcW w:w="36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8.3. Compliance Certificate</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83"/>
        </w:trPr>
        <w:tc>
          <w:tcPr>
            <w:tcW w:w="36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8.4. Other Information</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67</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69</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36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8.5. Electronic Delivery of Certain Information</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83"/>
        </w:trPr>
        <w:tc>
          <w:tcPr>
            <w:tcW w:w="36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8.6. Public/Private Information</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70</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72</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36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8.7. USA Patriot Act Notice; Compliance</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324"/>
        </w:trPr>
        <w:tc>
          <w:tcPr>
            <w:tcW w:w="10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IX. Negative Covenants</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324"/>
        </w:trPr>
        <w:tc>
          <w:tcPr>
            <w:tcW w:w="36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9.1. Financial Covenants</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324"/>
        </w:trPr>
        <w:tc>
          <w:tcPr>
            <w:tcW w:w="36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9.2. [Intentionally Omitted]</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324"/>
        </w:trPr>
        <w:tc>
          <w:tcPr>
            <w:tcW w:w="36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9.3. Liens; Negative Pledges</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83"/>
        </w:trPr>
        <w:tc>
          <w:tcPr>
            <w:tcW w:w="36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9.4. Restrictions on Intercompany Transfers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72</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74</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36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9.5. Merger, Consolidation, Sales of Assets and Other Arrangements</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324"/>
        </w:trPr>
        <w:tc>
          <w:tcPr>
            <w:tcW w:w="36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9.6. Plans</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324"/>
        </w:trPr>
        <w:tc>
          <w:tcPr>
            <w:tcW w:w="36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9.7. Fiscal Year</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324"/>
        </w:trPr>
        <w:tc>
          <w:tcPr>
            <w:tcW w:w="36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9.8. Modifications of Organizational Documents</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83"/>
        </w:trPr>
        <w:tc>
          <w:tcPr>
            <w:tcW w:w="36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9.9. Transactions with Affiliates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74</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76</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36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9.10. Environmental Matters</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324"/>
        </w:trPr>
        <w:tc>
          <w:tcPr>
            <w:tcW w:w="36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9.11. Non-Controlled Properties</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324"/>
        </w:trPr>
        <w:tc>
          <w:tcPr>
            <w:tcW w:w="36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9.12. Derivatives Contracts</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324"/>
        </w:trPr>
        <w:tc>
          <w:tcPr>
            <w:tcW w:w="36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9.13. Use of Proceeds</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83"/>
        </w:trPr>
        <w:tc>
          <w:tcPr>
            <w:tcW w:w="36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Section 9.14. Parent and General Partner</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77</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2920" w:type="dxa"/>
            <w:vAlign w:val="bottom"/>
            <w:tcBorders>
              <w:top w:val="single" w:sz="8" w:color="0000FF"/>
              <w:bottom w:val="single" w:sz="8" w:color="0000FF"/>
            </w:tcBorders>
          </w:tcPr>
          <w:p>
            <w:pPr>
              <w:spacing w:after="0"/>
              <w:rPr>
                <w:sz w:val="2"/>
                <w:szCs w:val="2"/>
                <w:color w:val="auto"/>
              </w:rPr>
            </w:pPr>
          </w:p>
        </w:tc>
        <w:tc>
          <w:tcPr>
            <w:tcW w:w="7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10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X. Default</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324"/>
        </w:trPr>
        <w:tc>
          <w:tcPr>
            <w:tcW w:w="36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10.1. Events of Default</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83"/>
        </w:trPr>
        <w:tc>
          <w:tcPr>
            <w:tcW w:w="36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10.2. Remedies Upon Event of Default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79</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81</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0" w:type="dxa"/>
            <w:vAlign w:val="bottom"/>
          </w:tcPr>
          <w:p>
            <w:pPr>
              <w:spacing w:after="0"/>
              <w:rPr>
                <w:sz w:val="21"/>
                <w:szCs w:val="21"/>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10.3. [Intentionally Omitted]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80</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82</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0" w:type="dxa"/>
            <w:vAlign w:val="bottom"/>
          </w:tcPr>
          <w:p>
            <w:pPr>
              <w:spacing w:after="0"/>
              <w:rPr>
                <w:sz w:val="21"/>
                <w:szCs w:val="21"/>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10.4. Marshaling; Payments Set Aside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80</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82</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90"/>
        </w:trPr>
        <w:tc>
          <w:tcPr>
            <w:tcW w:w="36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10.5. Allocation of Proceeds</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83"/>
        </w:trPr>
        <w:tc>
          <w:tcPr>
            <w:tcW w:w="36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10.6. [Intentionally Omitted]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81</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83</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0" w:type="dxa"/>
            <w:vAlign w:val="bottom"/>
          </w:tcPr>
          <w:p>
            <w:pPr>
              <w:spacing w:after="0"/>
              <w:rPr>
                <w:sz w:val="21"/>
                <w:szCs w:val="21"/>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10.7. Rescission of Acceleration by Requisite Lenders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81</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83</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0" w:type="dxa"/>
            <w:vAlign w:val="bottom"/>
          </w:tcPr>
          <w:p>
            <w:pPr>
              <w:spacing w:after="0"/>
              <w:rPr>
                <w:sz w:val="21"/>
                <w:szCs w:val="21"/>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10.8. Performance by Administrative Agent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81</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83</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7320" w:type="dxa"/>
            <w:vAlign w:val="bottom"/>
            <w:vMerge w:val="restart"/>
          </w:tcPr>
          <w:p>
            <w:pPr>
              <w:ind w:left="2040"/>
              <w:spacing w:after="0"/>
              <w:rPr>
                <w:sz w:val="20"/>
                <w:szCs w:val="20"/>
                <w:color w:val="auto"/>
              </w:rPr>
            </w:pPr>
            <w:r>
              <w:rPr>
                <w:rFonts w:ascii="Times New Roman" w:cs="Times New Roman" w:eastAsia="Times New Roman" w:hAnsi="Times New Roman"/>
                <w:sz w:val="18"/>
                <w:szCs w:val="18"/>
                <w:color w:val="auto"/>
              </w:rPr>
              <w:t>- iii -</w:t>
            </w: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3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73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960"/>
          </w:cols>
          <w:pgMar w:left="440" w:top="257"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78" w:name="page179"/>
    <w:bookmarkEnd w:id="178"/>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10.9. Rights Cumulative</w:t>
            </w:r>
          </w:p>
        </w:tc>
        <w:tc>
          <w:tcPr>
            <w:tcW w:w="5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83"/>
        </w:trPr>
        <w:tc>
          <w:tcPr>
            <w:tcW w:w="5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XI. The Administrative Agent</w:t>
            </w:r>
          </w:p>
        </w:tc>
        <w:tc>
          <w:tcPr>
            <w:tcW w:w="5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rPr>
              <w:t>82</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84</w:t>
            </w:r>
          </w:p>
        </w:tc>
      </w:tr>
      <w:tr>
        <w:trPr>
          <w:trHeight w:val="34"/>
        </w:trPr>
        <w:tc>
          <w:tcPr>
            <w:tcW w:w="3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5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r>
      <w:tr>
        <w:trPr>
          <w:trHeight w:val="250"/>
        </w:trPr>
        <w:tc>
          <w:tcPr>
            <w:tcW w:w="360" w:type="dxa"/>
            <w:vAlign w:val="bottom"/>
          </w:tcPr>
          <w:p>
            <w:pPr>
              <w:spacing w:after="0"/>
              <w:rPr>
                <w:sz w:val="21"/>
                <w:szCs w:val="21"/>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11.1. Appointment and Authorization</w:t>
            </w:r>
          </w:p>
        </w:tc>
        <w:tc>
          <w:tcPr>
            <w:tcW w:w="5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rPr>
              <w:t>82</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84</w:t>
            </w:r>
          </w:p>
        </w:tc>
      </w:tr>
      <w:tr>
        <w:trPr>
          <w:trHeight w:val="34"/>
        </w:trPr>
        <w:tc>
          <w:tcPr>
            <w:tcW w:w="3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5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r>
      <w:tr>
        <w:trPr>
          <w:trHeight w:val="250"/>
        </w:trPr>
        <w:tc>
          <w:tcPr>
            <w:tcW w:w="360" w:type="dxa"/>
            <w:vAlign w:val="bottom"/>
          </w:tcPr>
          <w:p>
            <w:pPr>
              <w:spacing w:after="0"/>
              <w:rPr>
                <w:sz w:val="21"/>
                <w:szCs w:val="21"/>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11.2. PNC Bank as Lender</w:t>
            </w:r>
          </w:p>
        </w:tc>
        <w:tc>
          <w:tcPr>
            <w:tcW w:w="5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rPr>
              <w:t>83</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85</w:t>
            </w:r>
          </w:p>
        </w:tc>
      </w:tr>
      <w:tr>
        <w:trPr>
          <w:trHeight w:val="34"/>
        </w:trPr>
        <w:tc>
          <w:tcPr>
            <w:tcW w:w="3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5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r>
      <w:tr>
        <w:trPr>
          <w:trHeight w:val="290"/>
        </w:trPr>
        <w:tc>
          <w:tcPr>
            <w:tcW w:w="36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11.3. Approvals of Lenders</w:t>
            </w:r>
          </w:p>
        </w:tc>
        <w:tc>
          <w:tcPr>
            <w:tcW w:w="5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324"/>
        </w:trPr>
        <w:tc>
          <w:tcPr>
            <w:tcW w:w="36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11.4. Notice of Events of Default</w:t>
            </w:r>
          </w:p>
        </w:tc>
        <w:tc>
          <w:tcPr>
            <w:tcW w:w="5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83"/>
        </w:trPr>
        <w:tc>
          <w:tcPr>
            <w:tcW w:w="36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11.5. Administrative Agent’s Reliance</w:t>
            </w:r>
          </w:p>
        </w:tc>
        <w:tc>
          <w:tcPr>
            <w:tcW w:w="5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rPr>
              <w:t>84</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86</w:t>
            </w:r>
          </w:p>
        </w:tc>
      </w:tr>
      <w:tr>
        <w:trPr>
          <w:trHeight w:val="34"/>
        </w:trPr>
        <w:tc>
          <w:tcPr>
            <w:tcW w:w="3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5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r>
      <w:tr>
        <w:trPr>
          <w:trHeight w:val="291"/>
        </w:trPr>
        <w:tc>
          <w:tcPr>
            <w:tcW w:w="36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11.6. Indemnification of Administrative Agent</w:t>
            </w:r>
          </w:p>
        </w:tc>
        <w:tc>
          <w:tcPr>
            <w:tcW w:w="5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83"/>
        </w:trPr>
        <w:tc>
          <w:tcPr>
            <w:tcW w:w="36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11.7. Lender Credit Decision, Etc.</w:t>
            </w:r>
          </w:p>
        </w:tc>
        <w:tc>
          <w:tcPr>
            <w:tcW w:w="5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rPr>
              <w:t>85</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87</w:t>
            </w:r>
          </w:p>
        </w:tc>
      </w:tr>
      <w:tr>
        <w:trPr>
          <w:trHeight w:val="34"/>
        </w:trPr>
        <w:tc>
          <w:tcPr>
            <w:tcW w:w="3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5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r>
      <w:tr>
        <w:trPr>
          <w:trHeight w:val="250"/>
        </w:trPr>
        <w:tc>
          <w:tcPr>
            <w:tcW w:w="360" w:type="dxa"/>
            <w:vAlign w:val="bottom"/>
          </w:tcPr>
          <w:p>
            <w:pPr>
              <w:spacing w:after="0"/>
              <w:rPr>
                <w:sz w:val="21"/>
                <w:szCs w:val="21"/>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11.8. Successor Administrative Agent</w:t>
            </w:r>
          </w:p>
        </w:tc>
        <w:tc>
          <w:tcPr>
            <w:tcW w:w="5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rPr>
              <w:t>86</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87</w:t>
            </w:r>
          </w:p>
        </w:tc>
      </w:tr>
      <w:tr>
        <w:trPr>
          <w:trHeight w:val="34"/>
        </w:trPr>
        <w:tc>
          <w:tcPr>
            <w:tcW w:w="3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5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r>
      <w:tr>
        <w:trPr>
          <w:trHeight w:val="291"/>
        </w:trPr>
        <w:tc>
          <w:tcPr>
            <w:tcW w:w="36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11.9. Titled Agents</w:t>
            </w:r>
          </w:p>
        </w:tc>
        <w:tc>
          <w:tcPr>
            <w:tcW w:w="5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83"/>
        </w:trPr>
        <w:tc>
          <w:tcPr>
            <w:tcW w:w="36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Section 11.10. Erroneous Payments</w:t>
            </w:r>
          </w:p>
        </w:tc>
        <w:tc>
          <w:tcPr>
            <w:tcW w:w="5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88</w:t>
            </w:r>
          </w:p>
        </w:tc>
      </w:tr>
      <w:tr>
        <w:trPr>
          <w:trHeight w:val="34"/>
        </w:trPr>
        <w:tc>
          <w:tcPr>
            <w:tcW w:w="360" w:type="dxa"/>
            <w:vAlign w:val="bottom"/>
          </w:tcPr>
          <w:p>
            <w:pPr>
              <w:spacing w:after="0"/>
              <w:rPr>
                <w:sz w:val="2"/>
                <w:szCs w:val="2"/>
                <w:color w:val="auto"/>
              </w:rPr>
            </w:pPr>
          </w:p>
        </w:tc>
        <w:tc>
          <w:tcPr>
            <w:tcW w:w="2560" w:type="dxa"/>
            <w:vAlign w:val="bottom"/>
            <w:tcBorders>
              <w:top w:val="single" w:sz="8" w:color="0000FF"/>
              <w:bottom w:val="single" w:sz="8" w:color="0000FF"/>
            </w:tcBorders>
          </w:tcPr>
          <w:p>
            <w:pPr>
              <w:spacing w:after="0"/>
              <w:rPr>
                <w:sz w:val="2"/>
                <w:szCs w:val="2"/>
                <w:color w:val="auto"/>
              </w:rPr>
            </w:pPr>
          </w:p>
        </w:tc>
        <w:tc>
          <w:tcPr>
            <w:tcW w:w="2220" w:type="dxa"/>
            <w:vAlign w:val="bottom"/>
          </w:tcPr>
          <w:p>
            <w:pPr>
              <w:spacing w:after="0"/>
              <w:rPr>
                <w:sz w:val="2"/>
                <w:szCs w:val="2"/>
                <w:color w:val="auto"/>
              </w:rPr>
            </w:pPr>
          </w:p>
        </w:tc>
        <w:tc>
          <w:tcPr>
            <w:tcW w:w="5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r>
      <w:tr>
        <w:trPr>
          <w:trHeight w:val="291"/>
        </w:trPr>
        <w:tc>
          <w:tcPr>
            <w:tcW w:w="5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XII. Miscellaneous</w:t>
            </w:r>
          </w:p>
        </w:tc>
        <w:tc>
          <w:tcPr>
            <w:tcW w:w="5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324"/>
        </w:trPr>
        <w:tc>
          <w:tcPr>
            <w:tcW w:w="36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12.1. Notices</w:t>
            </w:r>
          </w:p>
        </w:tc>
        <w:tc>
          <w:tcPr>
            <w:tcW w:w="5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83"/>
        </w:trPr>
        <w:tc>
          <w:tcPr>
            <w:tcW w:w="36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12.2. Expenses</w:t>
            </w:r>
          </w:p>
        </w:tc>
        <w:tc>
          <w:tcPr>
            <w:tcW w:w="5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rPr>
              <w:t>89</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92</w:t>
            </w:r>
          </w:p>
        </w:tc>
      </w:tr>
      <w:tr>
        <w:trPr>
          <w:trHeight w:val="34"/>
        </w:trPr>
        <w:tc>
          <w:tcPr>
            <w:tcW w:w="3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5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r>
      <w:tr>
        <w:trPr>
          <w:trHeight w:val="291"/>
        </w:trPr>
        <w:tc>
          <w:tcPr>
            <w:tcW w:w="36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12.3. Stamp, Intangible and Recording Taxes</w:t>
            </w:r>
          </w:p>
        </w:tc>
        <w:tc>
          <w:tcPr>
            <w:tcW w:w="5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83"/>
        </w:trPr>
        <w:tc>
          <w:tcPr>
            <w:tcW w:w="36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12.4. Setoff</w:t>
            </w:r>
          </w:p>
        </w:tc>
        <w:tc>
          <w:tcPr>
            <w:tcW w:w="5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rPr>
              <w:t>90</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93</w:t>
            </w:r>
          </w:p>
        </w:tc>
      </w:tr>
      <w:tr>
        <w:trPr>
          <w:trHeight w:val="34"/>
        </w:trPr>
        <w:tc>
          <w:tcPr>
            <w:tcW w:w="3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5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r>
      <w:tr>
        <w:trPr>
          <w:trHeight w:val="290"/>
        </w:trPr>
        <w:tc>
          <w:tcPr>
            <w:tcW w:w="36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12.5. Litigation; Jurisdiction; Other Matters; Waivers</w:t>
            </w:r>
          </w:p>
        </w:tc>
        <w:tc>
          <w:tcPr>
            <w:tcW w:w="5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324"/>
        </w:trPr>
        <w:tc>
          <w:tcPr>
            <w:tcW w:w="36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12.6. Successors and Assigns</w:t>
            </w:r>
          </w:p>
        </w:tc>
        <w:tc>
          <w:tcPr>
            <w:tcW w:w="5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324"/>
        </w:trPr>
        <w:tc>
          <w:tcPr>
            <w:tcW w:w="36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12.7. Amendments and Waivers</w:t>
            </w:r>
          </w:p>
        </w:tc>
        <w:tc>
          <w:tcPr>
            <w:tcW w:w="5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324"/>
        </w:trPr>
        <w:tc>
          <w:tcPr>
            <w:tcW w:w="36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12.8. Nonliability of Administrative Agent and Lenders</w:t>
            </w:r>
          </w:p>
        </w:tc>
        <w:tc>
          <w:tcPr>
            <w:tcW w:w="5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83"/>
        </w:trPr>
        <w:tc>
          <w:tcPr>
            <w:tcW w:w="36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12.9. Confidentiality</w:t>
            </w:r>
          </w:p>
        </w:tc>
        <w:tc>
          <w:tcPr>
            <w:tcW w:w="5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rPr>
              <w:t>96</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99</w:t>
            </w:r>
          </w:p>
        </w:tc>
      </w:tr>
      <w:tr>
        <w:trPr>
          <w:trHeight w:val="34"/>
        </w:trPr>
        <w:tc>
          <w:tcPr>
            <w:tcW w:w="3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5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r>
      <w:tr>
        <w:trPr>
          <w:trHeight w:val="250"/>
        </w:trPr>
        <w:tc>
          <w:tcPr>
            <w:tcW w:w="360" w:type="dxa"/>
            <w:vAlign w:val="bottom"/>
          </w:tcPr>
          <w:p>
            <w:pPr>
              <w:spacing w:after="0"/>
              <w:rPr>
                <w:sz w:val="21"/>
                <w:szCs w:val="21"/>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12.10. Indemnification</w:t>
            </w:r>
          </w:p>
        </w:tc>
        <w:tc>
          <w:tcPr>
            <w:tcW w:w="554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rPr>
              <w:t>97</w:t>
            </w:r>
          </w:p>
        </w:tc>
        <w:tc>
          <w:tcPr>
            <w:tcW w:w="26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88"/>
              </w:rPr>
              <w:t>100</w:t>
            </w:r>
          </w:p>
        </w:tc>
      </w:tr>
      <w:tr>
        <w:trPr>
          <w:trHeight w:val="34"/>
        </w:trPr>
        <w:tc>
          <w:tcPr>
            <w:tcW w:w="3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5540" w:type="dxa"/>
            <w:vAlign w:val="bottom"/>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r>
      <w:tr>
        <w:trPr>
          <w:trHeight w:val="250"/>
        </w:trPr>
        <w:tc>
          <w:tcPr>
            <w:tcW w:w="360" w:type="dxa"/>
            <w:vAlign w:val="bottom"/>
          </w:tcPr>
          <w:p>
            <w:pPr>
              <w:spacing w:after="0"/>
              <w:rPr>
                <w:sz w:val="21"/>
                <w:szCs w:val="21"/>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12.11. Termination; Survival</w:t>
            </w:r>
          </w:p>
        </w:tc>
        <w:tc>
          <w:tcPr>
            <w:tcW w:w="554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rPr>
              <w:t>99</w:t>
            </w:r>
          </w:p>
        </w:tc>
        <w:tc>
          <w:tcPr>
            <w:tcW w:w="26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88"/>
              </w:rPr>
              <w:t>102</w:t>
            </w:r>
          </w:p>
        </w:tc>
      </w:tr>
      <w:tr>
        <w:trPr>
          <w:trHeight w:val="34"/>
        </w:trPr>
        <w:tc>
          <w:tcPr>
            <w:tcW w:w="3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5540" w:type="dxa"/>
            <w:vAlign w:val="bottom"/>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r>
      <w:tr>
        <w:trPr>
          <w:trHeight w:val="250"/>
        </w:trPr>
        <w:tc>
          <w:tcPr>
            <w:tcW w:w="360" w:type="dxa"/>
            <w:vAlign w:val="bottom"/>
          </w:tcPr>
          <w:p>
            <w:pPr>
              <w:spacing w:after="0"/>
              <w:rPr>
                <w:sz w:val="21"/>
                <w:szCs w:val="21"/>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12.12. Severability of Provisions</w:t>
            </w:r>
          </w:p>
        </w:tc>
        <w:tc>
          <w:tcPr>
            <w:tcW w:w="554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rPr>
              <w:t>99</w:t>
            </w:r>
          </w:p>
        </w:tc>
        <w:tc>
          <w:tcPr>
            <w:tcW w:w="26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88"/>
              </w:rPr>
              <w:t>102</w:t>
            </w:r>
          </w:p>
        </w:tc>
      </w:tr>
      <w:tr>
        <w:trPr>
          <w:trHeight w:val="34"/>
        </w:trPr>
        <w:tc>
          <w:tcPr>
            <w:tcW w:w="3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5540" w:type="dxa"/>
            <w:vAlign w:val="bottom"/>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r>
      <w:tr>
        <w:trPr>
          <w:trHeight w:val="290"/>
        </w:trPr>
        <w:tc>
          <w:tcPr>
            <w:tcW w:w="36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12.13. GOVERNING LAW</w:t>
            </w:r>
          </w:p>
        </w:tc>
        <w:tc>
          <w:tcPr>
            <w:tcW w:w="5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324"/>
        </w:trPr>
        <w:tc>
          <w:tcPr>
            <w:tcW w:w="36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12.14. Counterparts</w:t>
            </w:r>
          </w:p>
        </w:tc>
        <w:tc>
          <w:tcPr>
            <w:tcW w:w="5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324"/>
        </w:trPr>
        <w:tc>
          <w:tcPr>
            <w:tcW w:w="36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12.15. Obligations with Respect to Loan Parties</w:t>
            </w:r>
          </w:p>
        </w:tc>
        <w:tc>
          <w:tcPr>
            <w:tcW w:w="5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324"/>
        </w:trPr>
        <w:tc>
          <w:tcPr>
            <w:tcW w:w="36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12.16. Independence of Covenants</w:t>
            </w:r>
          </w:p>
        </w:tc>
        <w:tc>
          <w:tcPr>
            <w:tcW w:w="5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83"/>
        </w:trPr>
        <w:tc>
          <w:tcPr>
            <w:tcW w:w="36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12.17. Limitation of Liability</w:t>
            </w:r>
          </w:p>
        </w:tc>
        <w:tc>
          <w:tcPr>
            <w:tcW w:w="554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rPr>
              <w:t>100</w:t>
            </w:r>
          </w:p>
        </w:tc>
        <w:tc>
          <w:tcPr>
            <w:tcW w:w="26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88"/>
              </w:rPr>
              <w:t>103</w:t>
            </w:r>
          </w:p>
        </w:tc>
      </w:tr>
      <w:tr>
        <w:trPr>
          <w:trHeight w:val="34"/>
        </w:trPr>
        <w:tc>
          <w:tcPr>
            <w:tcW w:w="3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5540" w:type="dxa"/>
            <w:vAlign w:val="bottom"/>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r>
      <w:tr>
        <w:trPr>
          <w:trHeight w:val="291"/>
        </w:trPr>
        <w:tc>
          <w:tcPr>
            <w:tcW w:w="36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12.18. Entire Agreement</w:t>
            </w:r>
          </w:p>
        </w:tc>
        <w:tc>
          <w:tcPr>
            <w:tcW w:w="5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324"/>
        </w:trPr>
        <w:tc>
          <w:tcPr>
            <w:tcW w:w="36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12.19. Construction</w:t>
            </w:r>
          </w:p>
        </w:tc>
        <w:tc>
          <w:tcPr>
            <w:tcW w:w="5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324"/>
        </w:trPr>
        <w:tc>
          <w:tcPr>
            <w:tcW w:w="36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12.20. Headings</w:t>
            </w:r>
          </w:p>
        </w:tc>
        <w:tc>
          <w:tcPr>
            <w:tcW w:w="5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351"/>
        </w:trPr>
        <w:tc>
          <w:tcPr>
            <w:tcW w:w="3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5800" w:type="dxa"/>
            <w:vAlign w:val="bottom"/>
            <w:gridSpan w:val="4"/>
          </w:tcPr>
          <w:p>
            <w:pPr>
              <w:jc w:val="right"/>
              <w:ind w:right="5260"/>
              <w:spacing w:after="0"/>
              <w:rPr>
                <w:sz w:val="20"/>
                <w:szCs w:val="20"/>
                <w:color w:val="auto"/>
              </w:rPr>
            </w:pPr>
            <w:r>
              <w:rPr>
                <w:rFonts w:ascii="Times New Roman" w:cs="Times New Roman" w:eastAsia="Times New Roman" w:hAnsi="Times New Roman"/>
                <w:sz w:val="18"/>
                <w:szCs w:val="18"/>
                <w:color w:val="auto"/>
              </w:rPr>
              <w:t>- iv -</w:t>
            </w:r>
          </w:p>
        </w:tc>
      </w:tr>
    </w:tbl>
    <w:p>
      <w:pPr>
        <w:jc w:val="right"/>
        <w:ind w:right="5260"/>
        <w:spacing w:after="0"/>
        <w:rPr>
          <w:sz w:val="20"/>
          <w:szCs w:val="20"/>
          <w:color w:val="auto"/>
        </w:rPr>
        <w:sectPr>
          <w:pgSz w:w="11900" w:h="16838" w:orient="portrait"/>
          <w:cols w:equalWidth="0" w:num="1">
            <w:col w:w="10940"/>
          </w:cols>
          <w:pgMar w:left="440" w:top="270" w:right="51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79" w:name="page180"/>
    <w:bookmarkEnd w:id="179"/>
    <w:tbl>
      <w:tblPr>
        <w:tblLayout w:type="fixed"/>
        <w:tblInd w:w="0" w:type="dxa"/>
        <w:tblCellMar>
          <w:top w:w="0" w:type="dxa"/>
          <w:left w:w="0" w:type="dxa"/>
          <w:bottom w:w="0" w:type="dxa"/>
          <w:right w:w="0" w:type="dxa"/>
        </w:tblCellMar>
      </w:tblPr>
      <w:tr>
        <w:trPr>
          <w:trHeight w:val="234"/>
        </w:trPr>
        <w:tc>
          <w:tcPr>
            <w:tcW w:w="104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Section 12.21. Limitation of Liability of Trustees, Etc.</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83"/>
        </w:trPr>
        <w:tc>
          <w:tcPr>
            <w:tcW w:w="104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Section 12.22. Acknowledgement and Consent to Bail-In of EEA Financial Institutions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96"/>
              </w:rPr>
              <w:t>101</w:t>
            </w:r>
          </w:p>
        </w:tc>
        <w:tc>
          <w:tcPr>
            <w:tcW w:w="26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104</w:t>
            </w:r>
          </w:p>
        </w:tc>
      </w:tr>
      <w:tr>
        <w:trPr>
          <w:trHeight w:val="34"/>
        </w:trPr>
        <w:tc>
          <w:tcPr>
            <w:tcW w:w="8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5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r>
      <w:tr>
        <w:trPr>
          <w:trHeight w:val="291"/>
        </w:trPr>
        <w:tc>
          <w:tcPr>
            <w:tcW w:w="104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Section 12.23. Electronic Signatures</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324"/>
        </w:trPr>
        <w:tc>
          <w:tcPr>
            <w:tcW w:w="104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Section 12.24. Acknowledgement Regarding Any Supported QFCs</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427"/>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I</w:t>
            </w:r>
          </w:p>
        </w:tc>
        <w:tc>
          <w:tcPr>
            <w:tcW w:w="8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Commitments</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16"/>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1.1.(a)</w:t>
            </w:r>
          </w:p>
        </w:tc>
        <w:tc>
          <w:tcPr>
            <w:tcW w:w="8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List of Loan Parties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6.1.(b)</w:t>
            </w:r>
          </w:p>
        </w:tc>
        <w:tc>
          <w:tcPr>
            <w:tcW w:w="8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Ownership Structure</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6.1.(f)</w:t>
            </w:r>
          </w:p>
        </w:tc>
        <w:tc>
          <w:tcPr>
            <w:tcW w:w="8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Properties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6.1.(g)</w:t>
            </w:r>
          </w:p>
        </w:tc>
        <w:tc>
          <w:tcPr>
            <w:tcW w:w="8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Indebtedness and Guaranties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6.1.(i)</w:t>
            </w:r>
          </w:p>
        </w:tc>
        <w:tc>
          <w:tcPr>
            <w:tcW w:w="8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Litigation</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34"/>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6.1.(z)</w:t>
            </w:r>
          </w:p>
        </w:tc>
        <w:tc>
          <w:tcPr>
            <w:tcW w:w="8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Unencumbered Assets</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414"/>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A</w:t>
            </w:r>
          </w:p>
        </w:tc>
        <w:tc>
          <w:tcPr>
            <w:tcW w:w="8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Form of Assignment and Assumption Agreement</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16"/>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B</w:t>
            </w:r>
          </w:p>
        </w:tc>
        <w:tc>
          <w:tcPr>
            <w:tcW w:w="8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Form of Guaranty</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C</w:t>
            </w:r>
          </w:p>
        </w:tc>
        <w:tc>
          <w:tcPr>
            <w:tcW w:w="8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Form of Notice of Borrowing</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D</w:t>
            </w:r>
          </w:p>
        </w:tc>
        <w:tc>
          <w:tcPr>
            <w:tcW w:w="8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Form of Notice of Continuation</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E</w:t>
            </w:r>
          </w:p>
        </w:tc>
        <w:tc>
          <w:tcPr>
            <w:tcW w:w="8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Form of Notice of Conversion</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F</w:t>
            </w:r>
          </w:p>
        </w:tc>
        <w:tc>
          <w:tcPr>
            <w:tcW w:w="8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Form of Note</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G</w:t>
            </w:r>
          </w:p>
        </w:tc>
        <w:tc>
          <w:tcPr>
            <w:tcW w:w="8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Form of Disbursement Instruction Agreement</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H</w:t>
            </w:r>
          </w:p>
        </w:tc>
        <w:tc>
          <w:tcPr>
            <w:tcW w:w="8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Form of Opinion of Counsel</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I</w:t>
            </w:r>
          </w:p>
        </w:tc>
        <w:tc>
          <w:tcPr>
            <w:tcW w:w="8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Form of Compliance Certificate</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J-1</w:t>
            </w:r>
          </w:p>
        </w:tc>
        <w:tc>
          <w:tcPr>
            <w:tcW w:w="8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Form of U.S. Tax Compliance Certificates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J-2</w:t>
            </w:r>
          </w:p>
        </w:tc>
        <w:tc>
          <w:tcPr>
            <w:tcW w:w="8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Form of U.S. Tax Compliance Certificates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J-3</w:t>
            </w:r>
          </w:p>
        </w:tc>
        <w:tc>
          <w:tcPr>
            <w:tcW w:w="8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Form of U.S. Tax Compliance Certificates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J-4</w:t>
            </w:r>
          </w:p>
        </w:tc>
        <w:tc>
          <w:tcPr>
            <w:tcW w:w="8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Form of U.S. Tax Compliance Certificates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K</w:t>
            </w:r>
          </w:p>
        </w:tc>
        <w:tc>
          <w:tcPr>
            <w:tcW w:w="8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Form of Certificate of Beneficial Ownership</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194"/>
        </w:trPr>
        <w:tc>
          <w:tcPr>
            <w:tcW w:w="22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FF"/>
              </w:rPr>
              <w:t>EXHIBIT L</w:t>
            </w:r>
          </w:p>
        </w:tc>
        <w:tc>
          <w:tcPr>
            <w:tcW w:w="820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color w:val="0000FF"/>
              </w:rPr>
              <w:t>Form of Parent/General Partner Guaranty</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20"/>
        </w:trPr>
        <w:tc>
          <w:tcPr>
            <w:tcW w:w="880" w:type="dxa"/>
            <w:vAlign w:val="bottom"/>
            <w:tcBorders>
              <w:top w:val="single" w:sz="8" w:color="0000FF"/>
              <w:bottom w:val="single" w:sz="8" w:color="0000FF"/>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00" w:type="dxa"/>
            <w:vAlign w:val="bottom"/>
            <w:tcBorders>
              <w:top w:val="single" w:sz="8" w:color="0000FF"/>
              <w:bottom w:val="single" w:sz="8" w:color="0000FF"/>
            </w:tcBorders>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59"/>
        <w:spacing w:after="0"/>
        <w:rPr>
          <w:sz w:val="20"/>
          <w:szCs w:val="20"/>
          <w:color w:val="auto"/>
        </w:rPr>
      </w:pPr>
      <w:r>
        <w:rPr>
          <w:rFonts w:ascii="Times New Roman" w:cs="Times New Roman" w:eastAsia="Times New Roman" w:hAnsi="Times New Roman"/>
          <w:sz w:val="18"/>
          <w:szCs w:val="18"/>
          <w:color w:val="auto"/>
        </w:rPr>
        <w:t>- v -</w:t>
      </w:r>
    </w:p>
    <w:p>
      <w:pPr>
        <w:sectPr>
          <w:pgSz w:w="11900" w:h="16838" w:orient="portrait"/>
          <w:cols w:equalWidth="0" w:num="1">
            <w:col w:w="10940"/>
          </w:cols>
          <w:pgMar w:left="440" w:top="270" w:right="519" w:bottom="1440" w:gutter="0" w:footer="0" w:header="0"/>
        </w:sectPr>
      </w:pPr>
    </w:p>
    <w:bookmarkStart w:id="180" w:name="page181"/>
    <w:bookmarkEnd w:id="180"/>
    <w:p>
      <w:pPr>
        <w:ind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TERM LOAN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as of May 6, 2020, by and among FEDERAL REALTY OP LP, a Delaware limited partnership (the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each of the financial institutions initially a signatory hereto together with their successors and permitted assignees under Section 12.6. (the “</w:t>
      </w:r>
      <w:r>
        <w:rPr>
          <w:rFonts w:ascii="Times New Roman" w:cs="Times New Roman" w:eastAsia="Times New Roman" w:hAnsi="Times New Roman"/>
          <w:sz w:val="18"/>
          <w:szCs w:val="18"/>
          <w:b w:val="1"/>
          <w:bCs w:val="1"/>
          <w:color w:val="auto"/>
        </w:rPr>
        <w:t>Lenders</w:t>
      </w:r>
      <w:r>
        <w:rPr>
          <w:rFonts w:ascii="Times New Roman" w:cs="Times New Roman" w:eastAsia="Times New Roman" w:hAnsi="Times New Roman"/>
          <w:sz w:val="18"/>
          <w:szCs w:val="18"/>
          <w:color w:val="auto"/>
        </w:rPr>
        <w:t>”), PNC BANK, NATIONAL ASSOCIATION, as Administrative Agent (together with its successors and permitted assigns, the “</w:t>
      </w:r>
      <w:r>
        <w:rPr>
          <w:rFonts w:ascii="Times New Roman" w:cs="Times New Roman" w:eastAsia="Times New Roman" w:hAnsi="Times New Roman"/>
          <w:sz w:val="18"/>
          <w:szCs w:val="18"/>
          <w:b w:val="1"/>
          <w:bCs w:val="1"/>
          <w:color w:val="auto"/>
        </w:rPr>
        <w:t>Administrative Agent</w:t>
      </w:r>
      <w:r>
        <w:rPr>
          <w:rFonts w:ascii="Times New Roman" w:cs="Times New Roman" w:eastAsia="Times New Roman" w:hAnsi="Times New Roman"/>
          <w:sz w:val="18"/>
          <w:szCs w:val="18"/>
          <w:color w:val="auto"/>
        </w:rPr>
        <w:t xml:space="preserve">”), each of </w:t>
      </w:r>
      <w:r>
        <w:rPr>
          <w:rFonts w:ascii="Times New Roman" w:cs="Times New Roman" w:eastAsia="Times New Roman" w:hAnsi="Times New Roman"/>
          <w:sz w:val="18"/>
          <w:szCs w:val="18"/>
          <w:color w:val="FF0000"/>
          <w:strike w:val="1"/>
        </w:rPr>
        <w:t>PNC BANK, NATIONAL ASSOCIATION,</w:t>
      </w:r>
      <w:r>
        <w:rPr>
          <w:rFonts w:ascii="Times New Roman" w:cs="Times New Roman" w:eastAsia="Times New Roman" w:hAnsi="Times New Roman"/>
          <w:sz w:val="18"/>
          <w:szCs w:val="18"/>
          <w:color w:val="auto"/>
        </w:rPr>
        <w:t xml:space="preserve"> REGIONS BANK, TRUIST BANK, </w:t>
      </w:r>
      <w:r>
        <w:rPr>
          <w:rFonts w:ascii="Times New Roman" w:cs="Times New Roman" w:eastAsia="Times New Roman" w:hAnsi="Times New Roman"/>
          <w:sz w:val="18"/>
          <w:szCs w:val="18"/>
          <w:color w:val="FF0000"/>
          <w:strike w:val="1"/>
        </w:rPr>
        <w:t>and</w:t>
      </w:r>
      <w:r>
        <w:rPr>
          <w:rFonts w:ascii="Times New Roman" w:cs="Times New Roman" w:eastAsia="Times New Roman" w:hAnsi="Times New Roman"/>
          <w:sz w:val="18"/>
          <w:szCs w:val="18"/>
          <w:color w:val="auto"/>
        </w:rPr>
        <w:t xml:space="preserve"> U.S. BANK NATIONAL ASSOCIATION, </w:t>
      </w:r>
      <w:r>
        <w:rPr>
          <w:rFonts w:ascii="Times New Roman" w:cs="Times New Roman" w:eastAsia="Times New Roman" w:hAnsi="Times New Roman"/>
          <w:sz w:val="18"/>
          <w:szCs w:val="18"/>
          <w:u w:val="single" w:color="auto"/>
          <w:color w:val="0000FF"/>
        </w:rPr>
        <w:t>TD BANK, N.A. and JPMORGAN CHASE BANK, N.A.</w:t>
      </w:r>
      <w:r>
        <w:rPr>
          <w:rFonts w:ascii="Times New Roman" w:cs="Times New Roman" w:eastAsia="Times New Roman" w:hAnsi="Times New Roman"/>
          <w:sz w:val="18"/>
          <w:szCs w:val="18"/>
          <w:color w:val="auto"/>
        </w:rPr>
        <w:t xml:space="preserve"> as Co-Syndication Agents (the “</w:t>
      </w:r>
      <w:r>
        <w:rPr>
          <w:rFonts w:ascii="Times New Roman" w:cs="Times New Roman" w:eastAsia="Times New Roman" w:hAnsi="Times New Roman"/>
          <w:sz w:val="18"/>
          <w:szCs w:val="18"/>
          <w:b w:val="1"/>
          <w:bCs w:val="1"/>
          <w:color w:val="auto"/>
        </w:rPr>
        <w:t>Co-Syndication Agents</w:t>
      </w:r>
      <w:r>
        <w:rPr>
          <w:rFonts w:ascii="Times New Roman" w:cs="Times New Roman" w:eastAsia="Times New Roman" w:hAnsi="Times New Roman"/>
          <w:sz w:val="18"/>
          <w:szCs w:val="18"/>
          <w:color w:val="auto"/>
        </w:rPr>
        <w:t xml:space="preserve">”) and each of PNC CAPITAL MARKETS LLC, REGIONS CAPITAL MARKETS, </w:t>
      </w:r>
      <w:r>
        <w:rPr>
          <w:rFonts w:ascii="Times New Roman" w:cs="Times New Roman" w:eastAsia="Times New Roman" w:hAnsi="Times New Roman"/>
          <w:sz w:val="18"/>
          <w:szCs w:val="18"/>
          <w:color w:val="FF0000"/>
          <w:strike w:val="1"/>
        </w:rPr>
        <w:t>SUNTRUST ROBINSON HUMPHREY</w:t>
      </w:r>
      <w:r>
        <w:rPr>
          <w:rFonts w:ascii="Times New Roman" w:cs="Times New Roman" w:eastAsia="Times New Roman" w:hAnsi="Times New Roman"/>
          <w:sz w:val="18"/>
          <w:szCs w:val="18"/>
          <w:u w:val="single" w:color="auto"/>
          <w:color w:val="0000FF"/>
        </w:rPr>
        <w:t>TRUIST SECURITIES</w:t>
      </w:r>
      <w:r>
        <w:rPr>
          <w:rFonts w:ascii="Times New Roman" w:cs="Times New Roman" w:eastAsia="Times New Roman" w:hAnsi="Times New Roman"/>
          <w:sz w:val="18"/>
          <w:szCs w:val="18"/>
          <w:color w:val="auto"/>
        </w:rPr>
        <w:t xml:space="preserve">, INC., </w:t>
      </w:r>
      <w:r>
        <w:rPr>
          <w:rFonts w:ascii="Times New Roman" w:cs="Times New Roman" w:eastAsia="Times New Roman" w:hAnsi="Times New Roman"/>
          <w:sz w:val="18"/>
          <w:szCs w:val="18"/>
          <w:color w:val="FF0000"/>
          <w:strike w:val="1"/>
        </w:rPr>
        <w:t>and</w:t>
      </w:r>
      <w:r>
        <w:rPr>
          <w:rFonts w:ascii="Times New Roman" w:cs="Times New Roman" w:eastAsia="Times New Roman" w:hAnsi="Times New Roman"/>
          <w:sz w:val="18"/>
          <w:szCs w:val="18"/>
          <w:color w:val="auto"/>
        </w:rPr>
        <w:t xml:space="preserve"> U.S. BANK NATIONAL ASSOCIATION, </w:t>
      </w:r>
      <w:r>
        <w:rPr>
          <w:rFonts w:ascii="Times New Roman" w:cs="Times New Roman" w:eastAsia="Times New Roman" w:hAnsi="Times New Roman"/>
          <w:sz w:val="18"/>
          <w:szCs w:val="18"/>
          <w:u w:val="single" w:color="auto"/>
          <w:color w:val="0000FF"/>
        </w:rPr>
        <w:t>TD SECURITIES (USA) LLC, and JPMORGAN CHASE BANK, N.A.</w:t>
      </w:r>
      <w:r>
        <w:rPr>
          <w:rFonts w:ascii="Times New Roman" w:cs="Times New Roman" w:eastAsia="Times New Roman" w:hAnsi="Times New Roman"/>
          <w:sz w:val="18"/>
          <w:szCs w:val="18"/>
          <w:color w:val="auto"/>
        </w:rPr>
        <w:t xml:space="preserve"> as Joint Lead Arrangers and Joint Book Managers (in such capacities, the “</w:t>
      </w:r>
      <w:r>
        <w:rPr>
          <w:rFonts w:ascii="Times New Roman" w:cs="Times New Roman" w:eastAsia="Times New Roman" w:hAnsi="Times New Roman"/>
          <w:sz w:val="18"/>
          <w:szCs w:val="18"/>
          <w:b w:val="1"/>
          <w:bCs w:val="1"/>
          <w:color w:val="auto"/>
        </w:rPr>
        <w:t>Arrangers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803275</wp:posOffset>
            </wp:positionH>
            <wp:positionV relativeFrom="paragraph">
              <wp:posOffset>-408305</wp:posOffset>
            </wp:positionV>
            <wp:extent cx="268287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682875" cy="8255"/>
                    </a:xfrm>
                    <a:prstGeom prst="rect">
                      <a:avLst/>
                    </a:prstGeom>
                    <a:noFill/>
                  </pic:spPr>
                </pic:pic>
              </a:graphicData>
            </a:graphic>
          </wp:anchor>
        </w:drawing>
        <w:drawing>
          <wp:anchor simplePos="0" relativeHeight="251657728" behindDoc="1" locked="0" layoutInCell="0" allowOverlap="1">
            <wp:simplePos x="0" y="0"/>
            <wp:positionH relativeFrom="column">
              <wp:posOffset>4849495</wp:posOffset>
            </wp:positionH>
            <wp:positionV relativeFrom="paragraph">
              <wp:posOffset>-271145</wp:posOffset>
            </wp:positionV>
            <wp:extent cx="107188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071880" cy="8890"/>
                    </a:xfrm>
                    <a:prstGeom prst="rect">
                      <a:avLst/>
                    </a:prstGeom>
                    <a:noFill/>
                  </pic:spPr>
                </pic:pic>
              </a:graphicData>
            </a:graphic>
          </wp:anchor>
        </w:drawing>
        <w:drawing>
          <wp:anchor simplePos="0" relativeHeight="251657728" behindDoc="1" locked="0" layoutInCell="0" allowOverlap="1">
            <wp:simplePos x="0" y="0"/>
            <wp:positionH relativeFrom="column">
              <wp:posOffset>1763395</wp:posOffset>
            </wp:positionH>
            <wp:positionV relativeFrom="paragraph">
              <wp:posOffset>-133985</wp:posOffset>
            </wp:positionV>
            <wp:extent cx="333438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169" w:lineRule="exact"/>
        <w:rPr>
          <w:sz w:val="20"/>
          <w:szCs w:val="20"/>
          <w:color w:val="auto"/>
        </w:rPr>
      </w:pPr>
    </w:p>
    <w:p>
      <w:pPr>
        <w:ind w:right="1620" w:firstLine="440"/>
        <w:spacing w:after="0" w:line="282" w:lineRule="auto"/>
        <w:rPr>
          <w:sz w:val="20"/>
          <w:szCs w:val="20"/>
          <w:color w:val="auto"/>
        </w:rPr>
      </w:pPr>
      <w:r>
        <w:rPr>
          <w:rFonts w:ascii="Times New Roman" w:cs="Times New Roman" w:eastAsia="Times New Roman" w:hAnsi="Times New Roman"/>
          <w:sz w:val="18"/>
          <w:szCs w:val="18"/>
          <w:color w:val="auto"/>
        </w:rPr>
        <w:t>WHEREAS, the Lenders desire to make available to the Borrower unsecured term loans in an aggregate principal amount of $</w:t>
      </w:r>
      <w:r>
        <w:rPr>
          <w:rFonts w:ascii="Times New Roman" w:cs="Times New Roman" w:eastAsia="Times New Roman" w:hAnsi="Times New Roman"/>
          <w:sz w:val="18"/>
          <w:szCs w:val="18"/>
          <w:color w:val="FF0000"/>
          <w:strike w:val="1"/>
        </w:rPr>
        <w:t>400,000,000</w:t>
      </w:r>
      <w:r>
        <w:rPr>
          <w:rFonts w:ascii="Times New Roman" w:cs="Times New Roman" w:eastAsia="Times New Roman" w:hAnsi="Times New Roman"/>
          <w:sz w:val="18"/>
          <w:szCs w:val="18"/>
          <w:u w:val="single" w:color="auto"/>
          <w:color w:val="0000FF"/>
        </w:rPr>
        <w:t>600,000,000</w:t>
      </w:r>
      <w:r>
        <w:rPr>
          <w:rFonts w:ascii="Times New Roman" w:cs="Times New Roman" w:eastAsia="Times New Roman" w:hAnsi="Times New Roman"/>
          <w:sz w:val="18"/>
          <w:szCs w:val="18"/>
          <w:color w:val="auto"/>
        </w:rPr>
        <w:t>, on the terms and conditions contained herein;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-13970</wp:posOffset>
            </wp:positionV>
            <wp:extent cx="57404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74040" cy="8255"/>
                    </a:xfrm>
                    <a:prstGeom prst="rect">
                      <a:avLst/>
                    </a:prstGeom>
                    <a:noFill/>
                  </pic:spPr>
                </pic:pic>
              </a:graphicData>
            </a:graphic>
          </wp:anchor>
        </w:drawing>
      </w:r>
    </w:p>
    <w:p>
      <w:pPr>
        <w:spacing w:after="0" w:line="142"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NOW, THEREFORE, for good and valuable consideration, the receipt and sufficiency of which are hereby acknowledged by the parties hereto, the parties hereto agree as follows: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 Definitions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1.1. Definitions.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addition to terms defined elsewhere herein, the following terms shall have the following meanings for the purposes of this Agreement:</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Accession Agreement</w:t>
      </w:r>
      <w:r>
        <w:rPr>
          <w:rFonts w:ascii="Times New Roman" w:cs="Times New Roman" w:eastAsia="Times New Roman" w:hAnsi="Times New Roman"/>
          <w:sz w:val="18"/>
          <w:szCs w:val="18"/>
          <w:color w:val="auto"/>
        </w:rPr>
        <w:t>” means an Accession Agreement substantially in the form of Annex I to the Guaranty.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Costs</w:t>
      </w:r>
      <w:r>
        <w:rPr>
          <w:rFonts w:ascii="Times New Roman" w:cs="Times New Roman" w:eastAsia="Times New Roman" w:hAnsi="Times New Roman"/>
          <w:sz w:val="18"/>
          <w:szCs w:val="18"/>
          <w:color w:val="auto"/>
        </w:rPr>
        <w:t>” has the meaning given that term in Section 4.1.(b).</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b w:val="1"/>
          <w:bCs w:val="1"/>
          <w:color w:val="FF0000"/>
          <w:strike w:val="1"/>
        </w:rPr>
        <w:t>Additional Loans</w:t>
      </w:r>
      <w:r>
        <w:rPr>
          <w:rFonts w:ascii="Times New Roman" w:cs="Times New Roman" w:eastAsia="Times New Roman" w:hAnsi="Times New Roman"/>
          <w:sz w:val="18"/>
          <w:szCs w:val="18"/>
          <w:color w:val="FF0000"/>
          <w:strike w:val="1"/>
        </w:rPr>
        <w:t>” has the meaning given that term in Section 2.16.</w:t>
      </w:r>
    </w:p>
    <w:p>
      <w:pPr>
        <w:spacing w:after="0" w:line="225" w:lineRule="exact"/>
        <w:rPr>
          <w:sz w:val="20"/>
          <w:szCs w:val="20"/>
          <w:color w:val="auto"/>
        </w:rPr>
      </w:pPr>
    </w:p>
    <w:p>
      <w:pPr>
        <w:ind w:right="2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Adjusted EBITDA</w:t>
      </w:r>
      <w:r>
        <w:rPr>
          <w:rFonts w:ascii="Times New Roman" w:cs="Times New Roman" w:eastAsia="Times New Roman" w:hAnsi="Times New Roman"/>
          <w:sz w:val="18"/>
          <w:szCs w:val="18"/>
          <w:color w:val="auto"/>
        </w:rPr>
        <w:t xml:space="preserve">” means, for any given period, (a) the EBITDA of the Borrower and its Subsidiaries determined on a consolidated basis for such period (including the Borrower’s Ownership Share of EBITDA of its Unconsolidated Affiliates as set forth in clause (b) of the definition of EBITDA),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(b) Capital Reserves.</w:t>
      </w:r>
    </w:p>
    <w:p>
      <w:pPr>
        <w:spacing w:after="0" w:line="171" w:lineRule="exact"/>
        <w:rPr>
          <w:sz w:val="20"/>
          <w:szCs w:val="20"/>
          <w:color w:val="auto"/>
        </w:rPr>
      </w:pPr>
    </w:p>
    <w:p>
      <w:pPr>
        <w:ind w:right="260" w:firstLine="440"/>
        <w:spacing w:after="0" w:line="268" w:lineRule="auto"/>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u w:val="single" w:color="auto"/>
          <w:color w:val="0000FF"/>
        </w:rPr>
        <w:t>Adjusted Term SOFR</w:t>
      </w:r>
      <w:r>
        <w:rPr>
          <w:rFonts w:ascii="Times New Roman" w:cs="Times New Roman" w:eastAsia="Times New Roman" w:hAnsi="Times New Roman"/>
          <w:sz w:val="18"/>
          <w:szCs w:val="18"/>
          <w:u w:val="single" w:color="auto"/>
          <w:color w:val="0000FF"/>
        </w:rPr>
        <w:t>” means, for purposes of any calculation, the rate per annum equal to (a) Term SOFR for such calculation plus (b) the Term SOFR Adjustment; provided that if Adjusted Term SOFR as so determined shall ever be less than the Floor, then Adjusted Term SOFR shall be deemed to be the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-280035</wp:posOffset>
            </wp:positionV>
            <wp:extent cx="648081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48081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-142875</wp:posOffset>
            </wp:positionV>
            <wp:extent cx="683196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3196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-5715</wp:posOffset>
            </wp:positionV>
            <wp:extent cx="107124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071245" cy="8255"/>
                    </a:xfrm>
                    <a:prstGeom prst="rect">
                      <a:avLst/>
                    </a:prstGeom>
                    <a:noFill/>
                  </pic:spPr>
                </pic:pic>
              </a:graphicData>
            </a:graphic>
          </wp:anchor>
        </w:drawing>
      </w:r>
    </w:p>
    <w:p>
      <w:pPr>
        <w:spacing w:after="0" w:line="151" w:lineRule="exact"/>
        <w:rPr>
          <w:sz w:val="20"/>
          <w:szCs w:val="20"/>
          <w:color w:val="auto"/>
        </w:rPr>
      </w:pPr>
    </w:p>
    <w:p>
      <w:pPr>
        <w:ind w:right="10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Adjusted Total Asset Value</w:t>
      </w:r>
      <w:r>
        <w:rPr>
          <w:rFonts w:ascii="Times New Roman" w:cs="Times New Roman" w:eastAsia="Times New Roman" w:hAnsi="Times New Roman"/>
          <w:sz w:val="18"/>
          <w:szCs w:val="18"/>
          <w:color w:val="auto"/>
        </w:rPr>
        <w:t>” means Total Asset Value determined exclusive of assets that are owned by Excluded Subsidiaries and Unconsolidated Affiliates.</w:t>
      </w:r>
    </w:p>
    <w:p>
      <w:pPr>
        <w:spacing w:after="0" w:line="155" w:lineRule="exact"/>
        <w:rPr>
          <w:sz w:val="20"/>
          <w:szCs w:val="20"/>
          <w:color w:val="auto"/>
        </w:rPr>
      </w:pPr>
    </w:p>
    <w:p>
      <w:pPr>
        <w:ind w:right="5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Administrative Agent</w:t>
      </w:r>
      <w:r>
        <w:rPr>
          <w:rFonts w:ascii="Times New Roman" w:cs="Times New Roman" w:eastAsia="Times New Roman" w:hAnsi="Times New Roman"/>
          <w:sz w:val="18"/>
          <w:szCs w:val="18"/>
          <w:color w:val="auto"/>
        </w:rPr>
        <w:t>” means PNC Bank, National Association as contractual representative of the Lenders under this Agreement, or any successor Administrative Agent appointed pursuant to Section 11.8.</w:t>
      </w:r>
    </w:p>
    <w:p>
      <w:pPr>
        <w:spacing w:after="0" w:line="155" w:lineRule="exact"/>
        <w:rPr>
          <w:sz w:val="20"/>
          <w:szCs w:val="20"/>
          <w:color w:val="auto"/>
        </w:rPr>
      </w:pPr>
    </w:p>
    <w:p>
      <w:pPr>
        <w:ind w:right="1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Administrative Questionnaire</w:t>
      </w:r>
      <w:r>
        <w:rPr>
          <w:rFonts w:ascii="Times New Roman" w:cs="Times New Roman" w:eastAsia="Times New Roman" w:hAnsi="Times New Roman"/>
          <w:sz w:val="18"/>
          <w:szCs w:val="18"/>
          <w:color w:val="auto"/>
        </w:rPr>
        <w:t>” means the Administrative Questionnaire completed by each Lender and delivered to the Administrative Agent in a form supplied by the Administrative Agent to the Lenders from time to time.</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266" w:right="439" w:bottom="1440" w:gutter="0" w:footer="0" w:header="0"/>
        </w:sectPr>
      </w:pPr>
    </w:p>
    <w:bookmarkStart w:id="181" w:name="page182"/>
    <w:bookmarkEnd w:id="18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Affected Financial Institution</w:t>
      </w:r>
      <w:r>
        <w:rPr>
          <w:rFonts w:ascii="Times New Roman" w:cs="Times New Roman" w:eastAsia="Times New Roman" w:hAnsi="Times New Roman"/>
          <w:sz w:val="18"/>
          <w:szCs w:val="18"/>
          <w:color w:val="auto"/>
        </w:rPr>
        <w:t>” means (a) any EEA Financial Institution or (b) any UK Financial Institution.</w:t>
      </w:r>
    </w:p>
    <w:p>
      <w:pPr>
        <w:spacing w:after="0" w:line="225" w:lineRule="exact"/>
        <w:rPr>
          <w:sz w:val="20"/>
          <w:szCs w:val="20"/>
          <w:color w:val="auto"/>
        </w:rPr>
      </w:pPr>
    </w:p>
    <w:p>
      <w:pPr>
        <w:ind w:right="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with respect to a specified Person, another Person that directly, or indirectly through one or more intermediaries, Controls or is Controlled by or is under common Control with the Person specified. In no event shall the Administrative Agent or any Lender be deemed to be an Affiliate of the Borrower.</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 Date</w:t>
      </w:r>
      <w:r>
        <w:rPr>
          <w:rFonts w:ascii="Times New Roman" w:cs="Times New Roman" w:eastAsia="Times New Roman" w:hAnsi="Times New Roman"/>
          <w:sz w:val="18"/>
          <w:szCs w:val="18"/>
          <w:color w:val="auto"/>
        </w:rPr>
        <w:t>” means the date as of which this Agreement is dated.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b w:val="1"/>
          <w:bCs w:val="1"/>
          <w:color w:val="FF0000"/>
          <w:strike w:val="1"/>
        </w:rPr>
        <w:t>Alternate Source</w:t>
      </w:r>
      <w:r>
        <w:rPr>
          <w:rFonts w:ascii="Times New Roman" w:cs="Times New Roman" w:eastAsia="Times New Roman" w:hAnsi="Times New Roman"/>
          <w:sz w:val="18"/>
          <w:szCs w:val="18"/>
          <w:color w:val="FF0000"/>
          <w:strike w:val="1"/>
        </w:rPr>
        <w:t>” has the meaning given that term in the definition of “LIBOR”.</w:t>
      </w:r>
    </w:p>
    <w:p>
      <w:pPr>
        <w:spacing w:after="0" w:line="225" w:lineRule="exact"/>
        <w:rPr>
          <w:sz w:val="20"/>
          <w:szCs w:val="20"/>
          <w:color w:val="auto"/>
        </w:rPr>
      </w:pPr>
    </w:p>
    <w:p>
      <w:pPr>
        <w:ind w:right="80" w:firstLine="440"/>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Anti-Corruption Laws</w:t>
      </w:r>
      <w:r>
        <w:rPr>
          <w:rFonts w:ascii="Times New Roman" w:cs="Times New Roman" w:eastAsia="Times New Roman" w:hAnsi="Times New Roman"/>
          <w:sz w:val="17"/>
          <w:szCs w:val="17"/>
          <w:color w:val="auto"/>
        </w:rPr>
        <w:t>” means all laws, rules, and regulations of any jurisdiction applicable to the Parent, the General Partner, the Borrower or their respective Subsidiaries from time to time concerning or relating to bribery or corruption, including, without limitation, the United States Foreign Corrupt Practices Act of 1977 and the rules and regulations thereunder and the U.K. Bribery Act 2010 and the rules and regulations thereunder.</w:t>
      </w:r>
    </w:p>
    <w:p>
      <w:pPr>
        <w:spacing w:after="0" w:line="153" w:lineRule="exact"/>
        <w:rPr>
          <w:sz w:val="20"/>
          <w:szCs w:val="20"/>
          <w:color w:val="auto"/>
        </w:rPr>
      </w:pPr>
    </w:p>
    <w:p>
      <w:pPr>
        <w:ind w:right="28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Anti-Money Laundering Laws</w:t>
      </w:r>
      <w:r>
        <w:rPr>
          <w:rFonts w:ascii="Times New Roman" w:cs="Times New Roman" w:eastAsia="Times New Roman" w:hAnsi="Times New Roman"/>
          <w:sz w:val="18"/>
          <w:szCs w:val="18"/>
          <w:color w:val="auto"/>
        </w:rPr>
        <w:t>” means any and all laws, statutes, regulations or obligatory government orders, decrees, ordinances or rules applicable to a Loan Party, its Subsidiaries or Affiliates related to terrorism financing or money laundering, including any applicable provision of the PATRIOT Act and The Currency and Foreign Transactions Reporting Act (also known as the “Bank Secrecy Act,” 31 U.S.C. §§ 5311-5330 and 12U.S.C. §§ 1818(s), 1820(b) and 1951-1959).</w:t>
      </w:r>
    </w:p>
    <w:p>
      <w:pPr>
        <w:spacing w:after="0" w:line="176"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Law</w:t>
      </w:r>
      <w:r>
        <w:rPr>
          <w:rFonts w:ascii="Times New Roman" w:cs="Times New Roman" w:eastAsia="Times New Roman" w:hAnsi="Times New Roman"/>
          <w:sz w:val="18"/>
          <w:szCs w:val="18"/>
          <w:color w:val="auto"/>
        </w:rPr>
        <w:t>” means all applicable provisions of international, foreign, federal, state and local statutes, treaties, rules, guidelines, regulations, ordinances, codes, executive orders, and administrative or judicial precedents or authorities, including the interpretation, implementation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w:t>
      </w:r>
    </w:p>
    <w:p>
      <w:pPr>
        <w:spacing w:after="0" w:line="176" w:lineRule="exact"/>
        <w:rPr>
          <w:sz w:val="20"/>
          <w:szCs w:val="20"/>
          <w:color w:val="auto"/>
        </w:rPr>
      </w:pPr>
    </w:p>
    <w:p>
      <w:pPr>
        <w:ind w:right="60" w:firstLine="440"/>
        <w:spacing w:after="0" w:line="26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Applicable Margin</w:t>
      </w:r>
      <w:r>
        <w:rPr>
          <w:rFonts w:ascii="Times New Roman" w:cs="Times New Roman" w:eastAsia="Times New Roman" w:hAnsi="Times New Roman"/>
          <w:sz w:val="17"/>
          <w:szCs w:val="17"/>
          <w:color w:val="auto"/>
        </w:rPr>
        <w:t>” means the percentage rate set forth in the table below corresponding to the level (each a “</w:t>
      </w:r>
      <w:r>
        <w:rPr>
          <w:rFonts w:ascii="Times New Roman" w:cs="Times New Roman" w:eastAsia="Times New Roman" w:hAnsi="Times New Roman"/>
          <w:sz w:val="17"/>
          <w:szCs w:val="17"/>
          <w:b w:val="1"/>
          <w:bCs w:val="1"/>
          <w:color w:val="auto"/>
        </w:rPr>
        <w:t>Level</w:t>
      </w:r>
      <w:r>
        <w:rPr>
          <w:rFonts w:ascii="Times New Roman" w:cs="Times New Roman" w:eastAsia="Times New Roman" w:hAnsi="Times New Roman"/>
          <w:sz w:val="17"/>
          <w:szCs w:val="17"/>
          <w:color w:val="auto"/>
        </w:rPr>
        <w:t xml:space="preserve">”) into which the Borrower’s Credit Rating then falls. As of the </w:t>
      </w:r>
      <w:r>
        <w:rPr>
          <w:rFonts w:ascii="Times New Roman" w:cs="Times New Roman" w:eastAsia="Times New Roman" w:hAnsi="Times New Roman"/>
          <w:sz w:val="17"/>
          <w:szCs w:val="17"/>
          <w:color w:val="FF0000"/>
          <w:strike w:val="1"/>
        </w:rPr>
        <w:t>First</w:t>
      </w:r>
      <w:r>
        <w:rPr>
          <w:rFonts w:ascii="Times New Roman" w:cs="Times New Roman" w:eastAsia="Times New Roman" w:hAnsi="Times New Roman"/>
          <w:sz w:val="17"/>
          <w:szCs w:val="17"/>
          <w:u w:val="single" w:color="auto"/>
          <w:color w:val="0000FF"/>
        </w:rPr>
        <w:t>Third</w:t>
      </w:r>
      <w:r>
        <w:rPr>
          <w:rFonts w:ascii="Times New Roman" w:cs="Times New Roman" w:eastAsia="Times New Roman" w:hAnsi="Times New Roman"/>
          <w:sz w:val="17"/>
          <w:szCs w:val="17"/>
          <w:color w:val="auto"/>
        </w:rPr>
        <w:t xml:space="preserve"> Amendment Date, the Applicable Margin is determined based on Level </w:t>
      </w:r>
      <w:r>
        <w:rPr>
          <w:rFonts w:ascii="Times New Roman" w:cs="Times New Roman" w:eastAsia="Times New Roman" w:hAnsi="Times New Roman"/>
          <w:sz w:val="17"/>
          <w:szCs w:val="17"/>
          <w:color w:val="FF0000"/>
          <w:strike w:val="1"/>
        </w:rPr>
        <w:t>2</w:t>
      </w:r>
      <w:r>
        <w:rPr>
          <w:rFonts w:ascii="Times New Roman" w:cs="Times New Roman" w:eastAsia="Times New Roman" w:hAnsi="Times New Roman"/>
          <w:sz w:val="17"/>
          <w:szCs w:val="17"/>
          <w:u w:val="single" w:color="auto"/>
          <w:color w:val="0000FF"/>
        </w:rPr>
        <w:t>3</w:t>
      </w:r>
      <w:r>
        <w:rPr>
          <w:rFonts w:ascii="Times New Roman" w:cs="Times New Roman" w:eastAsia="Times New Roman" w:hAnsi="Times New Roman"/>
          <w:sz w:val="17"/>
          <w:szCs w:val="17"/>
          <w:color w:val="auto"/>
        </w:rPr>
        <w:t>. Any change in the Borrower’s Credit Rating which would cause it to move to a different Level shall be effective as of the first Business Day of the first calendar month immediately following receipt by the Administrative Agent of written notice delivered by the Borrower in accordance with Section 8.4.(n) that the Borrower’s Credit Rating has changed; provided, however, if the Borrower has not delivered the notice required by such Section but the Administrative Agent becomes aware that the Borrower’s Credit Rating has changed, then the Administrative Agent may, in its sole discretion, adjust the Level by written notice to the Borrower (provided, however, that the Administrative Agent’s failure to give such notice shall not change the effectiveness of the adjustment of the Level) effective as of the first Business Day of the first calendar month following the date the Administrative Agent becomes aware that the Borrower’s Credit Rating has changed. During any period that the Borrower has received two Credit Ratings that are not equivalent, the Applicable Margin shall be determined based on the Level corresponding to the higher of such two Credit Ratings unless the difference in the Credit Ratings is greater than one ratings level, in which case the Applicable Margin shall be determined by reference to the ratings level immediately below the higher of the two Credit Ratings. During any period for which the Borrower has received a Credit Rating from only one Rating Agency, then the Applicable Margin shall be determined based on such Credit Rating. During any period that the Borrower has not received a Credit Rating from any Rating Agency, the Applicable Margin shall be determined based on Level 6. The provisions of this definition shall be subject to Section 2.5.(c).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-1650365</wp:posOffset>
            </wp:positionV>
            <wp:extent cx="24828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48285" cy="8255"/>
                    </a:xfrm>
                    <a:prstGeom prst="rect">
                      <a:avLst/>
                    </a:prstGeom>
                    <a:noFill/>
                  </pic:spPr>
                </pic:pic>
              </a:graphicData>
            </a:graphic>
          </wp:anchor>
        </w:drawing>
        <w:drawing>
          <wp:anchor simplePos="0" relativeHeight="251657728" behindDoc="1" locked="0" layoutInCell="0" allowOverlap="1">
            <wp:simplePos x="0" y="0"/>
            <wp:positionH relativeFrom="column">
              <wp:posOffset>5963920</wp:posOffset>
            </wp:positionH>
            <wp:positionV relativeFrom="paragraph">
              <wp:posOffset>-1650365</wp:posOffset>
            </wp:positionV>
            <wp:extent cx="5143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66" w:right="479" w:bottom="1440" w:gutter="0" w:footer="0" w:header="0"/>
        </w:sectPr>
      </w:pPr>
    </w:p>
    <w:bookmarkStart w:id="182" w:name="page183"/>
    <w:bookmarkEnd w:id="182"/>
    <w:tbl>
      <w:tblPr>
        <w:tblLayout w:type="fixed"/>
        <w:tblInd w:w="880" w:type="dxa"/>
        <w:tblCellMar>
          <w:top w:w="0" w:type="dxa"/>
          <w:left w:w="0" w:type="dxa"/>
          <w:bottom w:w="0" w:type="dxa"/>
          <w:right w:w="0" w:type="dxa"/>
        </w:tblCellMar>
      </w:tblPr>
      <w:tr>
        <w:trPr>
          <w:trHeight w:val="161"/>
        </w:trPr>
        <w:tc>
          <w:tcPr>
            <w:tcW w:w="34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2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Borrower’s Credit Rating</w:t>
            </w:r>
          </w:p>
        </w:tc>
        <w:tc>
          <w:tcPr>
            <w:tcW w:w="2300" w:type="dxa"/>
            <w:vAlign w:val="bottom"/>
            <w:gridSpan w:val="6"/>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Applicable Margin for</w:t>
            </w:r>
          </w:p>
        </w:tc>
        <w:tc>
          <w:tcPr>
            <w:tcW w:w="240" w:type="dxa"/>
            <w:vAlign w:val="bottom"/>
          </w:tcPr>
          <w:p>
            <w:pPr>
              <w:spacing w:after="0"/>
              <w:rPr>
                <w:sz w:val="13"/>
                <w:szCs w:val="13"/>
                <w:color w:val="auto"/>
              </w:rPr>
            </w:pPr>
          </w:p>
        </w:tc>
        <w:tc>
          <w:tcPr>
            <w:tcW w:w="1240" w:type="dxa"/>
            <w:vAlign w:val="bottom"/>
            <w:gridSpan w:val="5"/>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Applicable</w:t>
            </w:r>
          </w:p>
        </w:tc>
        <w:tc>
          <w:tcPr>
            <w:tcW w:w="0" w:type="dxa"/>
            <w:vAlign w:val="bottom"/>
          </w:tcPr>
          <w:p>
            <w:pPr>
              <w:spacing w:after="0"/>
              <w:rPr>
                <w:sz w:val="1"/>
                <w:szCs w:val="1"/>
                <w:color w:val="auto"/>
              </w:rPr>
            </w:pPr>
          </w:p>
        </w:tc>
      </w:tr>
      <w:tr>
        <w:trPr>
          <w:trHeight w:val="146"/>
        </w:trPr>
        <w:tc>
          <w:tcPr>
            <w:tcW w:w="3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82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60" w:type="dxa"/>
            <w:vAlign w:val="bottom"/>
            <w:gridSpan w:val="4"/>
          </w:tcPr>
          <w:p>
            <w:pPr>
              <w:jc w:val="right"/>
              <w:ind w:right="1040"/>
              <w:spacing w:after="0" w:line="146" w:lineRule="exact"/>
              <w:rPr>
                <w:sz w:val="20"/>
                <w:szCs w:val="20"/>
                <w:color w:val="auto"/>
              </w:rPr>
            </w:pPr>
            <w:r>
              <w:rPr>
                <w:rFonts w:ascii="Times New Roman" w:cs="Times New Roman" w:eastAsia="Times New Roman" w:hAnsi="Times New Roman"/>
                <w:sz w:val="14"/>
                <w:szCs w:val="14"/>
                <w:b w:val="1"/>
                <w:bCs w:val="1"/>
                <w:color w:val="auto"/>
              </w:rPr>
              <w:t>all</w:t>
            </w:r>
          </w:p>
        </w:tc>
        <w:tc>
          <w:tcPr>
            <w:tcW w:w="240" w:type="dxa"/>
            <w:vAlign w:val="bottom"/>
          </w:tcPr>
          <w:p>
            <w:pPr>
              <w:spacing w:after="0"/>
              <w:rPr>
                <w:sz w:val="12"/>
                <w:szCs w:val="12"/>
                <w:color w:val="auto"/>
              </w:rPr>
            </w:pPr>
          </w:p>
        </w:tc>
        <w:tc>
          <w:tcPr>
            <w:tcW w:w="1240" w:type="dxa"/>
            <w:vAlign w:val="bottom"/>
            <w:gridSpan w:val="5"/>
          </w:tcPr>
          <w:p>
            <w:pPr>
              <w:jc w:val="right"/>
              <w:ind w:right="216"/>
              <w:spacing w:after="0" w:line="146" w:lineRule="exact"/>
              <w:rPr>
                <w:sz w:val="20"/>
                <w:szCs w:val="20"/>
                <w:color w:val="auto"/>
              </w:rPr>
            </w:pPr>
            <w:r>
              <w:rPr>
                <w:rFonts w:ascii="Times New Roman" w:cs="Times New Roman" w:eastAsia="Times New Roman" w:hAnsi="Times New Roman"/>
                <w:sz w:val="14"/>
                <w:szCs w:val="14"/>
                <w:b w:val="1"/>
                <w:bCs w:val="1"/>
                <w:color w:val="auto"/>
              </w:rPr>
              <w:t>Margin for all</w:t>
            </w:r>
          </w:p>
        </w:tc>
        <w:tc>
          <w:tcPr>
            <w:tcW w:w="0" w:type="dxa"/>
            <w:vAlign w:val="bottom"/>
          </w:tcPr>
          <w:p>
            <w:pPr>
              <w:spacing w:after="0"/>
              <w:rPr>
                <w:sz w:val="1"/>
                <w:szCs w:val="1"/>
                <w:color w:val="auto"/>
              </w:rPr>
            </w:pPr>
          </w:p>
        </w:tc>
      </w:tr>
      <w:tr>
        <w:trPr>
          <w:trHeight w:val="227"/>
        </w:trPr>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Level</w:t>
            </w:r>
          </w:p>
        </w:tc>
        <w:tc>
          <w:tcPr>
            <w:tcW w:w="2320" w:type="dxa"/>
            <w:vAlign w:val="bottom"/>
            <w:tcBorders>
              <w:bottom w:val="single" w:sz="8" w:color="CCEEFF"/>
            </w:tcBorders>
          </w:tcPr>
          <w:p>
            <w:pPr>
              <w:spacing w:after="0"/>
              <w:rPr>
                <w:sz w:val="19"/>
                <w:szCs w:val="19"/>
                <w:color w:val="auto"/>
              </w:rPr>
            </w:pPr>
          </w:p>
        </w:tc>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(S&amp;P/Moody’s or equivalent)</w:t>
            </w:r>
          </w:p>
        </w:tc>
        <w:tc>
          <w:tcPr>
            <w:tcW w:w="5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FF0000"/>
                <w:strike w:val="1"/>
                <w:w w:val="97"/>
              </w:rPr>
              <w:t>LIBOR</w:t>
            </w:r>
          </w:p>
        </w:tc>
        <w:tc>
          <w:tcPr>
            <w:tcW w:w="8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0000FF"/>
              </w:rPr>
              <w:t xml:space="preserve">SOFR </w:t>
            </w:r>
            <w:r>
              <w:rPr>
                <w:rFonts w:ascii="Times New Roman" w:cs="Times New Roman" w:eastAsia="Times New Roman" w:hAnsi="Times New Roman"/>
                <w:sz w:val="14"/>
                <w:szCs w:val="14"/>
                <w:b w:val="1"/>
                <w:bCs w:val="1"/>
                <w:color w:val="000000"/>
              </w:rPr>
              <w:t>Loans</w:t>
            </w:r>
          </w:p>
        </w:tc>
        <w:tc>
          <w:tcPr>
            <w:tcW w:w="38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Base Rate Loans</w:t>
            </w:r>
          </w:p>
        </w:tc>
        <w:tc>
          <w:tcPr>
            <w:tcW w:w="2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43"/>
        </w:trPr>
        <w:tc>
          <w:tcPr>
            <w:tcW w:w="340" w:type="dxa"/>
            <w:vAlign w:val="bottom"/>
            <w:tcBorders>
              <w:top w:val="single" w:sz="8" w:color="CCEEFF"/>
            </w:tcBorders>
            <w:shd w:val="clear" w:color="auto" w:fill="CCEEFF"/>
          </w:tcPr>
          <w:p>
            <w:pPr>
              <w:spacing w:after="0" w:line="123" w:lineRule="exact"/>
              <w:rPr>
                <w:sz w:val="20"/>
                <w:szCs w:val="20"/>
                <w:color w:val="auto"/>
              </w:rPr>
            </w:pPr>
            <w:r>
              <w:rPr>
                <w:rFonts w:ascii="Times New Roman" w:cs="Times New Roman" w:eastAsia="Times New Roman" w:hAnsi="Times New Roman"/>
                <w:sz w:val="13"/>
                <w:szCs w:val="13"/>
                <w:color w:val="auto"/>
              </w:rPr>
              <w:t>1</w:t>
            </w:r>
          </w:p>
        </w:tc>
        <w:tc>
          <w:tcPr>
            <w:tcW w:w="2320" w:type="dxa"/>
            <w:vAlign w:val="bottom"/>
            <w:tcBorders>
              <w:top w:val="single" w:sz="8" w:color="CCEEFF"/>
            </w:tcBorders>
            <w:shd w:val="clear" w:color="auto" w:fill="CCEEFF"/>
          </w:tcPr>
          <w:p>
            <w:pPr>
              <w:spacing w:after="0"/>
              <w:rPr>
                <w:sz w:val="12"/>
                <w:szCs w:val="12"/>
                <w:color w:val="auto"/>
              </w:rPr>
            </w:pPr>
          </w:p>
        </w:tc>
        <w:tc>
          <w:tcPr>
            <w:tcW w:w="2820" w:type="dxa"/>
            <w:vAlign w:val="bottom"/>
            <w:tcBorders>
              <w:top w:val="single" w:sz="8" w:color="CCEEFF"/>
            </w:tcBorders>
            <w:shd w:val="clear" w:color="auto" w:fill="CCEEFF"/>
          </w:tcPr>
          <w:p>
            <w:pPr>
              <w:spacing w:after="0" w:line="123" w:lineRule="exact"/>
              <w:rPr>
                <w:sz w:val="20"/>
                <w:szCs w:val="20"/>
                <w:color w:val="auto"/>
              </w:rPr>
            </w:pPr>
            <w:r>
              <w:rPr>
                <w:rFonts w:ascii="Times New Roman" w:cs="Times New Roman" w:eastAsia="Times New Roman" w:hAnsi="Times New Roman"/>
                <w:sz w:val="13"/>
                <w:szCs w:val="13"/>
                <w:color w:val="auto"/>
              </w:rPr>
              <w:t>A/A2 (or equivalent) or better</w:t>
            </w:r>
          </w:p>
        </w:tc>
        <w:tc>
          <w:tcPr>
            <w:tcW w:w="52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0000FF"/>
            </w:tcBorders>
            <w:shd w:val="clear" w:color="auto" w:fill="CCEEFF"/>
          </w:tcPr>
          <w:p>
            <w:pPr>
              <w:spacing w:after="0"/>
              <w:rPr>
                <w:sz w:val="12"/>
                <w:szCs w:val="12"/>
                <w:color w:val="auto"/>
              </w:rPr>
            </w:pPr>
          </w:p>
        </w:tc>
        <w:tc>
          <w:tcPr>
            <w:tcW w:w="880" w:type="dxa"/>
            <w:vAlign w:val="bottom"/>
            <w:tcBorders>
              <w:top w:val="single" w:sz="8" w:color="CCEEFF"/>
            </w:tcBorders>
            <w:gridSpan w:val="3"/>
            <w:shd w:val="clear" w:color="auto" w:fill="CCEEFF"/>
          </w:tcPr>
          <w:p>
            <w:pPr>
              <w:jc w:val="right"/>
              <w:ind w:right="240"/>
              <w:spacing w:after="0" w:line="123" w:lineRule="exact"/>
              <w:rPr>
                <w:sz w:val="20"/>
                <w:szCs w:val="20"/>
                <w:color w:val="auto"/>
              </w:rPr>
            </w:pPr>
            <w:r>
              <w:rPr>
                <w:rFonts w:ascii="Times New Roman" w:cs="Times New Roman" w:eastAsia="Times New Roman" w:hAnsi="Times New Roman"/>
                <w:sz w:val="13"/>
                <w:szCs w:val="13"/>
                <w:color w:val="auto"/>
              </w:rPr>
              <w:t>0.750%</w:t>
            </w:r>
          </w:p>
        </w:tc>
        <w:tc>
          <w:tcPr>
            <w:tcW w:w="24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CCEEFF"/>
            </w:tcBorders>
            <w:shd w:val="clear" w:color="auto" w:fill="CCEEFF"/>
          </w:tcPr>
          <w:p>
            <w:pPr>
              <w:jc w:val="right"/>
              <w:spacing w:after="0" w:line="123" w:lineRule="exact"/>
              <w:rPr>
                <w:sz w:val="20"/>
                <w:szCs w:val="20"/>
                <w:color w:val="auto"/>
              </w:rPr>
            </w:pPr>
            <w:r>
              <w:rPr>
                <w:rFonts w:ascii="Times New Roman" w:cs="Times New Roman" w:eastAsia="Times New Roman" w:hAnsi="Times New Roman"/>
                <w:sz w:val="13"/>
                <w:szCs w:val="13"/>
                <w:color w:val="FF0000"/>
                <w:strike w:val="1"/>
              </w:rPr>
              <w:t>0.750</w:t>
            </w:r>
          </w:p>
        </w:tc>
        <w:tc>
          <w:tcPr>
            <w:tcW w:w="420" w:type="dxa"/>
            <w:vAlign w:val="bottom"/>
            <w:tcBorders>
              <w:top w:val="single" w:sz="8" w:color="CCEEFF"/>
            </w:tcBorders>
            <w:gridSpan w:val="3"/>
            <w:shd w:val="clear" w:color="auto" w:fill="CCEEFF"/>
          </w:tcPr>
          <w:p>
            <w:pPr>
              <w:jc w:val="right"/>
              <w:ind w:right="20"/>
              <w:spacing w:after="0" w:line="123" w:lineRule="exact"/>
              <w:rPr>
                <w:sz w:val="20"/>
                <w:szCs w:val="20"/>
                <w:color w:val="auto"/>
              </w:rPr>
            </w:pPr>
            <w:r>
              <w:rPr>
                <w:rFonts w:ascii="Times New Roman" w:cs="Times New Roman" w:eastAsia="Times New Roman" w:hAnsi="Times New Roman"/>
                <w:sz w:val="13"/>
                <w:szCs w:val="13"/>
                <w:color w:val="0000FF"/>
              </w:rPr>
              <w:t>0.000</w:t>
            </w:r>
          </w:p>
        </w:tc>
        <w:tc>
          <w:tcPr>
            <w:tcW w:w="200" w:type="dxa"/>
            <w:vAlign w:val="bottom"/>
            <w:tcBorders>
              <w:top w:val="single" w:sz="8" w:color="CCEEFF"/>
            </w:tcBorders>
            <w:shd w:val="clear" w:color="auto" w:fill="CCEEFF"/>
          </w:tcPr>
          <w:p>
            <w:pPr>
              <w:jc w:val="right"/>
              <w:spacing w:after="0" w:line="123"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340" w:type="dxa"/>
            <w:vAlign w:val="bottom"/>
            <w:tcBorders>
              <w:top w:val="single" w:sz="8" w:color="CCEEFF"/>
              <w:bottom w:val="single" w:sz="8" w:color="CCEEFF"/>
            </w:tcBorders>
            <w:vMerge w:val="restart"/>
          </w:tcPr>
          <w:p>
            <w:pPr>
              <w:spacing w:after="0" w:line="176" w:lineRule="exact"/>
              <w:rPr>
                <w:sz w:val="20"/>
                <w:szCs w:val="20"/>
                <w:color w:val="auto"/>
              </w:rPr>
            </w:pPr>
            <w:r>
              <w:rPr>
                <w:rFonts w:ascii="Times New Roman" w:cs="Times New Roman" w:eastAsia="Times New Roman" w:hAnsi="Times New Roman"/>
                <w:sz w:val="18"/>
                <w:szCs w:val="18"/>
                <w:color w:val="auto"/>
              </w:rPr>
              <w:t>2</w:t>
            </w:r>
          </w:p>
        </w:tc>
        <w:tc>
          <w:tcPr>
            <w:tcW w:w="5140" w:type="dxa"/>
            <w:vAlign w:val="bottom"/>
            <w:tcBorders>
              <w:top w:val="single" w:sz="8" w:color="CCEEFF"/>
              <w:bottom w:val="single" w:sz="8" w:color="CCEEFF"/>
            </w:tcBorders>
            <w:gridSpan w:val="2"/>
            <w:vMerge w:val="restart"/>
          </w:tcPr>
          <w:p>
            <w:pPr>
              <w:ind w:left="2320"/>
              <w:spacing w:after="0" w:line="176" w:lineRule="exact"/>
              <w:rPr>
                <w:sz w:val="20"/>
                <w:szCs w:val="20"/>
                <w:color w:val="auto"/>
              </w:rPr>
            </w:pPr>
            <w:r>
              <w:rPr>
                <w:rFonts w:ascii="Times New Roman" w:cs="Times New Roman" w:eastAsia="Times New Roman" w:hAnsi="Times New Roman"/>
                <w:sz w:val="18"/>
                <w:szCs w:val="18"/>
                <w:color w:val="auto"/>
              </w:rPr>
              <w:t>A-/A3 (or equivalent)</w:t>
            </w:r>
          </w:p>
        </w:tc>
        <w:tc>
          <w:tcPr>
            <w:tcW w:w="2300" w:type="dxa"/>
            <w:vAlign w:val="bottom"/>
            <w:tcBorders>
              <w:top w:val="single" w:sz="8" w:color="CCEEFF"/>
              <w:bottom w:val="single" w:sz="8" w:color="CCEEFF"/>
            </w:tcBorders>
            <w:gridSpan w:val="6"/>
            <w:vMerge w:val="restart"/>
          </w:tcPr>
          <w:p>
            <w:pPr>
              <w:jc w:val="right"/>
              <w:ind w:right="240"/>
              <w:spacing w:after="0" w:line="176" w:lineRule="exact"/>
              <w:rPr>
                <w:sz w:val="20"/>
                <w:szCs w:val="20"/>
                <w:color w:val="auto"/>
              </w:rPr>
            </w:pPr>
            <w:r>
              <w:rPr>
                <w:rFonts w:ascii="Times New Roman" w:cs="Times New Roman" w:eastAsia="Times New Roman" w:hAnsi="Times New Roman"/>
                <w:sz w:val="18"/>
                <w:szCs w:val="18"/>
                <w:color w:val="auto"/>
              </w:rPr>
              <w:t>0.800%</w:t>
            </w:r>
          </w:p>
        </w:tc>
        <w:tc>
          <w:tcPr>
            <w:tcW w:w="240" w:type="dxa"/>
            <w:vAlign w:val="bottom"/>
            <w:tcBorders>
              <w:top w:val="single" w:sz="8" w:color="CCEEFF"/>
              <w:bottom w:val="single" w:sz="8" w:color="CCEEFF"/>
            </w:tcBorders>
            <w:vMerge w:val="restart"/>
          </w:tcPr>
          <w:p>
            <w:pPr>
              <w:spacing w:after="0" w:line="20" w:lineRule="exact"/>
              <w:rPr>
                <w:sz w:val="1"/>
                <w:szCs w:val="1"/>
                <w:color w:val="auto"/>
              </w:rPr>
            </w:pPr>
          </w:p>
        </w:tc>
        <w:tc>
          <w:tcPr>
            <w:tcW w:w="620" w:type="dxa"/>
            <w:vAlign w:val="bottom"/>
            <w:tcBorders>
              <w:top w:val="single" w:sz="8" w:color="CCEEFF"/>
              <w:bottom w:val="single" w:sz="8" w:color="CCEEFF"/>
            </w:tcBorders>
            <w:vMerge w:val="restart"/>
          </w:tcPr>
          <w:p>
            <w:pPr>
              <w:jc w:val="right"/>
              <w:spacing w:after="0" w:line="176" w:lineRule="exact"/>
              <w:rPr>
                <w:sz w:val="20"/>
                <w:szCs w:val="20"/>
                <w:color w:val="auto"/>
              </w:rPr>
            </w:pPr>
            <w:r>
              <w:rPr>
                <w:rFonts w:ascii="Times New Roman" w:cs="Times New Roman" w:eastAsia="Times New Roman" w:hAnsi="Times New Roman"/>
                <w:sz w:val="18"/>
                <w:szCs w:val="18"/>
                <w:color w:val="FF0000"/>
                <w:strike w:val="1"/>
              </w:rPr>
              <w:t>0.800</w:t>
            </w: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3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CCEEFF"/>
              <w:bottom w:val="single" w:sz="8" w:color="0000FF"/>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jc w:val="right"/>
              <w:spacing w:after="0" w:line="176" w:lineRule="exact"/>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line="20" w:lineRule="exact"/>
              <w:rPr>
                <w:sz w:val="1"/>
                <w:szCs w:val="1"/>
                <w:color w:val="auto"/>
              </w:rPr>
            </w:pPr>
          </w:p>
        </w:tc>
      </w:tr>
      <w:tr>
        <w:trPr>
          <w:trHeight w:val="136"/>
        </w:trPr>
        <w:tc>
          <w:tcPr>
            <w:tcW w:w="340" w:type="dxa"/>
            <w:vAlign w:val="bottom"/>
            <w:vMerge w:val="continue"/>
          </w:tcPr>
          <w:p>
            <w:pPr>
              <w:spacing w:after="0"/>
              <w:rPr>
                <w:sz w:val="11"/>
                <w:szCs w:val="11"/>
                <w:color w:val="auto"/>
              </w:rPr>
            </w:pPr>
          </w:p>
        </w:tc>
        <w:tc>
          <w:tcPr>
            <w:tcW w:w="5140" w:type="dxa"/>
            <w:vAlign w:val="bottom"/>
            <w:gridSpan w:val="2"/>
            <w:vMerge w:val="continue"/>
          </w:tcPr>
          <w:p>
            <w:pPr>
              <w:spacing w:after="0"/>
              <w:rPr>
                <w:sz w:val="11"/>
                <w:szCs w:val="11"/>
                <w:color w:val="auto"/>
              </w:rPr>
            </w:pPr>
          </w:p>
        </w:tc>
        <w:tc>
          <w:tcPr>
            <w:tcW w:w="2300" w:type="dxa"/>
            <w:vAlign w:val="bottom"/>
            <w:gridSpan w:val="6"/>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400" w:type="dxa"/>
            <w:vAlign w:val="bottom"/>
            <w:gridSpan w:val="2"/>
          </w:tcPr>
          <w:p>
            <w:pPr>
              <w:jc w:val="right"/>
              <w:ind w:right="20"/>
              <w:spacing w:after="0" w:line="136" w:lineRule="exact"/>
              <w:rPr>
                <w:sz w:val="20"/>
                <w:szCs w:val="20"/>
                <w:color w:val="auto"/>
              </w:rPr>
            </w:pPr>
            <w:r>
              <w:rPr>
                <w:rFonts w:ascii="Times New Roman" w:cs="Times New Roman" w:eastAsia="Times New Roman" w:hAnsi="Times New Roman"/>
                <w:sz w:val="15"/>
                <w:szCs w:val="15"/>
                <w:color w:val="0000FF"/>
              </w:rPr>
              <w:t>0.000</w:t>
            </w:r>
          </w:p>
        </w:tc>
        <w:tc>
          <w:tcPr>
            <w:tcW w:w="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34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82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20" w:type="dxa"/>
            <w:vAlign w:val="bottom"/>
            <w:tcBorders>
              <w:top w:val="single" w:sz="8" w:color="0000FF"/>
              <w:bottom w:val="single" w:sz="8" w:color="CCEEFF"/>
            </w:tcBorders>
          </w:tcPr>
          <w:p>
            <w:pPr>
              <w:spacing w:after="0"/>
              <w:rPr>
                <w:sz w:val="2"/>
                <w:szCs w:val="2"/>
                <w:color w:val="auto"/>
              </w:rPr>
            </w:pPr>
          </w:p>
        </w:tc>
        <w:tc>
          <w:tcPr>
            <w:tcW w:w="380" w:type="dxa"/>
            <w:vAlign w:val="bottom"/>
            <w:tcBorders>
              <w:top w:val="single" w:sz="8" w:color="0000FF"/>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auto"/>
              </w:rPr>
              <w:t>3</w:t>
            </w:r>
          </w:p>
        </w:tc>
        <w:tc>
          <w:tcPr>
            <w:tcW w:w="5140" w:type="dxa"/>
            <w:vAlign w:val="bottom"/>
            <w:gridSpan w:val="2"/>
            <w:shd w:val="clear" w:color="auto" w:fill="CCEEFF"/>
          </w:tcPr>
          <w:p>
            <w:pPr>
              <w:ind w:left="2320"/>
              <w:spacing w:after="0" w:line="149" w:lineRule="exact"/>
              <w:rPr>
                <w:sz w:val="20"/>
                <w:szCs w:val="20"/>
                <w:color w:val="auto"/>
              </w:rPr>
            </w:pPr>
            <w:r>
              <w:rPr>
                <w:rFonts w:ascii="Times New Roman" w:cs="Times New Roman" w:eastAsia="Times New Roman" w:hAnsi="Times New Roman"/>
                <w:sz w:val="17"/>
                <w:szCs w:val="17"/>
                <w:color w:val="auto"/>
              </w:rPr>
              <w:t>BBB+/Baa1 (or equivalent)</w:t>
            </w:r>
          </w:p>
        </w:tc>
        <w:tc>
          <w:tcPr>
            <w:tcW w:w="2300" w:type="dxa"/>
            <w:vAlign w:val="bottom"/>
            <w:gridSpan w:val="6"/>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7"/>
                <w:szCs w:val="17"/>
                <w:color w:val="auto"/>
              </w:rPr>
              <w:t>0.850%</w:t>
            </w:r>
          </w:p>
        </w:tc>
        <w:tc>
          <w:tcPr>
            <w:tcW w:w="2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7"/>
                <w:szCs w:val="17"/>
                <w:color w:val="FF0000"/>
                <w:strike w:val="1"/>
              </w:rPr>
              <w:t>0.850</w:t>
            </w:r>
          </w:p>
        </w:tc>
        <w:tc>
          <w:tcPr>
            <w:tcW w:w="2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7"/>
                <w:szCs w:val="17"/>
                <w:color w:val="0000FF"/>
                <w:w w:val="93"/>
              </w:rPr>
              <w:t>0.000</w:t>
            </w:r>
          </w:p>
        </w:tc>
        <w:tc>
          <w:tcPr>
            <w:tcW w:w="2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7"/>
                <w:szCs w:val="17"/>
                <w:color w:val="auto"/>
                <w:w w:val="84"/>
              </w:rPr>
              <w:t>%</w:t>
            </w:r>
          </w:p>
        </w:tc>
        <w:tc>
          <w:tcPr>
            <w:tcW w:w="0" w:type="dxa"/>
            <w:vAlign w:val="bottom"/>
          </w:tcPr>
          <w:p>
            <w:pPr>
              <w:spacing w:after="0"/>
              <w:rPr>
                <w:sz w:val="1"/>
                <w:szCs w:val="1"/>
                <w:color w:val="auto"/>
              </w:rPr>
            </w:pPr>
          </w:p>
        </w:tc>
      </w:tr>
      <w:tr>
        <w:trPr>
          <w:trHeight w:val="20"/>
        </w:trPr>
        <w:tc>
          <w:tcPr>
            <w:tcW w:w="340" w:type="dxa"/>
            <w:vAlign w:val="bottom"/>
            <w:tcBorders>
              <w:top w:val="single" w:sz="8" w:color="CCEEFF"/>
              <w:bottom w:val="single" w:sz="8" w:color="CCEEFF"/>
            </w:tcBorders>
            <w:vMerge w:val="restart"/>
          </w:tcPr>
          <w:p>
            <w:pPr>
              <w:spacing w:after="0" w:line="176" w:lineRule="exact"/>
              <w:rPr>
                <w:sz w:val="20"/>
                <w:szCs w:val="20"/>
                <w:color w:val="auto"/>
              </w:rPr>
            </w:pPr>
            <w:r>
              <w:rPr>
                <w:rFonts w:ascii="Times New Roman" w:cs="Times New Roman" w:eastAsia="Times New Roman" w:hAnsi="Times New Roman"/>
                <w:sz w:val="18"/>
                <w:szCs w:val="18"/>
                <w:color w:val="auto"/>
              </w:rPr>
              <w:t>4</w:t>
            </w:r>
          </w:p>
        </w:tc>
        <w:tc>
          <w:tcPr>
            <w:tcW w:w="5140" w:type="dxa"/>
            <w:vAlign w:val="bottom"/>
            <w:tcBorders>
              <w:top w:val="single" w:sz="8" w:color="CCEEFF"/>
              <w:bottom w:val="single" w:sz="8" w:color="CCEEFF"/>
            </w:tcBorders>
            <w:gridSpan w:val="2"/>
            <w:vMerge w:val="restart"/>
          </w:tcPr>
          <w:p>
            <w:pPr>
              <w:ind w:left="2320"/>
              <w:spacing w:after="0" w:line="176" w:lineRule="exact"/>
              <w:rPr>
                <w:sz w:val="20"/>
                <w:szCs w:val="20"/>
                <w:color w:val="auto"/>
              </w:rPr>
            </w:pPr>
            <w:r>
              <w:rPr>
                <w:rFonts w:ascii="Times New Roman" w:cs="Times New Roman" w:eastAsia="Times New Roman" w:hAnsi="Times New Roman"/>
                <w:sz w:val="18"/>
                <w:szCs w:val="18"/>
                <w:color w:val="auto"/>
              </w:rPr>
              <w:t>BBB/Baa2 (or equivalent)</w:t>
            </w:r>
          </w:p>
        </w:tc>
        <w:tc>
          <w:tcPr>
            <w:tcW w:w="2300" w:type="dxa"/>
            <w:vAlign w:val="bottom"/>
            <w:tcBorders>
              <w:top w:val="single" w:sz="8" w:color="CCEEFF"/>
              <w:bottom w:val="single" w:sz="8" w:color="CCEEFF"/>
            </w:tcBorders>
            <w:gridSpan w:val="6"/>
            <w:vMerge w:val="restart"/>
          </w:tcPr>
          <w:p>
            <w:pPr>
              <w:jc w:val="right"/>
              <w:ind w:right="240"/>
              <w:spacing w:after="0" w:line="176" w:lineRule="exact"/>
              <w:rPr>
                <w:sz w:val="20"/>
                <w:szCs w:val="20"/>
                <w:color w:val="auto"/>
              </w:rPr>
            </w:pPr>
            <w:r>
              <w:rPr>
                <w:rFonts w:ascii="Times New Roman" w:cs="Times New Roman" w:eastAsia="Times New Roman" w:hAnsi="Times New Roman"/>
                <w:sz w:val="18"/>
                <w:szCs w:val="18"/>
                <w:color w:val="auto"/>
              </w:rPr>
              <w:t>1.000%</w:t>
            </w:r>
          </w:p>
        </w:tc>
        <w:tc>
          <w:tcPr>
            <w:tcW w:w="240" w:type="dxa"/>
            <w:vAlign w:val="bottom"/>
            <w:tcBorders>
              <w:top w:val="single" w:sz="8" w:color="CCEEFF"/>
              <w:bottom w:val="single" w:sz="8" w:color="CCEEFF"/>
            </w:tcBorders>
            <w:vMerge w:val="restart"/>
          </w:tcPr>
          <w:p>
            <w:pPr>
              <w:spacing w:after="0" w:line="20" w:lineRule="exact"/>
              <w:rPr>
                <w:sz w:val="1"/>
                <w:szCs w:val="1"/>
                <w:color w:val="auto"/>
              </w:rPr>
            </w:pPr>
          </w:p>
        </w:tc>
        <w:tc>
          <w:tcPr>
            <w:tcW w:w="620" w:type="dxa"/>
            <w:vAlign w:val="bottom"/>
            <w:tcBorders>
              <w:top w:val="single" w:sz="8" w:color="CCEEFF"/>
              <w:bottom w:val="single" w:sz="8" w:color="CCEEFF"/>
            </w:tcBorders>
            <w:vMerge w:val="restart"/>
          </w:tcPr>
          <w:p>
            <w:pPr>
              <w:jc w:val="right"/>
              <w:spacing w:after="0" w:line="176" w:lineRule="exact"/>
              <w:rPr>
                <w:sz w:val="20"/>
                <w:szCs w:val="20"/>
                <w:color w:val="auto"/>
              </w:rPr>
            </w:pPr>
            <w:r>
              <w:rPr>
                <w:rFonts w:ascii="Times New Roman" w:cs="Times New Roman" w:eastAsia="Times New Roman" w:hAnsi="Times New Roman"/>
                <w:sz w:val="18"/>
                <w:szCs w:val="18"/>
                <w:color w:val="FF0000"/>
                <w:strike w:val="1"/>
              </w:rPr>
              <w:t>1.000</w:t>
            </w: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3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CCEEFF"/>
              <w:bottom w:val="single" w:sz="8" w:color="0000FF"/>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jc w:val="right"/>
              <w:spacing w:after="0" w:line="176" w:lineRule="exact"/>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line="20" w:lineRule="exact"/>
              <w:rPr>
                <w:sz w:val="1"/>
                <w:szCs w:val="1"/>
                <w:color w:val="auto"/>
              </w:rPr>
            </w:pPr>
          </w:p>
        </w:tc>
      </w:tr>
      <w:tr>
        <w:trPr>
          <w:trHeight w:val="136"/>
        </w:trPr>
        <w:tc>
          <w:tcPr>
            <w:tcW w:w="340" w:type="dxa"/>
            <w:vAlign w:val="bottom"/>
            <w:vMerge w:val="continue"/>
          </w:tcPr>
          <w:p>
            <w:pPr>
              <w:spacing w:after="0"/>
              <w:rPr>
                <w:sz w:val="11"/>
                <w:szCs w:val="11"/>
                <w:color w:val="auto"/>
              </w:rPr>
            </w:pPr>
          </w:p>
        </w:tc>
        <w:tc>
          <w:tcPr>
            <w:tcW w:w="5140" w:type="dxa"/>
            <w:vAlign w:val="bottom"/>
            <w:gridSpan w:val="2"/>
            <w:vMerge w:val="continue"/>
          </w:tcPr>
          <w:p>
            <w:pPr>
              <w:spacing w:after="0"/>
              <w:rPr>
                <w:sz w:val="11"/>
                <w:szCs w:val="11"/>
                <w:color w:val="auto"/>
              </w:rPr>
            </w:pPr>
          </w:p>
        </w:tc>
        <w:tc>
          <w:tcPr>
            <w:tcW w:w="2300" w:type="dxa"/>
            <w:vAlign w:val="bottom"/>
            <w:gridSpan w:val="6"/>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400" w:type="dxa"/>
            <w:vAlign w:val="bottom"/>
            <w:gridSpan w:val="2"/>
          </w:tcPr>
          <w:p>
            <w:pPr>
              <w:jc w:val="right"/>
              <w:ind w:right="20"/>
              <w:spacing w:after="0" w:line="136" w:lineRule="exact"/>
              <w:rPr>
                <w:sz w:val="20"/>
                <w:szCs w:val="20"/>
                <w:color w:val="auto"/>
              </w:rPr>
            </w:pPr>
            <w:r>
              <w:rPr>
                <w:rFonts w:ascii="Times New Roman" w:cs="Times New Roman" w:eastAsia="Times New Roman" w:hAnsi="Times New Roman"/>
                <w:sz w:val="15"/>
                <w:szCs w:val="15"/>
                <w:color w:val="0000FF"/>
              </w:rPr>
              <w:t>0.000</w:t>
            </w:r>
          </w:p>
        </w:tc>
        <w:tc>
          <w:tcPr>
            <w:tcW w:w="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34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82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20" w:type="dxa"/>
            <w:vAlign w:val="bottom"/>
            <w:tcBorders>
              <w:top w:val="single" w:sz="8" w:color="0000FF"/>
              <w:bottom w:val="single" w:sz="8" w:color="CCEEFF"/>
            </w:tcBorders>
          </w:tcPr>
          <w:p>
            <w:pPr>
              <w:spacing w:after="0"/>
              <w:rPr>
                <w:sz w:val="2"/>
                <w:szCs w:val="2"/>
                <w:color w:val="auto"/>
              </w:rPr>
            </w:pPr>
          </w:p>
        </w:tc>
        <w:tc>
          <w:tcPr>
            <w:tcW w:w="380" w:type="dxa"/>
            <w:vAlign w:val="bottom"/>
            <w:tcBorders>
              <w:top w:val="single" w:sz="8" w:color="0000FF"/>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auto"/>
              </w:rPr>
              <w:t>5</w:t>
            </w:r>
          </w:p>
        </w:tc>
        <w:tc>
          <w:tcPr>
            <w:tcW w:w="5140" w:type="dxa"/>
            <w:vAlign w:val="bottom"/>
            <w:gridSpan w:val="2"/>
            <w:shd w:val="clear" w:color="auto" w:fill="CCEEFF"/>
          </w:tcPr>
          <w:p>
            <w:pPr>
              <w:ind w:left="2320"/>
              <w:spacing w:after="0" w:line="149" w:lineRule="exact"/>
              <w:rPr>
                <w:sz w:val="20"/>
                <w:szCs w:val="20"/>
                <w:color w:val="auto"/>
              </w:rPr>
            </w:pPr>
            <w:r>
              <w:rPr>
                <w:rFonts w:ascii="Times New Roman" w:cs="Times New Roman" w:eastAsia="Times New Roman" w:hAnsi="Times New Roman"/>
                <w:sz w:val="17"/>
                <w:szCs w:val="17"/>
                <w:color w:val="auto"/>
              </w:rPr>
              <w:t>BBB-/Baa3 (or equivalent)</w:t>
            </w:r>
          </w:p>
        </w:tc>
        <w:tc>
          <w:tcPr>
            <w:tcW w:w="2300" w:type="dxa"/>
            <w:vAlign w:val="bottom"/>
            <w:gridSpan w:val="6"/>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7"/>
                <w:szCs w:val="17"/>
                <w:color w:val="auto"/>
              </w:rPr>
              <w:t>1.250%</w:t>
            </w:r>
          </w:p>
        </w:tc>
        <w:tc>
          <w:tcPr>
            <w:tcW w:w="2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7"/>
                <w:szCs w:val="17"/>
                <w:color w:val="FF0000"/>
                <w:strike w:val="1"/>
              </w:rPr>
              <w:t>1.250</w:t>
            </w:r>
          </w:p>
        </w:tc>
        <w:tc>
          <w:tcPr>
            <w:tcW w:w="2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7"/>
                <w:szCs w:val="17"/>
                <w:color w:val="0000FF"/>
                <w:w w:val="93"/>
              </w:rPr>
              <w:t>0.250</w:t>
            </w:r>
          </w:p>
        </w:tc>
        <w:tc>
          <w:tcPr>
            <w:tcW w:w="2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7"/>
                <w:szCs w:val="17"/>
                <w:color w:val="auto"/>
                <w:w w:val="84"/>
              </w:rPr>
              <w:t>%</w:t>
            </w:r>
          </w:p>
        </w:tc>
        <w:tc>
          <w:tcPr>
            <w:tcW w:w="0" w:type="dxa"/>
            <w:vAlign w:val="bottom"/>
          </w:tcPr>
          <w:p>
            <w:pPr>
              <w:spacing w:after="0"/>
              <w:rPr>
                <w:sz w:val="1"/>
                <w:szCs w:val="1"/>
                <w:color w:val="auto"/>
              </w:rPr>
            </w:pPr>
          </w:p>
        </w:tc>
      </w:tr>
      <w:tr>
        <w:trPr>
          <w:trHeight w:val="20"/>
        </w:trPr>
        <w:tc>
          <w:tcPr>
            <w:tcW w:w="340" w:type="dxa"/>
            <w:vAlign w:val="bottom"/>
            <w:tcBorders>
              <w:top w:val="single" w:sz="8" w:color="CCEEFF"/>
              <w:bottom w:val="single" w:sz="8" w:color="CCEEFF"/>
            </w:tcBorders>
            <w:vMerge w:val="restart"/>
          </w:tcPr>
          <w:p>
            <w:pPr>
              <w:spacing w:after="0" w:line="176" w:lineRule="exact"/>
              <w:rPr>
                <w:sz w:val="20"/>
                <w:szCs w:val="20"/>
                <w:color w:val="auto"/>
              </w:rPr>
            </w:pPr>
            <w:r>
              <w:rPr>
                <w:rFonts w:ascii="Times New Roman" w:cs="Times New Roman" w:eastAsia="Times New Roman" w:hAnsi="Times New Roman"/>
                <w:sz w:val="18"/>
                <w:szCs w:val="18"/>
                <w:color w:val="auto"/>
              </w:rPr>
              <w:t>6</w:t>
            </w:r>
          </w:p>
        </w:tc>
        <w:tc>
          <w:tcPr>
            <w:tcW w:w="5140" w:type="dxa"/>
            <w:vAlign w:val="bottom"/>
            <w:tcBorders>
              <w:top w:val="single" w:sz="8" w:color="CCEEFF"/>
              <w:bottom w:val="single" w:sz="8" w:color="CCEEFF"/>
            </w:tcBorders>
            <w:gridSpan w:val="2"/>
            <w:vMerge w:val="restart"/>
          </w:tcPr>
          <w:p>
            <w:pPr>
              <w:ind w:left="2320"/>
              <w:spacing w:after="0" w:line="176" w:lineRule="exact"/>
              <w:rPr>
                <w:sz w:val="20"/>
                <w:szCs w:val="20"/>
                <w:color w:val="auto"/>
              </w:rPr>
            </w:pPr>
            <w:r>
              <w:rPr>
                <w:rFonts w:ascii="Times New Roman" w:cs="Times New Roman" w:eastAsia="Times New Roman" w:hAnsi="Times New Roman"/>
                <w:sz w:val="18"/>
                <w:szCs w:val="18"/>
                <w:color w:val="auto"/>
                <w:w w:val="99"/>
              </w:rPr>
              <w:t>Lower than BBB-/Baa3 (or equivalent)</w:t>
            </w:r>
          </w:p>
        </w:tc>
        <w:tc>
          <w:tcPr>
            <w:tcW w:w="2300" w:type="dxa"/>
            <w:vAlign w:val="bottom"/>
            <w:tcBorders>
              <w:top w:val="single" w:sz="8" w:color="CCEEFF"/>
              <w:bottom w:val="single" w:sz="8" w:color="CCEEFF"/>
            </w:tcBorders>
            <w:gridSpan w:val="6"/>
            <w:vMerge w:val="restart"/>
          </w:tcPr>
          <w:p>
            <w:pPr>
              <w:jc w:val="right"/>
              <w:ind w:right="240"/>
              <w:spacing w:after="0" w:line="176" w:lineRule="exact"/>
              <w:rPr>
                <w:sz w:val="20"/>
                <w:szCs w:val="20"/>
                <w:color w:val="auto"/>
              </w:rPr>
            </w:pPr>
            <w:r>
              <w:rPr>
                <w:rFonts w:ascii="Times New Roman" w:cs="Times New Roman" w:eastAsia="Times New Roman" w:hAnsi="Times New Roman"/>
                <w:sz w:val="18"/>
                <w:szCs w:val="18"/>
                <w:color w:val="auto"/>
              </w:rPr>
              <w:t>1.650%</w:t>
            </w:r>
          </w:p>
        </w:tc>
        <w:tc>
          <w:tcPr>
            <w:tcW w:w="240" w:type="dxa"/>
            <w:vAlign w:val="bottom"/>
            <w:tcBorders>
              <w:top w:val="single" w:sz="8" w:color="CCEEFF"/>
              <w:bottom w:val="single" w:sz="8" w:color="CCEEFF"/>
            </w:tcBorders>
            <w:vMerge w:val="restart"/>
          </w:tcPr>
          <w:p>
            <w:pPr>
              <w:spacing w:after="0" w:line="20" w:lineRule="exact"/>
              <w:rPr>
                <w:sz w:val="1"/>
                <w:szCs w:val="1"/>
                <w:color w:val="auto"/>
              </w:rPr>
            </w:pPr>
          </w:p>
        </w:tc>
        <w:tc>
          <w:tcPr>
            <w:tcW w:w="620" w:type="dxa"/>
            <w:vAlign w:val="bottom"/>
            <w:tcBorders>
              <w:top w:val="single" w:sz="8" w:color="CCEEFF"/>
              <w:bottom w:val="single" w:sz="8" w:color="CCEEFF"/>
            </w:tcBorders>
            <w:vMerge w:val="restart"/>
          </w:tcPr>
          <w:p>
            <w:pPr>
              <w:jc w:val="right"/>
              <w:spacing w:after="0" w:line="176" w:lineRule="exact"/>
              <w:rPr>
                <w:sz w:val="20"/>
                <w:szCs w:val="20"/>
                <w:color w:val="auto"/>
              </w:rPr>
            </w:pPr>
            <w:r>
              <w:rPr>
                <w:rFonts w:ascii="Times New Roman" w:cs="Times New Roman" w:eastAsia="Times New Roman" w:hAnsi="Times New Roman"/>
                <w:sz w:val="18"/>
                <w:szCs w:val="18"/>
                <w:color w:val="FF0000"/>
                <w:strike w:val="1"/>
              </w:rPr>
              <w:t>1.650</w:t>
            </w: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3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CCEEFF"/>
              <w:bottom w:val="single" w:sz="8" w:color="0000FF"/>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jc w:val="right"/>
              <w:spacing w:after="0" w:line="176" w:lineRule="exact"/>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line="20" w:lineRule="exact"/>
              <w:rPr>
                <w:sz w:val="1"/>
                <w:szCs w:val="1"/>
                <w:color w:val="auto"/>
              </w:rPr>
            </w:pPr>
          </w:p>
        </w:tc>
      </w:tr>
      <w:tr>
        <w:trPr>
          <w:trHeight w:val="135"/>
        </w:trPr>
        <w:tc>
          <w:tcPr>
            <w:tcW w:w="340" w:type="dxa"/>
            <w:vAlign w:val="bottom"/>
            <w:vMerge w:val="continue"/>
          </w:tcPr>
          <w:p>
            <w:pPr>
              <w:spacing w:after="0"/>
              <w:rPr>
                <w:sz w:val="11"/>
                <w:szCs w:val="11"/>
                <w:color w:val="auto"/>
              </w:rPr>
            </w:pPr>
          </w:p>
        </w:tc>
        <w:tc>
          <w:tcPr>
            <w:tcW w:w="5140" w:type="dxa"/>
            <w:vAlign w:val="bottom"/>
            <w:gridSpan w:val="2"/>
            <w:vMerge w:val="continue"/>
          </w:tcPr>
          <w:p>
            <w:pPr>
              <w:spacing w:after="0"/>
              <w:rPr>
                <w:sz w:val="11"/>
                <w:szCs w:val="11"/>
                <w:color w:val="auto"/>
              </w:rPr>
            </w:pPr>
          </w:p>
        </w:tc>
        <w:tc>
          <w:tcPr>
            <w:tcW w:w="2300" w:type="dxa"/>
            <w:vAlign w:val="bottom"/>
            <w:gridSpan w:val="6"/>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400" w:type="dxa"/>
            <w:vAlign w:val="bottom"/>
            <w:gridSpan w:val="2"/>
          </w:tcPr>
          <w:p>
            <w:pPr>
              <w:jc w:val="right"/>
              <w:ind w:right="20"/>
              <w:spacing w:after="0" w:line="136" w:lineRule="exact"/>
              <w:rPr>
                <w:sz w:val="20"/>
                <w:szCs w:val="20"/>
                <w:color w:val="auto"/>
              </w:rPr>
            </w:pPr>
            <w:r>
              <w:rPr>
                <w:rFonts w:ascii="Times New Roman" w:cs="Times New Roman" w:eastAsia="Times New Roman" w:hAnsi="Times New Roman"/>
                <w:sz w:val="15"/>
                <w:szCs w:val="15"/>
                <w:color w:val="0000FF"/>
              </w:rPr>
              <w:t>0.650</w:t>
            </w:r>
          </w:p>
        </w:tc>
        <w:tc>
          <w:tcPr>
            <w:tcW w:w="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80" w:type="dxa"/>
            <w:vAlign w:val="bottom"/>
            <w:tcBorders>
              <w:top w:val="single" w:sz="8" w:color="0000FF"/>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right="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Approved Fund</w:t>
      </w:r>
      <w:r>
        <w:rPr>
          <w:rFonts w:ascii="Times New Roman" w:cs="Times New Roman" w:eastAsia="Times New Roman" w:hAnsi="Times New Roman"/>
          <w:sz w:val="18"/>
          <w:szCs w:val="18"/>
          <w:color w:val="auto"/>
        </w:rPr>
        <w:t>” means any Fund that is administered or managed by (a) a Lender, (b) an Affiliate of a Lender, or (c) an entity or an Affiliate of any entity that administers or manages a Lender.</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Arranger</w:t>
      </w:r>
      <w:r>
        <w:rPr>
          <w:rFonts w:ascii="Times New Roman" w:cs="Times New Roman" w:eastAsia="Times New Roman" w:hAnsi="Times New Roman"/>
          <w:sz w:val="18"/>
          <w:szCs w:val="18"/>
          <w:color w:val="auto"/>
        </w:rPr>
        <w:t>” has the meaning set forth in the introductory paragraph hereof and shall include each Arranger’s successors and permitted assigns.</w:t>
      </w:r>
    </w:p>
    <w:p>
      <w:pPr>
        <w:spacing w:after="0" w:line="225" w:lineRule="exact"/>
        <w:rPr>
          <w:sz w:val="20"/>
          <w:szCs w:val="20"/>
          <w:color w:val="auto"/>
        </w:rPr>
      </w:pPr>
    </w:p>
    <w:p>
      <w:pPr>
        <w:ind w:right="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Assignment and Assumption</w:t>
      </w:r>
      <w:r>
        <w:rPr>
          <w:rFonts w:ascii="Times New Roman" w:cs="Times New Roman" w:eastAsia="Times New Roman" w:hAnsi="Times New Roman"/>
          <w:sz w:val="18"/>
          <w:szCs w:val="18"/>
          <w:color w:val="auto"/>
        </w:rPr>
        <w:t>” means an Assignment and Assumption Agreement among a Lender, an Eligible Assignee and the Administrative Agent, substantially in the form of Exhibit A.</w:t>
      </w:r>
    </w:p>
    <w:p>
      <w:pPr>
        <w:spacing w:after="0" w:line="15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Available Tenor</w:t>
      </w:r>
      <w:r>
        <w:rPr>
          <w:rFonts w:ascii="Times New Roman" w:cs="Times New Roman" w:eastAsia="Times New Roman" w:hAnsi="Times New Roman"/>
          <w:sz w:val="18"/>
          <w:szCs w:val="18"/>
          <w:color w:val="auto"/>
        </w:rPr>
        <w:t xml:space="preserve">” means, as of any date of determination and with respect to </w:t>
      </w:r>
      <w:r>
        <w:rPr>
          <w:rFonts w:ascii="Times New Roman" w:cs="Times New Roman" w:eastAsia="Times New Roman" w:hAnsi="Times New Roman"/>
          <w:sz w:val="18"/>
          <w:szCs w:val="18"/>
          <w:color w:val="FF0000"/>
          <w:strike w:val="1"/>
        </w:rPr>
        <w:t>the</w:t>
      </w:r>
      <w:r>
        <w:rPr>
          <w:rFonts w:ascii="Times New Roman" w:cs="Times New Roman" w:eastAsia="Times New Roman" w:hAnsi="Times New Roman"/>
          <w:sz w:val="18"/>
          <w:szCs w:val="18"/>
          <w:u w:val="single" w:color="auto"/>
          <w:color w:val="0000FF"/>
        </w:rPr>
        <w:t>any</w:t>
      </w:r>
      <w:r>
        <w:rPr>
          <w:rFonts w:ascii="Times New Roman" w:cs="Times New Roman" w:eastAsia="Times New Roman" w:hAnsi="Times New Roman"/>
          <w:sz w:val="18"/>
          <w:szCs w:val="18"/>
          <w:color w:val="auto"/>
        </w:rPr>
        <w:t xml:space="preserve"> then-current Benchmark, as applicable, (</w:t>
      </w:r>
      <w:r>
        <w:rPr>
          <w:rFonts w:ascii="Times New Roman" w:cs="Times New Roman" w:eastAsia="Times New Roman" w:hAnsi="Times New Roman"/>
          <w:sz w:val="18"/>
          <w:szCs w:val="18"/>
          <w:color w:val="FF0000"/>
          <w:strike w:val="1"/>
        </w:rPr>
        <w:t>x</w:t>
      </w:r>
      <w:r>
        <w:rPr>
          <w:rFonts w:ascii="Times New Roman" w:cs="Times New Roman" w:eastAsia="Times New Roman" w:hAnsi="Times New Roman"/>
          <w:sz w:val="18"/>
          <w:szCs w:val="18"/>
          <w:u w:val="single" w:color="auto"/>
          <w:color w:val="0000FF"/>
        </w:rPr>
        <w:t>a</w:t>
      </w:r>
      <w:r>
        <w:rPr>
          <w:rFonts w:ascii="Times New Roman" w:cs="Times New Roman" w:eastAsia="Times New Roman" w:hAnsi="Times New Roman"/>
          <w:sz w:val="18"/>
          <w:szCs w:val="18"/>
          <w:color w:val="auto"/>
        </w:rPr>
        <w:t xml:space="preserve">) if </w:t>
      </w:r>
      <w:r>
        <w:rPr>
          <w:rFonts w:ascii="Times New Roman" w:cs="Times New Roman" w:eastAsia="Times New Roman" w:hAnsi="Times New Roman"/>
          <w:sz w:val="18"/>
          <w:szCs w:val="18"/>
          <w:color w:val="FF0000"/>
          <w:strike w:val="1"/>
        </w:rPr>
        <w:t>the then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current</w:t>
      </w:r>
      <w:r>
        <w:rPr>
          <w:rFonts w:ascii="Times New Roman" w:cs="Times New Roman" w:eastAsia="Times New Roman" w:hAnsi="Times New Roman"/>
          <w:sz w:val="18"/>
          <w:szCs w:val="18"/>
          <w:u w:val="single" w:color="auto"/>
          <w:color w:val="0000FF"/>
        </w:rPr>
        <w:t>such</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Benchmark is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a term rate or is based on</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 term rate, any tenor for such Benchmark</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FF"/>
        </w:rPr>
        <w:t>(or component thereof)</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that is or may be used for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determining the length of an Interest Period pursuant to this Agreement </w:t>
      </w:r>
      <w:r>
        <w:rPr>
          <w:rFonts w:ascii="Times New Roman" w:cs="Times New Roman" w:eastAsia="Times New Roman" w:hAnsi="Times New Roman"/>
          <w:sz w:val="18"/>
          <w:szCs w:val="18"/>
          <w:u w:val="single" w:color="auto"/>
          <w:color w:val="0000FF"/>
        </w:rPr>
        <w:t>or (b) otherwise, any payment period for interest calculated with reference to</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such Benchmark (or component thereof) that is or may be used for determining any frequency of making payments of interest calculated with reference to such Benchmark, in each case,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as of such date and not including, for the avoidance of doubt, any tenor for such Benchmark that is then-removed from</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the definition of “Interest Period” pursuant to </w:t>
      </w:r>
      <w:r>
        <w:rPr>
          <w:rFonts w:ascii="Times New Roman" w:cs="Times New Roman" w:eastAsia="Times New Roman" w:hAnsi="Times New Roman"/>
          <w:sz w:val="18"/>
          <w:szCs w:val="18"/>
          <w:color w:val="FF0000"/>
          <w:strike w:val="1"/>
        </w:rPr>
        <w:t>paragraph (e) of</w:t>
      </w:r>
      <w:r>
        <w:rPr>
          <w:rFonts w:ascii="Times New Roman" w:cs="Times New Roman" w:eastAsia="Times New Roman" w:hAnsi="Times New Roman"/>
          <w:sz w:val="18"/>
          <w:szCs w:val="18"/>
          <w:color w:val="000000"/>
        </w:rPr>
        <w:t xml:space="preserve"> Section 4.2</w:t>
      </w:r>
      <w:r>
        <w:rPr>
          <w:rFonts w:ascii="Times New Roman" w:cs="Times New Roman" w:eastAsia="Times New Roman" w:hAnsi="Times New Roman"/>
          <w:sz w:val="18"/>
          <w:szCs w:val="18"/>
          <w:color w:val="FF0000"/>
          <w:strike w:val="1"/>
        </w:rPr>
        <w:t>, or (y) if the then current Benchmark is not a term rate nor based on a term</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FF0000"/>
          <w:strike w:val="1"/>
        </w:rPr>
        <w:t>rate, any payment period for interest calculated with reference to such Benchmark pursuant to this Agreement as of such date</w:t>
      </w:r>
      <w:r>
        <w:rPr>
          <w:rFonts w:ascii="Times New Roman" w:cs="Times New Roman" w:eastAsia="Times New Roman" w:hAnsi="Times New Roman"/>
          <w:sz w:val="18"/>
          <w:szCs w:val="18"/>
          <w:u w:val="single" w:color="auto"/>
          <w:color w:val="0000FF"/>
        </w:rPr>
        <w:t>.(b)(iv)</w:t>
      </w:r>
      <w:r>
        <w:rPr>
          <w:rFonts w:ascii="Times New Roman" w:cs="Times New Roman" w:eastAsia="Times New Roman" w:hAnsi="Times New Roman"/>
          <w:sz w:val="18"/>
          <w:szCs w:val="18"/>
          <w:color w:val="000000"/>
        </w:rPr>
        <w:t>.</w:t>
      </w:r>
    </w:p>
    <w:p>
      <w:pPr>
        <w:spacing w:after="0" w:line="183"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Bail-In Action</w:t>
      </w:r>
      <w:r>
        <w:rPr>
          <w:rFonts w:ascii="Times New Roman" w:cs="Times New Roman" w:eastAsia="Times New Roman" w:hAnsi="Times New Roman"/>
          <w:sz w:val="18"/>
          <w:szCs w:val="18"/>
          <w:color w:val="auto"/>
        </w:rPr>
        <w:t>” means the exercise of any Write-Down and Conversion Powers by the applicable Resolution Authority in respect of any liability of an Affected Financial Institution.</w:t>
      </w:r>
    </w:p>
    <w:p>
      <w:pPr>
        <w:spacing w:after="0" w:line="155" w:lineRule="exact"/>
        <w:rPr>
          <w:sz w:val="20"/>
          <w:szCs w:val="20"/>
          <w:color w:val="auto"/>
        </w:rPr>
      </w:pPr>
    </w:p>
    <w:p>
      <w:pPr>
        <w:ind w:right="8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Bail-In Legislation</w:t>
      </w:r>
      <w:r>
        <w:rPr>
          <w:rFonts w:ascii="Times New Roman" w:cs="Times New Roman" w:eastAsia="Times New Roman" w:hAnsi="Times New Roman"/>
          <w:sz w:val="18"/>
          <w:szCs w:val="18"/>
          <w:color w:val="auto"/>
        </w:rPr>
        <w:t>” means (a) with respect to any EEA Member Country implementing Article 55 of Directive 2014/59/EU of the European Parliament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Bankruptcy Code</w:t>
      </w:r>
      <w:r>
        <w:rPr>
          <w:rFonts w:ascii="Times New Roman" w:cs="Times New Roman" w:eastAsia="Times New Roman" w:hAnsi="Times New Roman"/>
          <w:sz w:val="18"/>
          <w:szCs w:val="18"/>
          <w:color w:val="auto"/>
        </w:rPr>
        <w:t>” means the Bankruptcy Code of 1978, as amended.</w:t>
      </w:r>
    </w:p>
    <w:p>
      <w:pPr>
        <w:spacing w:after="0" w:line="225" w:lineRule="exact"/>
        <w:rPr>
          <w:sz w:val="20"/>
          <w:szCs w:val="20"/>
          <w:color w:val="auto"/>
        </w:rPr>
      </w:pPr>
    </w:p>
    <w:p>
      <w:pPr>
        <w:ind w:right="6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Base Rate</w:t>
      </w:r>
      <w:r>
        <w:rPr>
          <w:rFonts w:ascii="Times New Roman" w:cs="Times New Roman" w:eastAsia="Times New Roman" w:hAnsi="Times New Roman"/>
          <w:sz w:val="18"/>
          <w:szCs w:val="18"/>
          <w:color w:val="auto"/>
        </w:rPr>
        <w:t xml:space="preserve">” means </w:t>
      </w:r>
      <w:r>
        <w:rPr>
          <w:rFonts w:ascii="Times New Roman" w:cs="Times New Roman" w:eastAsia="Times New Roman" w:hAnsi="Times New Roman"/>
          <w:sz w:val="18"/>
          <w:szCs w:val="18"/>
          <w:color w:val="FF0000"/>
        </w:rPr>
        <w:t>the LIBOR Market Index Rate; provided, that if for any reason the LIBOR Market Index Rate is unavailable, Base Rate shall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mean the per annum rate of interest equal to</w:t>
      </w:r>
      <w:r>
        <w:rPr>
          <w:rFonts w:ascii="Times New Roman" w:cs="Times New Roman" w:eastAsia="Times New Roman" w:hAnsi="Times New Roman"/>
          <w:sz w:val="18"/>
          <w:szCs w:val="18"/>
          <w:u w:val="single" w:color="auto"/>
          <w:color w:val="0000FF"/>
        </w:rPr>
        <w:t>, at any time, the highest of (a) the Prime Rate, (b)</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the Federal Funds Rate plus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one and one-half of one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percent (1.50%).</w:t>
      </w:r>
      <w:r>
        <w:rPr>
          <w:rFonts w:ascii="Times New Roman" w:cs="Times New Roman" w:eastAsia="Times New Roman" w:hAnsi="Times New Roman"/>
          <w:sz w:val="18"/>
          <w:szCs w:val="18"/>
          <w:u w:val="single" w:color="auto"/>
          <w:color w:val="0000FF"/>
          <w:strike w:val="1"/>
        </w:rPr>
        <w:t>0.50% and (c) Adjusted Term SOFR for a one-month tenor in effect on such day plus 1.00%; each change in the Base Rate shall take</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0000FF"/>
          <w:strike w:val="1"/>
        </w:rPr>
        <w:t>effect simultaneously with the corresponding change or changes in the Prime Rate, the Federal Funds Rate or Adjusted Term SOFR, as applicable (provided that clause (c) shall not be applicable during any period in which Adjusted Term SOFR is unavailable or unascertainable). Notwithstanding the foregoing, in no event shall the Base Rate be less than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1184275</wp:posOffset>
            </wp:positionH>
            <wp:positionV relativeFrom="paragraph">
              <wp:posOffset>-769620</wp:posOffset>
            </wp:positionV>
            <wp:extent cx="574611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746115" cy="8255"/>
                    </a:xfrm>
                    <a:prstGeom prst="rect">
                      <a:avLst/>
                    </a:prstGeom>
                    <a:noFill/>
                  </pic:spPr>
                </pic:pic>
              </a:graphicData>
            </a:graphic>
          </wp:anchor>
        </w:drawing>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51" w:right="479" w:bottom="1440" w:gutter="0" w:footer="0" w:header="0"/>
        </w:sectPr>
      </w:pPr>
    </w:p>
    <w:bookmarkStart w:id="183" w:name="page184"/>
    <w:bookmarkEnd w:id="18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Base Rate Loan</w:t>
      </w:r>
      <w:r>
        <w:rPr>
          <w:rFonts w:ascii="Times New Roman" w:cs="Times New Roman" w:eastAsia="Times New Roman" w:hAnsi="Times New Roman"/>
          <w:sz w:val="18"/>
          <w:szCs w:val="18"/>
          <w:color w:val="auto"/>
        </w:rPr>
        <w:t>” means any portion of a Loan bearing interest at a rate based on the Base Rate.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u w:val="single" w:color="auto"/>
          <w:color w:val="0000FF"/>
        </w:rPr>
        <w:t>Base Rate Term SOFR Determination Day</w:t>
      </w:r>
      <w:r>
        <w:rPr>
          <w:rFonts w:ascii="Times New Roman" w:cs="Times New Roman" w:eastAsia="Times New Roman" w:hAnsi="Times New Roman"/>
          <w:sz w:val="18"/>
          <w:szCs w:val="18"/>
          <w:u w:val="single" w:color="auto"/>
          <w:color w:val="0000FF"/>
        </w:rPr>
        <w:t>” has the meaning given that term in the definition of the term “Term SOFR.”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28575</wp:posOffset>
            </wp:positionV>
            <wp:extent cx="566610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666105" cy="8255"/>
                    </a:xfrm>
                    <a:prstGeom prst="rect">
                      <a:avLst/>
                    </a:prstGeom>
                    <a:noFill/>
                  </pic:spPr>
                </pic:pic>
              </a:graphicData>
            </a:graphic>
          </wp:anchor>
        </w:drawing>
      </w:r>
    </w:p>
    <w:p>
      <w:pPr>
        <w:spacing w:after="0" w:line="205"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w:t>
      </w:r>
      <w:r>
        <w:rPr>
          <w:rFonts w:ascii="Times New Roman" w:cs="Times New Roman" w:eastAsia="Times New Roman" w:hAnsi="Times New Roman"/>
          <w:sz w:val="18"/>
          <w:szCs w:val="18"/>
          <w:color w:val="auto"/>
        </w:rPr>
        <w:t xml:space="preserve">” means, initially, </w:t>
      </w:r>
      <w:r>
        <w:rPr>
          <w:rFonts w:ascii="Times New Roman" w:cs="Times New Roman" w:eastAsia="Times New Roman" w:hAnsi="Times New Roman"/>
          <w:sz w:val="18"/>
          <w:szCs w:val="18"/>
          <w:color w:val="FF0000"/>
          <w:strike w:val="1"/>
        </w:rPr>
        <w:t>USD LIBOR</w:t>
      </w:r>
      <w:r>
        <w:rPr>
          <w:rFonts w:ascii="Times New Roman" w:cs="Times New Roman" w:eastAsia="Times New Roman" w:hAnsi="Times New Roman"/>
          <w:sz w:val="18"/>
          <w:szCs w:val="18"/>
          <w:u w:val="single" w:color="auto"/>
          <w:color w:val="0000FF"/>
        </w:rPr>
        <w:t>Adjusted Term SOFR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Benchmark Transition Event</w:t>
      </w:r>
      <w:r>
        <w:rPr>
          <w:rFonts w:ascii="Times New Roman" w:cs="Times New Roman" w:eastAsia="Times New Roman" w:hAnsi="Times New Roman"/>
          <w:sz w:val="18"/>
          <w:szCs w:val="18"/>
          <w:color w:val="FF0000"/>
          <w:strike w:val="1"/>
        </w:rPr>
        <w:t>, a Term SOFR Transition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Event, or an Early Opt-in Election, as applicable, and its related Benchmark Replacement Date have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FF"/>
        </w:rPr>
        <w:t>has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occurred with respect to</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USD LIBOR</w:t>
      </w:r>
      <w:r>
        <w:rPr>
          <w:rFonts w:ascii="Times New Roman" w:cs="Times New Roman" w:eastAsia="Times New Roman" w:hAnsi="Times New Roman"/>
          <w:sz w:val="18"/>
          <w:szCs w:val="18"/>
          <w:u w:val="single" w:color="auto"/>
          <w:color w:val="0000FF"/>
        </w:rPr>
        <w:t>Adjusted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FF"/>
        </w:rPr>
        <w:t>Term SOFR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or 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applicable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then-current Benchmark, then “Benchmark” means the applicable Benchmark Replacement to the extent that such</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Benchmark Replacement has replaced such prior benchmark rate pursuant to </w:t>
      </w:r>
      <w:r>
        <w:rPr>
          <w:rFonts w:ascii="Times New Roman" w:cs="Times New Roman" w:eastAsia="Times New Roman" w:hAnsi="Times New Roman"/>
          <w:sz w:val="18"/>
          <w:szCs w:val="18"/>
          <w:color w:val="FF0000"/>
          <w:strike w:val="1"/>
        </w:rPr>
        <w:t>paragraph (b) of</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Section 4.2.</w:t>
      </w:r>
      <w:r>
        <w:rPr>
          <w:rFonts w:ascii="Times New Roman" w:cs="Times New Roman" w:eastAsia="Times New Roman" w:hAnsi="Times New Roman"/>
          <w:sz w:val="18"/>
          <w:szCs w:val="18"/>
          <w:u w:val="single" w:color="auto"/>
          <w:color w:val="0000FF"/>
        </w:rPr>
        <w:t>(b)(i).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-413385</wp:posOffset>
            </wp:positionV>
            <wp:extent cx="99441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994410" cy="8255"/>
                    </a:xfrm>
                    <a:prstGeom prst="rect">
                      <a:avLst/>
                    </a:prstGeom>
                    <a:noFill/>
                  </pic:spPr>
                </pic:pic>
              </a:graphicData>
            </a:graphic>
          </wp:anchor>
        </w:drawing>
        <w:drawing>
          <wp:anchor simplePos="0" relativeHeight="251657728" behindDoc="1" locked="0" layoutInCell="0" allowOverlap="1">
            <wp:simplePos x="0" y="0"/>
            <wp:positionH relativeFrom="column">
              <wp:posOffset>4583430</wp:posOffset>
            </wp:positionH>
            <wp:positionV relativeFrom="paragraph">
              <wp:posOffset>-276225</wp:posOffset>
            </wp:positionV>
            <wp:extent cx="17970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79705" cy="8890"/>
                    </a:xfrm>
                    <a:prstGeom prst="rect">
                      <a:avLst/>
                    </a:prstGeom>
                    <a:noFill/>
                  </pic:spPr>
                </pic:pic>
              </a:graphicData>
            </a:graphic>
          </wp:anchor>
        </w:drawing>
        <w:drawing>
          <wp:anchor simplePos="0" relativeHeight="251657728" behindDoc="1" locked="0" layoutInCell="0" allowOverlap="1">
            <wp:simplePos x="0" y="0"/>
            <wp:positionH relativeFrom="column">
              <wp:posOffset>4581525</wp:posOffset>
            </wp:positionH>
            <wp:positionV relativeFrom="paragraph">
              <wp:posOffset>-310515</wp:posOffset>
            </wp:positionV>
            <wp:extent cx="18097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80975" cy="825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-276225</wp:posOffset>
            </wp:positionV>
            <wp:extent cx="41148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41148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-139065</wp:posOffset>
            </wp:positionV>
            <wp:extent cx="137160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371600" cy="8255"/>
                    </a:xfrm>
                    <a:prstGeom prst="rect">
                      <a:avLst/>
                    </a:prstGeom>
                    <a:noFill/>
                  </pic:spPr>
                </pic:pic>
              </a:graphicData>
            </a:graphic>
          </wp:anchor>
        </w:drawing>
        <w:drawing>
          <wp:anchor simplePos="0" relativeHeight="251657728" behindDoc="1" locked="0" layoutInCell="0" allowOverlap="1">
            <wp:simplePos x="0" y="0"/>
            <wp:positionH relativeFrom="column">
              <wp:posOffset>4849495</wp:posOffset>
            </wp:positionH>
            <wp:positionV relativeFrom="paragraph">
              <wp:posOffset>-1905</wp:posOffset>
            </wp:positionV>
            <wp:extent cx="27432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1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b w:val="1"/>
          <w:bCs w:val="1"/>
          <w:color w:val="FF0000"/>
          <w:strike w:val="1"/>
        </w:rPr>
        <w:t>Benchmark Replacement</w:t>
      </w:r>
      <w:r>
        <w:rPr>
          <w:rFonts w:ascii="Times New Roman" w:cs="Times New Roman" w:eastAsia="Times New Roman" w:hAnsi="Times New Roman"/>
          <w:sz w:val="18"/>
          <w:szCs w:val="18"/>
          <w:color w:val="FF0000"/>
          <w:strike w:val="1"/>
        </w:rPr>
        <w:t>” means, for any Available Tenor, the first alternative set forth in the order below that can be determined by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0000"/>
          <w:strike w:val="1"/>
        </w:rPr>
        <w:t>Administrative Agent for the applicable Benchmark Replacement Date:</w:t>
      </w:r>
    </w:p>
    <w:p>
      <w:pPr>
        <w:spacing w:after="0" w:line="112" w:lineRule="exact"/>
        <w:rPr>
          <w:sz w:val="20"/>
          <w:szCs w:val="20"/>
          <w:color w:val="auto"/>
        </w:rPr>
      </w:pPr>
    </w:p>
    <w:p>
      <w:pPr>
        <w:ind w:left="960" w:hanging="532"/>
        <w:spacing w:after="0"/>
        <w:tabs>
          <w:tab w:leader="none" w:pos="960" w:val="left"/>
        </w:tabs>
        <w:numPr>
          <w:ilvl w:val="0"/>
          <w:numId w:val="175"/>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the sum of: (a) Term SOFR and (b) the related Benchmark Replacement Adjustment;</w:t>
      </w:r>
    </w:p>
    <w:p>
      <w:pPr>
        <w:spacing w:after="0" w:line="130" w:lineRule="exact"/>
        <w:rPr>
          <w:rFonts w:ascii="Times New Roman" w:cs="Times New Roman" w:eastAsia="Times New Roman" w:hAnsi="Times New Roman"/>
          <w:sz w:val="18"/>
          <w:szCs w:val="18"/>
          <w:color w:val="FF0000"/>
          <w:strike w:val="1"/>
        </w:rPr>
      </w:pPr>
    </w:p>
    <w:p>
      <w:pPr>
        <w:ind w:left="960" w:hanging="532"/>
        <w:spacing w:after="0"/>
        <w:tabs>
          <w:tab w:leader="none" w:pos="960" w:val="left"/>
        </w:tabs>
        <w:numPr>
          <w:ilvl w:val="0"/>
          <w:numId w:val="175"/>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the sum of: (a) Daily Simple SOFR and (b) the related Benchmark Replacement Adjustment;</w:t>
      </w:r>
    </w:p>
    <w:p>
      <w:pPr>
        <w:spacing w:after="0" w:line="126" w:lineRule="exact"/>
        <w:rPr>
          <w:rFonts w:ascii="Times New Roman" w:cs="Times New Roman" w:eastAsia="Times New Roman" w:hAnsi="Times New Roman"/>
          <w:sz w:val="18"/>
          <w:szCs w:val="18"/>
          <w:color w:val="FF0000"/>
          <w:strike w:val="1"/>
        </w:rPr>
      </w:pPr>
    </w:p>
    <w:p>
      <w:pPr>
        <w:ind w:left="960" w:hanging="532"/>
        <w:spacing w:after="0" w:line="257" w:lineRule="auto"/>
        <w:tabs>
          <w:tab w:leader="none" w:pos="960" w:val="left"/>
        </w:tabs>
        <w:numPr>
          <w:ilvl w:val="0"/>
          <w:numId w:val="175"/>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u w:val="single" w:color="auto"/>
          <w:color w:val="0000FF"/>
        </w:rPr>
        <w:t>Benchmark Replacement</w:t>
      </w:r>
      <w:r>
        <w:rPr>
          <w:rFonts w:ascii="Times New Roman" w:cs="Times New Roman" w:eastAsia="Times New Roman" w:hAnsi="Times New Roman"/>
          <w:sz w:val="18"/>
          <w:szCs w:val="18"/>
          <w:u w:val="single" w:color="auto"/>
          <w:color w:val="0000FF"/>
        </w:rPr>
        <w:t>” means, with respect to any Benchmark Transition Event for any then-current Benchmark,</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the sum of: (a) 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alternate benchmark rate that has been selected by the Administrative Agent and the Borrower as the replacement for </w:t>
      </w:r>
      <w:r>
        <w:rPr>
          <w:rFonts w:ascii="Times New Roman" w:cs="Times New Roman" w:eastAsia="Times New Roman" w:hAnsi="Times New Roman"/>
          <w:sz w:val="18"/>
          <w:szCs w:val="18"/>
          <w:color w:val="FF0000"/>
          <w:strike w:val="1"/>
        </w:rPr>
        <w:t>the then-current</w:t>
      </w:r>
      <w:r>
        <w:rPr>
          <w:rFonts w:ascii="Times New Roman" w:cs="Times New Roman" w:eastAsia="Times New Roman" w:hAnsi="Times New Roman"/>
          <w:sz w:val="18"/>
          <w:szCs w:val="18"/>
          <w:u w:val="single" w:color="auto"/>
          <w:color w:val="0000FF"/>
        </w:rPr>
        <w:t>such</w:t>
      </w:r>
      <w:r>
        <w:rPr>
          <w:rFonts w:ascii="Times New Roman" w:cs="Times New Roman" w:eastAsia="Times New Roman" w:hAnsi="Times New Roman"/>
          <w:sz w:val="18"/>
          <w:szCs w:val="18"/>
          <w:color w:val="000000"/>
        </w:rPr>
        <w:t xml:space="preserve"> Benchmark </w:t>
      </w:r>
      <w:r>
        <w:rPr>
          <w:rFonts w:ascii="Times New Roman" w:cs="Times New Roman" w:eastAsia="Times New Roman" w:hAnsi="Times New Roman"/>
          <w:sz w:val="18"/>
          <w:szCs w:val="18"/>
          <w:color w:val="FF0000"/>
          <w:strike w:val="1"/>
        </w:rPr>
        <w:t>for the applicable Corresponding Tenor</w:t>
      </w:r>
      <w:r>
        <w:rPr>
          <w:rFonts w:ascii="Times New Roman" w:cs="Times New Roman" w:eastAsia="Times New Roman" w:hAnsi="Times New Roman"/>
          <w:sz w:val="18"/>
          <w:szCs w:val="18"/>
          <w:color w:val="000000"/>
        </w:rPr>
        <w:t xml:space="preserve"> giving due consideration to (i) any selection or recommendation of a replacement benchmark rate or the mechanism for determining such a rate by the Relevant Governmental Body or (ii) any evolving or then-prevailing market convention for determining a benchmark rate </w:t>
      </w:r>
      <w:r>
        <w:rPr>
          <w:rFonts w:ascii="Times New Roman" w:cs="Times New Roman" w:eastAsia="Times New Roman" w:hAnsi="Times New Roman"/>
          <w:sz w:val="18"/>
          <w:szCs w:val="18"/>
          <w:u w:val="single" w:color="auto"/>
          <w:color w:val="0000FF"/>
        </w:rPr>
        <w:t>of interest</w:t>
      </w:r>
      <w:r>
        <w:rPr>
          <w:rFonts w:ascii="Times New Roman" w:cs="Times New Roman" w:eastAsia="Times New Roman" w:hAnsi="Times New Roman"/>
          <w:sz w:val="18"/>
          <w:szCs w:val="18"/>
          <w:color w:val="000000"/>
        </w:rPr>
        <w:t xml:space="preserve"> as a replacement </w:t>
      </w:r>
      <w:r>
        <w:rPr>
          <w:rFonts w:ascii="Times New Roman" w:cs="Times New Roman" w:eastAsia="Times New Roman" w:hAnsi="Times New Roman"/>
          <w:sz w:val="18"/>
          <w:szCs w:val="18"/>
          <w:color w:val="FF0000"/>
          <w:strike w:val="1"/>
        </w:rPr>
        <w:t>for the</w:t>
      </w:r>
      <w:r>
        <w:rPr>
          <w:rFonts w:ascii="Times New Roman" w:cs="Times New Roman" w:eastAsia="Times New Roman" w:hAnsi="Times New Roman"/>
          <w:sz w:val="18"/>
          <w:szCs w:val="18"/>
          <w:u w:val="single" w:color="auto"/>
          <w:color w:val="0000FF"/>
        </w:rPr>
        <w:t>to such</w:t>
      </w:r>
      <w:r>
        <w:rPr>
          <w:rFonts w:ascii="Times New Roman" w:cs="Times New Roman" w:eastAsia="Times New Roman" w:hAnsi="Times New Roman"/>
          <w:sz w:val="18"/>
          <w:szCs w:val="18"/>
          <w:color w:val="000000"/>
        </w:rPr>
        <w:t xml:space="preserve"> then-current Benchmark for </w:t>
      </w:r>
      <w:r>
        <w:rPr>
          <w:rFonts w:ascii="Times New Roman" w:cs="Times New Roman" w:eastAsia="Times New Roman" w:hAnsi="Times New Roman"/>
          <w:sz w:val="18"/>
          <w:szCs w:val="18"/>
          <w:color w:val="FF0000"/>
          <w:strike w:val="1"/>
        </w:rPr>
        <w:t>U.S.</w:t>
      </w:r>
      <w:r>
        <w:rPr>
          <w:rFonts w:ascii="Times New Roman" w:cs="Times New Roman" w:eastAsia="Times New Roman" w:hAnsi="Times New Roman"/>
          <w:sz w:val="18"/>
          <w:szCs w:val="18"/>
          <w:color w:val="000000"/>
        </w:rPr>
        <w:t xml:space="preserve"> Dollar-denominated syndicated credit facilities </w:t>
      </w:r>
      <w:r>
        <w:rPr>
          <w:rFonts w:ascii="Times New Roman" w:cs="Times New Roman" w:eastAsia="Times New Roman" w:hAnsi="Times New Roman"/>
          <w:sz w:val="18"/>
          <w:szCs w:val="18"/>
          <w:color w:val="FF0000"/>
          <w:strike w:val="1"/>
        </w:rPr>
        <w:t>at such time</w:t>
      </w:r>
      <w:r>
        <w:rPr>
          <w:rFonts w:ascii="Times New Roman" w:cs="Times New Roman" w:eastAsia="Times New Roman" w:hAnsi="Times New Roman"/>
          <w:sz w:val="18"/>
          <w:szCs w:val="18"/>
          <w:color w:val="000000"/>
        </w:rPr>
        <w:t xml:space="preserve"> and (b) the </w:t>
      </w:r>
      <w:r>
        <w:rPr>
          <w:rFonts w:ascii="Times New Roman" w:cs="Times New Roman" w:eastAsia="Times New Roman" w:hAnsi="Times New Roman"/>
          <w:sz w:val="18"/>
          <w:szCs w:val="18"/>
          <w:color w:val="FF0000"/>
          <w:strike w:val="1"/>
        </w:rPr>
        <w:t>related</w:t>
      </w:r>
      <w:r>
        <w:rPr>
          <w:rFonts w:ascii="Times New Roman" w:cs="Times New Roman" w:eastAsia="Times New Roman" w:hAnsi="Times New Roman"/>
          <w:sz w:val="18"/>
          <w:szCs w:val="18"/>
          <w:color w:val="000000"/>
        </w:rPr>
        <w:t xml:space="preserve"> Benchmark Replacement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-683895</wp:posOffset>
            </wp:positionV>
            <wp:extent cx="547751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477510" cy="8255"/>
                    </a:xfrm>
                    <a:prstGeom prst="rect">
                      <a:avLst/>
                    </a:prstGeom>
                    <a:noFill/>
                  </pic:spPr>
                </pic:pic>
              </a:graphicData>
            </a:graphic>
          </wp:anchor>
        </w:drawing>
        <w:drawing>
          <wp:anchor simplePos="0" relativeHeight="251657728" behindDoc="1" locked="0" layoutInCell="0" allowOverlap="1">
            <wp:simplePos x="0" y="0"/>
            <wp:positionH relativeFrom="column">
              <wp:posOffset>6718300</wp:posOffset>
            </wp:positionH>
            <wp:positionV relativeFrom="paragraph">
              <wp:posOffset>-546735</wp:posOffset>
            </wp:positionV>
            <wp:extent cx="21463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3057525</wp:posOffset>
            </wp:positionH>
            <wp:positionV relativeFrom="paragraph">
              <wp:posOffset>-135255</wp:posOffset>
            </wp:positionV>
            <wp:extent cx="48895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488950" cy="8255"/>
                    </a:xfrm>
                    <a:prstGeom prst="rect">
                      <a:avLst/>
                    </a:prstGeom>
                    <a:noFill/>
                  </pic:spPr>
                </pic:pic>
              </a:graphicData>
            </a:graphic>
          </wp:anchor>
        </w:drawing>
        <w:drawing>
          <wp:anchor simplePos="0" relativeHeight="251657728" behindDoc="1" locked="0" layoutInCell="0" allowOverlap="1">
            <wp:simplePos x="0" y="0"/>
            <wp:positionH relativeFrom="column">
              <wp:posOffset>4634865</wp:posOffset>
            </wp:positionH>
            <wp:positionV relativeFrom="paragraph">
              <wp:posOffset>-135255</wp:posOffset>
            </wp:positionV>
            <wp:extent cx="32575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25755" cy="8255"/>
                    </a:xfrm>
                    <a:prstGeom prst="rect">
                      <a:avLst/>
                    </a:prstGeom>
                    <a:noFill/>
                  </pic:spPr>
                </pic:pic>
              </a:graphicData>
            </a:graphic>
          </wp:anchor>
        </w:drawing>
      </w:r>
    </w:p>
    <w:p>
      <w:pPr>
        <w:spacing w:after="0" w:line="153"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provided that, </w:t>
      </w:r>
      <w:r>
        <w:rPr>
          <w:rFonts w:ascii="Times New Roman" w:cs="Times New Roman" w:eastAsia="Times New Roman" w:hAnsi="Times New Roman"/>
          <w:sz w:val="18"/>
          <w:szCs w:val="18"/>
          <w:color w:val="FF0000"/>
          <w:strike w:val="1"/>
        </w:rPr>
        <w:t>in the case of clause (1), such Unadjusted Benchmark Replacement is displayed on a screen or other information service that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publishes such rate from time to time as selected by the Administrative Agent in its reasonable discretion; provided, further, that, with respect to a Term SOFR Transition Event, on the applicable Benchmark Replacement Date, the “Benchmark Replacement” shall revert to and shall be determined as set forth in clause (1) of this definition. If the</w:t>
      </w:r>
      <w:r>
        <w:rPr>
          <w:rFonts w:ascii="Times New Roman" w:cs="Times New Roman" w:eastAsia="Times New Roman" w:hAnsi="Times New Roman"/>
          <w:sz w:val="18"/>
          <w:szCs w:val="18"/>
          <w:u w:val="single" w:color="auto"/>
          <w:color w:val="0000FF"/>
          <w:strike w:val="1"/>
        </w:rPr>
        <w:t>if such</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Benchmark Replacement as</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0000FF"/>
          <w:strike w:val="1"/>
        </w:rPr>
        <w:t>so</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determined</w:t>
      </w:r>
      <w:r>
        <w:rPr>
          <w:rFonts w:ascii="Times New Roman" w:cs="Times New Roman" w:eastAsia="Times New Roman" w:hAnsi="Times New Roman"/>
          <w:sz w:val="18"/>
          <w:szCs w:val="18"/>
          <w:color w:val="FF0000"/>
          <w:strike w:val="1"/>
        </w:rPr>
        <w:t xml:space="preserve"> pursuant to clause (1), (2) or (3) above </w:t>
      </w:r>
      <w:r>
        <w:rPr>
          <w:rFonts w:ascii="Times New Roman" w:cs="Times New Roman" w:eastAsia="Times New Roman" w:hAnsi="Times New Roman"/>
          <w:sz w:val="18"/>
          <w:szCs w:val="18"/>
          <w:color w:val="000000"/>
          <w:strike w:val="1"/>
        </w:rPr>
        <w:t>would be less than</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 xml:space="preserve">the Floor, </w:t>
      </w:r>
      <w:r>
        <w:rPr>
          <w:rFonts w:ascii="Times New Roman" w:cs="Times New Roman" w:eastAsia="Times New Roman" w:hAnsi="Times New Roman"/>
          <w:sz w:val="18"/>
          <w:szCs w:val="18"/>
          <w:color w:val="FF0000"/>
          <w:strike w:val="1"/>
        </w:rPr>
        <w:t>the</w:t>
      </w:r>
      <w:r>
        <w:rPr>
          <w:rFonts w:ascii="Times New Roman" w:cs="Times New Roman" w:eastAsia="Times New Roman" w:hAnsi="Times New Roman"/>
          <w:sz w:val="18"/>
          <w:szCs w:val="18"/>
          <w:u w:val="single" w:color="auto"/>
          <w:color w:val="0000FF"/>
          <w:strike w:val="1"/>
        </w:rPr>
        <w:t>such</w:t>
      </w:r>
      <w:r>
        <w:rPr>
          <w:rFonts w:ascii="Times New Roman" w:cs="Times New Roman" w:eastAsia="Times New Roman" w:hAnsi="Times New Roman"/>
          <w:sz w:val="18"/>
          <w:szCs w:val="18"/>
          <w:color w:val="000000"/>
          <w:strike w:val="1"/>
        </w:rPr>
        <w:t xml:space="preserve"> Benchmark Replacement will be deemed to be the Floor for the purposes of this Agreement and the other Loan Documents.</w:t>
      </w:r>
    </w:p>
    <w:p>
      <w:pPr>
        <w:spacing w:after="0" w:line="179" w:lineRule="exact"/>
        <w:rPr>
          <w:sz w:val="20"/>
          <w:szCs w:val="20"/>
          <w:color w:val="auto"/>
        </w:rPr>
      </w:pPr>
    </w:p>
    <w:p>
      <w:pPr>
        <w:ind w:right="5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 Replacement Adjustment</w:t>
      </w:r>
      <w:r>
        <w:rPr>
          <w:rFonts w:ascii="Times New Roman" w:cs="Times New Roman" w:eastAsia="Times New Roman" w:hAnsi="Times New Roman"/>
          <w:sz w:val="18"/>
          <w:szCs w:val="18"/>
          <w:color w:val="auto"/>
        </w:rPr>
        <w:t xml:space="preserve">” means, with respect to any replacement of </w:t>
      </w:r>
      <w:r>
        <w:rPr>
          <w:rFonts w:ascii="Times New Roman" w:cs="Times New Roman" w:eastAsia="Times New Roman" w:hAnsi="Times New Roman"/>
          <w:sz w:val="18"/>
          <w:szCs w:val="18"/>
          <w:color w:val="FF0000"/>
          <w:strike w:val="1"/>
        </w:rPr>
        <w:t>the</w:t>
      </w:r>
      <w:r>
        <w:rPr>
          <w:rFonts w:ascii="Times New Roman" w:cs="Times New Roman" w:eastAsia="Times New Roman" w:hAnsi="Times New Roman"/>
          <w:sz w:val="18"/>
          <w:szCs w:val="18"/>
          <w:u w:val="single" w:color="auto"/>
          <w:color w:val="0000FF"/>
        </w:rPr>
        <w:t>any</w:t>
      </w:r>
      <w:r>
        <w:rPr>
          <w:rFonts w:ascii="Times New Roman" w:cs="Times New Roman" w:eastAsia="Times New Roman" w:hAnsi="Times New Roman"/>
          <w:sz w:val="18"/>
          <w:szCs w:val="18"/>
          <w:color w:val="auto"/>
        </w:rPr>
        <w:t xml:space="preserve"> then-current Benchmark with an Unadjusted Benchmark Replacement for any applicable Available Tenor </w:t>
      </w:r>
      <w:r>
        <w:rPr>
          <w:rFonts w:ascii="Times New Roman" w:cs="Times New Roman" w:eastAsia="Times New Roman" w:hAnsi="Times New Roman"/>
          <w:sz w:val="18"/>
          <w:szCs w:val="18"/>
          <w:color w:val="FF0000"/>
          <w:strike w:val="1"/>
        </w:rPr>
        <w:t>for any setting of such Unadjusted Benchmark Replacement:</w:t>
      </w:r>
    </w:p>
    <w:p>
      <w:pPr>
        <w:spacing w:after="0" w:line="64" w:lineRule="exact"/>
        <w:rPr>
          <w:sz w:val="20"/>
          <w:szCs w:val="20"/>
          <w:color w:val="auto"/>
        </w:rPr>
      </w:pPr>
    </w:p>
    <w:p>
      <w:pPr>
        <w:ind w:left="960" w:right="80" w:hanging="532"/>
        <w:spacing w:after="0" w:line="282" w:lineRule="auto"/>
        <w:tabs>
          <w:tab w:leader="none" w:pos="960" w:val="left"/>
        </w:tabs>
        <w:numPr>
          <w:ilvl w:val="0"/>
          <w:numId w:val="176"/>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u w:val="single" w:color="auto"/>
          <w:color w:val="0000FF"/>
        </w:rPr>
        <w:t>(if applicable)</w:t>
      </w:r>
      <w:r>
        <w:rPr>
          <w:rFonts w:ascii="Times New Roman" w:cs="Times New Roman" w:eastAsia="Times New Roman" w:hAnsi="Times New Roman"/>
          <w:sz w:val="18"/>
          <w:szCs w:val="18"/>
          <w:color w:val="FF0000"/>
          <w:strike w:val="1"/>
        </w:rPr>
        <w:t>for purposes of clauses (1) and (2) of the definition of “Benchmark Replacement,” the first alternative set forth in the order</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FF0000"/>
          <w:strike w:val="1"/>
        </w:rPr>
        <w:t>below that can be determined by the Administrative Agent:</w:t>
      </w:r>
    </w:p>
    <w:p>
      <w:pPr>
        <w:spacing w:after="0" w:line="40" w:lineRule="exact"/>
        <w:rPr>
          <w:rFonts w:ascii="Times New Roman" w:cs="Times New Roman" w:eastAsia="Times New Roman" w:hAnsi="Times New Roman"/>
          <w:sz w:val="18"/>
          <w:szCs w:val="18"/>
          <w:color w:val="FF0000"/>
          <w:strike w:val="1"/>
        </w:rPr>
      </w:pPr>
    </w:p>
    <w:p>
      <w:pPr>
        <w:ind w:left="1420" w:hanging="439"/>
        <w:spacing w:after="0" w:line="261" w:lineRule="auto"/>
        <w:tabs>
          <w:tab w:leader="none" w:pos="1420" w:val="left"/>
        </w:tabs>
        <w:numPr>
          <w:ilvl w:val="1"/>
          <w:numId w:val="176"/>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the spread adjustment, or method for calculating or determining such spread adjustment, (which may be a positive or negative value or zero) as of the Reference Time such Benchmark Replacement is first set for such Available Tenor that has been selected or recommended by the Relevant Governmental Body for the replacement of such Benchmark with the applicable Unadjusted Benchmark Replacement for the applicable Corresponding Tenor;</w:t>
      </w:r>
    </w:p>
    <w:p>
      <w:pPr>
        <w:spacing w:after="0" w:line="1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20"/>
          </w:cols>
          <w:pgMar w:left="440" w:top="266" w:right="539" w:bottom="1440" w:gutter="0" w:footer="0" w:header="0"/>
        </w:sectPr>
      </w:pPr>
    </w:p>
    <w:bookmarkStart w:id="184" w:name="page185"/>
    <w:bookmarkEnd w:id="184"/>
    <w:p>
      <w:pPr>
        <w:ind w:left="1420" w:right="20" w:hanging="439"/>
        <w:spacing w:after="0" w:line="289" w:lineRule="auto"/>
        <w:tabs>
          <w:tab w:leader="none" w:pos="1420" w:val="left"/>
        </w:tabs>
        <w:numPr>
          <w:ilvl w:val="1"/>
          <w:numId w:val="177"/>
        </w:numPr>
        <w:rPr>
          <w:rFonts w:ascii="Times New Roman" w:cs="Times New Roman" w:eastAsia="Times New Roman" w:hAnsi="Times New Roman"/>
          <w:sz w:val="17"/>
          <w:szCs w:val="17"/>
          <w:color w:val="FF0000"/>
          <w:strike w:val="1"/>
        </w:rPr>
      </w:pPr>
      <w:r>
        <w:rPr>
          <w:rFonts w:ascii="Times New Roman" w:cs="Times New Roman" w:eastAsia="Times New Roman" w:hAnsi="Times New Roman"/>
          <w:sz w:val="17"/>
          <w:szCs w:val="17"/>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spread adjustment (which may be a positive or negative value or zero) as of the Reference Time such Benchmark Replacement is first set for such Available Tenor that would apply to the fallback rate for a derivative transaction referencing the ISDA Definitions to be effective upon an index cessation event with respect to such Benchmark for the applicable Corresponding Tenor; and</w:t>
      </w:r>
    </w:p>
    <w:p>
      <w:pPr>
        <w:spacing w:after="0" w:line="157" w:lineRule="exact"/>
        <w:rPr>
          <w:rFonts w:ascii="Times New Roman" w:cs="Times New Roman" w:eastAsia="Times New Roman" w:hAnsi="Times New Roman"/>
          <w:sz w:val="17"/>
          <w:szCs w:val="17"/>
          <w:color w:val="FF0000"/>
          <w:strike w:val="1"/>
        </w:rPr>
      </w:pPr>
    </w:p>
    <w:p>
      <w:pPr>
        <w:ind w:firstLine="436"/>
        <w:spacing w:after="0" w:line="255" w:lineRule="auto"/>
        <w:tabs>
          <w:tab w:leader="none" w:pos="695" w:val="left"/>
        </w:tabs>
        <w:numPr>
          <w:ilvl w:val="0"/>
          <w:numId w:val="178"/>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for purposes of clause (3) of the definition of “Benchmark Replacement,”</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the spread adjustment, or method for calculating or determining</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such spread adjustment, (which may be a positive or negative value or zero) that has been selected by the Administrative Agent and the Borrower </w:t>
      </w:r>
      <w:r>
        <w:rPr>
          <w:rFonts w:ascii="Times New Roman" w:cs="Times New Roman" w:eastAsia="Times New Roman" w:hAnsi="Times New Roman"/>
          <w:sz w:val="18"/>
          <w:szCs w:val="18"/>
          <w:color w:val="FF0000"/>
          <w:strike w:val="1"/>
        </w:rPr>
        <w:t>for the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FF0000"/>
          <w:strike w:val="1"/>
        </w:rPr>
        <w:t>applicable Corresponding Tenor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giving due consideration to (i) any selection or recommendation of a spread adjustment, or method for calculating or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determining such spread adjustment, for the replacement of such Benchmark with the applicable Unadjusted Benchmark Replacement by the Relevant Governmental Body </w:t>
      </w:r>
      <w:r>
        <w:rPr>
          <w:rFonts w:ascii="Times New Roman" w:cs="Times New Roman" w:eastAsia="Times New Roman" w:hAnsi="Times New Roman"/>
          <w:sz w:val="18"/>
          <w:szCs w:val="18"/>
          <w:color w:val="FF0000"/>
          <w:strike w:val="1"/>
        </w:rPr>
        <w:t>on the applicable Benchmark Replacement Date</w:t>
      </w:r>
      <w:r>
        <w:rPr>
          <w:rFonts w:ascii="Times New Roman" w:cs="Times New Roman" w:eastAsia="Times New Roman" w:hAnsi="Times New Roman"/>
          <w:sz w:val="18"/>
          <w:szCs w:val="18"/>
          <w:color w:val="000000"/>
        </w:rPr>
        <w:t xml:space="preserve"> or (ii) any evolving or then-prevailing market convention for determining a spread adjustment, or method for calculating or determining such spread adjustment, for the replacement of such Benchmark with the applicable Unadjusted Benchmark Replacement for </w:t>
      </w:r>
      <w:r>
        <w:rPr>
          <w:rFonts w:ascii="Times New Roman" w:cs="Times New Roman" w:eastAsia="Times New Roman" w:hAnsi="Times New Roman"/>
          <w:sz w:val="18"/>
          <w:szCs w:val="18"/>
          <w:color w:val="FF0000"/>
          <w:strike w:val="1"/>
        </w:rPr>
        <w:t>U.S.</w:t>
      </w:r>
      <w:r>
        <w:rPr>
          <w:rFonts w:ascii="Times New Roman" w:cs="Times New Roman" w:eastAsia="Times New Roman" w:hAnsi="Times New Roman"/>
          <w:sz w:val="18"/>
          <w:szCs w:val="18"/>
          <w:color w:val="000000"/>
        </w:rPr>
        <w:t xml:space="preserve"> Dollar-denominated syndicated credit facilities</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0000FF"/>
        </w:rPr>
        <w:t>at such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3803650</wp:posOffset>
            </wp:positionH>
            <wp:positionV relativeFrom="paragraph">
              <wp:posOffset>-819785</wp:posOffset>
            </wp:positionV>
            <wp:extent cx="2540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3752215</wp:posOffset>
            </wp:positionH>
            <wp:positionV relativeFrom="paragraph">
              <wp:posOffset>2540</wp:posOffset>
            </wp:positionV>
            <wp:extent cx="60896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08965" cy="8890"/>
                    </a:xfrm>
                    <a:prstGeom prst="rect">
                      <a:avLst/>
                    </a:prstGeom>
                    <a:noFill/>
                  </pic:spPr>
                </pic:pic>
              </a:graphicData>
            </a:graphic>
          </wp:anchor>
        </w:drawing>
        <w:drawing>
          <wp:anchor simplePos="0" relativeHeight="251657728" behindDoc="1" locked="0" layoutInCell="0" allowOverlap="1">
            <wp:simplePos x="0" y="0"/>
            <wp:positionH relativeFrom="column">
              <wp:posOffset>3747770</wp:posOffset>
            </wp:positionH>
            <wp:positionV relativeFrom="paragraph">
              <wp:posOffset>-31115</wp:posOffset>
            </wp:positionV>
            <wp:extent cx="60896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08965" cy="8255"/>
                    </a:xfrm>
                    <a:prstGeom prst="rect">
                      <a:avLst/>
                    </a:prstGeom>
                    <a:noFill/>
                  </pic:spPr>
                </pic:pic>
              </a:graphicData>
            </a:graphic>
          </wp:anchor>
        </w:drawing>
      </w:r>
    </w:p>
    <w:p>
      <w:pPr>
        <w:spacing w:after="0" w:line="16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u w:val="single" w:color="auto"/>
          <w:color w:val="FF0000"/>
          <w:strike w:val="1"/>
        </w:rPr>
        <w:t xml:space="preserve">provided </w:t>
      </w:r>
      <w:r>
        <w:rPr>
          <w:rFonts w:ascii="Times New Roman" w:cs="Times New Roman" w:eastAsia="Times New Roman" w:hAnsi="Times New Roman"/>
          <w:sz w:val="18"/>
          <w:szCs w:val="18"/>
          <w:color w:val="FF0000"/>
          <w:strike w:val="1"/>
        </w:rPr>
        <w:t>that, (x) in the case of clause (1) above, such adjustment is displayed on a screen or other information service that publishes such Benchmark</w:t>
      </w:r>
      <w:r>
        <w:rPr>
          <w:rFonts w:ascii="Times New Roman" w:cs="Times New Roman" w:eastAsia="Times New Roman" w:hAnsi="Times New Roman"/>
          <w:sz w:val="18"/>
          <w:szCs w:val="18"/>
          <w:u w:val="single" w:color="auto"/>
          <w:color w:val="FF0000"/>
          <w:strike w:val="1"/>
        </w:rPr>
        <w:t xml:space="preserve"> </w:t>
      </w:r>
      <w:r>
        <w:rPr>
          <w:rFonts w:ascii="Times New Roman" w:cs="Times New Roman" w:eastAsia="Times New Roman" w:hAnsi="Times New Roman"/>
          <w:sz w:val="18"/>
          <w:szCs w:val="18"/>
          <w:color w:val="FF0000"/>
          <w:strike w:val="1"/>
        </w:rPr>
        <w:t>Replacement Adjustment from time to time as selected by the Administrative Agent in its reasonable discretion and (y) if the then-current Benchmark is a term rate, more than one tenor of such Benchmark is available as of the applicable Benchmark Replacement Date and the applicable Unadjusted Benchmark Replacement will not be a term rate, the Available Tenor of such Benchmark for purposes of this definition of “Benchmark Replacement Adjustment” shall be deemed to be the Available Tenor that has approximately the same length (disregarding business day adjustments) as the payment period for interest calculated with reference to such Unadjusted Benchmark Replacement.</w:t>
      </w:r>
    </w:p>
    <w:p>
      <w:pPr>
        <w:spacing w:after="0" w:line="183"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b w:val="1"/>
          <w:bCs w:val="1"/>
          <w:color w:val="FF0000"/>
          <w:strike w:val="1"/>
        </w:rPr>
        <w:t>Benchmark Replacement Conforming Changes</w:t>
      </w:r>
      <w:r>
        <w:rPr>
          <w:rFonts w:ascii="Times New Roman" w:cs="Times New Roman" w:eastAsia="Times New Roman" w:hAnsi="Times New Roman"/>
          <w:sz w:val="18"/>
          <w:szCs w:val="18"/>
          <w:color w:val="FF0000"/>
          <w:strike w:val="1"/>
        </w:rPr>
        <w:t>” means, with respect to any Benchmark Replacement, any technical, administrative or operational changes (including changes to the definition of “Base Rate,” the definition of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decides is reasonably necessary in connection with the administration of this Agreement and the other Loan Documents).</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 Replacement Date</w:t>
      </w:r>
      <w:r>
        <w:rPr>
          <w:rFonts w:ascii="Times New Roman" w:cs="Times New Roman" w:eastAsia="Times New Roman" w:hAnsi="Times New Roman"/>
          <w:sz w:val="18"/>
          <w:szCs w:val="18"/>
          <w:color w:val="auto"/>
        </w:rPr>
        <w:t>” means the earliest to occur of the following events with respect to the then-current Benchmark:</w:t>
      </w:r>
    </w:p>
    <w:p>
      <w:pPr>
        <w:spacing w:after="0" w:line="135" w:lineRule="exact"/>
        <w:rPr>
          <w:sz w:val="20"/>
          <w:szCs w:val="20"/>
          <w:color w:val="auto"/>
        </w:rPr>
      </w:pPr>
    </w:p>
    <w:p>
      <w:pPr>
        <w:ind w:left="960" w:right="80" w:hanging="532"/>
        <w:spacing w:after="0" w:line="261" w:lineRule="auto"/>
        <w:tabs>
          <w:tab w:leader="none" w:pos="960" w:val="left"/>
        </w:tabs>
        <w:numPr>
          <w:ilvl w:val="0"/>
          <w:numId w:val="179"/>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FF0000"/>
          <w:strike w:val="1"/>
        </w:rPr>
        <w:t>(1)</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in the case of clause (1) or (2) of the definition of “Benchmark Transition Event,” the later of (a) the date of the public statement or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publication of information referenced therein and (b) the date on which the administrator of such Benchmark (or the published component used in the calculation thereof) permanently or indefinitely ceases to provide all Available Tenors of such Benchmark (or such component thereof); </w:t>
      </w:r>
      <w:r>
        <w:rPr>
          <w:rFonts w:ascii="Times New Roman" w:cs="Times New Roman" w:eastAsia="Times New Roman" w:hAnsi="Times New Roman"/>
          <w:sz w:val="18"/>
          <w:szCs w:val="18"/>
          <w:u w:val="single" w:color="auto"/>
          <w:color w:val="0000FF"/>
        </w:rPr>
        <w:t>or</w:t>
      </w:r>
    </w:p>
    <w:p>
      <w:pPr>
        <w:spacing w:after="0" w:line="71" w:lineRule="exact"/>
        <w:rPr>
          <w:rFonts w:ascii="Times New Roman" w:cs="Times New Roman" w:eastAsia="Times New Roman" w:hAnsi="Times New Roman"/>
          <w:sz w:val="18"/>
          <w:szCs w:val="18"/>
          <w:u w:val="single" w:color="auto"/>
          <w:color w:val="0000FF"/>
        </w:rPr>
      </w:pPr>
    </w:p>
    <w:p>
      <w:pPr>
        <w:ind w:left="960" w:right="120" w:hanging="532"/>
        <w:spacing w:after="0" w:line="256" w:lineRule="auto"/>
        <w:tabs>
          <w:tab w:leader="none" w:pos="960" w:val="left"/>
        </w:tabs>
        <w:numPr>
          <w:ilvl w:val="0"/>
          <w:numId w:val="179"/>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FF0000"/>
          <w:strike w:val="1"/>
        </w:rPr>
        <w:t>(2)</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in the case of clause (</w:t>
      </w:r>
      <w:r>
        <w:rPr>
          <w:rFonts w:ascii="Times New Roman" w:cs="Times New Roman" w:eastAsia="Times New Roman" w:hAnsi="Times New Roman"/>
          <w:sz w:val="18"/>
          <w:szCs w:val="18"/>
          <w:color w:val="FF0000"/>
          <w:strike w:val="1"/>
        </w:rPr>
        <w:t>3</w:t>
      </w:r>
      <w:r>
        <w:rPr>
          <w:rFonts w:ascii="Times New Roman" w:cs="Times New Roman" w:eastAsia="Times New Roman" w:hAnsi="Times New Roman"/>
          <w:sz w:val="18"/>
          <w:szCs w:val="18"/>
          <w:u w:val="single" w:color="auto"/>
          <w:color w:val="0000FF"/>
        </w:rPr>
        <w:t>c</w:t>
      </w:r>
      <w:r>
        <w:rPr>
          <w:rFonts w:ascii="Times New Roman" w:cs="Times New Roman" w:eastAsia="Times New Roman" w:hAnsi="Times New Roman"/>
          <w:sz w:val="18"/>
          <w:szCs w:val="18"/>
          <w:color w:val="000000"/>
        </w:rPr>
        <w:t>) of the definition of “Benchmark Transition Event,” the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FF"/>
        </w:rPr>
        <w:t>first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date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determined by the Administrative Agent,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which date shall promptly follow the date of the public</w:t>
      </w:r>
      <w:r>
        <w:rPr>
          <w:rFonts w:ascii="Times New Roman" w:cs="Times New Roman" w:eastAsia="Times New Roman" w:hAnsi="Times New Roman"/>
          <w:sz w:val="18"/>
          <w:szCs w:val="18"/>
          <w:u w:val="single" w:color="auto"/>
          <w:color w:val="0000FF"/>
          <w:strike w:val="1"/>
        </w:rPr>
        <w:t>on which such Benchmark (or the published component used in the calculation</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0000FF"/>
          <w:strike w:val="1"/>
        </w:rPr>
        <w:t>thereof) has been determined and announced by the regulatory supervisor for the administrator of such Benchmark (or such component thereof) to be non-representative; provided, that such non-representativeness will be determined by reference to the most recent</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statement</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 xml:space="preserve">or publication </w:t>
      </w:r>
      <w:r>
        <w:rPr>
          <w:rFonts w:ascii="Times New Roman" w:cs="Times New Roman" w:eastAsia="Times New Roman" w:hAnsi="Times New Roman"/>
          <w:sz w:val="18"/>
          <w:szCs w:val="18"/>
          <w:color w:val="FF0000"/>
          <w:strike w:val="1"/>
        </w:rPr>
        <w:t>of information</w:t>
      </w:r>
      <w:r>
        <w:rPr>
          <w:rFonts w:ascii="Times New Roman" w:cs="Times New Roman" w:eastAsia="Times New Roman" w:hAnsi="Times New Roman"/>
          <w:sz w:val="18"/>
          <w:szCs w:val="18"/>
          <w:color w:val="000000"/>
          <w:strike w:val="1"/>
        </w:rPr>
        <w:t xml:space="preserve"> referenced </w:t>
      </w:r>
      <w:r>
        <w:rPr>
          <w:rFonts w:ascii="Times New Roman" w:cs="Times New Roman" w:eastAsia="Times New Roman" w:hAnsi="Times New Roman"/>
          <w:sz w:val="18"/>
          <w:szCs w:val="18"/>
          <w:color w:val="FF0000"/>
          <w:strike w:val="1"/>
        </w:rPr>
        <w:t>therein;</w:t>
      </w:r>
      <w:r>
        <w:rPr>
          <w:rFonts w:ascii="Times New Roman" w:cs="Times New Roman" w:eastAsia="Times New Roman" w:hAnsi="Times New Roman"/>
          <w:sz w:val="18"/>
          <w:szCs w:val="18"/>
          <w:u w:val="single" w:color="auto"/>
          <w:color w:val="0000FF"/>
          <w:strike w:val="1"/>
        </w:rPr>
        <w:t>in such clause (c) and even if any Available Tenor (if applicable) of such Benchmark (or</w:t>
      </w:r>
      <w:r>
        <w:rPr>
          <w:rFonts w:ascii="Times New Roman" w:cs="Times New Roman" w:eastAsia="Times New Roman" w:hAnsi="Times New Roman"/>
          <w:sz w:val="18"/>
          <w:szCs w:val="18"/>
          <w:color w:val="000000"/>
          <w:strike w:val="1"/>
        </w:rPr>
        <w:t xml:space="preserve"> </w:t>
      </w:r>
      <w:r>
        <w:rPr>
          <w:rFonts w:ascii="Times New Roman" w:cs="Times New Roman" w:eastAsia="Times New Roman" w:hAnsi="Times New Roman"/>
          <w:sz w:val="18"/>
          <w:szCs w:val="18"/>
          <w:u w:val="single" w:color="auto"/>
          <w:color w:val="0000FF"/>
          <w:strike w:val="1"/>
        </w:rPr>
        <w:t>such component thereof) continues to be provided on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271780</wp:posOffset>
            </wp:positionH>
            <wp:positionV relativeFrom="paragraph">
              <wp:posOffset>-1300480</wp:posOffset>
            </wp:positionV>
            <wp:extent cx="12890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-889000</wp:posOffset>
            </wp:positionV>
            <wp:extent cx="939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185" w:name="page186"/>
    <w:bookmarkEnd w:id="185"/>
    <w:p>
      <w:pPr>
        <w:ind w:left="960" w:hanging="532"/>
        <w:spacing w:after="0" w:line="312" w:lineRule="auto"/>
        <w:tabs>
          <w:tab w:leader="none" w:pos="960" w:val="left"/>
        </w:tabs>
        <w:numPr>
          <w:ilvl w:val="0"/>
          <w:numId w:val="180"/>
        </w:numPr>
        <w:rPr>
          <w:rFonts w:ascii="Times New Roman" w:cs="Times New Roman" w:eastAsia="Times New Roman" w:hAnsi="Times New Roman"/>
          <w:sz w:val="17"/>
          <w:szCs w:val="17"/>
          <w:color w:val="FF0000"/>
          <w:strike w:val="1"/>
        </w:rPr>
      </w:pPr>
      <w:r>
        <w:rPr>
          <w:rFonts w:ascii="Times New Roman" w:cs="Times New Roman" w:eastAsia="Times New Roman" w:hAnsi="Times New Roman"/>
          <w:sz w:val="17"/>
          <w:szCs w:val="17"/>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case of a Term SOFR Transition Event, the date that is set forth in the Term SOFR Notice provided to the Lenders and the Borrower pursuant to clauses (b) through (f) of Section 4.2, which date shall be at least 30 days from the date of the Term SOFR Notice; or</w:t>
      </w:r>
    </w:p>
    <w:p>
      <w:pPr>
        <w:spacing w:after="0" w:line="45" w:lineRule="exact"/>
        <w:rPr>
          <w:rFonts w:ascii="Times New Roman" w:cs="Times New Roman" w:eastAsia="Times New Roman" w:hAnsi="Times New Roman"/>
          <w:sz w:val="17"/>
          <w:szCs w:val="17"/>
          <w:color w:val="FF0000"/>
          <w:strike w:val="1"/>
        </w:rPr>
      </w:pPr>
    </w:p>
    <w:p>
      <w:pPr>
        <w:ind w:left="960" w:right="140" w:hanging="532"/>
        <w:spacing w:after="0" w:line="261" w:lineRule="auto"/>
        <w:tabs>
          <w:tab w:leader="none" w:pos="960" w:val="left"/>
        </w:tabs>
        <w:numPr>
          <w:ilvl w:val="0"/>
          <w:numId w:val="180"/>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in the case of an Early Opt-in Election, the sixth (6th) Business Day after the date notice of such Early Opt-in Election is provided to the Lenders, so long as the Administrative Agent has not received, by 5:00 p.m. Eastern time on the fifth (5th) Business Day after the date notice of such Early Opt-in Election is provided to the Lenders, written notice of objection to such Early Opt-in Election from Lenders comprising the Requisite Lenders.</w:t>
      </w:r>
    </w:p>
    <w:p>
      <w:pPr>
        <w:spacing w:after="0" w:line="180" w:lineRule="exact"/>
        <w:rPr>
          <w:sz w:val="20"/>
          <w:szCs w:val="20"/>
          <w:color w:val="auto"/>
        </w:rPr>
      </w:pPr>
    </w:p>
    <w:p>
      <w:pPr>
        <w:ind w:right="1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For the avoidance of doubt, </w:t>
      </w:r>
      <w:r>
        <w:rPr>
          <w:rFonts w:ascii="Times New Roman" w:cs="Times New Roman" w:eastAsia="Times New Roman" w:hAnsi="Times New Roman"/>
          <w:sz w:val="18"/>
          <w:szCs w:val="18"/>
          <w:color w:val="FF0000"/>
          <w:strike w:val="1"/>
        </w:rPr>
        <w:t>(i)</w:t>
      </w:r>
      <w:r>
        <w:rPr>
          <w:rFonts w:ascii="Times New Roman" w:cs="Times New Roman" w:eastAsia="Times New Roman" w:hAnsi="Times New Roman"/>
          <w:sz w:val="18"/>
          <w:szCs w:val="18"/>
          <w:color w:val="auto"/>
        </w:rPr>
        <w:t xml:space="preserve"> if the </w:t>
      </w:r>
      <w:r>
        <w:rPr>
          <w:rFonts w:ascii="Times New Roman" w:cs="Times New Roman" w:eastAsia="Times New Roman" w:hAnsi="Times New Roman"/>
          <w:sz w:val="18"/>
          <w:szCs w:val="18"/>
          <w:color w:val="FF0000"/>
          <w:strike w:val="1"/>
        </w:rPr>
        <w:t>event giving rise to the Benchmark Replacement Date occurs on the same day as, but earlier than,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Reference Time in respect of any determination, the Benchmark Replacement Date will be deemed to have occurred prior to the Reference Time for such determination and (ii)</w:t>
      </w:r>
      <w:r>
        <w:rPr>
          <w:rFonts w:ascii="Times New Roman" w:cs="Times New Roman" w:eastAsia="Times New Roman" w:hAnsi="Times New Roman"/>
          <w:sz w:val="18"/>
          <w:szCs w:val="18"/>
          <w:u w:val="single" w:color="auto"/>
          <w:color w:val="0000FF"/>
          <w:strike w:val="1"/>
        </w:rPr>
        <w:t>applicable then-current Benchmark has any Available Tenors,</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the “Benchmark Replacement Date” will be deemed to have</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occurred in the case of clause (</w:t>
      </w:r>
      <w:r>
        <w:rPr>
          <w:rFonts w:ascii="Times New Roman" w:cs="Times New Roman" w:eastAsia="Times New Roman" w:hAnsi="Times New Roman"/>
          <w:sz w:val="18"/>
          <w:szCs w:val="18"/>
          <w:color w:val="FF0000"/>
          <w:strike w:val="1"/>
        </w:rPr>
        <w:t>1</w:t>
      </w:r>
      <w:r>
        <w:rPr>
          <w:rFonts w:ascii="Times New Roman" w:cs="Times New Roman" w:eastAsia="Times New Roman" w:hAnsi="Times New Roman"/>
          <w:sz w:val="18"/>
          <w:szCs w:val="18"/>
          <w:u w:val="single" w:color="auto"/>
          <w:color w:val="0000FF"/>
          <w:strike w:val="1"/>
        </w:rPr>
        <w:t>a</w:t>
      </w:r>
      <w:r>
        <w:rPr>
          <w:rFonts w:ascii="Times New Roman" w:cs="Times New Roman" w:eastAsia="Times New Roman" w:hAnsi="Times New Roman"/>
          <w:sz w:val="18"/>
          <w:szCs w:val="18"/>
          <w:color w:val="000000"/>
          <w:strike w:val="1"/>
        </w:rPr>
        <w:t>) or (</w:t>
      </w:r>
      <w:r>
        <w:rPr>
          <w:rFonts w:ascii="Times New Roman" w:cs="Times New Roman" w:eastAsia="Times New Roman" w:hAnsi="Times New Roman"/>
          <w:sz w:val="18"/>
          <w:szCs w:val="18"/>
          <w:color w:val="FF0000"/>
          <w:strike w:val="1"/>
        </w:rPr>
        <w:t>2</w:t>
      </w:r>
      <w:r>
        <w:rPr>
          <w:rFonts w:ascii="Times New Roman" w:cs="Times New Roman" w:eastAsia="Times New Roman" w:hAnsi="Times New Roman"/>
          <w:sz w:val="18"/>
          <w:szCs w:val="18"/>
          <w:u w:val="single" w:color="auto"/>
          <w:color w:val="0000FF"/>
          <w:strike w:val="1"/>
        </w:rPr>
        <w:t>b</w:t>
      </w:r>
      <w:r>
        <w:rPr>
          <w:rFonts w:ascii="Times New Roman" w:cs="Times New Roman" w:eastAsia="Times New Roman" w:hAnsi="Times New Roman"/>
          <w:sz w:val="18"/>
          <w:szCs w:val="18"/>
          <w:color w:val="000000"/>
          <w:strike w:val="1"/>
        </w:rPr>
        <w:t>) with respect to any Benchmark upon the occurrence of the applicable event or events set forth therein with respect to all then-current Available Tenors of such Benchmark (or the published component used in the calculation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1231900</wp:posOffset>
            </wp:positionH>
            <wp:positionV relativeFrom="paragraph">
              <wp:posOffset>-274320</wp:posOffset>
            </wp:positionV>
            <wp:extent cx="282003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820035" cy="8255"/>
                    </a:xfrm>
                    <a:prstGeom prst="rect">
                      <a:avLst/>
                    </a:prstGeom>
                    <a:noFill/>
                  </pic:spPr>
                </pic:pic>
              </a:graphicData>
            </a:graphic>
          </wp:anchor>
        </w:drawing>
        <w:drawing>
          <wp:anchor simplePos="0" relativeHeight="251657728" behindDoc="1" locked="0" layoutInCell="0" allowOverlap="1">
            <wp:simplePos x="0" y="0"/>
            <wp:positionH relativeFrom="column">
              <wp:posOffset>1471930</wp:posOffset>
            </wp:positionH>
            <wp:positionV relativeFrom="paragraph">
              <wp:posOffset>-137160</wp:posOffset>
            </wp:positionV>
            <wp:extent cx="5143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1805940</wp:posOffset>
            </wp:positionH>
            <wp:positionV relativeFrom="paragraph">
              <wp:posOffset>-137160</wp:posOffset>
            </wp:positionV>
            <wp:extent cx="6032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 Transition Event</w:t>
      </w:r>
      <w:r>
        <w:rPr>
          <w:rFonts w:ascii="Times New Roman" w:cs="Times New Roman" w:eastAsia="Times New Roman" w:hAnsi="Times New Roman"/>
          <w:sz w:val="18"/>
          <w:szCs w:val="18"/>
          <w:color w:val="auto"/>
        </w:rPr>
        <w:t>” means the occurrence of one or more of the following events with respect to the then-current Benchmark:</w:t>
      </w:r>
    </w:p>
    <w:p>
      <w:pPr>
        <w:spacing w:after="0" w:line="135" w:lineRule="exact"/>
        <w:rPr>
          <w:sz w:val="20"/>
          <w:szCs w:val="20"/>
          <w:color w:val="auto"/>
        </w:rPr>
      </w:pPr>
    </w:p>
    <w:p>
      <w:pPr>
        <w:ind w:left="960" w:right="60" w:hanging="532"/>
        <w:spacing w:after="0" w:line="258" w:lineRule="auto"/>
        <w:tabs>
          <w:tab w:leader="none" w:pos="960" w:val="left"/>
        </w:tabs>
        <w:numPr>
          <w:ilvl w:val="0"/>
          <w:numId w:val="181"/>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FF0000"/>
          <w:strike w:val="1"/>
        </w:rPr>
        <w:t>(1)</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 public statement or publication of information by or on behalf of the administrator of such Benchmark (or the published component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used in the calculation thereof) announcing that such administrator has ceased or will cease to provide all Available Tenors </w:t>
      </w:r>
      <w:r>
        <w:rPr>
          <w:rFonts w:ascii="Times New Roman" w:cs="Times New Roman" w:eastAsia="Times New Roman" w:hAnsi="Times New Roman"/>
          <w:sz w:val="18"/>
          <w:szCs w:val="18"/>
          <w:u w:val="single" w:color="auto"/>
          <w:color w:val="0000FF"/>
        </w:rPr>
        <w:t>(if applicable)</w:t>
      </w:r>
      <w:r>
        <w:rPr>
          <w:rFonts w:ascii="Times New Roman" w:cs="Times New Roman" w:eastAsia="Times New Roman" w:hAnsi="Times New Roman"/>
          <w:sz w:val="18"/>
          <w:szCs w:val="18"/>
          <w:color w:val="000000"/>
        </w:rPr>
        <w:t xml:space="preserve"> of such Benchmark (or such component thereof), permanently or indefinitely</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at the time of such statement or publication, there is no successor administrator that will continue to provide any Available Tenor </w:t>
      </w:r>
      <w:r>
        <w:rPr>
          <w:rFonts w:ascii="Times New Roman" w:cs="Times New Roman" w:eastAsia="Times New Roman" w:hAnsi="Times New Roman"/>
          <w:sz w:val="18"/>
          <w:szCs w:val="18"/>
          <w:u w:val="single" w:color="auto"/>
          <w:color w:val="0000FF"/>
        </w:rPr>
        <w:t>(if applicable)</w:t>
      </w:r>
      <w:r>
        <w:rPr>
          <w:rFonts w:ascii="Times New Roman" w:cs="Times New Roman" w:eastAsia="Times New Roman" w:hAnsi="Times New Roman"/>
          <w:sz w:val="18"/>
          <w:szCs w:val="18"/>
          <w:color w:val="000000"/>
        </w:rPr>
        <w:t xml:space="preserve"> of such Benchmark (or such component thereof);</w:t>
      </w:r>
    </w:p>
    <w:p>
      <w:pPr>
        <w:spacing w:after="0" w:line="75" w:lineRule="exact"/>
        <w:rPr>
          <w:rFonts w:ascii="Times New Roman" w:cs="Times New Roman" w:eastAsia="Times New Roman" w:hAnsi="Times New Roman"/>
          <w:sz w:val="18"/>
          <w:szCs w:val="18"/>
          <w:u w:val="single" w:color="auto"/>
          <w:color w:val="0000FF"/>
        </w:rPr>
      </w:pPr>
    </w:p>
    <w:p>
      <w:pPr>
        <w:ind w:left="960" w:right="80" w:hanging="532"/>
        <w:spacing w:after="0" w:line="254" w:lineRule="auto"/>
        <w:tabs>
          <w:tab w:leader="none" w:pos="960" w:val="left"/>
        </w:tabs>
        <w:numPr>
          <w:ilvl w:val="0"/>
          <w:numId w:val="181"/>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FF0000"/>
          <w:strike w:val="1"/>
        </w:rPr>
        <w:t>(2)</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 public statement or publication of information by</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a Governmental Authority having jurisdiction over the Administrative Agent,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the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regulatory supervisor for the administrator of such Benchmark (or the published component used in the calculation thereof), the </w:t>
      </w:r>
      <w:r>
        <w:rPr>
          <w:rFonts w:ascii="Times New Roman" w:cs="Times New Roman" w:eastAsia="Times New Roman" w:hAnsi="Times New Roman"/>
          <w:sz w:val="18"/>
          <w:szCs w:val="18"/>
          <w:color w:val="FF0000"/>
          <w:strike w:val="1"/>
        </w:rPr>
        <w:t>Federal</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FF0000"/>
          <w:strike w:val="1"/>
        </w:rPr>
        <w:t>Reserve Board</w:t>
      </w:r>
      <w:r>
        <w:rPr>
          <w:rFonts w:ascii="Times New Roman" w:cs="Times New Roman" w:eastAsia="Times New Roman" w:hAnsi="Times New Roman"/>
          <w:sz w:val="18"/>
          <w:szCs w:val="18"/>
          <w:u w:val="single" w:color="auto"/>
          <w:color w:val="0000FF"/>
        </w:rPr>
        <w:t>FRB</w:t>
      </w:r>
      <w:r>
        <w:rPr>
          <w:rFonts w:ascii="Times New Roman" w:cs="Times New Roman" w:eastAsia="Times New Roman" w:hAnsi="Times New Roman"/>
          <w:sz w:val="18"/>
          <w:szCs w:val="18"/>
          <w:color w:val="000000"/>
        </w:rPr>
        <w:t>, the Federal Reserve Bank of New York, an insolvency official with jurisdiction over the administrator for such</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w:t>
      </w:r>
      <w:r>
        <w:rPr>
          <w:rFonts w:ascii="Times New Roman" w:cs="Times New Roman" w:eastAsia="Times New Roman" w:hAnsi="Times New Roman"/>
          <w:sz w:val="18"/>
          <w:szCs w:val="18"/>
          <w:u w:val="single" w:color="auto"/>
          <w:color w:val="0000FF"/>
        </w:rPr>
        <w:t>(if</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applicable)</w:t>
      </w:r>
      <w:r>
        <w:rPr>
          <w:rFonts w:ascii="Times New Roman" w:cs="Times New Roman" w:eastAsia="Times New Roman" w:hAnsi="Times New Roman"/>
          <w:sz w:val="18"/>
          <w:szCs w:val="18"/>
          <w:color w:val="000000"/>
        </w:rPr>
        <w:t>of such Benchmark (or such component thereof) permanently or indefinitely</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that, at the time of such statement or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publication, there is no successor administrator that will continue to provide any Available Tenor </w:t>
      </w:r>
      <w:r>
        <w:rPr>
          <w:rFonts w:ascii="Times New Roman" w:cs="Times New Roman" w:eastAsia="Times New Roman" w:hAnsi="Times New Roman"/>
          <w:sz w:val="18"/>
          <w:szCs w:val="18"/>
          <w:u w:val="single" w:color="auto"/>
          <w:color w:val="0000FF"/>
        </w:rPr>
        <w:t>(if applicable)</w:t>
      </w:r>
      <w:r>
        <w:rPr>
          <w:rFonts w:ascii="Times New Roman" w:cs="Times New Roman" w:eastAsia="Times New Roman" w:hAnsi="Times New Roman"/>
          <w:sz w:val="18"/>
          <w:szCs w:val="18"/>
          <w:color w:val="000000"/>
        </w:rPr>
        <w:t xml:space="preserve"> of such Benchmark (or such component thereof); or</w:t>
      </w:r>
    </w:p>
    <w:p>
      <w:pPr>
        <w:spacing w:after="0" w:line="66" w:lineRule="exact"/>
        <w:rPr>
          <w:rFonts w:ascii="Times New Roman" w:cs="Times New Roman" w:eastAsia="Times New Roman" w:hAnsi="Times New Roman"/>
          <w:sz w:val="18"/>
          <w:szCs w:val="18"/>
          <w:u w:val="single" w:color="auto"/>
          <w:color w:val="0000FF"/>
        </w:rPr>
      </w:pPr>
    </w:p>
    <w:p>
      <w:pPr>
        <w:ind w:left="960" w:right="60" w:hanging="532"/>
        <w:spacing w:after="0" w:line="261" w:lineRule="auto"/>
        <w:tabs>
          <w:tab w:leader="none" w:pos="960" w:val="left"/>
        </w:tabs>
        <w:numPr>
          <w:ilvl w:val="0"/>
          <w:numId w:val="181"/>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FF0000"/>
          <w:strike w:val="1"/>
        </w:rPr>
        <w:t>(3)</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 public statement or publication of information by the regulatory supervisor for the administrator of such Benchmark (or the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published component used in the calculation thereof) </w:t>
      </w:r>
      <w:r>
        <w:rPr>
          <w:rFonts w:ascii="Times New Roman" w:cs="Times New Roman" w:eastAsia="Times New Roman" w:hAnsi="Times New Roman"/>
          <w:sz w:val="18"/>
          <w:szCs w:val="18"/>
          <w:color w:val="FF0000"/>
          <w:strike w:val="1"/>
        </w:rPr>
        <w:t>or a Governmental Authority having jurisdiction over the Administrative Agent</w:t>
      </w:r>
      <w:r>
        <w:rPr>
          <w:rFonts w:ascii="Times New Roman" w:cs="Times New Roman" w:eastAsia="Times New Roman" w:hAnsi="Times New Roman"/>
          <w:sz w:val="18"/>
          <w:szCs w:val="18"/>
          <w:color w:val="000000"/>
        </w:rPr>
        <w:t xml:space="preserve"> announcing that all Available Tenors </w:t>
      </w:r>
      <w:r>
        <w:rPr>
          <w:rFonts w:ascii="Times New Roman" w:cs="Times New Roman" w:eastAsia="Times New Roman" w:hAnsi="Times New Roman"/>
          <w:sz w:val="18"/>
          <w:szCs w:val="18"/>
          <w:u w:val="single" w:color="auto"/>
          <w:color w:val="0000FF"/>
        </w:rPr>
        <w:t>(if applicable)</w:t>
      </w:r>
      <w:r>
        <w:rPr>
          <w:rFonts w:ascii="Times New Roman" w:cs="Times New Roman" w:eastAsia="Times New Roman" w:hAnsi="Times New Roman"/>
          <w:sz w:val="18"/>
          <w:szCs w:val="18"/>
          <w:color w:val="000000"/>
        </w:rPr>
        <w:t xml:space="preserve"> of such Benchmark (or such component thereof) are </w:t>
      </w:r>
      <w:r>
        <w:rPr>
          <w:rFonts w:ascii="Times New Roman" w:cs="Times New Roman" w:eastAsia="Times New Roman" w:hAnsi="Times New Roman"/>
          <w:sz w:val="18"/>
          <w:szCs w:val="18"/>
          <w:color w:val="FF0000"/>
          <w:strike w:val="1"/>
        </w:rPr>
        <w:t>no longer</w:t>
      </w:r>
      <w:r>
        <w:rPr>
          <w:rFonts w:ascii="Times New Roman" w:cs="Times New Roman" w:eastAsia="Times New Roman" w:hAnsi="Times New Roman"/>
          <w:sz w:val="18"/>
          <w:szCs w:val="18"/>
          <w:u w:val="single" w:color="auto"/>
          <w:color w:val="0000FF"/>
        </w:rPr>
        <w:t>not, or as of a specified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future date will not be,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271780</wp:posOffset>
            </wp:positionH>
            <wp:positionV relativeFrom="paragraph">
              <wp:posOffset>-2462530</wp:posOffset>
            </wp:positionV>
            <wp:extent cx="12890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6255385</wp:posOffset>
            </wp:positionH>
            <wp:positionV relativeFrom="paragraph">
              <wp:posOffset>-2325370</wp:posOffset>
            </wp:positionV>
            <wp:extent cx="64325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43255" cy="8255"/>
                    </a:xfrm>
                    <a:prstGeom prst="rect">
                      <a:avLst/>
                    </a:prstGeom>
                    <a:noFill/>
                  </pic:spPr>
                </pic:pic>
              </a:graphicData>
            </a:graphic>
          </wp:anchor>
        </w:drawing>
        <w:drawing>
          <wp:anchor simplePos="0" relativeHeight="251657728" behindDoc="1" locked="0" layoutInCell="0" allowOverlap="1">
            <wp:simplePos x="0" y="0"/>
            <wp:positionH relativeFrom="column">
              <wp:posOffset>4163695</wp:posOffset>
            </wp:positionH>
            <wp:positionV relativeFrom="paragraph">
              <wp:posOffset>-2188210</wp:posOffset>
            </wp:positionV>
            <wp:extent cx="3429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4497705</wp:posOffset>
            </wp:positionH>
            <wp:positionV relativeFrom="paragraph">
              <wp:posOffset>-2051050</wp:posOffset>
            </wp:positionV>
            <wp:extent cx="66865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68655" cy="8255"/>
                    </a:xfrm>
                    <a:prstGeom prst="rect">
                      <a:avLst/>
                    </a:prstGeom>
                    <a:noFill/>
                  </pic:spPr>
                </pic:pic>
              </a:graphicData>
            </a:graphic>
          </wp:anchor>
        </w:drawing>
        <w:drawing>
          <wp:anchor simplePos="0" relativeHeight="251657728" behindDoc="1" locked="0" layoutInCell="0" allowOverlap="1">
            <wp:simplePos x="0" y="0"/>
            <wp:positionH relativeFrom="column">
              <wp:posOffset>271780</wp:posOffset>
            </wp:positionH>
            <wp:positionV relativeFrom="paragraph">
              <wp:posOffset>-414020</wp:posOffset>
            </wp:positionV>
            <wp:extent cx="12890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2320290</wp:posOffset>
            </wp:positionH>
            <wp:positionV relativeFrom="paragraph">
              <wp:posOffset>-139700</wp:posOffset>
            </wp:positionV>
            <wp:extent cx="66865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68655" cy="8890"/>
                    </a:xfrm>
                    <a:prstGeom prst="rect">
                      <a:avLst/>
                    </a:prstGeom>
                    <a:noFill/>
                  </pic:spPr>
                </pic:pic>
              </a:graphicData>
            </a:graphic>
          </wp:anchor>
        </w:drawing>
        <w:drawing>
          <wp:anchor simplePos="0" relativeHeight="251657728" behindDoc="1" locked="0" layoutInCell="0" allowOverlap="1">
            <wp:simplePos x="0" y="0"/>
            <wp:positionH relativeFrom="column">
              <wp:posOffset>5835015</wp:posOffset>
            </wp:positionH>
            <wp:positionV relativeFrom="paragraph">
              <wp:posOffset>-139700</wp:posOffset>
            </wp:positionV>
            <wp:extent cx="107124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071245" cy="8890"/>
                    </a:xfrm>
                    <a:prstGeom prst="rect">
                      <a:avLst/>
                    </a:prstGeom>
                    <a:noFill/>
                  </pic:spPr>
                </pic:pic>
              </a:graphicData>
            </a:graphic>
          </wp:anchor>
        </w:drawing>
        <w:drawing>
          <wp:anchor simplePos="0" relativeHeight="251657728" behindDoc="1" locked="0" layoutInCell="0" allowOverlap="1">
            <wp:simplePos x="0" y="0"/>
            <wp:positionH relativeFrom="column">
              <wp:posOffset>614680</wp:posOffset>
            </wp:positionH>
            <wp:positionV relativeFrom="paragraph">
              <wp:posOffset>-2540</wp:posOffset>
            </wp:positionV>
            <wp:extent cx="103695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pacing w:after="0" w:line="7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40"/>
          </w:cols>
          <w:pgMar w:left="440" w:top="270" w:right="519" w:bottom="1440" w:gutter="0" w:footer="0" w:header="0"/>
        </w:sectPr>
      </w:pPr>
    </w:p>
    <w:bookmarkStart w:id="186" w:name="page187"/>
    <w:bookmarkEnd w:id="186"/>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For the avoidance of doubt, </w:t>
      </w:r>
      <w:r>
        <w:rPr>
          <w:rFonts w:ascii="Times New Roman" w:cs="Times New Roman" w:eastAsia="Times New Roman" w:hAnsi="Times New Roman"/>
          <w:sz w:val="18"/>
          <w:szCs w:val="18"/>
          <w:u w:val="single" w:color="auto"/>
          <w:color w:val="0000FF"/>
        </w:rPr>
        <w:t>if the applicable then-current Benchmark has any Available Tenors,</w:t>
      </w:r>
      <w:r>
        <w:rPr>
          <w:rFonts w:ascii="Times New Roman" w:cs="Times New Roman" w:eastAsia="Times New Roman" w:hAnsi="Times New Roman"/>
          <w:sz w:val="18"/>
          <w:szCs w:val="18"/>
          <w:color w:val="auto"/>
        </w:rPr>
        <w:t xml:space="preserve">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1283335</wp:posOffset>
            </wp:positionH>
            <wp:positionV relativeFrom="paragraph">
              <wp:posOffset>-278765</wp:posOffset>
            </wp:positionV>
            <wp:extent cx="311150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152" w:lineRule="exact"/>
        <w:rPr>
          <w:sz w:val="20"/>
          <w:szCs w:val="20"/>
          <w:color w:val="auto"/>
        </w:rPr>
      </w:pPr>
    </w:p>
    <w:p>
      <w:pPr>
        <w:ind w:right="200" w:firstLine="440"/>
        <w:spacing w:after="0" w:line="262" w:lineRule="auto"/>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u w:val="single" w:color="auto"/>
          <w:color w:val="0000FF"/>
        </w:rPr>
        <w:t>Benchmark Transition Start Date</w:t>
      </w:r>
      <w:r>
        <w:rPr>
          <w:rFonts w:ascii="Times New Roman" w:cs="Times New Roman" w:eastAsia="Times New Roman" w:hAnsi="Times New Roman"/>
          <w:sz w:val="18"/>
          <w:szCs w:val="18"/>
          <w:u w:val="single" w:color="auto"/>
          <w:color w:val="0000FF"/>
        </w:rPr>
        <w:t>” means, in the case of a Benchmark Transition Event, the earlier of (a) the applicable Benchmark Replacement Date and (b)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-413385</wp:posOffset>
            </wp:positionV>
            <wp:extent cx="616331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16331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-276225</wp:posOffset>
            </wp:positionV>
            <wp:extent cx="685800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-139065</wp:posOffset>
            </wp:positionV>
            <wp:extent cx="679767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79767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-1905</wp:posOffset>
            </wp:positionV>
            <wp:extent cx="444881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4448810" cy="8255"/>
                    </a:xfrm>
                    <a:prstGeom prst="rect">
                      <a:avLst/>
                    </a:prstGeom>
                    <a:noFill/>
                  </pic:spPr>
                </pic:pic>
              </a:graphicData>
            </a:graphic>
          </wp:anchor>
        </w:drawing>
      </w:r>
    </w:p>
    <w:p>
      <w:pPr>
        <w:spacing w:after="0" w:line="156" w:lineRule="exact"/>
        <w:rPr>
          <w:sz w:val="20"/>
          <w:szCs w:val="20"/>
          <w:color w:val="auto"/>
        </w:rPr>
      </w:pPr>
    </w:p>
    <w:p>
      <w:pPr>
        <w:ind w:right="26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 Unavailability Period</w:t>
      </w:r>
      <w:r>
        <w:rPr>
          <w:rFonts w:ascii="Times New Roman" w:cs="Times New Roman" w:eastAsia="Times New Roman" w:hAnsi="Times New Roman"/>
          <w:sz w:val="18"/>
          <w:szCs w:val="18"/>
          <w:color w:val="auto"/>
        </w:rPr>
        <w:t>” means</w:t>
      </w:r>
      <w:r>
        <w:rPr>
          <w:rFonts w:ascii="Times New Roman" w:cs="Times New Roman" w:eastAsia="Times New Roman" w:hAnsi="Times New Roman"/>
          <w:sz w:val="18"/>
          <w:szCs w:val="18"/>
          <w:u w:val="single" w:color="auto"/>
          <w:color w:val="0000FF"/>
        </w:rPr>
        <w:t>, with respect to any then-current Benchmark,</w:t>
      </w:r>
      <w:r>
        <w:rPr>
          <w:rFonts w:ascii="Times New Roman" w:cs="Times New Roman" w:eastAsia="Times New Roman" w:hAnsi="Times New Roman"/>
          <w:sz w:val="18"/>
          <w:szCs w:val="18"/>
          <w:color w:val="auto"/>
        </w:rPr>
        <w:t xml:space="preserve"> the period (if any) (x) beginning at the time that a Benchmark Replacement Date </w:t>
      </w:r>
      <w:r>
        <w:rPr>
          <w:rFonts w:ascii="Times New Roman" w:cs="Times New Roman" w:eastAsia="Times New Roman" w:hAnsi="Times New Roman"/>
          <w:sz w:val="18"/>
          <w:szCs w:val="18"/>
          <w:color w:val="FF0000"/>
          <w:strike w:val="1"/>
        </w:rPr>
        <w:t>pursuant to clauses (1) or (2) of that definition</w:t>
      </w:r>
      <w:r>
        <w:rPr>
          <w:rFonts w:ascii="Times New Roman" w:cs="Times New Roman" w:eastAsia="Times New Roman" w:hAnsi="Times New Roman"/>
          <w:sz w:val="18"/>
          <w:szCs w:val="18"/>
          <w:u w:val="single" w:color="auto"/>
          <w:color w:val="0000FF"/>
        </w:rPr>
        <w:t>with respect to such Benchmark</w:t>
      </w:r>
      <w:r>
        <w:rPr>
          <w:rFonts w:ascii="Times New Roman" w:cs="Times New Roman" w:eastAsia="Times New Roman" w:hAnsi="Times New Roman"/>
          <w:sz w:val="18"/>
          <w:szCs w:val="18"/>
          <w:color w:val="auto"/>
        </w:rPr>
        <w:t xml:space="preserve"> has occurred if, at such time, no Benchmark Replacement has replaced </w:t>
      </w:r>
      <w:r>
        <w:rPr>
          <w:rFonts w:ascii="Times New Roman" w:cs="Times New Roman" w:eastAsia="Times New Roman" w:hAnsi="Times New Roman"/>
          <w:sz w:val="18"/>
          <w:szCs w:val="18"/>
          <w:color w:val="FF0000"/>
          <w:strike w:val="1"/>
        </w:rPr>
        <w:t>the then-current</w:t>
      </w:r>
      <w:r>
        <w:rPr>
          <w:rFonts w:ascii="Times New Roman" w:cs="Times New Roman" w:eastAsia="Times New Roman" w:hAnsi="Times New Roman"/>
          <w:sz w:val="18"/>
          <w:szCs w:val="18"/>
          <w:u w:val="single" w:color="auto"/>
          <w:color w:val="0000FF"/>
        </w:rPr>
        <w:t>such</w:t>
      </w:r>
      <w:r>
        <w:rPr>
          <w:rFonts w:ascii="Times New Roman" w:cs="Times New Roman" w:eastAsia="Times New Roman" w:hAnsi="Times New Roman"/>
          <w:sz w:val="18"/>
          <w:szCs w:val="18"/>
          <w:color w:val="auto"/>
        </w:rPr>
        <w:t xml:space="preserve"> Benchmark for all purposes hereunder and under any Loan Document in accordance with </w:t>
      </w:r>
      <w:r>
        <w:rPr>
          <w:rFonts w:ascii="Times New Roman" w:cs="Times New Roman" w:eastAsia="Times New Roman" w:hAnsi="Times New Roman"/>
          <w:sz w:val="18"/>
          <w:szCs w:val="18"/>
          <w:color w:val="FF0000"/>
          <w:strike w:val="1"/>
        </w:rPr>
        <w:t>clauses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FF"/>
        </w:rPr>
        <w:t>Section 4.2.</w:t>
      </w:r>
      <w:r>
        <w:rPr>
          <w:rFonts w:ascii="Times New Roman" w:cs="Times New Roman" w:eastAsia="Times New Roman" w:hAnsi="Times New Roman"/>
          <w:sz w:val="18"/>
          <w:szCs w:val="18"/>
          <w:u w:val="single" w:color="auto"/>
          <w:color w:val="000000"/>
        </w:rPr>
        <w:t>(b)</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through (f) of Section 4.2</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and (y) ending at the time that a Benchmark Replacement has replaced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the then-current</w:t>
      </w:r>
      <w:r>
        <w:rPr>
          <w:rFonts w:ascii="Times New Roman" w:cs="Times New Roman" w:eastAsia="Times New Roman" w:hAnsi="Times New Roman"/>
          <w:sz w:val="18"/>
          <w:szCs w:val="18"/>
          <w:u w:val="single" w:color="auto"/>
          <w:color w:val="0000FF"/>
        </w:rPr>
        <w:t>such</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Benchmark for all purposes hereunder and under any Loan Document in accordance with </w:t>
      </w:r>
      <w:r>
        <w:rPr>
          <w:rFonts w:ascii="Times New Roman" w:cs="Times New Roman" w:eastAsia="Times New Roman" w:hAnsi="Times New Roman"/>
          <w:sz w:val="18"/>
          <w:szCs w:val="18"/>
          <w:color w:val="FF0000"/>
          <w:strike w:val="1"/>
        </w:rPr>
        <w:t>clauses (b) through (f) of</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Section 4.2.</w:t>
      </w:r>
      <w:r>
        <w:rPr>
          <w:rFonts w:ascii="Times New Roman" w:cs="Times New Roman" w:eastAsia="Times New Roman" w:hAnsi="Times New Roman"/>
          <w:sz w:val="18"/>
          <w:szCs w:val="18"/>
          <w:u w:val="single" w:color="auto"/>
          <w:color w:val="0000FF"/>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2346325</wp:posOffset>
            </wp:positionH>
            <wp:positionV relativeFrom="paragraph">
              <wp:posOffset>-548640</wp:posOffset>
            </wp:positionV>
            <wp:extent cx="209169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091690" cy="8255"/>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-411480</wp:posOffset>
            </wp:positionV>
            <wp:extent cx="146558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465580" cy="8890"/>
                    </a:xfrm>
                    <a:prstGeom prst="rect">
                      <a:avLst/>
                    </a:prstGeom>
                    <a:noFill/>
                  </pic:spPr>
                </pic:pic>
              </a:graphicData>
            </a:graphic>
          </wp:anchor>
        </w:drawing>
        <w:drawing>
          <wp:anchor simplePos="0" relativeHeight="251657728" behindDoc="1" locked="0" layoutInCell="0" allowOverlap="1">
            <wp:simplePos x="0" y="0"/>
            <wp:positionH relativeFrom="column">
              <wp:posOffset>2500630</wp:posOffset>
            </wp:positionH>
            <wp:positionV relativeFrom="paragraph">
              <wp:posOffset>-274320</wp:posOffset>
            </wp:positionV>
            <wp:extent cx="20574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357505</wp:posOffset>
            </wp:positionH>
            <wp:positionV relativeFrom="paragraph">
              <wp:posOffset>-137160</wp:posOffset>
            </wp:positionV>
            <wp:extent cx="53975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39750" cy="8255"/>
                    </a:xfrm>
                    <a:prstGeom prst="rect">
                      <a:avLst/>
                    </a:prstGeom>
                    <a:noFill/>
                  </pic:spPr>
                </pic:pic>
              </a:graphicData>
            </a:graphic>
          </wp:anchor>
        </w:drawing>
        <w:drawing>
          <wp:anchor simplePos="0" relativeHeight="251657728" behindDoc="1" locked="0" layoutInCell="0" allowOverlap="1">
            <wp:simplePos x="0" y="0"/>
            <wp:positionH relativeFrom="column">
              <wp:posOffset>6238240</wp:posOffset>
            </wp:positionH>
            <wp:positionV relativeFrom="paragraph">
              <wp:posOffset>-137160</wp:posOffset>
            </wp:positionV>
            <wp:extent cx="21463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5826760</wp:posOffset>
            </wp:positionH>
            <wp:positionV relativeFrom="paragraph">
              <wp:posOffset>0</wp:posOffset>
            </wp:positionV>
            <wp:extent cx="16256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62560" cy="8255"/>
                    </a:xfrm>
                    <a:prstGeom prst="rect">
                      <a:avLst/>
                    </a:prstGeom>
                    <a:noFill/>
                  </pic:spPr>
                </pic:pic>
              </a:graphicData>
            </a:graphic>
          </wp:anchor>
        </w:drawing>
      </w:r>
    </w:p>
    <w:p>
      <w:pPr>
        <w:spacing w:after="0" w:line="159" w:lineRule="exact"/>
        <w:rPr>
          <w:sz w:val="20"/>
          <w:szCs w:val="20"/>
          <w:color w:val="auto"/>
        </w:rPr>
      </w:pPr>
    </w:p>
    <w:p>
      <w:pPr>
        <w:ind w:right="1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Beneficial Ownership Certification</w:t>
      </w:r>
      <w:r>
        <w:rPr>
          <w:rFonts w:ascii="Times New Roman" w:cs="Times New Roman" w:eastAsia="Times New Roman" w:hAnsi="Times New Roman"/>
          <w:sz w:val="18"/>
          <w:szCs w:val="18"/>
          <w:color w:val="auto"/>
        </w:rPr>
        <w:t>” means a certificate in substantially the form of Exhibit K (as amended or modified by the Administrative Agent from time to time in its sole discretion), certifying, among other things, the beneficial ownership as required by the Beneficial Ownership Regulation.</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Beneficial Ownership Regulation</w:t>
      </w:r>
      <w:r>
        <w:rPr>
          <w:rFonts w:ascii="Times New Roman" w:cs="Times New Roman" w:eastAsia="Times New Roman" w:hAnsi="Times New Roman"/>
          <w:sz w:val="18"/>
          <w:szCs w:val="18"/>
          <w:color w:val="auto"/>
        </w:rPr>
        <w:t>” means 31 CFR § 1010.230.</w:t>
      </w:r>
    </w:p>
    <w:p>
      <w:pPr>
        <w:spacing w:after="0" w:line="225" w:lineRule="exact"/>
        <w:rPr>
          <w:sz w:val="20"/>
          <w:szCs w:val="20"/>
          <w:color w:val="auto"/>
        </w:rPr>
      </w:pPr>
    </w:p>
    <w:p>
      <w:pPr>
        <w:ind w:right="5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Benefit Arrangement</w:t>
      </w:r>
      <w:r>
        <w:rPr>
          <w:rFonts w:ascii="Times New Roman" w:cs="Times New Roman" w:eastAsia="Times New Roman" w:hAnsi="Times New Roman"/>
          <w:sz w:val="18"/>
          <w:szCs w:val="18"/>
          <w:color w:val="auto"/>
        </w:rPr>
        <w:t>” means at any time an employee benefit plan within the meaning of Section 3(3) of ERISA which is not a Plan or a Multiemployer Plan and which is maintained or otherwise contributed to by any member of the ERISA Group.</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BHC Act Affiliate</w:t>
      </w:r>
      <w:r>
        <w:rPr>
          <w:rFonts w:ascii="Times New Roman" w:cs="Times New Roman" w:eastAsia="Times New Roman" w:hAnsi="Times New Roman"/>
          <w:sz w:val="17"/>
          <w:szCs w:val="17"/>
          <w:color w:val="auto"/>
        </w:rPr>
        <w:t>” of a party means an “affiliate” (as such term is defined under, and interpreted in accordance with, 12 U.S.C. 1841(k)) of such</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has the meaning set forth in the introductory paragraph hereof and shall include the Borrower’s successors and permitted assigns.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Borrower Information</w:t>
      </w:r>
      <w:r>
        <w:rPr>
          <w:rFonts w:ascii="Times New Roman" w:cs="Times New Roman" w:eastAsia="Times New Roman" w:hAnsi="Times New Roman"/>
          <w:sz w:val="18"/>
          <w:szCs w:val="18"/>
          <w:color w:val="auto"/>
        </w:rPr>
        <w:t>” has the meaning given that term in Section 2.5.(c).</w:t>
      </w:r>
    </w:p>
    <w:p>
      <w:pPr>
        <w:spacing w:after="0" w:line="225" w:lineRule="exact"/>
        <w:rPr>
          <w:sz w:val="20"/>
          <w:szCs w:val="20"/>
          <w:color w:val="auto"/>
        </w:rPr>
      </w:pPr>
    </w:p>
    <w:p>
      <w:pPr>
        <w:ind w:right="12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xml:space="preserve">” means </w:t>
      </w:r>
      <w:r>
        <w:rPr>
          <w:rFonts w:ascii="Times New Roman" w:cs="Times New Roman" w:eastAsia="Times New Roman" w:hAnsi="Times New Roman"/>
          <w:sz w:val="18"/>
          <w:szCs w:val="18"/>
          <w:color w:val="0000FF"/>
        </w:rPr>
        <w:t>any day that</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color w:val="FF0000"/>
          <w:strike w:val="1"/>
        </w:rPr>
        <w:t>a day of the week (but</w:t>
      </w:r>
      <w:r>
        <w:rPr>
          <w:rFonts w:ascii="Times New Roman" w:cs="Times New Roman" w:eastAsia="Times New Roman" w:hAnsi="Times New Roman"/>
          <w:sz w:val="18"/>
          <w:szCs w:val="18"/>
          <w:u w:val="single" w:color="auto"/>
          <w:color w:val="0000FF"/>
        </w:rPr>
        <w:t>is</w:t>
      </w:r>
      <w:r>
        <w:rPr>
          <w:rFonts w:ascii="Times New Roman" w:cs="Times New Roman" w:eastAsia="Times New Roman" w:hAnsi="Times New Roman"/>
          <w:sz w:val="18"/>
          <w:szCs w:val="18"/>
          <w:color w:val="auto"/>
        </w:rPr>
        <w:t xml:space="preserve"> not a Saturday, Sunday or </w:t>
      </w:r>
      <w:r>
        <w:rPr>
          <w:rFonts w:ascii="Times New Roman" w:cs="Times New Roman" w:eastAsia="Times New Roman" w:hAnsi="Times New Roman"/>
          <w:sz w:val="18"/>
          <w:szCs w:val="18"/>
          <w:color w:val="FF0000"/>
          <w:strike w:val="1"/>
        </w:rPr>
        <w:t>holiday) on which the offices of the Administrative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Agent</w:t>
      </w:r>
      <w:r>
        <w:rPr>
          <w:rFonts w:ascii="Times New Roman" w:cs="Times New Roman" w:eastAsia="Times New Roman" w:hAnsi="Times New Roman"/>
          <w:sz w:val="18"/>
          <w:szCs w:val="18"/>
          <w:u w:val="single" w:color="auto"/>
          <w:color w:val="0000FF"/>
        </w:rPr>
        <w:t>other day on which the Federal Reserve Bank of New York is closed and (b) is not a day on which commercial banks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in Pittsburgh, Pennsylvania</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are </w:t>
      </w:r>
      <w:r>
        <w:rPr>
          <w:rFonts w:ascii="Times New Roman" w:cs="Times New Roman" w:eastAsia="Times New Roman" w:hAnsi="Times New Roman"/>
          <w:sz w:val="18"/>
          <w:szCs w:val="18"/>
          <w:color w:val="FF0000"/>
          <w:strike w:val="1"/>
        </w:rPr>
        <w:t>open to the public for carrying on substantially all of the Administrative Agent’s business functions, and (b) if such day relates to a LIBOR Loan,</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FF0000"/>
          <w:strike w:val="1"/>
        </w:rPr>
        <w:t>any such day that is also a day on which dealings in Dollars are carried on in the London interbank market. Unless specifically referenced in this Agreement as a Business Day, all references to “days” shall be to calendar days.</w:t>
      </w:r>
      <w:r>
        <w:rPr>
          <w:rFonts w:ascii="Times New Roman" w:cs="Times New Roman" w:eastAsia="Times New Roman" w:hAnsi="Times New Roman"/>
          <w:sz w:val="18"/>
          <w:szCs w:val="18"/>
          <w:u w:val="single" w:color="auto"/>
          <w:color w:val="0000FF"/>
          <w:strike w:val="1"/>
        </w:rPr>
        <w:t>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1343025</wp:posOffset>
            </wp:positionH>
            <wp:positionV relativeFrom="paragraph">
              <wp:posOffset>-548640</wp:posOffset>
            </wp:positionV>
            <wp:extent cx="61722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17220" cy="8890"/>
                    </a:xfrm>
                    <a:prstGeom prst="rect">
                      <a:avLst/>
                    </a:prstGeom>
                    <a:noFill/>
                  </pic:spPr>
                </pic:pic>
              </a:graphicData>
            </a:graphic>
          </wp:anchor>
        </w:drawing>
        <w:drawing>
          <wp:anchor simplePos="0" relativeHeight="251657728" behindDoc="1" locked="0" layoutInCell="0" allowOverlap="1">
            <wp:simplePos x="0" y="0"/>
            <wp:positionH relativeFrom="column">
              <wp:posOffset>1343025</wp:posOffset>
            </wp:positionH>
            <wp:positionV relativeFrom="paragraph">
              <wp:posOffset>-582930</wp:posOffset>
            </wp:positionV>
            <wp:extent cx="61531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15315" cy="8255"/>
                    </a:xfrm>
                    <a:prstGeom prst="rect">
                      <a:avLst/>
                    </a:prstGeom>
                    <a:noFill/>
                  </pic:spPr>
                </pic:pic>
              </a:graphicData>
            </a:graphic>
          </wp:anchor>
        </w:drawing>
        <w:drawing>
          <wp:anchor simplePos="0" relativeHeight="251657728" behindDoc="1" locked="0" layoutInCell="0" allowOverlap="1">
            <wp:simplePos x="0" y="0"/>
            <wp:positionH relativeFrom="column">
              <wp:posOffset>3134995</wp:posOffset>
            </wp:positionH>
            <wp:positionV relativeFrom="paragraph">
              <wp:posOffset>-548640</wp:posOffset>
            </wp:positionV>
            <wp:extent cx="7683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-411480</wp:posOffset>
            </wp:positionV>
            <wp:extent cx="534924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349240" cy="8255"/>
                    </a:xfrm>
                    <a:prstGeom prst="rect">
                      <a:avLst/>
                    </a:prstGeom>
                    <a:noFill/>
                  </pic:spPr>
                </pic:pic>
              </a:graphicData>
            </a:graphic>
          </wp:anchor>
        </w:drawing>
        <w:drawing>
          <wp:anchor simplePos="0" relativeHeight="251657728" behindDoc="1" locked="0" layoutInCell="0" allowOverlap="1">
            <wp:simplePos x="0" y="0"/>
            <wp:positionH relativeFrom="column">
              <wp:posOffset>3657600</wp:posOffset>
            </wp:positionH>
            <wp:positionV relativeFrom="paragraph">
              <wp:posOffset>0</wp:posOffset>
            </wp:positionV>
            <wp:extent cx="32575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25755" cy="8255"/>
                    </a:xfrm>
                    <a:prstGeom prst="rect">
                      <a:avLst/>
                    </a:prstGeom>
                    <a:noFill/>
                  </pic:spPr>
                </pic:pic>
              </a:graphicData>
            </a:graphic>
          </wp:anchor>
        </w:drawing>
      </w:r>
    </w:p>
    <w:p>
      <w:pPr>
        <w:spacing w:after="0" w:line="159" w:lineRule="exact"/>
        <w:rPr>
          <w:sz w:val="20"/>
          <w:szCs w:val="20"/>
          <w:color w:val="auto"/>
        </w:rPr>
      </w:pPr>
    </w:p>
    <w:p>
      <w:pPr>
        <w:ind w:right="6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 Reserves</w:t>
      </w:r>
      <w:r>
        <w:rPr>
          <w:rFonts w:ascii="Times New Roman" w:cs="Times New Roman" w:eastAsia="Times New Roman" w:hAnsi="Times New Roman"/>
          <w:sz w:val="18"/>
          <w:szCs w:val="18"/>
          <w:color w:val="auto"/>
        </w:rPr>
        <w:t>” means, for any period and with respect to any: (i) portion of a Property developed with improvements utilized for the retail sale of goods or services, office space or other use (other than residential apartments and Hotel Properties), an amount equal to (a) $0.15 per square foot times, (b) a fraction, the numerator of which is the number of days in such period and the denominator of which is 365; provided, however, no capital reserves shall be required with respect to any portion of any such</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187" w:name="page188"/>
    <w:bookmarkEnd w:id="187"/>
    <w:p>
      <w:pPr>
        <w:ind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Property which is leased under a ground lease to a third party that owns the improvements on such portion of such Property; (ii) Multifamily Property or any portion of a Property developed with improvements utilized as residential apartments (other than Properties having less than 20 residential units), an amount equal to (a) $200 per apartment unit in such Multifamily Property </w:t>
      </w:r>
      <w:r>
        <w:rPr>
          <w:rFonts w:ascii="Times New Roman" w:cs="Times New Roman" w:eastAsia="Times New Roman" w:hAnsi="Times New Roman"/>
          <w:sz w:val="18"/>
          <w:szCs w:val="18"/>
          <w:u w:val="single" w:color="auto"/>
          <w:color w:val="auto"/>
        </w:rPr>
        <w:t>times,</w:t>
      </w:r>
      <w:r>
        <w:rPr>
          <w:rFonts w:ascii="Times New Roman" w:cs="Times New Roman" w:eastAsia="Times New Roman" w:hAnsi="Times New Roman"/>
          <w:sz w:val="18"/>
          <w:szCs w:val="18"/>
          <w:color w:val="auto"/>
        </w:rPr>
        <w:t xml:space="preserve"> (b) a fraction, the numerator of which is the number of days in such period and the denominator of which is 365 or (iii) Hotel Property an amount equal to the greater of (a) 4.0% of total gross revenues for such Property for such period and (b) the aggregate amount of reserves in respect to furniture, fixtures and equipment required under any Property Management Agreement or Franchise Agreement applicable to such Property for such period. If the term Capital Reserves is used without reference to any specific Property, then the amount shall be determined on an aggregate basis with respect to all Office Properties, Retail Properties, Multifamily Properties and Hotel Properties of the Borrower and its Subsidiaries and a proportionate share of all Office Properties, Retail Properties, Multifamily Properties and Hotel Properties of all Unconsolidated Affiliates.</w:t>
      </w:r>
    </w:p>
    <w:p>
      <w:pPr>
        <w:spacing w:after="0" w:line="184" w:lineRule="exact"/>
        <w:rPr>
          <w:sz w:val="20"/>
          <w:szCs w:val="20"/>
          <w:color w:val="auto"/>
        </w:rPr>
      </w:pPr>
    </w:p>
    <w:p>
      <w:pPr>
        <w:jc w:val="both"/>
        <w:ind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Capitalization Rate</w:t>
      </w:r>
      <w:r>
        <w:rPr>
          <w:rFonts w:ascii="Times New Roman" w:cs="Times New Roman" w:eastAsia="Times New Roman" w:hAnsi="Times New Roman"/>
          <w:sz w:val="18"/>
          <w:szCs w:val="18"/>
          <w:color w:val="auto"/>
        </w:rPr>
        <w:t xml:space="preserve">” means </w:t>
      </w:r>
      <w:r>
        <w:rPr>
          <w:rFonts w:ascii="Times New Roman" w:cs="Times New Roman" w:eastAsia="Times New Roman" w:hAnsi="Times New Roman"/>
          <w:sz w:val="18"/>
          <w:szCs w:val="18"/>
          <w:color w:val="FF0000"/>
          <w:strike w:val="1"/>
        </w:rPr>
        <w:t>(a) 7.25% for (i) the Hotel Properties known as The Row Hotel at Assembly Row and Canopy by Hilton at Pike &amp;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 xml:space="preserve">Rose and (ii) other Hotel Properties located in downtown or central business district locations in Boston, Massachusetts; Chicago, Illinois; Los Angeles, California; borough of Manhattan, New York; Miami, Florida; San Diego, California; San Francisco, California; and Washington, D.C., (b) 7.75% for all other Hotel Properties and (c) </w:t>
      </w:r>
      <w:r>
        <w:rPr>
          <w:rFonts w:ascii="Times New Roman" w:cs="Times New Roman" w:eastAsia="Times New Roman" w:hAnsi="Times New Roman"/>
          <w:sz w:val="18"/>
          <w:szCs w:val="18"/>
          <w:color w:val="000000"/>
          <w:strike w:val="1"/>
        </w:rPr>
        <w:t>6.00% for all</w:t>
      </w:r>
      <w:r>
        <w:rPr>
          <w:rFonts w:ascii="Times New Roman" w:cs="Times New Roman" w:eastAsia="Times New Roman" w:hAnsi="Times New Roman"/>
          <w:sz w:val="18"/>
          <w:szCs w:val="18"/>
          <w:color w:val="FF0000"/>
          <w:strike w:val="1"/>
        </w:rPr>
        <w:t xml:space="preserve"> other </w:t>
      </w:r>
      <w:r>
        <w:rPr>
          <w:rFonts w:ascii="Times New Roman" w:cs="Times New Roman" w:eastAsia="Times New Roman" w:hAnsi="Times New Roman"/>
          <w:sz w:val="18"/>
          <w:szCs w:val="18"/>
          <w:color w:val="000000"/>
          <w:strike w:val="1"/>
        </w:rPr>
        <w:t>Properties.</w:t>
      </w:r>
    </w:p>
    <w:p>
      <w:pPr>
        <w:spacing w:after="0" w:line="176" w:lineRule="exact"/>
        <w:rPr>
          <w:sz w:val="20"/>
          <w:szCs w:val="20"/>
          <w:color w:val="auto"/>
        </w:rPr>
      </w:pPr>
    </w:p>
    <w:p>
      <w:pPr>
        <w:jc w:val="both"/>
        <w:ind w:right="60" w:firstLine="440"/>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Capitalized Lease Obligation</w:t>
      </w:r>
      <w:r>
        <w:rPr>
          <w:rFonts w:ascii="Times New Roman" w:cs="Times New Roman" w:eastAsia="Times New Roman" w:hAnsi="Times New Roman"/>
          <w:sz w:val="17"/>
          <w:szCs w:val="17"/>
          <w:color w:val="auto"/>
        </w:rPr>
        <w:t>” means obligations under a lease that are required to be capitalized for financial reporting purposes in accordance with GAAP (subject to the provisions of Section 1.2. hereof). The amount of a Capitalized Lease Obligation is the capitalized amount of such obligation as would be required to be reflected on a balance sheet of the applicable Person prepared in accordance with GAAP as of the applicable date.</w:t>
      </w:r>
    </w:p>
    <w:p>
      <w:pPr>
        <w:spacing w:after="0" w:line="153" w:lineRule="exact"/>
        <w:rPr>
          <w:sz w:val="20"/>
          <w:szCs w:val="20"/>
          <w:color w:val="auto"/>
        </w:rPr>
      </w:pPr>
    </w:p>
    <w:p>
      <w:pPr>
        <w:ind w:right="8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Equivalents</w:t>
      </w:r>
      <w:r>
        <w:rPr>
          <w:rFonts w:ascii="Times New Roman" w:cs="Times New Roman" w:eastAsia="Times New Roman" w:hAnsi="Times New Roman"/>
          <w:sz w:val="18"/>
          <w:szCs w:val="18"/>
          <w:color w:val="auto"/>
        </w:rPr>
        <w:t>” means: (a) securities issued, guaranteed or insured by the United States of America or any of its agencies with maturities of not more than one year from the date acquired; (b) certificates of deposit with maturities of not more than one year from the date acquired issued by a United States federal or state chartered commercial bank of recognized standing, or a commercial bank organized under the laws of any other country which is a member of the Organisation for Economic Cooperation and Development, or a political subdivision of any such country, acting through a branch or agency, which bank has capital and unimpaired surplus in excess of $500,000,000 and which bank or its holding company has a short-term commercial paper rating of at least A-2 or the equivalent by S&amp;P or at least P-2 or the equivalent by Moody’s; (c) reverse repurchase agreements with terms of not more than seven days from the date acquired, for securities of the type described in clause (a) above and entered into only with commercial banks having the qualifications described in clause (b) above; (d) commercial paper issued by any Person incorporated under the laws of the United States of America or any State thereof and rated at least A-2 or the equivalent thereof by S&amp;P or at least P-2 or the equivalent thereof by Moody’s, in each case with maturities of not more than one year from the date acquired; and (e) investments in money market funds registered under the Investment Company Act of 1940, as amended, which have net assets of at least $500,000,000 and at least 85% of whose assets consist of securities and other obligations of the type described in clauses (a) through (d) above.</w:t>
      </w:r>
    </w:p>
    <w:p>
      <w:pPr>
        <w:spacing w:after="0" w:line="190" w:lineRule="exact"/>
        <w:rPr>
          <w:sz w:val="20"/>
          <w:szCs w:val="20"/>
          <w:color w:val="auto"/>
        </w:rPr>
      </w:pPr>
    </w:p>
    <w:p>
      <w:pPr>
        <w:ind w:right="1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Commitment</w:t>
      </w:r>
      <w:r>
        <w:rPr>
          <w:rFonts w:ascii="Times New Roman" w:cs="Times New Roman" w:eastAsia="Times New Roman" w:hAnsi="Times New Roman"/>
          <w:sz w:val="18"/>
          <w:szCs w:val="18"/>
          <w:color w:val="auto"/>
        </w:rPr>
        <w:t xml:space="preserve">” means, as to a Lender, such Lender’s obligation to make a Loan pursuant to Section 2.1., in an amount up to, but not exceeding, the amount set forth for such Lender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as such Lender’s “</w:t>
      </w:r>
      <w:r>
        <w:rPr>
          <w:rFonts w:ascii="Times New Roman" w:cs="Times New Roman" w:eastAsia="Times New Roman" w:hAnsi="Times New Roman"/>
          <w:sz w:val="18"/>
          <w:szCs w:val="18"/>
          <w:u w:val="single" w:color="auto"/>
          <w:color w:val="0000FF"/>
        </w:rPr>
        <w:t>Effective Date Term</w:t>
      </w:r>
      <w:r>
        <w:rPr>
          <w:rFonts w:ascii="Times New Roman" w:cs="Times New Roman" w:eastAsia="Times New Roman" w:hAnsi="Times New Roman"/>
          <w:sz w:val="18"/>
          <w:szCs w:val="18"/>
          <w:color w:val="auto"/>
        </w:rPr>
        <w:t xml:space="preserve"> Loan Amount” </w:t>
      </w:r>
      <w:r>
        <w:rPr>
          <w:rFonts w:ascii="Times New Roman" w:cs="Times New Roman" w:eastAsia="Times New Roman" w:hAnsi="Times New Roman"/>
          <w:sz w:val="18"/>
          <w:szCs w:val="18"/>
          <w:color w:val="0000FF"/>
        </w:rPr>
        <w:t>and “New Term Loan Amount”, 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applicable</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3194685</wp:posOffset>
            </wp:positionH>
            <wp:positionV relativeFrom="paragraph">
              <wp:posOffset>-142875</wp:posOffset>
            </wp:positionV>
            <wp:extent cx="3274695"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274695" cy="8890"/>
                    </a:xfrm>
                    <a:prstGeom prst="rect">
                      <a:avLst/>
                    </a:prstGeom>
                    <a:noFill/>
                  </pic:spPr>
                </pic:pic>
              </a:graphicData>
            </a:graphic>
          </wp:anchor>
        </w:drawing>
        <w:drawing>
          <wp:anchor simplePos="0" relativeHeight="251657728" behindDoc="1" locked="0" layoutInCell="0" allowOverlap="1">
            <wp:simplePos x="0" y="0"/>
            <wp:positionH relativeFrom="column">
              <wp:posOffset>4842510</wp:posOffset>
            </wp:positionH>
            <wp:positionV relativeFrom="paragraph">
              <wp:posOffset>-177165</wp:posOffset>
            </wp:positionV>
            <wp:extent cx="162623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6262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-5715</wp:posOffset>
            </wp:positionV>
            <wp:extent cx="47180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471805" cy="8255"/>
                    </a:xfrm>
                    <a:prstGeom prst="rect">
                      <a:avLst/>
                    </a:prstGeom>
                    <a:noFill/>
                  </pic:spPr>
                </pic:pic>
              </a:graphicData>
            </a:graphic>
          </wp:anchor>
        </w:drawing>
      </w:r>
    </w:p>
    <w:p>
      <w:pPr>
        <w:spacing w:after="0" w:line="151" w:lineRule="exact"/>
        <w:rPr>
          <w:sz w:val="20"/>
          <w:szCs w:val="20"/>
          <w:color w:val="auto"/>
        </w:rPr>
      </w:pPr>
    </w:p>
    <w:p>
      <w:pPr>
        <w:ind w:right="5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Commodity Exchange Act</w:t>
      </w:r>
      <w:r>
        <w:rPr>
          <w:rFonts w:ascii="Times New Roman" w:cs="Times New Roman" w:eastAsia="Times New Roman" w:hAnsi="Times New Roman"/>
          <w:sz w:val="18"/>
          <w:szCs w:val="18"/>
          <w:color w:val="auto"/>
        </w:rPr>
        <w:t>” means the Commodity Exchange Act (7 U.S.C. §1 et seq.), as amended from time to time, and any successor statute.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Compliance Certificate</w:t>
      </w:r>
      <w:r>
        <w:rPr>
          <w:rFonts w:ascii="Times New Roman" w:cs="Times New Roman" w:eastAsia="Times New Roman" w:hAnsi="Times New Roman"/>
          <w:sz w:val="18"/>
          <w:szCs w:val="18"/>
          <w:color w:val="auto"/>
        </w:rPr>
        <w:t>” has the meaning given that term in Section 8.3.</w:t>
      </w:r>
    </w:p>
    <w:p>
      <w:pPr>
        <w:spacing w:after="0" w:line="16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20"/>
          </w:cols>
          <w:pgMar w:left="440" w:top="270" w:right="439" w:bottom="1440" w:gutter="0" w:footer="0" w:header="0"/>
        </w:sectPr>
      </w:pPr>
    </w:p>
    <w:bookmarkStart w:id="188" w:name="page189"/>
    <w:bookmarkEnd w:id="188"/>
    <w:p>
      <w:pPr>
        <w:ind w:firstLine="440"/>
        <w:spacing w:after="0" w:line="254" w:lineRule="auto"/>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u w:val="single" w:color="auto"/>
          <w:color w:val="0000FF"/>
        </w:rPr>
        <w:t>Conforming Changes</w:t>
      </w:r>
      <w:r>
        <w:rPr>
          <w:rFonts w:ascii="Times New Roman" w:cs="Times New Roman" w:eastAsia="Times New Roman" w:hAnsi="Times New Roman"/>
          <w:sz w:val="18"/>
          <w:szCs w:val="18"/>
          <w:u w:val="single" w:color="auto"/>
          <w:color w:val="0000FF"/>
        </w:rPr>
        <w:t>” means, with respect to either the use or administration of an initial Benchmark or the use, administration, adoption or implementation of any Benchmark Replacement, any technical, administrative or operational changes (including changes to the definition of “Base Rate,”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Section 4.4 and other technical, administrative or operational matters) that the Administrative Agent decides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decides is reasonably necessary in connection with the administration of this Agreement and the other Loan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-1230630</wp:posOffset>
            </wp:positionV>
            <wp:extent cx="652335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5233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-1093470</wp:posOffset>
            </wp:positionV>
            <wp:extent cx="672909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72909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-956310</wp:posOffset>
            </wp:positionV>
            <wp:extent cx="690943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9094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-819150</wp:posOffset>
            </wp:positionV>
            <wp:extent cx="685800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-681990</wp:posOffset>
            </wp:positionV>
            <wp:extent cx="681482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1482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-544830</wp:posOffset>
            </wp:positionV>
            <wp:extent cx="690054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9005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-407670</wp:posOffset>
            </wp:positionV>
            <wp:extent cx="680656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0656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-270510</wp:posOffset>
            </wp:positionV>
            <wp:extent cx="684085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408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-133350</wp:posOffset>
            </wp:positionV>
            <wp:extent cx="69519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9519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3175</wp:posOffset>
            </wp:positionV>
            <wp:extent cx="655764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557645" cy="8890"/>
                    </a:xfrm>
                    <a:prstGeom prst="rect">
                      <a:avLst/>
                    </a:prstGeom>
                    <a:noFill/>
                  </pic:spPr>
                </pic:pic>
              </a:graphicData>
            </a:graphic>
          </wp:anchor>
        </w:drawing>
      </w:r>
    </w:p>
    <w:p>
      <w:pPr>
        <w:spacing w:after="0" w:line="165" w:lineRule="exact"/>
        <w:rPr>
          <w:sz w:val="20"/>
          <w:szCs w:val="20"/>
          <w:color w:val="auto"/>
        </w:rPr>
      </w:pPr>
    </w:p>
    <w:p>
      <w:pPr>
        <w:ind w:right="1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Connection Income Taxes</w:t>
      </w:r>
      <w:r>
        <w:rPr>
          <w:rFonts w:ascii="Times New Roman" w:cs="Times New Roman" w:eastAsia="Times New Roman" w:hAnsi="Times New Roman"/>
          <w:sz w:val="18"/>
          <w:szCs w:val="18"/>
          <w:color w:val="auto"/>
        </w:rPr>
        <w:t>” means Other Connection Taxes that are imposed on or measured by net income (however denominated) or that are franchise Taxes or branch profits Taxes.</w:t>
      </w:r>
    </w:p>
    <w:p>
      <w:pPr>
        <w:spacing w:after="0" w:line="155" w:lineRule="exact"/>
        <w:rPr>
          <w:sz w:val="20"/>
          <w:szCs w:val="20"/>
          <w:color w:val="auto"/>
        </w:rPr>
      </w:pPr>
    </w:p>
    <w:p>
      <w:pPr>
        <w:ind w:right="4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Continuation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Continued</w:t>
      </w:r>
      <w:r>
        <w:rPr>
          <w:rFonts w:ascii="Times New Roman" w:cs="Times New Roman" w:eastAsia="Times New Roman" w:hAnsi="Times New Roman"/>
          <w:sz w:val="18"/>
          <w:szCs w:val="18"/>
          <w:color w:val="auto"/>
        </w:rPr>
        <w:t xml:space="preserve">” each refers to the continuation of a </w:t>
      </w:r>
      <w:r>
        <w:rPr>
          <w:rFonts w:ascii="Times New Roman" w:cs="Times New Roman" w:eastAsia="Times New Roman" w:hAnsi="Times New Roman"/>
          <w:sz w:val="18"/>
          <w:szCs w:val="18"/>
          <w:color w:val="FF0000"/>
          <w:strike w:val="1"/>
        </w:rPr>
        <w:t>LIBOR</w:t>
      </w:r>
      <w:r>
        <w:rPr>
          <w:rFonts w:ascii="Times New Roman" w:cs="Times New Roman" w:eastAsia="Times New Roman" w:hAnsi="Times New Roman"/>
          <w:sz w:val="18"/>
          <w:szCs w:val="18"/>
          <w:u w:val="single" w:color="auto"/>
          <w:color w:val="0000FF"/>
        </w:rPr>
        <w:t>SOFR</w:t>
      </w:r>
      <w:r>
        <w:rPr>
          <w:rFonts w:ascii="Times New Roman" w:cs="Times New Roman" w:eastAsia="Times New Roman" w:hAnsi="Times New Roman"/>
          <w:sz w:val="18"/>
          <w:szCs w:val="18"/>
          <w:color w:val="auto"/>
        </w:rPr>
        <w:t xml:space="preserve"> Loan from one Interest Period to another Interest Period pursuant to Section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4455160</wp:posOffset>
            </wp:positionH>
            <wp:positionV relativeFrom="paragraph">
              <wp:posOffset>-152400</wp:posOffset>
            </wp:positionV>
            <wp:extent cx="29146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135" w:lineRule="exact"/>
        <w:rPr>
          <w:sz w:val="20"/>
          <w:szCs w:val="20"/>
          <w:color w:val="auto"/>
        </w:rPr>
      </w:pPr>
    </w:p>
    <w:p>
      <w:pPr>
        <w:ind w:right="1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Construction-in-Process”</w:t>
      </w:r>
      <w:r>
        <w:rPr>
          <w:rFonts w:ascii="Times New Roman" w:cs="Times New Roman" w:eastAsia="Times New Roman" w:hAnsi="Times New Roman"/>
          <w:sz w:val="18"/>
          <w:szCs w:val="18"/>
          <w:color w:val="auto"/>
        </w:rPr>
        <w:t xml:space="preserve"> means cash expenditures for land and improvements (including indirect costs internally allocated and development costs) in accordance with GAAP on all Development Properties.</w:t>
      </w:r>
    </w:p>
    <w:p>
      <w:pPr>
        <w:spacing w:after="0" w:line="155" w:lineRule="exact"/>
        <w:rPr>
          <w:sz w:val="20"/>
          <w:szCs w:val="20"/>
          <w:color w:val="auto"/>
        </w:rPr>
      </w:pPr>
    </w:p>
    <w:p>
      <w:pPr>
        <w:ind w:right="260" w:firstLine="4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Control</w:t>
      </w:r>
      <w:r>
        <w:rPr>
          <w:rFonts w:ascii="Times New Roman" w:cs="Times New Roman" w:eastAsia="Times New Roman" w:hAnsi="Times New Roman"/>
          <w:sz w:val="17"/>
          <w:szCs w:val="17"/>
          <w:color w:val="auto"/>
        </w:rPr>
        <w:t>” means the possession, directly or indirectly, of the power to direct or cause the direction of the management or policies of a Person, whether through the ability to exercise voting power, by contract or otherwise. “Controlling” and “Controlled” have meanings correlative thereto.</w:t>
      </w:r>
    </w:p>
    <w:p>
      <w:pPr>
        <w:spacing w:after="0" w:line="132" w:lineRule="exact"/>
        <w:rPr>
          <w:sz w:val="20"/>
          <w:szCs w:val="20"/>
          <w:color w:val="auto"/>
        </w:rPr>
      </w:pPr>
    </w:p>
    <w:p>
      <w:pPr>
        <w:ind w:right="2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Controlled Property</w:t>
      </w:r>
      <w:r>
        <w:rPr>
          <w:rFonts w:ascii="Times New Roman" w:cs="Times New Roman" w:eastAsia="Times New Roman" w:hAnsi="Times New Roman"/>
          <w:sz w:val="18"/>
          <w:szCs w:val="18"/>
          <w:color w:val="auto"/>
        </w:rPr>
        <w:t>” means a Property which is an Eligible Property that is owned in fee simple (or leased under a Ground Lease) by a Subsidiary that is not a Wholly Owned Subsidiary and with respect to which the Borrower or such Subsidiary has the right to take the following actions without the need to obtain the consent of any Person (other than the Requisite Lenders if required pursuant to the Loan Documents): (A) to create Liens on such Property as security for Indebtedness of the Borrower or such Subsidiary, as applicable and (B) to sell, convey, transfer or otherwise dispose of such Property.</w:t>
      </w:r>
    </w:p>
    <w:p>
      <w:pPr>
        <w:spacing w:after="0" w:line="179" w:lineRule="exact"/>
        <w:rPr>
          <w:sz w:val="20"/>
          <w:szCs w:val="20"/>
          <w:color w:val="auto"/>
        </w:rPr>
      </w:pPr>
    </w:p>
    <w:p>
      <w:pPr>
        <w:ind w:right="300" w:firstLine="440"/>
        <w:spacing w:after="0" w:line="286" w:lineRule="auto"/>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b w:val="1"/>
          <w:bCs w:val="1"/>
          <w:color w:val="FF0000"/>
          <w:strike w:val="1"/>
        </w:rPr>
        <w:t>Corresponding Tenor</w:t>
      </w:r>
      <w:r>
        <w:rPr>
          <w:rFonts w:ascii="Times New Roman" w:cs="Times New Roman" w:eastAsia="Times New Roman" w:hAnsi="Times New Roman"/>
          <w:sz w:val="18"/>
          <w:szCs w:val="18"/>
          <w:color w:val="FF0000"/>
          <w:strike w:val="1"/>
        </w:rPr>
        <w:t>” with respect to any Available Tenor means, as applicable, either a tenor (including overnight) or an interest payment period having approximately the same length (disregarding business day adjustment) as such Available Tenor.</w:t>
      </w:r>
    </w:p>
    <w:p>
      <w:pPr>
        <w:spacing w:after="0" w:line="155" w:lineRule="exact"/>
        <w:rPr>
          <w:sz w:val="20"/>
          <w:szCs w:val="20"/>
          <w:color w:val="auto"/>
        </w:rPr>
      </w:pPr>
    </w:p>
    <w:p>
      <w:pPr>
        <w:ind w:right="6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Conversion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Converted</w:t>
      </w:r>
      <w:r>
        <w:rPr>
          <w:rFonts w:ascii="Times New Roman" w:cs="Times New Roman" w:eastAsia="Times New Roman" w:hAnsi="Times New Roman"/>
          <w:sz w:val="18"/>
          <w:szCs w:val="18"/>
          <w:color w:val="auto"/>
        </w:rPr>
        <w:t>” each refers to the conversion of a Loan of one Type into a Loan of another Type pursuant to Section 2.10.</w:t>
      </w:r>
    </w:p>
    <w:p>
      <w:pPr>
        <w:spacing w:after="0" w:line="155" w:lineRule="exact"/>
        <w:rPr>
          <w:sz w:val="20"/>
          <w:szCs w:val="20"/>
          <w:color w:val="auto"/>
        </w:rPr>
      </w:pPr>
    </w:p>
    <w:p>
      <w:pPr>
        <w:ind w:right="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Covered Entity</w:t>
      </w:r>
      <w:r>
        <w:rPr>
          <w:rFonts w:ascii="Times New Roman" w:cs="Times New Roman" w:eastAsia="Times New Roman" w:hAnsi="Times New Roman"/>
          <w:sz w:val="18"/>
          <w:szCs w:val="18"/>
          <w:color w:val="auto"/>
        </w:rPr>
        <w:t>” means any of the following: (i) a “covered entity” as that term is defined in, and interpreted in accordance with, 12 C.F.R. §252.82(b); (ii) a “covered bank” as that term is defined in, and interpreted in accordance with, 12 C.F.R. §47.3(b); or (iii) a “covered FSI” as that term is defined in, and interpreted in accordance with, 12 C.F.R. §382.2(b).</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Covered Party</w:t>
      </w:r>
      <w:r>
        <w:rPr>
          <w:rFonts w:ascii="Times New Roman" w:cs="Times New Roman" w:eastAsia="Times New Roman" w:hAnsi="Times New Roman"/>
          <w:sz w:val="18"/>
          <w:szCs w:val="18"/>
          <w:color w:val="auto"/>
        </w:rPr>
        <w:t>” has the meaning given that term in Section 12.24.</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40"/>
          </w:cols>
          <w:pgMar w:left="440" w:top="266" w:right="519" w:bottom="1440" w:gutter="0" w:footer="0" w:header="0"/>
        </w:sectPr>
      </w:pPr>
    </w:p>
    <w:bookmarkStart w:id="189" w:name="page190"/>
    <w:bookmarkEnd w:id="189"/>
    <w:p>
      <w:pPr>
        <w:ind w:right="44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Credit Event</w:t>
      </w:r>
      <w:r>
        <w:rPr>
          <w:rFonts w:ascii="Times New Roman" w:cs="Times New Roman" w:eastAsia="Times New Roman" w:hAnsi="Times New Roman"/>
          <w:sz w:val="18"/>
          <w:szCs w:val="18"/>
          <w:color w:val="auto"/>
        </w:rPr>
        <w:t xml:space="preserve">” means any of the following: (a) the making (or deemed making) of any Loan, (b) the Conversion of a Base Rate Loan into a </w:t>
      </w:r>
      <w:r>
        <w:rPr>
          <w:rFonts w:ascii="Times New Roman" w:cs="Times New Roman" w:eastAsia="Times New Roman" w:hAnsi="Times New Roman"/>
          <w:sz w:val="18"/>
          <w:szCs w:val="18"/>
          <w:color w:val="FF0000"/>
          <w:strike w:val="1"/>
        </w:rPr>
        <w:t>LIBOR</w:t>
      </w:r>
      <w:r>
        <w:rPr>
          <w:rFonts w:ascii="Times New Roman" w:cs="Times New Roman" w:eastAsia="Times New Roman" w:hAnsi="Times New Roman"/>
          <w:sz w:val="18"/>
          <w:szCs w:val="18"/>
          <w:u w:val="single" w:color="auto"/>
          <w:color w:val="0000FF"/>
        </w:rPr>
        <w:t>SOFR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Loan and (c) the Continuation of a</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LIBOR</w:t>
      </w:r>
      <w:r>
        <w:rPr>
          <w:rFonts w:ascii="Times New Roman" w:cs="Times New Roman" w:eastAsia="Times New Roman" w:hAnsi="Times New Roman"/>
          <w:sz w:val="18"/>
          <w:szCs w:val="18"/>
          <w:u w:val="single" w:color="auto"/>
          <w:color w:val="0000FF"/>
        </w:rPr>
        <w:t>SOFR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-15240</wp:posOffset>
            </wp:positionV>
            <wp:extent cx="28257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282575" cy="8255"/>
                    </a:xfrm>
                    <a:prstGeom prst="rect">
                      <a:avLst/>
                    </a:prstGeom>
                    <a:noFill/>
                  </pic:spPr>
                </pic:pic>
              </a:graphicData>
            </a:graphic>
          </wp:anchor>
        </w:drawing>
        <w:drawing>
          <wp:anchor simplePos="0" relativeHeight="251657728" behindDoc="1" locked="0" layoutInCell="0" allowOverlap="1">
            <wp:simplePos x="0" y="0"/>
            <wp:positionH relativeFrom="column">
              <wp:posOffset>2603500</wp:posOffset>
            </wp:positionH>
            <wp:positionV relativeFrom="paragraph">
              <wp:posOffset>-15240</wp:posOffset>
            </wp:positionV>
            <wp:extent cx="29146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135" w:lineRule="exact"/>
        <w:rPr>
          <w:sz w:val="20"/>
          <w:szCs w:val="20"/>
          <w:color w:val="auto"/>
        </w:rPr>
      </w:pPr>
    </w:p>
    <w:p>
      <w:pPr>
        <w:ind w:right="1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Credit Percentage</w:t>
      </w:r>
      <w:r>
        <w:rPr>
          <w:rFonts w:ascii="Times New Roman" w:cs="Times New Roman" w:eastAsia="Times New Roman" w:hAnsi="Times New Roman"/>
          <w:sz w:val="18"/>
          <w:szCs w:val="18"/>
          <w:color w:val="auto"/>
        </w:rPr>
        <w:t>” means, as to each Lender, the ratio, expressed as a percentage, of (a) the unpaid principal amount of such Lender’s Loan to (b) the aggregate unpaid principal amount of all Loans.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Credit Rating</w:t>
      </w:r>
      <w:r>
        <w:rPr>
          <w:rFonts w:ascii="Times New Roman" w:cs="Times New Roman" w:eastAsia="Times New Roman" w:hAnsi="Times New Roman"/>
          <w:sz w:val="18"/>
          <w:szCs w:val="18"/>
          <w:color w:val="auto"/>
        </w:rPr>
        <w:t>” means the rating assigned by a Rating Agency to the senior unsecured long term Indebtedness of a Person.</w:t>
      </w:r>
    </w:p>
    <w:p>
      <w:pPr>
        <w:spacing w:after="0" w:line="225"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b w:val="1"/>
          <w:bCs w:val="1"/>
          <w:color w:val="FF0000"/>
          <w:strike w:val="1"/>
        </w:rPr>
        <w:t>Daily Simple SOFR</w:t>
      </w:r>
      <w:r>
        <w:rPr>
          <w:rFonts w:ascii="Times New Roman" w:cs="Times New Roman" w:eastAsia="Times New Roman" w:hAnsi="Times New Roman"/>
          <w:sz w:val="18"/>
          <w:szCs w:val="18"/>
          <w:color w:val="FF0000"/>
          <w:strike w:val="1"/>
        </w:rPr>
        <w:t>” means, for any day, SOFR, with the conventions for this rate (which will include a lookback) being established by the Administrative Agent in accordance with the conventions for this rate selected or recommended by the Relevant Governmental Body for determining “Daily Simple SOFR” for business loans; provided, that if the Administrative Agent decides that any such convention is not administratively feasible for the Administrative Agent, then the Administrative Agent may establish another convention in its reasonable discretion.</w:t>
      </w:r>
    </w:p>
    <w:p>
      <w:pPr>
        <w:spacing w:after="0" w:line="176"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Debtor Relief Laws</w:t>
      </w:r>
      <w:r>
        <w:rPr>
          <w:rFonts w:ascii="Times New Roman" w:cs="Times New Roman" w:eastAsia="Times New Roman" w:hAnsi="Times New Roman"/>
          <w:sz w:val="18"/>
          <w:szCs w:val="18"/>
          <w:color w:val="auto"/>
        </w:rPr>
        <w:t>” means the Bankruptcy Code, and all other liquidation, conservatorship, bankruptcy, assignment for the benefit of creditors, moratorium, rearrangement, receivership, insolvency, reorganization, or similar Applicable Laws relating to the relief of debtors in the United States of America or other applicable jurisdictions from time to time in effect.</w:t>
      </w:r>
    </w:p>
    <w:p>
      <w:pPr>
        <w:spacing w:after="0" w:line="171" w:lineRule="exact"/>
        <w:rPr>
          <w:sz w:val="20"/>
          <w:szCs w:val="20"/>
          <w:color w:val="auto"/>
        </w:rPr>
      </w:pPr>
    </w:p>
    <w:p>
      <w:pPr>
        <w:ind w:right="1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w:t>
      </w:r>
      <w:r>
        <w:rPr>
          <w:rFonts w:ascii="Times New Roman" w:cs="Times New Roman" w:eastAsia="Times New Roman" w:hAnsi="Times New Roman"/>
          <w:sz w:val="18"/>
          <w:szCs w:val="18"/>
          <w:color w:val="auto"/>
        </w:rPr>
        <w:t>” means any of the events specified in Section 10.1., whether or not there has been satisfied any requirement for the giving of notice, the lapse of time, or both.</w:t>
      </w:r>
    </w:p>
    <w:p>
      <w:pPr>
        <w:spacing w:after="0" w:line="155" w:lineRule="exact"/>
        <w:rPr>
          <w:sz w:val="20"/>
          <w:szCs w:val="20"/>
          <w:color w:val="auto"/>
        </w:rPr>
      </w:pPr>
    </w:p>
    <w:p>
      <w:pPr>
        <w:ind w:right="20" w:firstLine="44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Defaulting Lender</w:t>
      </w:r>
      <w:r>
        <w:rPr>
          <w:rFonts w:ascii="Times New Roman" w:cs="Times New Roman" w:eastAsia="Times New Roman" w:hAnsi="Times New Roman"/>
          <w:sz w:val="18"/>
          <w:szCs w:val="18"/>
          <w:color w:val="auto"/>
        </w:rPr>
        <w:t>” means, subject to Section 3.9.(d), any Lender that (a) has failed to (i) fund all or any portion of its Loan within 2 Business Days of the date such Loan was required to be funded hereunder unless such Lender notifies the Administrative Agent and the Borrower in writing that such failure is the result of such Lender’s reasonable determination (such reasonableness to be confirmed by the Administrative Agent) that one or more conditions precedent to funding (each of which conditions precedent, together with any applicable default, shall be specifically identified in such writing furnished to the Administrative Agent and the Borrower on or prior to the date which is one Business Day before the request for such funding is submitted by the Borrower in order to be effective to exclude such Lender from being a “Defaulting Lender” hereunder with respect to such requested funding) has not been satisfied, or (ii) pay to the Administrative Agent or any other Lender any other amount required to be paid by it hereunder within 2 Business Days of the date when due, (b) has notified the Borrower or the Administrative Agent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reasonable determination (such reasonableness to be confirmed by the Administrative Agent) that a condition precedent to funding (which condition precedent, together with any applicable default, shall be specifically identified in such writing or public statement furnished to the Administrative Agent and the Borrower on or prior to the date which is one Business Day before the request for such funding is submitted by the Borrower) cannot be satisfied in order to be effective to exclude such Lender from being a “Defaulting Lender” hereunder with respect to such requested funding), (c) has failed, within 3 Business Days after written request by the Administrative Agent or the Borrower, to confirm in writing to the Administrative Agent and the Borrower that it will comply with its prospective funding obligations hereunder (provided that such Lender shall cease to be a Defaulting Lender pursuant to this clause (c) upon receipt of such written confirmation by the Administrative Agent and the Borrower),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66" w:right="459" w:bottom="1440" w:gutter="0" w:footer="0" w:header="0"/>
        </w:sectPr>
      </w:pPr>
    </w:p>
    <w:bookmarkStart w:id="190" w:name="page191"/>
    <w:bookmarkEnd w:id="190"/>
    <w:p>
      <w:pPr>
        <w:ind w:left="4" w:right="8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Corporation or any other state or federal regulatory authority acting in such a capacity, or (iii) become the subject of a Bail-In Action; provided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of America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clauses (a) through (d) above shall be conclusive and binding absent manifest error, and such Lender shall be deemed to be a Defaulting Lender (subject to Section 3.9.(d)) upon delivery of written notice of such determination to the Borrower and each Lender.</w:t>
      </w:r>
    </w:p>
    <w:p>
      <w:pPr>
        <w:spacing w:after="0" w:line="188" w:lineRule="exact"/>
        <w:rPr>
          <w:sz w:val="20"/>
          <w:szCs w:val="20"/>
          <w:color w:val="auto"/>
        </w:rPr>
      </w:pPr>
    </w:p>
    <w:p>
      <w:pPr>
        <w:ind w:left="4" w:right="4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w:t>
      </w:r>
    </w:p>
    <w:p>
      <w:pPr>
        <w:spacing w:after="0" w:line="155"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Derivatives Contract</w:t>
      </w:r>
      <w:r>
        <w:rPr>
          <w:rFonts w:ascii="Times New Roman" w:cs="Times New Roman" w:eastAsia="Times New Roman" w:hAnsi="Times New Roman"/>
          <w:sz w:val="18"/>
          <w:szCs w:val="18"/>
          <w:color w:val="auto"/>
        </w:rPr>
        <w:t>” means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commitment on the part of a Loan Party to enter into any of the foregoing), whether or not any such transaction is governed by or subject to any master agreement. Not in limitation of the foregoing, the term “Derivatives Contract” includes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including any such obligations or liabilities under any such master agreement.</w:t>
      </w:r>
    </w:p>
    <w:p>
      <w:pPr>
        <w:spacing w:after="0" w:line="188" w:lineRule="exact"/>
        <w:rPr>
          <w:sz w:val="20"/>
          <w:szCs w:val="20"/>
          <w:color w:val="auto"/>
        </w:rPr>
      </w:pPr>
    </w:p>
    <w:p>
      <w:pPr>
        <w:ind w:left="4" w:right="46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Derivatives Support Document”</w:t>
      </w:r>
      <w:r>
        <w:rPr>
          <w:rFonts w:ascii="Times New Roman" w:cs="Times New Roman" w:eastAsia="Times New Roman" w:hAnsi="Times New Roman"/>
          <w:sz w:val="18"/>
          <w:szCs w:val="18"/>
          <w:color w:val="auto"/>
        </w:rPr>
        <w:t xml:space="preserve"> means (i) any Credit Support Annex comprising part of (and as defined in) any Specified Derivatives Contract, and (ii) any document or agreement pursuant to which cash, deposit accounts, securities accounts or similar financial asset collateral are pledged to or made available for set-off by, a Specified Derivatives Provider, including any banker’s lien or similar right, securing or supporting Specified Derivatives Obligation.</w:t>
      </w:r>
    </w:p>
    <w:p>
      <w:pPr>
        <w:spacing w:after="0" w:line="176" w:lineRule="exact"/>
        <w:rPr>
          <w:sz w:val="20"/>
          <w:szCs w:val="20"/>
          <w:color w:val="auto"/>
        </w:rPr>
      </w:pPr>
    </w:p>
    <w:p>
      <w:pPr>
        <w:jc w:val="both"/>
        <w:ind w:left="4" w:right="100" w:firstLine="440"/>
        <w:spacing w:after="0" w:line="274" w:lineRule="auto"/>
        <w:rPr>
          <w:sz w:val="20"/>
          <w:szCs w:val="20"/>
          <w:color w:val="auto"/>
        </w:rPr>
      </w:pPr>
      <w:r>
        <w:rPr>
          <w:rFonts w:ascii="Times New Roman" w:cs="Times New Roman" w:eastAsia="Times New Roman" w:hAnsi="Times New Roman"/>
          <w:sz w:val="17"/>
          <w:szCs w:val="17"/>
          <w:b w:val="1"/>
          <w:bCs w:val="1"/>
          <w:color w:val="auto"/>
        </w:rPr>
        <w:t>“Derivatives Termination Value</w:t>
      </w:r>
      <w:r>
        <w:rPr>
          <w:rFonts w:ascii="Times New Roman" w:cs="Times New Roman" w:eastAsia="Times New Roman" w:hAnsi="Times New Roman"/>
          <w:sz w:val="17"/>
          <w:szCs w:val="17"/>
          <w:color w:val="auto"/>
        </w:rPr>
        <w:t>” means, in respect of any one or more Derivatives Contracts, after taking into account the effect of any legally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enforceable netting agreement relating to such Derivatives Contracts, (a) for any date on or after the date such Derivatives Contracts have been closed out and termination value(s) determined in accordance therewith, such termination value(s), and (b) for any date prior to the date referenced in clause</w:t>
      </w:r>
    </w:p>
    <w:p>
      <w:pPr>
        <w:spacing w:after="0" w:line="1" w:lineRule="exact"/>
        <w:rPr>
          <w:sz w:val="20"/>
          <w:szCs w:val="20"/>
          <w:color w:val="auto"/>
        </w:rPr>
      </w:pPr>
    </w:p>
    <w:p>
      <w:pPr>
        <w:ind w:left="4" w:right="20" w:hanging="4"/>
        <w:spacing w:after="0" w:line="255" w:lineRule="auto"/>
        <w:tabs>
          <w:tab w:leader="none" w:pos="249"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determined as the mark-to-market value(s) for such Derivatives Contracts, as determined based upon one or more mid-market or other readily available quotations provided by any recognized dealer in such Derivatives Contracts (which may include the Administrative Agent or any Lender).</w:t>
      </w:r>
    </w:p>
    <w:p>
      <w:pPr>
        <w:spacing w:after="0" w:line="182" w:lineRule="exact"/>
        <w:rPr>
          <w:sz w:val="20"/>
          <w:szCs w:val="20"/>
          <w:color w:val="auto"/>
        </w:rPr>
      </w:pPr>
    </w:p>
    <w:p>
      <w:pPr>
        <w:ind w:left="4" w:right="20" w:firstLine="440"/>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Development Property</w:t>
      </w:r>
      <w:r>
        <w:rPr>
          <w:rFonts w:ascii="Times New Roman" w:cs="Times New Roman" w:eastAsia="Times New Roman" w:hAnsi="Times New Roman"/>
          <w:sz w:val="17"/>
          <w:szCs w:val="17"/>
          <w:color w:val="auto"/>
        </w:rPr>
        <w:t>” means a Property that is not yet a Retail Property, an Office Property, a Multifamily Property or a Hotel Property but is being developed, or will have development commencing within 12 months of any date of determination, to become one. A Development Property will cease to constitute a Development Property upon the earlier to occur of (x) in the case of a Retail Property, Office Property or Multifamily Property</w:t>
      </w:r>
    </w:p>
    <w:p>
      <w:pPr>
        <w:spacing w:after="0" w:line="1" w:lineRule="exact"/>
        <w:rPr>
          <w:sz w:val="20"/>
          <w:szCs w:val="20"/>
          <w:color w:val="auto"/>
        </w:rPr>
      </w:pPr>
    </w:p>
    <w:p>
      <w:pPr>
        <w:ind w:left="4" w:right="20" w:hanging="4"/>
        <w:spacing w:after="0" w:line="260" w:lineRule="auto"/>
        <w:tabs>
          <w:tab w:leader="none" w:pos="249"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that is six months past substantial completion of such Property and (b) achieving an Occupancy Rate of 85.0% and (y) in the case of a Hotel Property, the date that is 12 months past substantial completion of such Property.</w:t>
      </w:r>
    </w:p>
    <w:p>
      <w:pPr>
        <w:spacing w:after="0" w:line="11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64"/>
          </w:cols>
          <w:pgMar w:left="436" w:top="270" w:right="499" w:bottom="1440" w:gutter="0" w:footer="0" w:header="0"/>
        </w:sectPr>
      </w:pPr>
    </w:p>
    <w:bookmarkStart w:id="191" w:name="page192"/>
    <w:bookmarkEnd w:id="191"/>
    <w:p>
      <w:pPr>
        <w:ind w:right="680" w:firstLine="440"/>
        <w:spacing w:after="0" w:line="31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7"/>
          <w:szCs w:val="17"/>
          <w:b w:val="1"/>
          <w:bCs w:val="1"/>
          <w:color w:val="auto"/>
        </w:rPr>
        <w:t>Disbursement Instruction Agreement</w:t>
      </w:r>
      <w:r>
        <w:rPr>
          <w:rFonts w:ascii="Times New Roman" w:cs="Times New Roman" w:eastAsia="Times New Roman" w:hAnsi="Times New Roman"/>
          <w:sz w:val="17"/>
          <w:szCs w:val="17"/>
          <w:color w:val="auto"/>
        </w:rPr>
        <w:t>” means an agreement substantially in the form of Exhibit G to be executed and delivered by the Borrower, as the same may be amended, restated or modified from time to time with the prior written approval of the Administrative Agent.</w:t>
      </w:r>
    </w:p>
    <w:p>
      <w:pPr>
        <w:spacing w:after="0" w:line="13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Dollars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means the lawful currency of the United States of America.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b w:val="1"/>
          <w:bCs w:val="1"/>
          <w:color w:val="FF0000"/>
          <w:strike w:val="1"/>
        </w:rPr>
        <w:t>Early Opt-in Election</w:t>
      </w:r>
      <w:r>
        <w:rPr>
          <w:rFonts w:ascii="Times New Roman" w:cs="Times New Roman" w:eastAsia="Times New Roman" w:hAnsi="Times New Roman"/>
          <w:sz w:val="18"/>
          <w:szCs w:val="18"/>
          <w:color w:val="FF0000"/>
          <w:strike w:val="1"/>
        </w:rPr>
        <w:t>” means, if the then-current Benchmark is USD LIBOR, the occurrence of:</w:t>
      </w:r>
    </w:p>
    <w:p>
      <w:pPr>
        <w:spacing w:after="0" w:line="135" w:lineRule="exact"/>
        <w:rPr>
          <w:sz w:val="20"/>
          <w:szCs w:val="20"/>
          <w:color w:val="auto"/>
        </w:rPr>
      </w:pPr>
    </w:p>
    <w:p>
      <w:pPr>
        <w:ind w:left="960" w:hanging="532"/>
        <w:spacing w:after="0" w:line="261" w:lineRule="auto"/>
        <w:tabs>
          <w:tab w:leader="none" w:pos="960" w:val="left"/>
        </w:tabs>
        <w:numPr>
          <w:ilvl w:val="0"/>
          <w:numId w:val="184"/>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a notification by the Administrative Agent to (or the request by the Borrower to the Administrative Agent to notify) each of the other parties hereto that at least five currently outstanding U.S. Dollar-denominated syndicated credit facilities at such time contain (as a result of amendment or as originally executed) a SOFR-based rate (including SOFR, a term SOFR or any other rate based upon SOFR) as a benchmark rate (and such syndicated credit facilities are identified in such notice and are publicly available for review), and</w:t>
      </w:r>
    </w:p>
    <w:p>
      <w:pPr>
        <w:spacing w:after="0" w:line="85" w:lineRule="exact"/>
        <w:rPr>
          <w:rFonts w:ascii="Times New Roman" w:cs="Times New Roman" w:eastAsia="Times New Roman" w:hAnsi="Times New Roman"/>
          <w:sz w:val="18"/>
          <w:szCs w:val="18"/>
          <w:color w:val="FF0000"/>
          <w:strike w:val="1"/>
        </w:rPr>
      </w:pPr>
    </w:p>
    <w:p>
      <w:pPr>
        <w:ind w:left="960" w:right="800" w:hanging="532"/>
        <w:spacing w:after="0" w:line="282" w:lineRule="auto"/>
        <w:tabs>
          <w:tab w:leader="none" w:pos="960" w:val="left"/>
        </w:tabs>
        <w:numPr>
          <w:ilvl w:val="0"/>
          <w:numId w:val="184"/>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the joint election by the Administrative Agent and the Borrower to trigger a fallback from USD LIBOR and the provision by the Administrative Agent of written notice of such election to the Lenders.</w:t>
      </w:r>
    </w:p>
    <w:p>
      <w:pPr>
        <w:spacing w:after="0" w:line="158"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“EBITDA” </w:t>
      </w:r>
      <w:r>
        <w:rPr>
          <w:rFonts w:ascii="Times New Roman" w:cs="Times New Roman" w:eastAsia="Times New Roman" w:hAnsi="Times New Roman"/>
          <w:sz w:val="18"/>
          <w:szCs w:val="18"/>
          <w:color w:val="auto"/>
        </w:rPr>
        <w:t>means, with respect to a Person for any period: (a) net income (or loss) of such Person for such period determined on a consolidated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basis, in accordance with GAAP, exclusive of the following (but only to the extent included in determination of such net income (loss)): (i) depreciation and amortization expense; (ii) Interest Expense; (iii) income tax expense; and (iv) extraordinary or non-recurring gains and losses;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such Person’s Ownership Share of EBITDA (as determined in a manner consistent with the foregoing clause (a)) of its Unconsolidated Affiliates. EBITDA will be adjusted to remove all impact of straight lining of rents required under GAAP and amortization of intangibles pursuant to FASB ASC 805.</w:t>
      </w:r>
    </w:p>
    <w:p>
      <w:pPr>
        <w:spacing w:after="0" w:line="179" w:lineRule="exact"/>
        <w:rPr>
          <w:sz w:val="20"/>
          <w:szCs w:val="20"/>
          <w:color w:val="auto"/>
        </w:rPr>
      </w:pPr>
    </w:p>
    <w:p>
      <w:pPr>
        <w:ind w:right="8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EEA Financial Institution</w:t>
      </w:r>
      <w:r>
        <w:rPr>
          <w:rFonts w:ascii="Times New Roman" w:cs="Times New Roman" w:eastAsia="Times New Roman" w:hAnsi="Times New Roman"/>
          <w:sz w:val="18"/>
          <w:szCs w:val="18"/>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EEA Member Country</w:t>
      </w:r>
      <w:r>
        <w:rPr>
          <w:rFonts w:ascii="Times New Roman" w:cs="Times New Roman" w:eastAsia="Times New Roman" w:hAnsi="Times New Roman"/>
          <w:sz w:val="18"/>
          <w:szCs w:val="18"/>
          <w:color w:val="auto"/>
        </w:rPr>
        <w:t>” means any of the member states of the European Union, Iceland, Liechtenstein, and Norway.</w:t>
      </w:r>
    </w:p>
    <w:p>
      <w:pPr>
        <w:spacing w:after="0" w:line="225" w:lineRule="exact"/>
        <w:rPr>
          <w:sz w:val="20"/>
          <w:szCs w:val="20"/>
          <w:color w:val="auto"/>
        </w:rPr>
      </w:pPr>
    </w:p>
    <w:p>
      <w:pPr>
        <w:ind w:right="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EEA Resolution Authority</w:t>
      </w:r>
      <w:r>
        <w:rPr>
          <w:rFonts w:ascii="Times New Roman" w:cs="Times New Roman" w:eastAsia="Times New Roman" w:hAnsi="Times New Roman"/>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55" w:lineRule="exact"/>
        <w:rPr>
          <w:sz w:val="20"/>
          <w:szCs w:val="20"/>
          <w:color w:val="auto"/>
        </w:rPr>
      </w:pPr>
    </w:p>
    <w:p>
      <w:pPr>
        <w:ind w:right="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means the later of (a) the Agreement Date and (b) the date on which all of the conditions precedent set forth in Section 5.1. shall have been fulfilled or waived by all of the Lenders.</w:t>
      </w:r>
    </w:p>
    <w:p>
      <w:pPr>
        <w:spacing w:after="0" w:line="155" w:lineRule="exact"/>
        <w:rPr>
          <w:sz w:val="20"/>
          <w:szCs w:val="20"/>
          <w:color w:val="auto"/>
        </w:rPr>
      </w:pPr>
    </w:p>
    <w:p>
      <w:pPr>
        <w:ind w:right="6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Assignee</w:t>
      </w:r>
      <w:r>
        <w:rPr>
          <w:rFonts w:ascii="Times New Roman" w:cs="Times New Roman" w:eastAsia="Times New Roman" w:hAnsi="Times New Roman"/>
          <w:sz w:val="18"/>
          <w:szCs w:val="18"/>
          <w:color w:val="auto"/>
        </w:rPr>
        <w:t>” means (a) a Lender, (b) an Affiliate of a Lender, (c) an Approved Fund and (d) any other Person (other than a natural person) approved by the Administrative Agent (such approval not to be unreasonably withheld or delayed); provided that notwithstanding the foregoing, “Eligible Assignee” shall not include the Parent, the General Partner, the Borrower, any of the Parent’s, the General Partner’s or the Borrower’s Affiliates or Subsidiaries or any Defaulting Lender.</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66" w:right="459" w:bottom="1440" w:gutter="0" w:footer="0" w:header="0"/>
        </w:sectPr>
      </w:pPr>
    </w:p>
    <w:bookmarkStart w:id="192" w:name="page193"/>
    <w:bookmarkEnd w:id="192"/>
    <w:p>
      <w:pPr>
        <w:ind w:left="4" w:right="60" w:firstLine="440"/>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7"/>
          <w:szCs w:val="17"/>
          <w:b w:val="1"/>
          <w:bCs w:val="1"/>
          <w:color w:val="auto"/>
        </w:rPr>
        <w:t>Eligible Property</w:t>
      </w:r>
      <w:r>
        <w:rPr>
          <w:rFonts w:ascii="Times New Roman" w:cs="Times New Roman" w:eastAsia="Times New Roman" w:hAnsi="Times New Roman"/>
          <w:sz w:val="17"/>
          <w:szCs w:val="17"/>
          <w:color w:val="auto"/>
        </w:rPr>
        <w:t>” means a Property which satisfies all of the following requirements: (a) such Property is a Retail Property, an Office Property, a Multifamily Property or Hotel Property; (b) neither such Property, nor any interest of the Borrower, any Subsidiary or any Unconsolidated Affiliate therein (and if such Property is owned by a Subsidiary or Unconsolidated Affiliate, none of the Borrower’s direct or indirect ownership interests in such Subsidiary or Unconsolidated Affiliate) is subject to any (i) Lien other than (x) Permitted Liens (excluding Permitted Liens of the type described in clauses (g) and (h) of the definition thereof) and (y) in the case of a Property leased under a Ground Lease, the interest of the lessor under such Ground Lease (regardless of whether the lessee’s obligations under such Ground Lease constitute Capitalized Lease Obligations) or (ii) Negative Pledge;</w:t>
      </w:r>
    </w:p>
    <w:p>
      <w:pPr>
        <w:spacing w:after="0" w:line="4" w:lineRule="exact"/>
        <w:rPr>
          <w:sz w:val="20"/>
          <w:szCs w:val="20"/>
          <w:color w:val="auto"/>
        </w:rPr>
      </w:pPr>
    </w:p>
    <w:p>
      <w:pPr>
        <w:ind w:left="4" w:right="400" w:hanging="4"/>
        <w:spacing w:after="0" w:line="265" w:lineRule="auto"/>
        <w:tabs>
          <w:tab w:leader="none" w:pos="249" w:val="left"/>
        </w:tabs>
        <w:numPr>
          <w:ilvl w:val="0"/>
          <w:numId w:val="1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Property is free of all structural defects or major architectural deficiencies, title defects, environmental conditions or other adverse matters except for defects, deficiencies, conditions or other matters individually or collectively which are not material to the profitable operation of such Property; and (d) if (i) such Property is leased by the Borrower, a Subsidiary or Unconsolidated Affiliate pursuant to a Ground Lease or other lease,</w:t>
      </w:r>
    </w:p>
    <w:p>
      <w:pPr>
        <w:ind w:left="4" w:right="260" w:hanging="4"/>
        <w:spacing w:after="0" w:line="255" w:lineRule="auto"/>
        <w:tabs>
          <w:tab w:leader="none" w:pos="269"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lessor’s interest in such Property is subject to a mortgage and (iii) such Ground Lease or lease is subordinate to such mortgage, then the mortgagee shall have executed a customary non-disturbance agreement with respect to the rights of the Borrower, such Subsidiary or Unconsolidated Affiliate under the Ground Lease or other lease.</w:t>
      </w:r>
    </w:p>
    <w:p>
      <w:pPr>
        <w:spacing w:after="0" w:line="182" w:lineRule="exact"/>
        <w:rPr>
          <w:sz w:val="20"/>
          <w:szCs w:val="20"/>
          <w:color w:val="auto"/>
        </w:rPr>
      </w:pPr>
    </w:p>
    <w:p>
      <w:pPr>
        <w:ind w:left="4" w:right="14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means any Applicable Law relating to environmental protection or the manufacture, storage, remediation, disposal or clean-up of Hazardous Materials including, without limitation, the following: Clean Air Act, 42 U.S.C. § 7401 et seq.; Federal Water Pollution Control Act, 33 U.S.C. § 1251 et seq.; Solid Waste Disposal Act, as amended by the Resource Conservation and Recovery Act, 42 U.S.C. § 6901 et seq.; Comprehensive Environmental Response, Compensation and Liability Act, 42 U.S.C. § 9601 et seq.; National Environmental Policy Act, 42 U.S.C. § 4321 et seq.; regulations of the Environmental Protection Agency, any applicable rule of common law and any judicial interpretation thereof relating primarily to the environment or Hazardous Materials, and, to the extent constituting Applicable Law, any analogous or comparable state or local laws, regulations or ordinances that concern Hazardous Materials or protection of the environment.</w:t>
      </w:r>
    </w:p>
    <w:p>
      <w:pPr>
        <w:spacing w:after="0" w:line="183" w:lineRule="exact"/>
        <w:rPr>
          <w:sz w:val="20"/>
          <w:szCs w:val="20"/>
          <w:color w:val="auto"/>
        </w:rPr>
      </w:pPr>
    </w:p>
    <w:p>
      <w:pPr>
        <w:ind w:left="4" w:right="16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Interest</w:t>
      </w:r>
      <w:r>
        <w:rPr>
          <w:rFonts w:ascii="Times New Roman" w:cs="Times New Roman" w:eastAsia="Times New Roman" w:hAnsi="Times New Roman"/>
          <w:sz w:val="18"/>
          <w:szCs w:val="18"/>
          <w:color w:val="auto"/>
        </w:rPr>
        <w:t>” means, with respect to any Person, any share of capital stock of (or other ownership or profit interests in) such Person, any warrant, option or other right for the purchase or other acquisition from such Person of any share of capital stock of (or other ownership or profit interests in) such Person whether or not certificated, any security convertible into or exchangeable for any share of capital stock of (or other ownership or profit interests in) such Person or warrant, right or option for the purchase or other acquisition from such Person of such shares (or such other interests), and any other ownership or profit interest in such Person (including, without limitation, partnership, member or trust interests therein), whether voting or nonvoting, and whether or not such share, warrant, option, right or other interest is authorized or otherwise existing on any date of determination.</w:t>
      </w:r>
    </w:p>
    <w:p>
      <w:pPr>
        <w:spacing w:after="0" w:line="183" w:lineRule="exact"/>
        <w:rPr>
          <w:sz w:val="20"/>
          <w:szCs w:val="20"/>
          <w:color w:val="auto"/>
        </w:rPr>
      </w:pPr>
    </w:p>
    <w:p>
      <w:pPr>
        <w:ind w:left="4"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Issuance</w:t>
      </w:r>
      <w:r>
        <w:rPr>
          <w:rFonts w:ascii="Times New Roman" w:cs="Times New Roman" w:eastAsia="Times New Roman" w:hAnsi="Times New Roman"/>
          <w:sz w:val="18"/>
          <w:szCs w:val="18"/>
          <w:color w:val="auto"/>
        </w:rPr>
        <w:t>” means any issuance or sale by a Person of any Equity Interest in such Person and shall in any event include the issuance of any Equity Interest upon the conversion or exchange of any security constituting Indebtedness that is convertible or exchangeable, or is being converted or exchanged, for Equity Interests.</w:t>
      </w:r>
    </w:p>
    <w:p>
      <w:pPr>
        <w:spacing w:after="0" w:line="17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means the Employee Retirement Income Security Act of 1974, as in effect from time to time.</w:t>
      </w:r>
    </w:p>
    <w:p>
      <w:pPr>
        <w:spacing w:after="0" w:line="225" w:lineRule="exact"/>
        <w:rPr>
          <w:sz w:val="20"/>
          <w:szCs w:val="20"/>
          <w:color w:val="auto"/>
        </w:rPr>
      </w:pPr>
    </w:p>
    <w:p>
      <w:pPr>
        <w:ind w:left="4" w:right="10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 Event</w:t>
      </w:r>
      <w:r>
        <w:rPr>
          <w:rFonts w:ascii="Times New Roman" w:cs="Times New Roman" w:eastAsia="Times New Roman" w:hAnsi="Times New Roman"/>
          <w:sz w:val="18"/>
          <w:szCs w:val="18"/>
          <w:color w:val="auto"/>
        </w:rPr>
        <w:t>” means, with respect to the ERISA Group, (a) any “reportable event” as defined in Section 4043 of ERISA with respect to a Plan (other than an event for which the 30-day notice period is waived); (b) the withdrawal of a member of the ERISA Group from a Plan subject to Section 4063 of ERISA during a plan year in which it was a “substantial employer” as defined in Section 4001(a)(2) of ERISA or a cessation of operations that is treated as such a withdrawal under Section 4062(e) of ERISA; (c) the incurrence by a member of the ERISA Group of any liability with respect to the withdrawal or partial withdrawal from any Multiemployer Plan; (d) the incurrence by any member of the ERISA Group of any</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4"/>
          </w:cols>
          <w:pgMar w:left="436" w:top="266" w:right="459" w:bottom="1440" w:gutter="0" w:footer="0" w:header="0"/>
        </w:sectPr>
      </w:pPr>
    </w:p>
    <w:bookmarkStart w:id="193" w:name="page194"/>
    <w:bookmarkEnd w:id="193"/>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liability under Title IV of ERISA with respect to the termination of any Plan or Multiemployer Plan; (e) the ERISA group receives notice of the institution of proceedings to terminate a Plan or Multiemployer Plan by the PBGC; (f) the failure by any member of the ERISA Group to make when due required contributions to a Multiemployer Plan or Plan unless such failure is cured within 30 days or the filing pursuant to Section 412(c) of the Internal Revenue Code or Section 302(c) of ERISA of an application for a waiver of the minimum funding standard; (g) any other event or condition that might reasonably be expected to constitute grounds under Section 4042 of ERISA for the termination of, or the appointment of a trustee to administer, any Plan or Multiemployer Plan or the imposition of liability under Section 4069 or 4212(c) of ERISA; (h) the receipt by any member of the ERISA Group of any notice or the receipt by any Multiemployer Plan from any member of the ERISA Group of any notice, concerning the imposition of Withdrawal Liability or a determination that a Multiemployer Plan is, or is expected to be, insolvent (within the meaning of Section 4245 of ERISA), in reorganization (within the meaning of Section 4241 of ERISA), or in “critical” status (within the meaning of Section 432 of the Internal Revenue Code or Section 305 of ERISA); (i) the ERISA Group receives notice of the imposition of any liability under Title IV of ERISA, other than for PBGC premiums due but not delinquent under Section 4007 of ERISA, upon any member of the ERISA Group or the imposition of any Lien in favor of the PBGC under Title IV of ERISA; or (j) the ERISA Group receives notice of a determination that a Plan is, or is reasonably expected to be, in “at risk” status (within the meaning of Section 430 of the Internal Revenue Code or Section 303 of ERISA).</w:t>
      </w:r>
    </w:p>
    <w:p>
      <w:pPr>
        <w:spacing w:after="0" w:line="183"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 Group</w:t>
      </w:r>
      <w:r>
        <w:rPr>
          <w:rFonts w:ascii="Times New Roman" w:cs="Times New Roman" w:eastAsia="Times New Roman" w:hAnsi="Times New Roman"/>
          <w:sz w:val="18"/>
          <w:szCs w:val="18"/>
          <w:color w:val="auto"/>
        </w:rPr>
        <w:t>” means the Borrower, any Subsidiary and all members of a controlled group of corporations and all trades or businesses (whether or not incorporated) under common control which, together with the Borrower or any Subsidiary, are treated as a single employer under Section 414 of the Internal Revenue Code.</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Erroneous Payment</w:t>
      </w:r>
      <w:r>
        <w:rPr>
          <w:rFonts w:ascii="Times New Roman" w:cs="Times New Roman" w:eastAsia="Times New Roman" w:hAnsi="Times New Roman"/>
          <w:sz w:val="18"/>
          <w:szCs w:val="18"/>
          <w:color w:val="auto"/>
        </w:rPr>
        <w:t>” has the meaning given that term in Section 11.10.(a).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Erroneous 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FF0000"/>
          <w:strike w:val="1"/>
        </w:rPr>
        <w:t>Notice</w:t>
      </w:r>
      <w:r>
        <w:rPr>
          <w:rFonts w:ascii="Times New Roman" w:cs="Times New Roman" w:eastAsia="Times New Roman" w:hAnsi="Times New Roman"/>
          <w:sz w:val="18"/>
          <w:szCs w:val="18"/>
          <w:b w:val="1"/>
          <w:bCs w:val="1"/>
          <w:u w:val="single" w:color="auto"/>
          <w:color w:val="0000FF"/>
        </w:rPr>
        <w:t>Deficiency Assignment</w:t>
      </w:r>
      <w:r>
        <w:rPr>
          <w:rFonts w:ascii="Times New Roman" w:cs="Times New Roman" w:eastAsia="Times New Roman" w:hAnsi="Times New Roman"/>
          <w:sz w:val="18"/>
          <w:szCs w:val="18"/>
          <w:color w:val="auto"/>
        </w:rPr>
        <w:t>” has the meaning given that term in Section 11.10</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FF0000"/>
          <w:strike w:val="1"/>
        </w:rPr>
        <w:t>b</w:t>
      </w:r>
      <w:r>
        <w:rPr>
          <w:rFonts w:ascii="Times New Roman" w:cs="Times New Roman" w:eastAsia="Times New Roman" w:hAnsi="Times New Roman"/>
          <w:sz w:val="18"/>
          <w:szCs w:val="18"/>
          <w:u w:val="single" w:color="auto"/>
          <w:color w:val="0000FF"/>
        </w:rPr>
        <w:t>d</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1643380</wp:posOffset>
            </wp:positionH>
            <wp:positionV relativeFrom="paragraph">
              <wp:posOffset>28575</wp:posOffset>
            </wp:positionV>
            <wp:extent cx="110553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105535" cy="8255"/>
                    </a:xfrm>
                    <a:prstGeom prst="rect">
                      <a:avLst/>
                    </a:prstGeom>
                    <a:noFill/>
                  </pic:spPr>
                </pic:pic>
              </a:graphicData>
            </a:graphic>
          </wp:anchor>
        </w:drawing>
        <w:drawing>
          <wp:anchor simplePos="0" relativeHeight="251657728" behindDoc="1" locked="0" layoutInCell="0" allowOverlap="1">
            <wp:simplePos x="0" y="0"/>
            <wp:positionH relativeFrom="column">
              <wp:posOffset>5183505</wp:posOffset>
            </wp:positionH>
            <wp:positionV relativeFrom="paragraph">
              <wp:posOffset>28575</wp:posOffset>
            </wp:positionV>
            <wp:extent cx="5143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u w:val="single" w:color="auto"/>
          <w:color w:val="0000FF"/>
        </w:rPr>
        <w:t>Erroneous Payment Impacted Class</w:t>
      </w:r>
      <w:r>
        <w:rPr>
          <w:rFonts w:ascii="Times New Roman" w:cs="Times New Roman" w:eastAsia="Times New Roman" w:hAnsi="Times New Roman"/>
          <w:sz w:val="18"/>
          <w:szCs w:val="18"/>
          <w:u w:val="single" w:color="auto"/>
          <w:color w:val="0000FF"/>
        </w:rPr>
        <w:t>” has the meaning given that term in Section 11.10(d).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28575</wp:posOffset>
            </wp:positionV>
            <wp:extent cx="427736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u w:val="single" w:color="auto"/>
          <w:color w:val="0000FF"/>
        </w:rPr>
        <w:t>Erroneous Payment Return Deficiency</w:t>
      </w:r>
      <w:r>
        <w:rPr>
          <w:rFonts w:ascii="Times New Roman" w:cs="Times New Roman" w:eastAsia="Times New Roman" w:hAnsi="Times New Roman"/>
          <w:sz w:val="18"/>
          <w:szCs w:val="18"/>
          <w:u w:val="single" w:color="auto"/>
          <w:color w:val="0000FF"/>
        </w:rPr>
        <w:t>” has the meaning given that term in Section 11.10(d).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28575</wp:posOffset>
            </wp:positionV>
            <wp:extent cx="440626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4406265" cy="8255"/>
                    </a:xfrm>
                    <a:prstGeom prst="rect">
                      <a:avLst/>
                    </a:prstGeom>
                    <a:noFill/>
                  </pic:spPr>
                </pic:pic>
              </a:graphicData>
            </a:graphic>
          </wp:anchor>
        </w:drawing>
      </w:r>
    </w:p>
    <w:p>
      <w:pPr>
        <w:spacing w:after="0" w:line="205" w:lineRule="exact"/>
        <w:rPr>
          <w:sz w:val="20"/>
          <w:szCs w:val="20"/>
          <w:color w:val="auto"/>
        </w:rPr>
      </w:pPr>
    </w:p>
    <w:p>
      <w:pPr>
        <w:ind w:right="3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EU Bail-In Legislation Schedule</w:t>
      </w:r>
      <w:r>
        <w:rPr>
          <w:rFonts w:ascii="Times New Roman" w:cs="Times New Roman" w:eastAsia="Times New Roman" w:hAnsi="Times New Roman"/>
          <w:sz w:val="18"/>
          <w:szCs w:val="18"/>
          <w:color w:val="auto"/>
        </w:rPr>
        <w:t>” means the EU Bail-In Legislation Schedule published by the Loan Market Association (or any successor person), as in effect from time to time.</w:t>
      </w:r>
    </w:p>
    <w:p>
      <w:pPr>
        <w:spacing w:after="0" w:line="155" w:lineRule="exact"/>
        <w:rPr>
          <w:sz w:val="20"/>
          <w:szCs w:val="20"/>
          <w:color w:val="auto"/>
        </w:rPr>
      </w:pPr>
    </w:p>
    <w:p>
      <w:pPr>
        <w:ind w:right="80" w:firstLine="440"/>
        <w:spacing w:after="0" w:line="262" w:lineRule="auto"/>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b w:val="1"/>
          <w:bCs w:val="1"/>
          <w:color w:val="FF0000"/>
          <w:strike w:val="1"/>
        </w:rPr>
        <w:t>Eurodollar Reserve Percentage</w:t>
      </w:r>
      <w:r>
        <w:rPr>
          <w:rFonts w:ascii="Times New Roman" w:cs="Times New Roman" w:eastAsia="Times New Roman" w:hAnsi="Times New Roman"/>
          <w:sz w:val="18"/>
          <w:szCs w:val="18"/>
          <w:color w:val="FF0000"/>
          <w:strike w:val="1"/>
        </w:rPr>
        <w:t>” means, for any day, the percentage which is in effect for such day as prescribed by the Board of Governors of the Federal Reserve System (or any successor) for determining the maximum reserve requirement (including, without limitation, any basic, supplemental or emergency reserves) in respect of eurocurrency liabilities or any similar category of liabilities for a member bank of the Federal Reserve System in New York City.</w:t>
      </w:r>
    </w:p>
    <w:p>
      <w:pPr>
        <w:spacing w:after="0" w:line="176" w:lineRule="exact"/>
        <w:rPr>
          <w:sz w:val="20"/>
          <w:szCs w:val="20"/>
          <w:color w:val="auto"/>
        </w:rPr>
      </w:pPr>
    </w:p>
    <w:p>
      <w:pPr>
        <w:ind w:right="4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means any of the events specified in Section 10.1., provided that any requirement for notice or lapse of time or any other condition has been satisfied.</w:t>
      </w:r>
    </w:p>
    <w:p>
      <w:pPr>
        <w:spacing w:after="0" w:line="155" w:lineRule="exact"/>
        <w:rPr>
          <w:sz w:val="20"/>
          <w:szCs w:val="20"/>
          <w:color w:val="auto"/>
        </w:rPr>
      </w:pPr>
    </w:p>
    <w:p>
      <w:pPr>
        <w:ind w:right="8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Subsidiary</w:t>
      </w:r>
      <w:r>
        <w:rPr>
          <w:rFonts w:ascii="Times New Roman" w:cs="Times New Roman" w:eastAsia="Times New Roman" w:hAnsi="Times New Roman"/>
          <w:sz w:val="18"/>
          <w:szCs w:val="18"/>
          <w:color w:val="auto"/>
        </w:rPr>
        <w:t>” means any Subsidiary (a) holding title to assets that are or are to become collateral for any Secured Indebtedness of such Subsidiary and (b) that is prohibited from Guarantying the Indebtedness of any other Person pursuant to (i) any document, instrument, or agreement evidencing such Secured Indebtedness or (ii) a provision of such Subsidiary’s organizational documents which provision was included in such Subsidiary’s organizational documents as a condition to the extension of such Secured Indebtedness.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80"/>
          </w:cols>
          <w:pgMar w:left="440" w:top="270" w:right="479" w:bottom="1440" w:gutter="0" w:footer="0" w:header="0"/>
        </w:sectPr>
      </w:pPr>
    </w:p>
    <w:bookmarkStart w:id="194" w:name="page195"/>
    <w:bookmarkEnd w:id="194"/>
    <w:p>
      <w:pPr>
        <w:ind w:left="4" w:right="40" w:firstLine="440"/>
        <w:spacing w:after="0" w:line="27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7"/>
          <w:szCs w:val="17"/>
          <w:b w:val="1"/>
          <w:bCs w:val="1"/>
          <w:color w:val="auto"/>
        </w:rPr>
        <w:t>Excluded Swap Obligation</w:t>
      </w:r>
      <w:r>
        <w:rPr>
          <w:rFonts w:ascii="Times New Roman" w:cs="Times New Roman" w:eastAsia="Times New Roman" w:hAnsi="Times New Roman"/>
          <w:sz w:val="17"/>
          <w:szCs w:val="17"/>
          <w:color w:val="auto"/>
        </w:rPr>
        <w:t>” means, with respect to any Guarantor, any Swap Obligation if, and to the extent that, all or a portion of the Guarantee of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and the regulations thereunder at the time the Guarantee of such Guarantor or the grant of such security interest becomes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spacing w:after="0" w:line="171" w:lineRule="exact"/>
        <w:rPr>
          <w:sz w:val="20"/>
          <w:szCs w:val="20"/>
          <w:color w:val="auto"/>
        </w:rPr>
      </w:pPr>
    </w:p>
    <w:p>
      <w:pPr>
        <w:ind w:left="4" w:right="220" w:firstLine="440"/>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Excluded Taxes</w:t>
      </w:r>
      <w:r>
        <w:rPr>
          <w:rFonts w:ascii="Times New Roman" w:cs="Times New Roman" w:eastAsia="Times New Roman" w:hAnsi="Times New Roman"/>
          <w:sz w:val="17"/>
          <w:szCs w:val="17"/>
          <w:color w:val="auto"/>
        </w:rPr>
        <w:t>”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w:t>
      </w:r>
    </w:p>
    <w:p>
      <w:pPr>
        <w:ind w:left="4" w:right="40" w:hanging="4"/>
        <w:spacing w:after="0" w:line="252" w:lineRule="auto"/>
        <w:tabs>
          <w:tab w:leader="none" w:pos="259"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Lender, U.S. federal withholding Taxes imposed on amounts payable to or for the account of such Lender with respect to an applicable interest in a Loan or Commitment pursuant to an Applicable Law in effect on the date on which (i) such Lender acquires such interest in the Loan or Commitment (other than pursuant to an assignment request by the Borrower under Section 4.6.) or (ii) such Lender changes its lending office, except in each case to the extent that, pursuant to Section 3.10., amounts with respect to such Taxes were payable either to such Lender’s assignor immediately before such Lender became a party hereto or to such Lender immediately before it changed its lending office, (c) Taxes attributable to such Recipient’s failure to comply with Section 3.10.(g) and (d) any U.S. federal withholding Taxes imposed under FATCA.</w:t>
      </w:r>
    </w:p>
    <w:p>
      <w:pPr>
        <w:spacing w:after="0" w:line="186" w:lineRule="exact"/>
        <w:rPr>
          <w:sz w:val="20"/>
          <w:szCs w:val="20"/>
          <w:color w:val="auto"/>
        </w:rPr>
      </w:pPr>
    </w:p>
    <w:p>
      <w:pPr>
        <w:ind w:left="4" w:right="60" w:firstLine="440"/>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Fair Market Value</w:t>
      </w:r>
      <w:r>
        <w:rPr>
          <w:rFonts w:ascii="Times New Roman" w:cs="Times New Roman" w:eastAsia="Times New Roman" w:hAnsi="Times New Roman"/>
          <w:sz w:val="17"/>
          <w:szCs w:val="17"/>
          <w:color w:val="auto"/>
        </w:rPr>
        <w:t>” means, with respect to (a) a security listed on a national securities exchange or the NASDAQ National Market, the price of such security as reported on such exchange or market by any widely recognized reporting method customarily relied upon by financial institutions and</w:t>
      </w:r>
    </w:p>
    <w:p>
      <w:pPr>
        <w:spacing w:after="0" w:line="1" w:lineRule="exact"/>
        <w:rPr>
          <w:sz w:val="20"/>
          <w:szCs w:val="20"/>
          <w:color w:val="auto"/>
        </w:rPr>
      </w:pPr>
    </w:p>
    <w:p>
      <w:pPr>
        <w:ind w:left="4" w:right="240" w:hanging="4"/>
        <w:spacing w:after="0" w:line="271" w:lineRule="auto"/>
        <w:tabs>
          <w:tab w:leader="none" w:pos="259" w:val="left"/>
        </w:tabs>
        <w:numPr>
          <w:ilvl w:val="0"/>
          <w:numId w:val="1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property, the price which could be negotiated in an arm’s-length free market transaction, for cash, between a willing seller and a willing buyer, neither of which is under pressure or compulsion to complete the transaction. Except as otherwise provided herein, Fair Market Value shall be determined by the Board of Trustees of the Borrower (or an authorized committee thereof) acting in good faith conclusively evidenced by a board resolution or written consent thereof delivered to the Administrative Agent or, with respect to any asset valued at no more than $1,000,000, such determination may be made by the chief financial officer of the Borrower evidenced by an officer’s certificate delivered to the Administrative Agent.</w:t>
      </w:r>
    </w:p>
    <w:p>
      <w:pPr>
        <w:spacing w:after="0" w:line="17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FASB ASC</w:t>
      </w:r>
      <w:r>
        <w:rPr>
          <w:rFonts w:ascii="Times New Roman" w:cs="Times New Roman" w:eastAsia="Times New Roman" w:hAnsi="Times New Roman"/>
          <w:sz w:val="18"/>
          <w:szCs w:val="18"/>
          <w:color w:val="auto"/>
        </w:rPr>
        <w:t>” means the Accounting Standards Codification of the Financial Accounting Standards Board.</w:t>
      </w:r>
    </w:p>
    <w:p>
      <w:pPr>
        <w:spacing w:after="0" w:line="225" w:lineRule="exact"/>
        <w:rPr>
          <w:sz w:val="20"/>
          <w:szCs w:val="20"/>
          <w:color w:val="auto"/>
        </w:rPr>
      </w:pPr>
    </w:p>
    <w:p>
      <w:pPr>
        <w:ind w:left="4"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FATCA</w:t>
      </w:r>
      <w:r>
        <w:rPr>
          <w:rFonts w:ascii="Times New Roman" w:cs="Times New Roman" w:eastAsia="Times New Roman" w:hAnsi="Times New Roman"/>
          <w:sz w:val="18"/>
          <w:szCs w:val="18"/>
          <w:color w:val="auto"/>
        </w:rPr>
        <w:t>” means Sections 1471 through 1474 of the Internal Revenue Code, as of the date of this Agreement (or any amended or successor version that is substantively comparable and not materially more onerous to comply with) and any current or future regulations or official interpretations thereof and any agreement entered into pursuant to Section 1471(b)(1) of the Internal Revenue Code.</w:t>
      </w:r>
    </w:p>
    <w:p>
      <w:pPr>
        <w:spacing w:after="0" w:line="171" w:lineRule="exact"/>
        <w:rPr>
          <w:sz w:val="20"/>
          <w:szCs w:val="20"/>
          <w:color w:val="auto"/>
        </w:rPr>
      </w:pPr>
    </w:p>
    <w:p>
      <w:pPr>
        <w:ind w:left="4" w:firstLine="440"/>
        <w:spacing w:after="0" w:line="23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Federal Funds Rate</w:t>
      </w:r>
      <w:r>
        <w:rPr>
          <w:rFonts w:ascii="Times New Roman" w:cs="Times New Roman" w:eastAsia="Times New Roman" w:hAnsi="Times New Roman"/>
          <w:sz w:val="18"/>
          <w:szCs w:val="18"/>
          <w:color w:val="auto"/>
        </w:rPr>
        <w:t xml:space="preserve">” means, for any day, the rate per annum </w:t>
      </w:r>
      <w:r>
        <w:rPr>
          <w:rFonts w:ascii="Times New Roman" w:cs="Times New Roman" w:eastAsia="Times New Roman" w:hAnsi="Times New Roman"/>
          <w:sz w:val="18"/>
          <w:szCs w:val="18"/>
          <w:color w:val="FF0000"/>
          <w:strike w:val="1"/>
        </w:rPr>
        <w:t>(rounded upward to the nearest 1/100</w:t>
      </w:r>
      <w:r>
        <w:rPr>
          <w:rFonts w:ascii="Times New Roman" w:cs="Times New Roman" w:eastAsia="Times New Roman" w:hAnsi="Times New Roman"/>
          <w:sz w:val="26"/>
          <w:szCs w:val="26"/>
          <w:color w:val="FF0000"/>
          <w:strike w:val="1"/>
          <w:vertAlign w:val="superscript"/>
        </w:rPr>
        <w:t>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rPr>
        <w:t>of 1%)</w:t>
      </w:r>
      <w:r>
        <w:rPr>
          <w:rFonts w:ascii="Times New Roman" w:cs="Times New Roman" w:eastAsia="Times New Roman" w:hAnsi="Times New Roman"/>
          <w:sz w:val="18"/>
          <w:szCs w:val="18"/>
          <w:color w:val="auto"/>
        </w:rPr>
        <w:t xml:space="preserve"> equal to the weighted average of the rates on overnight </w:t>
      </w:r>
      <w:r>
        <w:rPr>
          <w:rFonts w:ascii="Times New Roman" w:cs="Times New Roman" w:eastAsia="Times New Roman" w:hAnsi="Times New Roman"/>
          <w:sz w:val="18"/>
          <w:szCs w:val="18"/>
          <w:color w:val="FF0000"/>
          <w:strike w:val="1"/>
        </w:rPr>
        <w:t>Federal</w:t>
      </w:r>
      <w:r>
        <w:rPr>
          <w:rFonts w:ascii="Times New Roman" w:cs="Times New Roman" w:eastAsia="Times New Roman" w:hAnsi="Times New Roman"/>
          <w:sz w:val="18"/>
          <w:szCs w:val="18"/>
          <w:u w:val="single" w:color="auto"/>
          <w:color w:val="0000FF"/>
        </w:rPr>
        <w:t>federal</w:t>
      </w:r>
      <w:r>
        <w:rPr>
          <w:rFonts w:ascii="Times New Roman" w:cs="Times New Roman" w:eastAsia="Times New Roman" w:hAnsi="Times New Roman"/>
          <w:sz w:val="18"/>
          <w:szCs w:val="18"/>
          <w:color w:val="auto"/>
        </w:rPr>
        <w:t xml:space="preserve"> funds transactions with members of the Federal Reserve System </w:t>
      </w:r>
      <w:r>
        <w:rPr>
          <w:rFonts w:ascii="Times New Roman" w:cs="Times New Roman" w:eastAsia="Times New Roman" w:hAnsi="Times New Roman"/>
          <w:sz w:val="18"/>
          <w:szCs w:val="18"/>
          <w:color w:val="FF0000"/>
        </w:rPr>
        <w:t>on such day</w:t>
      </w:r>
      <w:r>
        <w:rPr>
          <w:rFonts w:ascii="Times New Roman" w:cs="Times New Roman" w:eastAsia="Times New Roman" w:hAnsi="Times New Roman"/>
          <w:sz w:val="18"/>
          <w:szCs w:val="18"/>
          <w:color w:val="auto"/>
        </w:rPr>
        <w:t xml:space="preserve">, as published by the Federal Reserve Bank of New York on the Business Day next succeeding such day, provided that </w:t>
      </w:r>
      <w:r>
        <w:rPr>
          <w:rFonts w:ascii="Times New Roman" w:cs="Times New Roman" w:eastAsia="Times New Roman" w:hAnsi="Times New Roman"/>
          <w:sz w:val="18"/>
          <w:szCs w:val="18"/>
          <w:color w:val="FF0000"/>
          <w:strike w:val="1"/>
        </w:rPr>
        <w:t>(a) if such day is not a Business Day, the Federal Funds Rate for such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day shall be such rate on such transactions on the next preceding Business Day, and (b) if no such rate is so published on such next succeeding</w:t>
      </w:r>
      <w:r>
        <w:rPr>
          <w:rFonts w:ascii="Times New Roman" w:cs="Times New Roman" w:eastAsia="Times New Roman" w:hAnsi="Times New Roman"/>
          <w:sz w:val="18"/>
          <w:szCs w:val="18"/>
          <w:u w:val="single" w:color="auto"/>
          <w:color w:val="0000FF"/>
          <w:strike w:val="1"/>
        </w:rPr>
        <w:t>if such</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0000FF"/>
          <w:strike w:val="1"/>
        </w:rPr>
        <w:t>rate is not so published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4951730</wp:posOffset>
            </wp:positionH>
            <wp:positionV relativeFrom="paragraph">
              <wp:posOffset>-622935</wp:posOffset>
            </wp:positionV>
            <wp:extent cx="37147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71475" cy="8255"/>
                    </a:xfrm>
                    <a:prstGeom prst="rect">
                      <a:avLst/>
                    </a:prstGeom>
                    <a:noFill/>
                  </pic:spPr>
                </pic:pic>
              </a:graphicData>
            </a:graphic>
          </wp:anchor>
        </w:drawing>
        <w:drawing>
          <wp:anchor simplePos="0" relativeHeight="251657728" behindDoc="1" locked="0" layoutInCell="0" allowOverlap="1">
            <wp:simplePos x="0" y="0"/>
            <wp:positionH relativeFrom="column">
              <wp:posOffset>1200150</wp:posOffset>
            </wp:positionH>
            <wp:positionV relativeFrom="paragraph">
              <wp:posOffset>-400050</wp:posOffset>
            </wp:positionV>
            <wp:extent cx="31686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316865" cy="8890"/>
                    </a:xfrm>
                    <a:prstGeom prst="rect">
                      <a:avLst/>
                    </a:prstGeom>
                    <a:noFill/>
                  </pic:spPr>
                </pic:pic>
              </a:graphicData>
            </a:graphic>
          </wp:anchor>
        </w:drawing>
        <w:drawing>
          <wp:anchor simplePos="0" relativeHeight="251657728" behindDoc="1" locked="0" layoutInCell="0" allowOverlap="1">
            <wp:simplePos x="0" y="0"/>
            <wp:positionH relativeFrom="column">
              <wp:posOffset>4473575</wp:posOffset>
            </wp:positionH>
            <wp:positionV relativeFrom="paragraph">
              <wp:posOffset>-485775</wp:posOffset>
            </wp:positionV>
            <wp:extent cx="57404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74040" cy="8890"/>
                    </a:xfrm>
                    <a:prstGeom prst="rect">
                      <a:avLst/>
                    </a:prstGeom>
                    <a:noFill/>
                  </pic:spPr>
                </pic:pic>
              </a:graphicData>
            </a:graphic>
          </wp:anchor>
        </w:drawing>
        <w:drawing>
          <wp:anchor simplePos="0" relativeHeight="251657728" behindDoc="1" locked="0" layoutInCell="0" allowOverlap="1">
            <wp:simplePos x="0" y="0"/>
            <wp:positionH relativeFrom="column">
              <wp:posOffset>6515100</wp:posOffset>
            </wp:positionH>
            <wp:positionV relativeFrom="paragraph">
              <wp:posOffset>-125730</wp:posOffset>
            </wp:positionV>
            <wp:extent cx="30861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30861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wp:posOffset>
            </wp:positionV>
            <wp:extent cx="105410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054100" cy="8890"/>
                    </a:xfrm>
                    <a:prstGeom prst="rect">
                      <a:avLst/>
                    </a:prstGeom>
                    <a:noFill/>
                  </pic:spPr>
                </pic:pic>
              </a:graphicData>
            </a:graphic>
          </wp:anchor>
        </w:drawing>
      </w:r>
    </w:p>
    <w:p>
      <w:pPr>
        <w:spacing w:after="0" w:line="11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4"/>
          </w:cols>
          <w:pgMar w:left="436" w:top="266" w:right="479" w:bottom="1440" w:gutter="0" w:footer="0" w:header="0"/>
        </w:sectPr>
      </w:pPr>
    </w:p>
    <w:bookmarkStart w:id="195" w:name="page196"/>
    <w:bookmarkEnd w:id="195"/>
    <w:p>
      <w:pPr>
        <w:ind w:right="120"/>
        <w:spacing w:after="0" w:line="258" w:lineRule="auto"/>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any day which is a</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Business Day, the Federal Funds Rate for such day shall be the average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rate quoted to</w:t>
      </w:r>
      <w:r>
        <w:rPr>
          <w:rFonts w:ascii="Times New Roman" w:cs="Times New Roman" w:eastAsia="Times New Roman" w:hAnsi="Times New Roman"/>
          <w:sz w:val="18"/>
          <w:szCs w:val="18"/>
          <w:u w:val="single" w:color="auto"/>
          <w:color w:val="0000FF"/>
        </w:rPr>
        <w:t>of the quotation for such day on such</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transactions received by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the Administrative Agent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by</w:t>
      </w:r>
      <w:r>
        <w:rPr>
          <w:rFonts w:ascii="Times New Roman" w:cs="Times New Roman" w:eastAsia="Times New Roman" w:hAnsi="Times New Roman"/>
          <w:sz w:val="18"/>
          <w:szCs w:val="18"/>
          <w:u w:val="single" w:color="auto"/>
          <w:color w:val="0000FF"/>
        </w:rPr>
        <w:t>from three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federal funds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dealers</w:t>
      </w:r>
      <w:r>
        <w:rPr>
          <w:rFonts w:ascii="Times New Roman" w:cs="Times New Roman" w:eastAsia="Times New Roman" w:hAnsi="Times New Roman"/>
          <w:sz w:val="18"/>
          <w:szCs w:val="18"/>
          <w:u w:val="single" w:color="auto"/>
          <w:color w:val="0000FF"/>
        </w:rPr>
        <w:t>brokers of recognized standing</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selected by the Administrative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Agent </w:t>
      </w:r>
      <w:r>
        <w:rPr>
          <w:rFonts w:ascii="Times New Roman" w:cs="Times New Roman" w:eastAsia="Times New Roman" w:hAnsi="Times New Roman"/>
          <w:sz w:val="18"/>
          <w:szCs w:val="18"/>
          <w:color w:val="FF0000"/>
        </w:rPr>
        <w:t>on such day on such transaction as determined by the Administrative Agent. If the Federal Funds Rate determined as provided above would be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FF0000"/>
          <w:strike w:val="1"/>
        </w:rPr>
        <w:t>less than zero,</w:t>
      </w:r>
      <w:r>
        <w:rPr>
          <w:rFonts w:ascii="Times New Roman" w:cs="Times New Roman" w:eastAsia="Times New Roman" w:hAnsi="Times New Roman"/>
          <w:sz w:val="18"/>
          <w:szCs w:val="18"/>
          <w:u w:val="single" w:color="auto"/>
          <w:color w:val="0000FF"/>
        </w:rPr>
        <w:t>. Notwithstanding the foregoing, if</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the Federal Funds Rate shall be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FF"/>
        </w:rPr>
        <w:t>less than the Floor, such rate shall be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deemed to be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zero</w:t>
      </w:r>
      <w:r>
        <w:rPr>
          <w:rFonts w:ascii="Times New Roman" w:cs="Times New Roman" w:eastAsia="Times New Roman" w:hAnsi="Times New Roman"/>
          <w:sz w:val="18"/>
          <w:szCs w:val="18"/>
          <w:u w:val="single" w:color="auto"/>
          <w:color w:val="0000FF"/>
        </w:rPr>
        <w:t>the Floor for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FF"/>
        </w:rPr>
        <w:t>purposes of this Agreement</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-548640</wp:posOffset>
            </wp:positionV>
            <wp:extent cx="101155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011555" cy="8255"/>
                    </a:xfrm>
                    <a:prstGeom prst="rect">
                      <a:avLst/>
                    </a:prstGeom>
                    <a:noFill/>
                  </pic:spPr>
                </pic:pic>
              </a:graphicData>
            </a:graphic>
          </wp:anchor>
        </w:drawing>
        <w:drawing>
          <wp:anchor simplePos="0" relativeHeight="251657728" behindDoc="1" locked="0" layoutInCell="0" allowOverlap="1">
            <wp:simplePos x="0" y="0"/>
            <wp:positionH relativeFrom="column">
              <wp:posOffset>4952365</wp:posOffset>
            </wp:positionH>
            <wp:positionV relativeFrom="paragraph">
              <wp:posOffset>-548640</wp:posOffset>
            </wp:positionV>
            <wp:extent cx="169735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6973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-411480</wp:posOffset>
            </wp:positionV>
            <wp:extent cx="110553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105535" cy="8255"/>
                    </a:xfrm>
                    <a:prstGeom prst="rect">
                      <a:avLst/>
                    </a:prstGeom>
                    <a:noFill/>
                  </pic:spPr>
                </pic:pic>
              </a:graphicData>
            </a:graphic>
          </wp:anchor>
        </w:drawing>
        <w:drawing>
          <wp:anchor simplePos="0" relativeHeight="251657728" behindDoc="1" locked="0" layoutInCell="0" allowOverlap="1">
            <wp:simplePos x="0" y="0"/>
            <wp:positionH relativeFrom="column">
              <wp:posOffset>2432050</wp:posOffset>
            </wp:positionH>
            <wp:positionV relativeFrom="paragraph">
              <wp:posOffset>-411480</wp:posOffset>
            </wp:positionV>
            <wp:extent cx="47180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471805" cy="8255"/>
                    </a:xfrm>
                    <a:prstGeom prst="rect">
                      <a:avLst/>
                    </a:prstGeom>
                    <a:noFill/>
                  </pic:spPr>
                </pic:pic>
              </a:graphicData>
            </a:graphic>
          </wp:anchor>
        </w:drawing>
        <w:drawing>
          <wp:anchor simplePos="0" relativeHeight="251657728" behindDoc="1" locked="0" layoutInCell="0" allowOverlap="1">
            <wp:simplePos x="0" y="0"/>
            <wp:positionH relativeFrom="column">
              <wp:posOffset>3889375</wp:posOffset>
            </wp:positionH>
            <wp:positionV relativeFrom="paragraph">
              <wp:posOffset>-411480</wp:posOffset>
            </wp:positionV>
            <wp:extent cx="140589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405890" cy="8255"/>
                    </a:xfrm>
                    <a:prstGeom prst="rect">
                      <a:avLst/>
                    </a:prstGeom>
                    <a:noFill/>
                  </pic:spPr>
                </pic:pic>
              </a:graphicData>
            </a:graphic>
          </wp:anchor>
        </w:drawing>
        <w:drawing>
          <wp:anchor simplePos="0" relativeHeight="251657728" behindDoc="1" locked="0" layoutInCell="0" allowOverlap="1">
            <wp:simplePos x="0" y="0"/>
            <wp:positionH relativeFrom="column">
              <wp:posOffset>276860</wp:posOffset>
            </wp:positionH>
            <wp:positionV relativeFrom="paragraph">
              <wp:posOffset>-360045</wp:posOffset>
            </wp:positionV>
            <wp:extent cx="6555105"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555105" cy="8890"/>
                    </a:xfrm>
                    <a:prstGeom prst="rect">
                      <a:avLst/>
                    </a:prstGeom>
                    <a:noFill/>
                  </pic:spPr>
                </pic:pic>
              </a:graphicData>
            </a:graphic>
          </wp:anchor>
        </w:drawing>
        <w:drawing>
          <wp:anchor simplePos="0" relativeHeight="251657728" behindDoc="1" locked="0" layoutInCell="0" allowOverlap="1">
            <wp:simplePos x="0" y="0"/>
            <wp:positionH relativeFrom="column">
              <wp:posOffset>648970</wp:posOffset>
            </wp:positionH>
            <wp:positionV relativeFrom="paragraph">
              <wp:posOffset>-137160</wp:posOffset>
            </wp:positionV>
            <wp:extent cx="158559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585595" cy="8255"/>
                    </a:xfrm>
                    <a:prstGeom prst="rect">
                      <a:avLst/>
                    </a:prstGeom>
                    <a:noFill/>
                  </pic:spPr>
                </pic:pic>
              </a:graphicData>
            </a:graphic>
          </wp:anchor>
        </w:drawing>
        <w:drawing>
          <wp:anchor simplePos="0" relativeHeight="251657728" behindDoc="1" locked="0" layoutInCell="0" allowOverlap="1">
            <wp:simplePos x="0" y="0"/>
            <wp:positionH relativeFrom="column">
              <wp:posOffset>3726180</wp:posOffset>
            </wp:positionH>
            <wp:positionV relativeFrom="paragraph">
              <wp:posOffset>-137160</wp:posOffset>
            </wp:positionV>
            <wp:extent cx="171450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714500" cy="8255"/>
                    </a:xfrm>
                    <a:prstGeom prst="rect">
                      <a:avLst/>
                    </a:prstGeom>
                    <a:noFill/>
                  </pic:spPr>
                </pic:pic>
              </a:graphicData>
            </a:graphic>
          </wp:anchor>
        </w:drawing>
        <w:drawing>
          <wp:anchor simplePos="0" relativeHeight="251657728" behindDoc="1" locked="0" layoutInCell="0" allowOverlap="1">
            <wp:simplePos x="0" y="0"/>
            <wp:positionH relativeFrom="column">
              <wp:posOffset>6272530</wp:posOffset>
            </wp:positionH>
            <wp:positionV relativeFrom="paragraph">
              <wp:posOffset>-137160</wp:posOffset>
            </wp:positionV>
            <wp:extent cx="58293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58293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0</wp:posOffset>
            </wp:positionV>
            <wp:extent cx="125984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59840" cy="8255"/>
                    </a:xfrm>
                    <a:prstGeom prst="rect">
                      <a:avLst/>
                    </a:prstGeom>
                    <a:noFill/>
                  </pic:spPr>
                </pic:pic>
              </a:graphicData>
            </a:graphic>
          </wp:anchor>
        </w:drawing>
      </w:r>
    </w:p>
    <w:p>
      <w:pPr>
        <w:spacing w:after="0" w:line="159"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“Fee Letter</w:t>
      </w:r>
      <w:r>
        <w:rPr>
          <w:rFonts w:ascii="Times New Roman" w:cs="Times New Roman" w:eastAsia="Times New Roman" w:hAnsi="Times New Roman"/>
          <w:sz w:val="18"/>
          <w:szCs w:val="18"/>
          <w:color w:val="auto"/>
        </w:rPr>
        <w:t>” means, collectively, (i) that certain fee letter dated May 4, 2020, by and among the Borrower, PNC Bank, and PNC Capital Markets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LLC, (ii) that certain fee letter dated March 23, 2021, by and among the Borrower, PNC Bank, and PNC Capital Markets LLC </w:t>
      </w:r>
      <w:r>
        <w:rPr>
          <w:rFonts w:ascii="Times New Roman" w:cs="Times New Roman" w:eastAsia="Times New Roman" w:hAnsi="Times New Roman"/>
          <w:sz w:val="18"/>
          <w:szCs w:val="18"/>
          <w:color w:val="FF0000"/>
        </w:rPr>
        <w:t>and</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(iii) </w:t>
      </w:r>
      <w:r>
        <w:rPr>
          <w:rFonts w:ascii="Times New Roman" w:cs="Times New Roman" w:eastAsia="Times New Roman" w:hAnsi="Times New Roman"/>
          <w:sz w:val="18"/>
          <w:szCs w:val="18"/>
          <w:u w:val="single" w:color="auto"/>
          <w:color w:val="0000FF"/>
        </w:rPr>
        <w:t>that certain fee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letter dated August 16, 2022, by and among the Borrower, PNC Bank, and PNC Capital Markets LLC, and (iv)</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any other fee letter entered into with</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respect to the First Amendment </w:t>
      </w:r>
      <w:r>
        <w:rPr>
          <w:rFonts w:ascii="Times New Roman" w:cs="Times New Roman" w:eastAsia="Times New Roman" w:hAnsi="Times New Roman"/>
          <w:sz w:val="18"/>
          <w:szCs w:val="18"/>
          <w:color w:val="0000FF"/>
        </w:rPr>
        <w:t>or Third Amendment, as applicable</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-361950</wp:posOffset>
            </wp:positionV>
            <wp:extent cx="19367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93675" cy="8255"/>
                    </a:xfrm>
                    <a:prstGeom prst="rect">
                      <a:avLst/>
                    </a:prstGeom>
                    <a:noFill/>
                  </pic:spPr>
                </pic:pic>
              </a:graphicData>
            </a:graphic>
          </wp:anchor>
        </w:drawing>
        <w:drawing>
          <wp:anchor simplePos="0" relativeHeight="251657728" behindDoc="1" locked="0" layoutInCell="0" allowOverlap="1">
            <wp:simplePos x="0" y="0"/>
            <wp:positionH relativeFrom="column">
              <wp:posOffset>5963920</wp:posOffset>
            </wp:positionH>
            <wp:positionV relativeFrom="paragraph">
              <wp:posOffset>-276225</wp:posOffset>
            </wp:positionV>
            <wp:extent cx="94297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94297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-139065</wp:posOffset>
            </wp:positionV>
            <wp:extent cx="510032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100320" cy="8890"/>
                    </a:xfrm>
                    <a:prstGeom prst="rect">
                      <a:avLst/>
                    </a:prstGeom>
                    <a:noFill/>
                  </pic:spPr>
                </pic:pic>
              </a:graphicData>
            </a:graphic>
          </wp:anchor>
        </w:drawing>
        <w:drawing>
          <wp:anchor simplePos="0" relativeHeight="251657728" behindDoc="1" locked="0" layoutInCell="0" allowOverlap="1">
            <wp:simplePos x="0" y="0"/>
            <wp:positionH relativeFrom="column">
              <wp:posOffset>1428750</wp:posOffset>
            </wp:positionH>
            <wp:positionV relativeFrom="paragraph">
              <wp:posOffset>-1905</wp:posOffset>
            </wp:positionV>
            <wp:extent cx="165417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654175" cy="8255"/>
                    </a:xfrm>
                    <a:prstGeom prst="rect">
                      <a:avLst/>
                    </a:prstGeom>
                    <a:noFill/>
                  </pic:spPr>
                </pic:pic>
              </a:graphicData>
            </a:graphic>
          </wp:anchor>
        </w:drawing>
        <w:drawing>
          <wp:anchor simplePos="0" relativeHeight="251657728" behindDoc="1" locked="0" layoutInCell="0" allowOverlap="1">
            <wp:simplePos x="0" y="0"/>
            <wp:positionH relativeFrom="column">
              <wp:posOffset>1431925</wp:posOffset>
            </wp:positionH>
            <wp:positionV relativeFrom="paragraph">
              <wp:posOffset>-36195</wp:posOffset>
            </wp:positionV>
            <wp:extent cx="164973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649730" cy="8255"/>
                    </a:xfrm>
                    <a:prstGeom prst="rect">
                      <a:avLst/>
                    </a:prstGeom>
                    <a:noFill/>
                  </pic:spPr>
                </pic:pic>
              </a:graphicData>
            </a:graphic>
          </wp:anchor>
        </w:drawing>
      </w:r>
    </w:p>
    <w:p>
      <w:pPr>
        <w:spacing w:after="0" w:line="156" w:lineRule="exact"/>
        <w:rPr>
          <w:sz w:val="20"/>
          <w:szCs w:val="20"/>
          <w:color w:val="auto"/>
        </w:rPr>
      </w:pPr>
    </w:p>
    <w:p>
      <w:pPr>
        <w:ind w:right="1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Fees</w:t>
      </w:r>
      <w:r>
        <w:rPr>
          <w:rFonts w:ascii="Times New Roman" w:cs="Times New Roman" w:eastAsia="Times New Roman" w:hAnsi="Times New Roman"/>
          <w:sz w:val="18"/>
          <w:szCs w:val="18"/>
          <w:color w:val="auto"/>
        </w:rPr>
        <w:t>” means the fees and commissions provided for or referred to in Section 3.5. and any other fees payable by the Borrower hereunder, under any other Loan Document or under the Fee Letter.</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Amendment</w:t>
      </w:r>
      <w:r>
        <w:rPr>
          <w:rFonts w:ascii="Times New Roman" w:cs="Times New Roman" w:eastAsia="Times New Roman" w:hAnsi="Times New Roman"/>
          <w:sz w:val="18"/>
          <w:szCs w:val="18"/>
          <w:color w:val="auto"/>
        </w:rPr>
        <w:t>” means that certain First Amendment to Term Loan Agreement dated as of April 16, 2021 relating to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Amendment Date</w:t>
      </w:r>
      <w:r>
        <w:rPr>
          <w:rFonts w:ascii="Times New Roman" w:cs="Times New Roman" w:eastAsia="Times New Roman" w:hAnsi="Times New Roman"/>
          <w:sz w:val="18"/>
          <w:szCs w:val="18"/>
          <w:color w:val="auto"/>
        </w:rPr>
        <w:t>” means April 16, 2021.</w:t>
      </w:r>
    </w:p>
    <w:p>
      <w:pPr>
        <w:spacing w:after="0" w:line="22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Fixed Charges</w:t>
      </w:r>
      <w:r>
        <w:rPr>
          <w:rFonts w:ascii="Times New Roman" w:cs="Times New Roman" w:eastAsia="Times New Roman" w:hAnsi="Times New Roman"/>
          <w:sz w:val="18"/>
          <w:szCs w:val="18"/>
          <w:color w:val="auto"/>
        </w:rPr>
        <w:t xml:space="preserve">” means, for any period, the sum of (a) Interest Expense of the Borrower and its Subsidiaries determined on a consolidated basis and of Unconsolidated Affiliates for such period, (b) all regularly scheduled principal payments made with respect to Indebtedness of the Borrower, its Subsidiaries and its Unconsolidated Affiliates during such period, other than any balloon, bullet or similar principal payment which repays such Indebtedness in full, and (c) all Preferred Dividends paid by the Borrower, its Subsidiaries and Unconsolidated Affiliates during such period (other than such payments to the Borrower and any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only the Borrower’s Ownership Share of the amounts (other than inter-company amounts) set forth in clauses (a) through (c) above with respect to Unconsolidated Affiliates of the Borrower shall be included in determinations of Fixed Charges.</w:t>
      </w:r>
    </w:p>
    <w:p>
      <w:pPr>
        <w:spacing w:after="0" w:line="183" w:lineRule="exact"/>
        <w:rPr>
          <w:sz w:val="20"/>
          <w:szCs w:val="20"/>
          <w:color w:val="auto"/>
        </w:rPr>
      </w:pPr>
    </w:p>
    <w:p>
      <w:pPr>
        <w:ind w:right="3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Floor</w:t>
      </w:r>
      <w:r>
        <w:rPr>
          <w:rFonts w:ascii="Times New Roman" w:cs="Times New Roman" w:eastAsia="Times New Roman" w:hAnsi="Times New Roman"/>
          <w:sz w:val="18"/>
          <w:szCs w:val="18"/>
          <w:color w:val="auto"/>
        </w:rPr>
        <w:t xml:space="preserve">” means </w:t>
      </w:r>
      <w:r>
        <w:rPr>
          <w:rFonts w:ascii="Times New Roman" w:cs="Times New Roman" w:eastAsia="Times New Roman" w:hAnsi="Times New Roman"/>
          <w:sz w:val="18"/>
          <w:szCs w:val="18"/>
          <w:color w:val="FF0000"/>
          <w:strike w:val="1"/>
        </w:rPr>
        <w:t>the benchmark rate floor, if any, provided in this Agreement initially (as of the execution of this Agreement, the modification,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amendment, or renewal of this Agreement or otherwise) with respect to USD LIBOR or, if no floor is specified, 0.000%.</w:t>
      </w:r>
      <w:r>
        <w:rPr>
          <w:rFonts w:ascii="Times New Roman" w:cs="Times New Roman" w:eastAsia="Times New Roman" w:hAnsi="Times New Roman"/>
          <w:sz w:val="18"/>
          <w:szCs w:val="18"/>
          <w:u w:val="single" w:color="auto"/>
          <w:color w:val="0000FF"/>
          <w:strike w:val="1"/>
        </w:rPr>
        <w:t>a rate of interest equal to</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0000FF"/>
          <w:strike w:val="1"/>
        </w:rPr>
        <w:t>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5509260</wp:posOffset>
            </wp:positionH>
            <wp:positionV relativeFrom="paragraph">
              <wp:posOffset>-142875</wp:posOffset>
            </wp:positionV>
            <wp:extent cx="113982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1398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-5715</wp:posOffset>
            </wp:positionV>
            <wp:extent cx="32575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325755" cy="8255"/>
                    </a:xfrm>
                    <a:prstGeom prst="rect">
                      <a:avLst/>
                    </a:prstGeom>
                    <a:noFill/>
                  </pic:spPr>
                </pic:pic>
              </a:graphicData>
            </a:graphic>
          </wp:anchor>
        </w:drawing>
      </w:r>
    </w:p>
    <w:p>
      <w:pPr>
        <w:spacing w:after="0" w:line="151" w:lineRule="exact"/>
        <w:rPr>
          <w:sz w:val="20"/>
          <w:szCs w:val="20"/>
          <w:color w:val="auto"/>
        </w:rPr>
      </w:pPr>
    </w:p>
    <w:p>
      <w:pPr>
        <w:ind w:right="1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Foreign Lender</w:t>
      </w:r>
      <w:r>
        <w:rPr>
          <w:rFonts w:ascii="Times New Roman" w:cs="Times New Roman" w:eastAsia="Times New Roman" w:hAnsi="Times New Roman"/>
          <w:sz w:val="18"/>
          <w:szCs w:val="18"/>
          <w:color w:val="auto"/>
        </w:rPr>
        <w:t>” means (a) if the Borrower is a U.S. Person, a Lender that is not a U.S. Person, and (b) if the Borrower is not a U.S. Person, a Lender that is resident or organized under the laws of a jurisdiction other than that in which the Borrower is resident for tax purposes.</w:t>
      </w:r>
    </w:p>
    <w:p>
      <w:pPr>
        <w:spacing w:after="0" w:line="155" w:lineRule="exact"/>
        <w:rPr>
          <w:sz w:val="20"/>
          <w:szCs w:val="20"/>
          <w:color w:val="auto"/>
        </w:rPr>
      </w:pPr>
    </w:p>
    <w:p>
      <w:pPr>
        <w:ind w:right="1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Franchise Agreement</w:t>
      </w:r>
      <w:r>
        <w:rPr>
          <w:rFonts w:ascii="Times New Roman" w:cs="Times New Roman" w:eastAsia="Times New Roman" w:hAnsi="Times New Roman"/>
          <w:sz w:val="18"/>
          <w:szCs w:val="18"/>
          <w:color w:val="auto"/>
        </w:rPr>
        <w:t>” means an agreement permitting the use of the applicable hotel brand name, hotel system trademarks, trade names and any related rights in connection with the ownership or operation of a Property.</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u w:val="single" w:color="auto"/>
          <w:color w:val="0000FF"/>
        </w:rPr>
        <w:t>FRB</w:t>
      </w:r>
      <w:r>
        <w:rPr>
          <w:rFonts w:ascii="Times New Roman" w:cs="Times New Roman" w:eastAsia="Times New Roman" w:hAnsi="Times New Roman"/>
          <w:sz w:val="18"/>
          <w:szCs w:val="18"/>
          <w:u w:val="single" w:color="auto"/>
          <w:color w:val="0000FF"/>
        </w:rPr>
        <w:t>” means the Board of Governors of the Federal Reserve System of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28575</wp:posOffset>
            </wp:positionV>
            <wp:extent cx="414020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4140200" cy="8255"/>
                    </a:xfrm>
                    <a:prstGeom prst="rect">
                      <a:avLst/>
                    </a:prstGeom>
                    <a:noFill/>
                  </pic:spPr>
                </pic:pic>
              </a:graphicData>
            </a:graphic>
          </wp:anchor>
        </w:drawing>
      </w:r>
    </w:p>
    <w:p>
      <w:pPr>
        <w:spacing w:after="0" w:line="205" w:lineRule="exact"/>
        <w:rPr>
          <w:sz w:val="20"/>
          <w:szCs w:val="20"/>
          <w:color w:val="auto"/>
        </w:rPr>
      </w:pPr>
    </w:p>
    <w:p>
      <w:pPr>
        <w:ind w:right="3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w:t>
      </w:r>
      <w:r>
        <w:rPr>
          <w:rFonts w:ascii="Times New Roman" w:cs="Times New Roman" w:eastAsia="Times New Roman" w:hAnsi="Times New Roman"/>
          <w:sz w:val="18"/>
          <w:szCs w:val="18"/>
          <w:color w:val="auto"/>
        </w:rPr>
        <w:t>” means any Person (other than a natural person) that is (or will be) engaged in making, purchasing, holding or otherwise investing in commercial loans and similar extensions of credit in the ordinary course of its business.</w:t>
      </w:r>
    </w:p>
    <w:p>
      <w:pPr>
        <w:spacing w:after="0" w:line="9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20"/>
          </w:cols>
          <w:pgMar w:left="440" w:top="270" w:right="539" w:bottom="1440" w:gutter="0" w:footer="0" w:header="0"/>
        </w:sectPr>
      </w:pPr>
    </w:p>
    <w:bookmarkStart w:id="196" w:name="page197"/>
    <w:bookmarkEnd w:id="196"/>
    <w:p>
      <w:pPr>
        <w:ind w:right="20" w:firstLine="440"/>
        <w:spacing w:after="0" w:line="275"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7"/>
          <w:szCs w:val="17"/>
          <w:b w:val="1"/>
          <w:bCs w:val="1"/>
          <w:color w:val="auto"/>
        </w:rPr>
        <w:t>Funds From Operations</w:t>
      </w:r>
      <w:r>
        <w:rPr>
          <w:rFonts w:ascii="Times New Roman" w:cs="Times New Roman" w:eastAsia="Times New Roman" w:hAnsi="Times New Roman"/>
          <w:sz w:val="17"/>
          <w:szCs w:val="17"/>
          <w:color w:val="auto"/>
        </w:rPr>
        <w:t>” means, with respect to a Person and for a given period, (a) net income (loss) of such Person, excluding gains (or losses) from debt restructuring and sales of property, plus (b) depreciation with respect to such Person’s real estate assets and amortization (other than amortization of deferred financing costs), and after adjustments for unconsolidated partnerships and joint ventures. Adjustments for unconsolidated partnership and joint ventures will be calculated to reflect funds from operations on the same basis. For purposes of this Agreement, Funds From Operations shall be calculated consistent with the Funds from Operations White Paper – 2018 Restatement issued by National Association of Real Estate Investment Trusts, Inc., but without giving effect to any supplements, amendments or other modifications promulgated after the Agreement Date.</w:t>
      </w:r>
    </w:p>
    <w:p>
      <w:pPr>
        <w:spacing w:after="0" w:line="168"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means generally accepted accounting principles in the United States of America set forth in the opinions and pronouncements of the Accounting Principles Board of the American Institute of Certified Public Accountants and statements and pronouncements of the Financial Accounting Standards Board (including Statement of Financial Accounting Standards No. 168, “The FASB Accounting Standards Codification”) or in such other statements by such other entity as may be approved by a significant segment of the accounting profession in the United States of America, which are applicable to the circumstances as of the date of determination.</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General Partner</w:t>
      </w:r>
      <w:r>
        <w:rPr>
          <w:rFonts w:ascii="Times New Roman" w:cs="Times New Roman" w:eastAsia="Times New Roman" w:hAnsi="Times New Roman"/>
          <w:sz w:val="18"/>
          <w:szCs w:val="18"/>
          <w:color w:val="auto"/>
        </w:rPr>
        <w:t>” means Federal Realty GP LLC, a limited liability company formed under the laws of the State of Delaware.</w:t>
      </w:r>
    </w:p>
    <w:p>
      <w:pPr>
        <w:spacing w:after="0" w:line="225" w:lineRule="exact"/>
        <w:rPr>
          <w:sz w:val="20"/>
          <w:szCs w:val="20"/>
          <w:color w:val="auto"/>
        </w:rPr>
      </w:pPr>
    </w:p>
    <w:p>
      <w:pPr>
        <w:ind w:right="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Approvals</w:t>
      </w:r>
      <w:r>
        <w:rPr>
          <w:rFonts w:ascii="Times New Roman" w:cs="Times New Roman" w:eastAsia="Times New Roman" w:hAnsi="Times New Roman"/>
          <w:sz w:val="18"/>
          <w:szCs w:val="18"/>
          <w:color w:val="auto"/>
        </w:rPr>
        <w:t>” means all authorizations, consents, approvals, licenses and exemptions of, registrations and filings with, and reports to, all Governmental Authorities.</w:t>
      </w:r>
    </w:p>
    <w:p>
      <w:pPr>
        <w:spacing w:after="0" w:line="155"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means any national, state or local government (whether domestic or foreign), any political subdivision thereof or any other governmental, quasi-governmental, judicial, administrative, public or statutory instrumentality, authority, body, agency, bureau, commission, board, department or other entity (including, without limitation, the Federal Deposit Insurance Corporation, the Comptroller of the Currency or the Federal Reserve Board, any central bank or any comparable authority) or any arbitrator with authority to bind a party at law and any group or body charged with setting financial, accounting, or regulatory capital rules or standards (including, without limitation, the Financial Accounting Standards Board, the Bank for International Settlements, or the Basel Committee on Banking Supervision or similar authority to any of the foregoing).</w:t>
      </w:r>
    </w:p>
    <w:p>
      <w:pPr>
        <w:spacing w:after="0" w:line="182"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Ground Lease</w:t>
      </w:r>
      <w:r>
        <w:rPr>
          <w:rFonts w:ascii="Times New Roman" w:cs="Times New Roman" w:eastAsia="Times New Roman" w:hAnsi="Times New Roman"/>
          <w:sz w:val="18"/>
          <w:szCs w:val="18"/>
          <w:color w:val="auto"/>
        </w:rPr>
        <w:t>” means a ground lease or master lease containing the following terms and conditions: (a) a remaining term (exclusive of any unexercised extension options) of thirty (30) years or more from the Agreement Date; (b) the right of the lessee to mortgage and encumber its interest in the leased property without the consent of the lessor; (c) the obligation of the lessor to give the holder of any mortgage Lien on such leased property written notice of any defaults on the part of the lessee and agreement of such lessor that such lease will not be terminated until such holder has had a reasonable opportunity to cure or complete foreclosures, and fails to do so; (d) reasonable transferability of the lessee’s interest under such lease, including ability to sublease; and (e) such other rights customarily required by mortgagees making a loan secured by the interest of the holder of the leasehold estate demised pursuant to a ground lease or master lease.</w:t>
      </w:r>
    </w:p>
    <w:p>
      <w:pPr>
        <w:spacing w:after="0" w:line="183" w:lineRule="exact"/>
        <w:rPr>
          <w:sz w:val="20"/>
          <w:szCs w:val="20"/>
          <w:color w:val="auto"/>
        </w:rPr>
      </w:pPr>
    </w:p>
    <w:p>
      <w:pPr>
        <w:ind w:right="420" w:firstLine="4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Guarantor</w:t>
      </w:r>
      <w:r>
        <w:rPr>
          <w:rFonts w:ascii="Times New Roman" w:cs="Times New Roman" w:eastAsia="Times New Roman" w:hAnsi="Times New Roman"/>
          <w:sz w:val="17"/>
          <w:szCs w:val="17"/>
          <w:color w:val="auto"/>
        </w:rPr>
        <w:t>” means any Person that guarantees all or a portion of the Obligations including, at all times after delivery of the Parent/General Partner Guaranty (if ever), the Parent and, at all times after delivery of the Parent/General Partner Guaranty (if ever), the General Partner.</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60"/>
          </w:cols>
          <w:pgMar w:left="440" w:top="266" w:right="499" w:bottom="1440" w:gutter="0" w:footer="0" w:header="0"/>
        </w:sectPr>
      </w:pPr>
    </w:p>
    <w:bookmarkStart w:id="197" w:name="page198"/>
    <w:bookmarkEnd w:id="197"/>
    <w:p>
      <w:pPr>
        <w:ind w:left="4" w:firstLine="44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7"/>
          <w:szCs w:val="17"/>
          <w:b w:val="1"/>
          <w:bCs w:val="1"/>
          <w:color w:val="auto"/>
        </w:rPr>
        <w:t>Guaranty</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Guaranteed</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Guarantying</w:t>
      </w:r>
      <w:r>
        <w:rPr>
          <w:rFonts w:ascii="Times New Roman" w:cs="Times New Roman" w:eastAsia="Times New Roman" w:hAnsi="Times New Roman"/>
          <w:sz w:val="17"/>
          <w:szCs w:val="17"/>
          <w:color w:val="auto"/>
        </w:rPr>
        <w:t>” or to “</w:t>
      </w:r>
      <w:r>
        <w:rPr>
          <w:rFonts w:ascii="Times New Roman" w:cs="Times New Roman" w:eastAsia="Times New Roman" w:hAnsi="Times New Roman"/>
          <w:sz w:val="17"/>
          <w:szCs w:val="17"/>
          <w:b w:val="1"/>
          <w:bCs w:val="1"/>
          <w:color w:val="auto"/>
        </w:rPr>
        <w:t>Guarantee</w:t>
      </w:r>
      <w:r>
        <w:rPr>
          <w:rFonts w:ascii="Times New Roman" w:cs="Times New Roman" w:eastAsia="Times New Roman" w:hAnsi="Times New Roman"/>
          <w:sz w:val="17"/>
          <w:szCs w:val="17"/>
          <w:color w:val="auto"/>
        </w:rPr>
        <w:t>” as applied to any obligation means and includes: (a) a guaranty (other than by endorsement of negotiable instruments for collection or deposit in the ordinary course of business), directly or indirectly, in any manner, of any part or all of such obligation, or (b) an agreement, direct or indirect, contingent or otherwise, and whether or not constituting a guaranty, the practical effect of which is to assure the payment or performance (or payment of damages in the event of nonperformance) of any part or all of such obligation whether by:</w:t>
      </w:r>
    </w:p>
    <w:p>
      <w:pPr>
        <w:ind w:left="4" w:right="40" w:hanging="4"/>
        <w:spacing w:after="0" w:line="252" w:lineRule="auto"/>
        <w:tabs>
          <w:tab w:leader="none" w:pos="219"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of securities or obligations, (ii) the purchase, sale or lease (as lessee or lessor) of property or the purchase or sale of services primarily for the purpose of enabling the obligor with respect to such obligation to make any payment or performance (or payment of damages in the event of nonperformance) of or on account of any part or all of such obligation, or to assure the owner of such obligation against loss, (iii) the supplying of funds to or in any other manner investing in the obligor with respect to such obligation, (iv) repayment of amounts drawn down by beneficiaries of letters of credit, or (v) the supplying of funds to or investing in a Person on account of all or any part of such Person’s obligation under a Guaranty of any obligation or indemnifying or holding harmless, in any way, such Person against any part or all of such obligation. As the context requires, “Guaranty” shall also mean the guaranty executed and delivered pursuant to Section 5.1. or 7.14. and substantially in the form of Exhibit B.</w:t>
      </w:r>
    </w:p>
    <w:p>
      <w:pPr>
        <w:spacing w:after="0" w:line="184" w:lineRule="exact"/>
        <w:rPr>
          <w:sz w:val="20"/>
          <w:szCs w:val="20"/>
          <w:color w:val="auto"/>
        </w:rPr>
      </w:pPr>
    </w:p>
    <w:p>
      <w:pPr>
        <w:ind w:left="4" w:right="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Hazardous Materials</w:t>
      </w:r>
      <w:r>
        <w:rPr>
          <w:rFonts w:ascii="Times New Roman" w:cs="Times New Roman" w:eastAsia="Times New Roman" w:hAnsi="Times New Roman"/>
          <w:sz w:val="18"/>
          <w:szCs w:val="18"/>
          <w:color w:val="auto"/>
        </w:rPr>
        <w:t>” means all or any of the following: (a) substances that are defined or listed in, or otherwise classified pursuant to, any applicable Environmental Laws as “hazardous substances”, “hazardous materials”, “hazardous wastes”, “toxic substances” or any other formulation intended to define, list or classify substances by reason of deleterious properties such as ignitability, corrosivity, reactivity, carcinogenicity, reproductive toxicity, “TCLP” toxicity, or “EP toxicity”; (b) oil, petroleum or petroleum derived substances, natural gas, natural gas liquids or synthetic gas and drilling fluids, produced waters and other wastes associated with the exploration, development or production of crude oil, natural gas or geothermal resources; (c) any flammable substances or explosives or any radioactive materials; (d) asbestos in any form; (e) toxic mold; and (f) electrical equipment which contains any oil or dielectric fluid containing levels of polychlorinated biphenyls in excess of fifty parts per million.</w:t>
      </w:r>
    </w:p>
    <w:p>
      <w:pPr>
        <w:spacing w:after="0" w:line="183" w:lineRule="exact"/>
        <w:rPr>
          <w:sz w:val="20"/>
          <w:szCs w:val="20"/>
          <w:color w:val="auto"/>
        </w:rPr>
      </w:pPr>
    </w:p>
    <w:p>
      <w:pPr>
        <w:ind w:left="4" w:right="3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Hotel Property</w:t>
      </w:r>
      <w:r>
        <w:rPr>
          <w:rFonts w:ascii="Times New Roman" w:cs="Times New Roman" w:eastAsia="Times New Roman" w:hAnsi="Times New Roman"/>
          <w:sz w:val="18"/>
          <w:szCs w:val="18"/>
          <w:color w:val="auto"/>
        </w:rPr>
        <w:t>” means any Property, the improvements on which are operated as a hotel, inn or the providing of lodging or leisure services, together with any incidental improvements on such Property operated in connection with such hotel, inn, lodging or leisure facility.</w:t>
      </w:r>
    </w:p>
    <w:p>
      <w:pPr>
        <w:spacing w:after="0" w:line="155" w:lineRule="exact"/>
        <w:rPr>
          <w:sz w:val="20"/>
          <w:szCs w:val="20"/>
          <w:color w:val="auto"/>
        </w:rPr>
      </w:pPr>
    </w:p>
    <w:p>
      <w:pPr>
        <w:ind w:left="4" w:right="20" w:firstLine="44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Indebtedness</w:t>
      </w:r>
      <w:r>
        <w:rPr>
          <w:rFonts w:ascii="Times New Roman" w:cs="Times New Roman" w:eastAsia="Times New Roman" w:hAnsi="Times New Roman"/>
          <w:sz w:val="18"/>
          <w:szCs w:val="18"/>
          <w:color w:val="auto"/>
        </w:rPr>
        <w:t>” means, with respect to a Person, at the time of computation thereof, all of the following (without duplication): (a) all obligations of such Person in respect of money borrowed; (b) all obligations of such Person (other than trade debt incurred in the ordinary course of business), whether or not for money borrowed (i) represented by notes payable, or drafts accepted, in each case representing extensions of credit, (ii) evidenced by bonds, debentures, notes or similar instruments, or (iii) constituting purchase money indebtedness, conditional sales contracts, title retention debt instruments or other similar instruments, upon which interest charges are customarily paid or that are issued or assumed as full or partial payment for property or services rendered; (c) accounts payable and dividends payable; (d) Capitalized Lease Obligations of such Person (including ground leases to the extent required under GAAP (subject to the provisions of Section 1.2. hereof) to be reported as a liability) and any sale leaseback transactions or other transaction by which such Person shall remain liable as lessee (or the economic equivalent thereof) of any real or personal property that it has sold or leased to another Person; (e) all reimbursement obligations of such Person under any letters of credit or acceptances (whether or not the same have been presented for payment); (f) all Off-Balance Sheet Obligations of such Person; (g) all obligations of such Person to purchase, redeem, retire, defease or otherwise make any payment in respect of any Mandatorily Redeemable Stock issued by such Person or any other Person, valued at the greater of its voluntary or involuntary liquidation preference plus accrued and unpaid dividends; (h) all obligations of such Person in respect of any purchase obligation, repurchase obligation, takeout commitment or forward equity commitment, in each case evidenced by a binding agreement (excluding any such obligation to the extent the obligation can be satisfied by the issuance of Equity Interests (other than Mandatorily Redeemable Stock)); (i) net obligations under any Derivatives Contract not entered into as a hedge against existing Indebtedness (which shall be deemed to have an amount equal to the Derivatives Termination Value thereof at such time but in no event shall be less than zero); (j) all Indebtedness of other Persons which such Person has guaranteed or</w:t>
      </w:r>
    </w:p>
    <w:p>
      <w:pPr>
        <w:spacing w:after="0" w:line="13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4"/>
          </w:cols>
          <w:pgMar w:left="436" w:top="266" w:right="459" w:bottom="1440" w:gutter="0" w:footer="0" w:header="0"/>
        </w:sectPr>
      </w:pPr>
    </w:p>
    <w:bookmarkStart w:id="198" w:name="page199"/>
    <w:bookmarkEnd w:id="198"/>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is otherwise recourse to such Person (except for guaranties of customary exceptions for fraud, misapplication of funds, environmental indemnities and other similar exceptions to recourse liability (but not exceptions relating to bankruptcy, insolvency, receivership or other similar events)); (k) all Indebtedness of another Person secured by (or for which the holder of such Indebtedness has an existing right, contingent or otherwise, to be secured by) any Lien on property or assets owned by such Person, even though such Person has not assumed or become liable for the payment of such Indebtedness or other payment obligation; and (l) such Person’s Ownership Share of the Indebtedness of any Unconsolidated Affiliate of such Person. By way of example only and not in limitation of the preceding sentence, Indebtedness of any Person shall include Indebtedness of any partnership or joint venture in which such Person is a general partner or joint venturer to the extent of such Person’s Ownership Share of such partnership or joint venture (except if such Indebtedness, or any portion thereof, is recourse to such Person, in which case the greater of such Person’s Ownership Share of such Indebtedness or the amount of the recourse portion of the Indebtedness, shall be included as Indebtedness of such Person). All Loans shall constitute Indebtedness of the Borrower.</w:t>
      </w:r>
    </w:p>
    <w:p>
      <w:pPr>
        <w:spacing w:after="0" w:line="190" w:lineRule="exact"/>
        <w:rPr>
          <w:sz w:val="20"/>
          <w:szCs w:val="20"/>
          <w:color w:val="auto"/>
        </w:rPr>
      </w:pPr>
    </w:p>
    <w:p>
      <w:pPr>
        <w:ind w:right="4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Indemnified Taxes</w:t>
      </w:r>
      <w:r>
        <w:rPr>
          <w:rFonts w:ascii="Times New Roman" w:cs="Times New Roman" w:eastAsia="Times New Roman" w:hAnsi="Times New Roman"/>
          <w:sz w:val="18"/>
          <w:szCs w:val="18"/>
          <w:color w:val="auto"/>
        </w:rPr>
        <w:t>” means (a) Taxes, other than Excluded Taxes, imposed on or with respect to any payment made by or on account of any obligation of the Borrower or any other Loan Party under any Loan Document and (b) to the extent not otherwise described in the immediately preceding clause (a), Other Taxes.</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has the meaning given that term in Section 6.1.(s).</w:t>
      </w:r>
    </w:p>
    <w:p>
      <w:pPr>
        <w:spacing w:after="0" w:line="225"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“Interest Expense</w:t>
      </w:r>
      <w:r>
        <w:rPr>
          <w:rFonts w:ascii="Times New Roman" w:cs="Times New Roman" w:eastAsia="Times New Roman" w:hAnsi="Times New Roman"/>
          <w:sz w:val="18"/>
          <w:szCs w:val="18"/>
          <w:color w:val="auto"/>
        </w:rPr>
        <w:t>” means, for any period, without duplication, (a) total interest expense of the Borrower and its Subsidiaries determined on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consolidated basis in accordance with GAAP for such period, including capitalized interest not funded under a construction loan on a consolidated basis, plus (b) the Borrower’s Ownership Share of total interest expense of Unconsolidated Affiliates determined in accordance with GAAP for such period, including capitalized interest not funded under a construction loan.</w:t>
      </w:r>
    </w:p>
    <w:p>
      <w:pPr>
        <w:spacing w:after="0" w:line="176"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Period</w:t>
      </w:r>
      <w:r>
        <w:rPr>
          <w:rFonts w:ascii="Times New Roman" w:cs="Times New Roman" w:eastAsia="Times New Roman" w:hAnsi="Times New Roman"/>
          <w:sz w:val="18"/>
          <w:szCs w:val="18"/>
          <w:color w:val="auto"/>
        </w:rPr>
        <w:t xml:space="preserve">” means, with respect to each </w:t>
      </w:r>
      <w:r>
        <w:rPr>
          <w:rFonts w:ascii="Times New Roman" w:cs="Times New Roman" w:eastAsia="Times New Roman" w:hAnsi="Times New Roman"/>
          <w:sz w:val="18"/>
          <w:szCs w:val="18"/>
          <w:color w:val="FF0000"/>
          <w:strike w:val="1"/>
        </w:rPr>
        <w:t>LIBOR</w:t>
      </w:r>
      <w:r>
        <w:rPr>
          <w:rFonts w:ascii="Times New Roman" w:cs="Times New Roman" w:eastAsia="Times New Roman" w:hAnsi="Times New Roman"/>
          <w:sz w:val="18"/>
          <w:szCs w:val="18"/>
          <w:u w:val="single" w:color="auto"/>
          <w:color w:val="0000FF"/>
        </w:rPr>
        <w:t>SOFR</w:t>
      </w:r>
      <w:r>
        <w:rPr>
          <w:rFonts w:ascii="Times New Roman" w:cs="Times New Roman" w:eastAsia="Times New Roman" w:hAnsi="Times New Roman"/>
          <w:sz w:val="18"/>
          <w:szCs w:val="18"/>
          <w:color w:val="auto"/>
        </w:rPr>
        <w:t xml:space="preserve"> Loan, each period commencing on the date such </w:t>
      </w:r>
      <w:r>
        <w:rPr>
          <w:rFonts w:ascii="Times New Roman" w:cs="Times New Roman" w:eastAsia="Times New Roman" w:hAnsi="Times New Roman"/>
          <w:sz w:val="18"/>
          <w:szCs w:val="18"/>
          <w:color w:val="FF0000"/>
          <w:strike w:val="1"/>
        </w:rPr>
        <w:t>LIBOR</w:t>
      </w:r>
      <w:r>
        <w:rPr>
          <w:rFonts w:ascii="Times New Roman" w:cs="Times New Roman" w:eastAsia="Times New Roman" w:hAnsi="Times New Roman"/>
          <w:sz w:val="18"/>
          <w:szCs w:val="18"/>
          <w:u w:val="single" w:color="auto"/>
          <w:color w:val="0000FF"/>
        </w:rPr>
        <w:t>SOFR</w:t>
      </w:r>
      <w:r>
        <w:rPr>
          <w:rFonts w:ascii="Times New Roman" w:cs="Times New Roman" w:eastAsia="Times New Roman" w:hAnsi="Times New Roman"/>
          <w:sz w:val="18"/>
          <w:szCs w:val="18"/>
          <w:color w:val="auto"/>
        </w:rPr>
        <w:t xml:space="preserve"> Loan is made, or in the case of the Continuation of a </w:t>
      </w:r>
      <w:r>
        <w:rPr>
          <w:rFonts w:ascii="Times New Roman" w:cs="Times New Roman" w:eastAsia="Times New Roman" w:hAnsi="Times New Roman"/>
          <w:sz w:val="18"/>
          <w:szCs w:val="18"/>
          <w:color w:val="FF0000"/>
          <w:strike w:val="1"/>
        </w:rPr>
        <w:t>LIBOR</w:t>
      </w:r>
      <w:r>
        <w:rPr>
          <w:rFonts w:ascii="Times New Roman" w:cs="Times New Roman" w:eastAsia="Times New Roman" w:hAnsi="Times New Roman"/>
          <w:sz w:val="18"/>
          <w:szCs w:val="18"/>
          <w:u w:val="single" w:color="auto"/>
          <w:color w:val="0000FF"/>
        </w:rPr>
        <w:t>SOFR</w:t>
      </w:r>
      <w:r>
        <w:rPr>
          <w:rFonts w:ascii="Times New Roman" w:cs="Times New Roman" w:eastAsia="Times New Roman" w:hAnsi="Times New Roman"/>
          <w:sz w:val="18"/>
          <w:szCs w:val="18"/>
          <w:color w:val="auto"/>
        </w:rPr>
        <w:t xml:space="preserve"> Loan the last day of the preceding Interest Period for such Loan, and ending on the numerically corresponding day in the first, third or sixth calendar month thereafter (or such shorter period as acceptable to the Lenders), as the Borrower may select in a Notice of Borrowing, Notice of Continuation or Notice of Conversion, as the case may be, except that each Interest Period that commences on the last Business Day of a calendar month (or on any day for which there is no numerically corresponding day in the appropriate subsequent calendar month) shall end on the last Business Day of the appropriate subsequent calendar month. Notwithstanding the foregoing, each Interest Period that would otherwise end on a day which is not a Business Day shall end on the immediately following Business Day (or, if such immediately following Business Day falls in the next calendar month, on the immediately preceding Business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2766060</wp:posOffset>
            </wp:positionH>
            <wp:positionV relativeFrom="paragraph">
              <wp:posOffset>-956945</wp:posOffset>
            </wp:positionV>
            <wp:extent cx="29146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291465" cy="8255"/>
                    </a:xfrm>
                    <a:prstGeom prst="rect">
                      <a:avLst/>
                    </a:prstGeom>
                    <a:noFill/>
                  </pic:spPr>
                </pic:pic>
              </a:graphicData>
            </a:graphic>
          </wp:anchor>
        </w:drawing>
        <w:drawing>
          <wp:anchor simplePos="0" relativeHeight="251657728" behindDoc="1" locked="0" layoutInCell="0" allowOverlap="1">
            <wp:simplePos x="0" y="0"/>
            <wp:positionH relativeFrom="column">
              <wp:posOffset>5663565</wp:posOffset>
            </wp:positionH>
            <wp:positionV relativeFrom="paragraph">
              <wp:posOffset>-956945</wp:posOffset>
            </wp:positionV>
            <wp:extent cx="28257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282575" cy="8255"/>
                    </a:xfrm>
                    <a:prstGeom prst="rect">
                      <a:avLst/>
                    </a:prstGeom>
                    <a:noFill/>
                  </pic:spPr>
                </pic:pic>
              </a:graphicData>
            </a:graphic>
          </wp:anchor>
        </w:drawing>
        <w:drawing>
          <wp:anchor simplePos="0" relativeHeight="251657728" behindDoc="1" locked="0" layoutInCell="0" allowOverlap="1">
            <wp:simplePos x="0" y="0"/>
            <wp:positionH relativeFrom="column">
              <wp:posOffset>1857375</wp:posOffset>
            </wp:positionH>
            <wp:positionV relativeFrom="paragraph">
              <wp:posOffset>-819785</wp:posOffset>
            </wp:positionV>
            <wp:extent cx="28257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282575" cy="8255"/>
                    </a:xfrm>
                    <a:prstGeom prst="rect">
                      <a:avLst/>
                    </a:prstGeom>
                    <a:noFill/>
                  </pic:spPr>
                </pic:pic>
              </a:graphicData>
            </a:graphic>
          </wp:anchor>
        </w:drawing>
      </w:r>
    </w:p>
    <w:p>
      <w:pPr>
        <w:spacing w:after="0" w:line="16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Notwithstanding the foregoing: (i) if any Interest Period would otherwise end after the Maturity Date, such Interest Period shall end on the Maturity Date; </w:t>
      </w:r>
      <w:r>
        <w:rPr>
          <w:rFonts w:ascii="Times New Roman" w:cs="Times New Roman" w:eastAsia="Times New Roman" w:hAnsi="Times New Roman"/>
          <w:sz w:val="18"/>
          <w:szCs w:val="18"/>
          <w:color w:val="FF0000"/>
          <w:strike w:val="1"/>
        </w:rPr>
        <w:t>and</w:t>
      </w:r>
      <w:r>
        <w:rPr>
          <w:rFonts w:ascii="Times New Roman" w:cs="Times New Roman" w:eastAsia="Times New Roman" w:hAnsi="Times New Roman"/>
          <w:sz w:val="18"/>
          <w:szCs w:val="18"/>
          <w:color w:val="auto"/>
        </w:rPr>
        <w:t xml:space="preserve"> (ii) each Interest Period that would otherwise end on a day which is not a Business Day shall end on the immediately following Business Day (or, if such immediately following Business Day falls in the next calendar month, on the immediately preceding Business Day)</w:t>
      </w:r>
      <w:r>
        <w:rPr>
          <w:rFonts w:ascii="Times New Roman" w:cs="Times New Roman" w:eastAsia="Times New Roman" w:hAnsi="Times New Roman"/>
          <w:sz w:val="18"/>
          <w:szCs w:val="18"/>
          <w:u w:val="single" w:color="auto"/>
          <w:color w:val="0000FF"/>
        </w:rPr>
        <w:t>; and (iii) no tenor that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has been removed from this definition pursuant to this Agreement shall be available for specification in any Notice of Borrowing, Notice of Continuation or Notice of Conversion</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5800725</wp:posOffset>
            </wp:positionH>
            <wp:positionV relativeFrom="paragraph">
              <wp:posOffset>-274320</wp:posOffset>
            </wp:positionV>
            <wp:extent cx="102870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028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-137160</wp:posOffset>
            </wp:positionV>
            <wp:extent cx="6386195"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38619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0</wp:posOffset>
            </wp:positionV>
            <wp:extent cx="173164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731645" cy="8255"/>
                    </a:xfrm>
                    <a:prstGeom prst="rect">
                      <a:avLst/>
                    </a:prstGeom>
                    <a:noFill/>
                  </pic:spPr>
                </pic:pic>
              </a:graphicData>
            </a:graphic>
          </wp:anchor>
        </w:drawing>
      </w:r>
    </w:p>
    <w:p>
      <w:pPr>
        <w:spacing w:after="0" w:line="1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Internal Revenue Code</w:t>
      </w:r>
      <w:r>
        <w:rPr>
          <w:rFonts w:ascii="Times New Roman" w:cs="Times New Roman" w:eastAsia="Times New Roman" w:hAnsi="Times New Roman"/>
          <w:sz w:val="18"/>
          <w:szCs w:val="18"/>
          <w:color w:val="auto"/>
        </w:rPr>
        <w:t>” means the Internal Revenue Code of 1986, as amended.</w:t>
      </w:r>
    </w:p>
    <w:p>
      <w:pPr>
        <w:spacing w:after="0" w:line="16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199" w:name="page200"/>
    <w:bookmarkEnd w:id="199"/>
    <w:p>
      <w:pPr>
        <w:ind w:right="100"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Investment</w:t>
      </w:r>
      <w:r>
        <w:rPr>
          <w:rFonts w:ascii="Times New Roman" w:cs="Times New Roman" w:eastAsia="Times New Roman" w:hAnsi="Times New Roman"/>
          <w:sz w:val="18"/>
          <w:szCs w:val="18"/>
          <w:color w:val="auto"/>
        </w:rPr>
        <w:t>” means, (x) with respect to any Person, any acquisition or investment (whether or not of a controlling interest) by such Person, by means of any of the following: (a) the purchase or other acquisition of any Equity Interest in another Person, (b) a loan, advance or extension of credit to, capital contribution to, Guaranty of Indebtedness of, or purchase or other acquisition of any Indebtedness of, another Person, including any partnership or joint venture interest in such other Person, or (c) the purchase or other acquisition (in one transaction or a series of transactions) of assets of another Person that constitute the business or a division or operating unit of another Person and (y) with respect to any Property or other asset, the acquisition thereof. Any binding commitment to make an Investment in any other Person, as well as any option of another Person to require an Investment in such Person, shall constitute an Investment. Except as expressly provided otherwise, for purposes of determining compliance with any covenant contained in a Loan Document, the amount of any Investment shall be the amount actually invested, without adjustment for subsequent increases or decreases in the value of such Investment.</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Investment Grade Rating</w:t>
      </w:r>
      <w:r>
        <w:rPr>
          <w:rFonts w:ascii="Times New Roman" w:cs="Times New Roman" w:eastAsia="Times New Roman" w:hAnsi="Times New Roman"/>
          <w:sz w:val="18"/>
          <w:szCs w:val="18"/>
          <w:color w:val="auto"/>
        </w:rPr>
        <w:t>” means a Credit Rating of BBB-/Baa3 (or the equivalent) or higher from a Rating Agency.</w:t>
      </w:r>
    </w:p>
    <w:p>
      <w:pPr>
        <w:spacing w:after="0" w:line="225"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ISDA Definitions</w:t>
      </w:r>
      <w:r>
        <w:rPr>
          <w:rFonts w:ascii="Times New Roman" w:cs="Times New Roman" w:eastAsia="Times New Roman" w:hAnsi="Times New Roman"/>
          <w:sz w:val="18"/>
          <w:szCs w:val="18"/>
          <w:color w:val="auto"/>
        </w:rPr>
        <w:t>” 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171" w:lineRule="exact"/>
        <w:rPr>
          <w:sz w:val="20"/>
          <w:szCs w:val="20"/>
          <w:color w:val="auto"/>
        </w:rPr>
      </w:pPr>
    </w:p>
    <w:p>
      <w:pPr>
        <w:jc w:val="both"/>
        <w:ind w:right="3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 means each financial institution from time to time party hereto as a “Lender”, together with its respective successors and permitted assigns; provided, however, that the term “Lender” except as otherwise expressly provided herein, shall exclude any Lender (or its Affiliates) in its capacity as a Specified Derivatives Provider.</w:t>
      </w:r>
    </w:p>
    <w:p>
      <w:pPr>
        <w:spacing w:after="0" w:line="171"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Lending Office</w:t>
      </w:r>
      <w:r>
        <w:rPr>
          <w:rFonts w:ascii="Times New Roman" w:cs="Times New Roman" w:eastAsia="Times New Roman" w:hAnsi="Times New Roman"/>
          <w:sz w:val="18"/>
          <w:szCs w:val="18"/>
          <w:color w:val="auto"/>
        </w:rPr>
        <w:t>” means, for each Lender and for each Type of Loan, the office of such Lender specified in such Lender’s Administrative Questionnaire or in the applicable Assignment and Assumption, or such other office of such Lender as such Lender may notify the Administrative Agent in writing from time to time.</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Level</w:t>
      </w:r>
      <w:r>
        <w:rPr>
          <w:rFonts w:ascii="Times New Roman" w:cs="Times New Roman" w:eastAsia="Times New Roman" w:hAnsi="Times New Roman"/>
          <w:sz w:val="18"/>
          <w:szCs w:val="18"/>
          <w:color w:val="auto"/>
        </w:rPr>
        <w:t>” has the meaning given that term in the definition of the term “Applicable Margin.”</w:t>
      </w:r>
    </w:p>
    <w:p>
      <w:pPr>
        <w:spacing w:after="0" w:line="225" w:lineRule="exact"/>
        <w:rPr>
          <w:sz w:val="20"/>
          <w:szCs w:val="20"/>
          <w:color w:val="auto"/>
        </w:rPr>
      </w:pPr>
    </w:p>
    <w:p>
      <w:pPr>
        <w:ind w:right="20" w:firstLine="440"/>
        <w:spacing w:after="0" w:line="252" w:lineRule="auto"/>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b w:val="1"/>
          <w:bCs w:val="1"/>
          <w:color w:val="FF0000"/>
          <w:strike w:val="1"/>
        </w:rPr>
        <w:t>LIBOR</w:t>
      </w:r>
      <w:r>
        <w:rPr>
          <w:rFonts w:ascii="Times New Roman" w:cs="Times New Roman" w:eastAsia="Times New Roman" w:hAnsi="Times New Roman"/>
          <w:sz w:val="18"/>
          <w:szCs w:val="18"/>
          <w:color w:val="FF0000"/>
          <w:strike w:val="1"/>
        </w:rPr>
        <w:t>” means, subject to implementation of a Benchmark Replacement in accordance with Section 4.2.(b) through (e), with respect to any LIBOR Loan for any Interest Period, the interest rate per annum determined by the Administrative Agent by dividing (a) the rate which appears on the Bloomberg Page BBAM1 (or such other substitute Bloomberg page that displays rates at which Dollar deposits are offered by leading banks in the London interbank deposit market), or the rate which is quoted by another source selected by the Administrative Agent as an authorized information vendor for the purpose of displaying rates at which Dollar deposits are offered by leading banks in the London interbank deposit market (an “</w:t>
      </w:r>
      <w:r>
        <w:rPr>
          <w:rFonts w:ascii="Times New Roman" w:cs="Times New Roman" w:eastAsia="Times New Roman" w:hAnsi="Times New Roman"/>
          <w:sz w:val="18"/>
          <w:szCs w:val="18"/>
          <w:b w:val="1"/>
          <w:bCs w:val="1"/>
          <w:color w:val="FF0000"/>
          <w:strike w:val="1"/>
        </w:rPr>
        <w:t>Alternate</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b w:val="1"/>
          <w:bCs w:val="1"/>
          <w:color w:val="FF0000"/>
          <w:strike w:val="1"/>
        </w:rPr>
        <w:t>Source</w:t>
      </w:r>
      <w:r>
        <w:rPr>
          <w:rFonts w:ascii="Times New Roman" w:cs="Times New Roman" w:eastAsia="Times New Roman" w:hAnsi="Times New Roman"/>
          <w:sz w:val="18"/>
          <w:szCs w:val="18"/>
          <w:color w:val="FF0000"/>
          <w:strike w:val="1"/>
        </w:rPr>
        <w:t>”) at approximately 11:00 a.m., London time, two (2) Business Days prior to the commencement of such Interest Period as the London interbank</w:t>
      </w:r>
      <w:r>
        <w:rPr>
          <w:rFonts w:ascii="Times New Roman" w:cs="Times New Roman" w:eastAsia="Times New Roman" w:hAnsi="Times New Roman"/>
          <w:sz w:val="18"/>
          <w:szCs w:val="18"/>
          <w:b w:val="1"/>
          <w:bCs w:val="1"/>
          <w:color w:val="FF0000"/>
          <w:strike w:val="1"/>
        </w:rPr>
        <w:t xml:space="preserve"> </w:t>
      </w:r>
      <w:r>
        <w:rPr>
          <w:rFonts w:ascii="Times New Roman" w:cs="Times New Roman" w:eastAsia="Times New Roman" w:hAnsi="Times New Roman"/>
          <w:sz w:val="18"/>
          <w:szCs w:val="18"/>
          <w:color w:val="FF0000"/>
          <w:strike w:val="1"/>
        </w:rPr>
        <w:t>offered rate for Dollars for an amount comparable to such Type of Loan and having a borrowing date and a maturity comparable to such Interest Period (or if there shall at any time, for any reason, no longer exist a Bloomberg Page BBAM1 (or any substitute page) or any Alternate Source, a comparable replacement rate determined by the Administrative Agent at such time (which determination shall be conclusive absent manifest error)), by (b) a number equal to 1.00 minus the Eurodollar Reserve Percentage. Notwithstanding the foregoing, (x) in no event shall LIBOR (including, without limitation, any Benchmark Replacement with respect thereto) be less than 0.000% and (y) unless otherwise specified in any amendment to this Agreement entered into in accordance with Section 4.2.(b) through (f), in the event that a Benchmark Replacement with respect to LIBOR is implemented then all references herein to LIBOR shall be deemed references to such Benchmark Replacement. LIBOR shall be adjusted with respect to any Loan to which LIBOR applies that is outstanding on the effective date of any change in the Eurodollar Reserve Percentage as of such effective date. The Administrative Agent shall give prompt notice to the Borrower of LIBOR as determined or adjusted in accordance herewith, which determination shall be conclusive absent manifest error.</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66" w:right="459" w:bottom="1440" w:gutter="0" w:footer="0" w:header="0"/>
        </w:sectPr>
      </w:pPr>
    </w:p>
    <w:bookmarkStart w:id="200" w:name="page201"/>
    <w:bookmarkEnd w:id="200"/>
    <w:p>
      <w:pPr>
        <w:ind w:left="444"/>
        <w:spacing w:after="0"/>
        <w:rPr>
          <w:sz w:val="20"/>
          <w:szCs w:val="20"/>
          <w:color w:val="auto"/>
        </w:rPr>
      </w:pPr>
      <w:r>
        <w:rPr>
          <w:rFonts w:ascii="Times New Roman" w:cs="Times New Roman" w:eastAsia="Times New Roman" w:hAnsi="Times New Roman"/>
          <w:sz w:val="18"/>
          <w:szCs w:val="18"/>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FF0000"/>
          <w:strike w:val="1"/>
        </w:rPr>
        <w:t>LIBOR Loan</w:t>
      </w:r>
      <w:r>
        <w:rPr>
          <w:rFonts w:ascii="Times New Roman" w:cs="Times New Roman" w:eastAsia="Times New Roman" w:hAnsi="Times New Roman"/>
          <w:sz w:val="18"/>
          <w:szCs w:val="18"/>
          <w:color w:val="FF0000"/>
          <w:strike w:val="1"/>
        </w:rPr>
        <w:t>” means a Loan (or any portion thereof) bearing interest at a rate based on LIBOR.</w:t>
      </w:r>
    </w:p>
    <w:p>
      <w:pPr>
        <w:spacing w:after="0" w:line="225" w:lineRule="exact"/>
        <w:rPr>
          <w:sz w:val="20"/>
          <w:szCs w:val="20"/>
          <w:color w:val="auto"/>
        </w:rPr>
      </w:pPr>
    </w:p>
    <w:p>
      <w:pPr>
        <w:ind w:left="4" w:right="20" w:firstLine="440"/>
        <w:spacing w:after="0" w:line="262" w:lineRule="auto"/>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b w:val="1"/>
          <w:bCs w:val="1"/>
          <w:color w:val="FF0000"/>
          <w:strike w:val="1"/>
        </w:rPr>
        <w:t>LIBOR Market Index Rate</w:t>
      </w:r>
      <w:r>
        <w:rPr>
          <w:rFonts w:ascii="Times New Roman" w:cs="Times New Roman" w:eastAsia="Times New Roman" w:hAnsi="Times New Roman"/>
          <w:sz w:val="18"/>
          <w:szCs w:val="18"/>
          <w:color w:val="FF0000"/>
          <w:strike w:val="1"/>
        </w:rPr>
        <w:t>” means, for any day, LIBOR as of that day that would be applicable for a LIBOR Loan having a one-month Interest Period determined at approximately 10:00 a.m. Eastern time for such day (rather than 11:00 a.m. (London time) two Business Days prior to the first day of such Interest Period as otherwise provided in the definition of “LIBOR”), or if such day is not a Business Day, the immediately preceding Business Day. The LIBOR Market Index Rate shall be determined on a daily basis.</w:t>
      </w:r>
    </w:p>
    <w:p>
      <w:pPr>
        <w:spacing w:after="0" w:line="176" w:lineRule="exact"/>
        <w:rPr>
          <w:sz w:val="20"/>
          <w:szCs w:val="20"/>
          <w:color w:val="auto"/>
        </w:rPr>
      </w:pPr>
    </w:p>
    <w:p>
      <w:pPr>
        <w:ind w:left="4" w:right="6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Lien</w:t>
      </w:r>
      <w:r>
        <w:rPr>
          <w:rFonts w:ascii="Times New Roman" w:cs="Times New Roman" w:eastAsia="Times New Roman" w:hAnsi="Times New Roman"/>
          <w:sz w:val="18"/>
          <w:szCs w:val="18"/>
          <w:color w:val="auto"/>
        </w:rPr>
        <w:t>” as applied to the property of any Person means: (a) any security interest, encumbrance, mortgage, deed to secure debt, deed of trust, assignment of leases and rents, pledge, lien, hypothecation, assignment, charge or lease constituting a Capitalized Lease Obligation, conditional sale or other title retention agreement, or other security title or encumbrance of any kind in respect of any property of such Person, or upon the income, rents or profits therefrom; (b) any arrangement, express or implied, under which any property of such Person is transferred, sequestered or otherwise identified for the purpose of subjecting the same to the payment of Indebtedness or performance of any other obligation in priority to the payment of the general, unsecured creditors of such Person; and (c) the filing of any financing statement under the UCC or its equivalent in any jurisdiction, other than any precautionary filing not otherwise constituting or giving rise to a Lien, including a financing statement filed (i) in respect of a lease not constituting a Capitalized Lease Obligation pursuant to Section 9-505 (or a successor provision) of the Uniform Commercial Code or its equivalent as in effect in an applicable jurisdiction or (ii) in connection with a sale or other disposition of accounts or other assets not prohibited by this Agreement in a transaction not otherwise constituting or giving rise to a Lien.</w:t>
      </w:r>
    </w:p>
    <w:p>
      <w:pPr>
        <w:spacing w:after="0" w:line="18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w:t>
      </w:r>
      <w:r>
        <w:rPr>
          <w:rFonts w:ascii="Times New Roman" w:cs="Times New Roman" w:eastAsia="Times New Roman" w:hAnsi="Times New Roman"/>
          <w:sz w:val="18"/>
          <w:szCs w:val="18"/>
          <w:color w:val="auto"/>
        </w:rPr>
        <w:t xml:space="preserve">” means </w:t>
      </w:r>
      <w:r>
        <w:rPr>
          <w:rFonts w:ascii="Times New Roman" w:cs="Times New Roman" w:eastAsia="Times New Roman" w:hAnsi="Times New Roman"/>
          <w:sz w:val="18"/>
          <w:szCs w:val="18"/>
          <w:color w:val="FF0000"/>
          <w:strike w:val="1"/>
        </w:rPr>
        <w:t>(i)</w:t>
      </w:r>
      <w:r>
        <w:rPr>
          <w:rFonts w:ascii="Times New Roman" w:cs="Times New Roman" w:eastAsia="Times New Roman" w:hAnsi="Times New Roman"/>
          <w:sz w:val="18"/>
          <w:szCs w:val="18"/>
          <w:color w:val="auto"/>
        </w:rPr>
        <w:t xml:space="preserve"> a loan made by a Lender to the Borrower pursuant to Section 2.1 </w:t>
      </w:r>
      <w:r>
        <w:rPr>
          <w:rFonts w:ascii="Times New Roman" w:cs="Times New Roman" w:eastAsia="Times New Roman" w:hAnsi="Times New Roman"/>
          <w:sz w:val="18"/>
          <w:szCs w:val="18"/>
          <w:color w:val="FF0000"/>
        </w:rPr>
        <w:t>and (ii) Additional Loans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4080510</wp:posOffset>
            </wp:positionH>
            <wp:positionV relativeFrom="paragraph">
              <wp:posOffset>-56515</wp:posOffset>
            </wp:positionV>
            <wp:extent cx="1180465"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180465" cy="8890"/>
                    </a:xfrm>
                    <a:prstGeom prst="rect">
                      <a:avLst/>
                    </a:prstGeom>
                    <a:noFill/>
                  </pic:spPr>
                </pic:pic>
              </a:graphicData>
            </a:graphic>
          </wp:anchor>
        </w:drawing>
      </w:r>
    </w:p>
    <w:p>
      <w:pPr>
        <w:spacing w:after="0" w:line="205" w:lineRule="exact"/>
        <w:rPr>
          <w:sz w:val="20"/>
          <w:szCs w:val="20"/>
          <w:color w:val="auto"/>
        </w:rPr>
      </w:pPr>
    </w:p>
    <w:p>
      <w:pPr>
        <w:jc w:val="both"/>
        <w:ind w:left="4" w:right="6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 Document</w:t>
      </w:r>
      <w:r>
        <w:rPr>
          <w:rFonts w:ascii="Times New Roman" w:cs="Times New Roman" w:eastAsia="Times New Roman" w:hAnsi="Times New Roman"/>
          <w:sz w:val="18"/>
          <w:szCs w:val="18"/>
          <w:color w:val="auto"/>
        </w:rPr>
        <w:t>” means this Agreement, each Note, the Guaranty and each other document or instrument now or hereafter executed and delivered by a Loan Party in connection with, pursuant to or relating to this Agreement (other than the Fee Letter and any Specified Derivatives Contract).</w:t>
      </w:r>
    </w:p>
    <w:p>
      <w:pPr>
        <w:spacing w:after="0" w:line="171" w:lineRule="exact"/>
        <w:rPr>
          <w:sz w:val="20"/>
          <w:szCs w:val="20"/>
          <w:color w:val="auto"/>
        </w:rPr>
      </w:pPr>
    </w:p>
    <w:p>
      <w:pPr>
        <w:ind w:left="4" w:right="2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 Party</w:t>
      </w:r>
      <w:r>
        <w:rPr>
          <w:rFonts w:ascii="Times New Roman" w:cs="Times New Roman" w:eastAsia="Times New Roman" w:hAnsi="Times New Roman"/>
          <w:sz w:val="18"/>
          <w:szCs w:val="18"/>
          <w:color w:val="auto"/>
        </w:rPr>
        <w:t>” means each of the Borrower and each other Person who guarantees all or a portion of the Obligations. Schedule 1.1.(a) sets forth the Loan Parties in addition to the Borrower as of the Agreement Date.</w:t>
      </w:r>
    </w:p>
    <w:p>
      <w:pPr>
        <w:spacing w:after="0" w:line="155" w:lineRule="exact"/>
        <w:rPr>
          <w:sz w:val="20"/>
          <w:szCs w:val="20"/>
          <w:color w:val="auto"/>
        </w:rPr>
      </w:pPr>
    </w:p>
    <w:p>
      <w:pPr>
        <w:ind w:left="4" w:right="9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Major Default</w:t>
      </w:r>
      <w:r>
        <w:rPr>
          <w:rFonts w:ascii="Times New Roman" w:cs="Times New Roman" w:eastAsia="Times New Roman" w:hAnsi="Times New Roman"/>
          <w:sz w:val="18"/>
          <w:szCs w:val="18"/>
          <w:color w:val="auto"/>
        </w:rPr>
        <w:t>” means a Default resulting from the occurrence of any of the events described in Section 10.1.(a), Section 10.1.(e) or Section 10.1.(f).</w:t>
      </w:r>
    </w:p>
    <w:p>
      <w:pPr>
        <w:spacing w:after="0" w:line="155" w:lineRule="exact"/>
        <w:rPr>
          <w:sz w:val="20"/>
          <w:szCs w:val="20"/>
          <w:color w:val="auto"/>
        </w:rPr>
      </w:pPr>
    </w:p>
    <w:p>
      <w:pPr>
        <w:ind w:left="4" w:firstLine="440"/>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Mandatorily Redeemable Stock</w:t>
      </w:r>
      <w:r>
        <w:rPr>
          <w:rFonts w:ascii="Times New Roman" w:cs="Times New Roman" w:eastAsia="Times New Roman" w:hAnsi="Times New Roman"/>
          <w:sz w:val="17"/>
          <w:szCs w:val="17"/>
          <w:color w:val="auto"/>
        </w:rPr>
        <w:t>” means, with respect to a Person, any Equity Interest of such Person which by the terms of such Equity Interest (or by the terms of any security into which it is convertible or for which it is exchangeable or exercisable), upon the happening of any event or otherwise</w:t>
      </w:r>
    </w:p>
    <w:p>
      <w:pPr>
        <w:spacing w:after="0" w:line="1" w:lineRule="exact"/>
        <w:rPr>
          <w:sz w:val="20"/>
          <w:szCs w:val="20"/>
          <w:color w:val="auto"/>
        </w:rPr>
      </w:pPr>
    </w:p>
    <w:p>
      <w:pPr>
        <w:ind w:left="4" w:right="220" w:hanging="4"/>
        <w:spacing w:after="0" w:line="252" w:lineRule="auto"/>
        <w:tabs>
          <w:tab w:leader="none" w:pos="249"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matures or is mandatorily redeemable, pursuant to a sinking fund obligation or otherwise (other than an Equity Interest to the extent redeemable in exchange for common stock or other equivalent common Equity Interests), (b) is convertible into or exchangeable or exercisable for Indebtedness or Mandatorily Redeemable Stock, or (c) is redeemable at the option of the holder thereof, in whole or in part (other than an Equity Interest (including interests in the Borrower and in “downREIT” Subsidiaries of the Borrower) which is redeemable </w:t>
      </w:r>
      <w:r>
        <w:rPr>
          <w:rFonts w:ascii="Times New Roman" w:cs="Times New Roman" w:eastAsia="Times New Roman" w:hAnsi="Times New Roman"/>
          <w:sz w:val="18"/>
          <w:szCs w:val="18"/>
          <w:color w:val="FF0000"/>
          <w:strike w:val="1"/>
        </w:rPr>
        <w:t>solely</w:t>
      </w:r>
      <w:r>
        <w:rPr>
          <w:rFonts w:ascii="Times New Roman" w:cs="Times New Roman" w:eastAsia="Times New Roman" w:hAnsi="Times New Roman"/>
          <w:sz w:val="18"/>
          <w:szCs w:val="18"/>
          <w:color w:val="auto"/>
        </w:rPr>
        <w:t xml:space="preserve"> in exchange for common stock or other equivalent common Equity Interests </w:t>
      </w:r>
      <w:r>
        <w:rPr>
          <w:rFonts w:ascii="Times New Roman" w:cs="Times New Roman" w:eastAsia="Times New Roman" w:hAnsi="Times New Roman"/>
          <w:sz w:val="18"/>
          <w:szCs w:val="18"/>
          <w:u w:val="single" w:color="auto"/>
          <w:color w:val="0000FF"/>
        </w:rPr>
        <w:t>without the payment of any cash or other consideration</w:t>
      </w:r>
      <w:r>
        <w:rPr>
          <w:rFonts w:ascii="Times New Roman" w:cs="Times New Roman" w:eastAsia="Times New Roman" w:hAnsi="Times New Roman"/>
          <w:sz w:val="18"/>
          <w:szCs w:val="18"/>
          <w:color w:val="auto"/>
        </w:rPr>
        <w:t xml:space="preserve">); in each case, on or prior to the Maturity Date. For purposes of this definition, Equity Interests in any of the following Subsidiaries which the Borrower </w:t>
      </w:r>
      <w:r>
        <w:rPr>
          <w:rFonts w:ascii="Times New Roman" w:cs="Times New Roman" w:eastAsia="Times New Roman" w:hAnsi="Times New Roman"/>
          <w:sz w:val="18"/>
          <w:szCs w:val="18"/>
          <w:u w:val="single" w:color="auto"/>
          <w:color w:val="0000FF"/>
        </w:rPr>
        <w:t>or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1654175</wp:posOffset>
            </wp:positionH>
            <wp:positionV relativeFrom="paragraph">
              <wp:posOffset>-132715</wp:posOffset>
            </wp:positionV>
            <wp:extent cx="2545715"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2545715" cy="8890"/>
                    </a:xfrm>
                    <a:prstGeom prst="rect">
                      <a:avLst/>
                    </a:prstGeom>
                    <a:noFill/>
                  </pic:spPr>
                </pic:pic>
              </a:graphicData>
            </a:graphic>
          </wp:anchor>
        </w:drawing>
        <w:drawing>
          <wp:anchor simplePos="0" relativeHeight="251657728" behindDoc="1" locked="0" layoutInCell="0" allowOverlap="1">
            <wp:simplePos x="0" y="0"/>
            <wp:positionH relativeFrom="column">
              <wp:posOffset>4603115</wp:posOffset>
            </wp:positionH>
            <wp:positionV relativeFrom="paragraph">
              <wp:posOffset>3810</wp:posOffset>
            </wp:positionV>
            <wp:extent cx="29146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10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4"/>
          </w:cols>
          <w:pgMar w:left="436" w:top="266" w:right="459" w:bottom="1440" w:gutter="0" w:footer="0" w:header="0"/>
        </w:sectPr>
      </w:pPr>
    </w:p>
    <w:bookmarkStart w:id="201" w:name="page202"/>
    <w:bookmarkEnd w:id="201"/>
    <w:p>
      <w:pPr>
        <w:ind w:right="40"/>
        <w:spacing w:after="0" w:line="261" w:lineRule="auto"/>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Subsidiary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is obligated to acquire pursuant to currently existing agreements (as in effect on the April 20, 2016) with the holders of such Equity Interest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shall not be considered to be Mandatorily Redeemable Stock: Congressional Plaza Associates, LLC; NVI-Avenue, LLC; Shrewsbury Commons LP; Route 35 Shrewsbury </w:t>
      </w:r>
      <w:r>
        <w:rPr>
          <w:rFonts w:ascii="Times New Roman" w:cs="Times New Roman" w:eastAsia="Times New Roman" w:hAnsi="Times New Roman"/>
          <w:sz w:val="18"/>
          <w:szCs w:val="18"/>
          <w:color w:val="FF0000"/>
          <w:strike w:val="1"/>
        </w:rPr>
        <w:t>LP; Sea Girt LP; San Antonio Center II, LLC; FR Montrose Crossing LLC; Rosecrans-Sepulveda Partners 3,</w:t>
      </w:r>
      <w:r>
        <w:rPr>
          <w:rFonts w:ascii="Times New Roman" w:cs="Times New Roman" w:eastAsia="Times New Roman" w:hAnsi="Times New Roman"/>
          <w:sz w:val="18"/>
          <w:szCs w:val="18"/>
          <w:u w:val="single" w:color="auto"/>
          <w:color w:val="0000FF"/>
        </w:rPr>
        <w:t>Limited Partnership;</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Sea Girt Limited Partnership; 35 West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LLC; and Federal Realty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-414020</wp:posOffset>
            </wp:positionV>
            <wp:extent cx="51435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514350" cy="8255"/>
                    </a:xfrm>
                    <a:prstGeom prst="rect">
                      <a:avLst/>
                    </a:prstGeom>
                    <a:noFill/>
                  </pic:spPr>
                </pic:pic>
              </a:graphicData>
            </a:graphic>
          </wp:anchor>
        </w:drawing>
        <w:drawing>
          <wp:anchor simplePos="0" relativeHeight="251657728" behindDoc="1" locked="0" layoutInCell="0" allowOverlap="1">
            <wp:simplePos x="0" y="0"/>
            <wp:positionH relativeFrom="column">
              <wp:posOffset>5998210</wp:posOffset>
            </wp:positionH>
            <wp:positionV relativeFrom="paragraph">
              <wp:posOffset>-139700</wp:posOffset>
            </wp:positionV>
            <wp:extent cx="94297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94297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-2540</wp:posOffset>
            </wp:positionV>
            <wp:extent cx="174879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156" w:lineRule="exact"/>
        <w:rPr>
          <w:sz w:val="20"/>
          <w:szCs w:val="20"/>
          <w:color w:val="auto"/>
        </w:rPr>
      </w:pPr>
    </w:p>
    <w:p>
      <w:pPr>
        <w:jc w:val="both"/>
        <w:ind w:right="1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Acquisition</w:t>
      </w:r>
      <w:r>
        <w:rPr>
          <w:rFonts w:ascii="Times New Roman" w:cs="Times New Roman" w:eastAsia="Times New Roman" w:hAnsi="Times New Roman"/>
          <w:sz w:val="18"/>
          <w:szCs w:val="18"/>
          <w:color w:val="auto"/>
        </w:rPr>
        <w:t>” means any acquisition by the Borrower or any Subsidiary in which the GAAP book value of the assets acquired exceed 10.0% of the consolidated total assets of the Borrower and its Subsidiaries determined under GAAP as of the last day of the most recently ending fiscal quarter of the Borrower for which financial statements are publicly available.</w:t>
      </w:r>
    </w:p>
    <w:p>
      <w:pPr>
        <w:spacing w:after="0" w:line="171" w:lineRule="exact"/>
        <w:rPr>
          <w:sz w:val="20"/>
          <w:szCs w:val="20"/>
          <w:color w:val="auto"/>
        </w:rPr>
      </w:pPr>
    </w:p>
    <w:p>
      <w:pPr>
        <w:jc w:val="both"/>
        <w:ind w:right="6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means a materially adverse effect on (a) the business, assets, liabilities, financial condition or results of operations of the Borrower and/or the Parent and their respective Subsidiaries taken as a whole, (b) the ability of the Borrower or any other Loan Party to perform its obligations under any Loan Document to which it is a party, (c) the validity or enforceability of any of the Loan Documents, (d) the rights and remedies of the Lenders and the Administrative Agent under any of the Loan Documents or (e) the timely payment of the principal of or interest on the Loans or other amounts payable in connection therewith.</w:t>
      </w:r>
    </w:p>
    <w:p>
      <w:pPr>
        <w:spacing w:after="0" w:line="179" w:lineRule="exact"/>
        <w:rPr>
          <w:sz w:val="20"/>
          <w:szCs w:val="20"/>
          <w:color w:val="auto"/>
        </w:rPr>
      </w:pPr>
    </w:p>
    <w:p>
      <w:pPr>
        <w:jc w:val="both"/>
        <w:ind w:right="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Contract</w:t>
      </w:r>
      <w:r>
        <w:rPr>
          <w:rFonts w:ascii="Times New Roman" w:cs="Times New Roman" w:eastAsia="Times New Roman" w:hAnsi="Times New Roman"/>
          <w:sz w:val="18"/>
          <w:szCs w:val="18"/>
          <w:color w:val="auto"/>
        </w:rPr>
        <w:t>” means any contract or other arrangement (other than Loan Documents, the Fee Letter and Specified Derivatives Contracts), whether written or oral, to which the Borrower, any Subsidiary or any other Loan Party is a party as to which the breach, nonperformance, cancellation or failure to renew (if renewable by its terms) by any party thereto could reasonably be expected to have a Material Adverse Effect.</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Indebtedness</w:t>
      </w:r>
      <w:r>
        <w:rPr>
          <w:rFonts w:ascii="Times New Roman" w:cs="Times New Roman" w:eastAsia="Times New Roman" w:hAnsi="Times New Roman"/>
          <w:sz w:val="18"/>
          <w:szCs w:val="18"/>
          <w:color w:val="auto"/>
        </w:rPr>
        <w:t>” has the meaning given that term in Section 10.1.(d).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“Material Subsidiary” </w:t>
      </w:r>
      <w:r>
        <w:rPr>
          <w:rFonts w:ascii="Times New Roman" w:cs="Times New Roman" w:eastAsia="Times New Roman" w:hAnsi="Times New Roman"/>
          <w:sz w:val="18"/>
          <w:szCs w:val="18"/>
          <w:color w:val="auto"/>
        </w:rPr>
        <w:t>means any Subsidiary to which more than 2% of Adjusted Total Asset Value is attributable on an individual basis.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“Maturity Date</w:t>
      </w:r>
      <w:r>
        <w:rPr>
          <w:rFonts w:ascii="Times New Roman" w:cs="Times New Roman" w:eastAsia="Times New Roman" w:hAnsi="Times New Roman"/>
          <w:sz w:val="18"/>
          <w:szCs w:val="18"/>
          <w:color w:val="auto"/>
        </w:rPr>
        <w:t>” means April 16, 2024, or such later date to which the Maturity Date may be extended pursuant to Section 2.13.</w:t>
      </w:r>
    </w:p>
    <w:p>
      <w:pPr>
        <w:spacing w:after="0" w:line="225" w:lineRule="exact"/>
        <w:rPr>
          <w:sz w:val="20"/>
          <w:szCs w:val="20"/>
          <w:color w:val="auto"/>
        </w:rPr>
      </w:pPr>
    </w:p>
    <w:p>
      <w:pPr>
        <w:ind w:right="2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Mixed-Use Project</w:t>
      </w:r>
      <w:r>
        <w:rPr>
          <w:rFonts w:ascii="Times New Roman" w:cs="Times New Roman" w:eastAsia="Times New Roman" w:hAnsi="Times New Roman"/>
          <w:sz w:val="18"/>
          <w:szCs w:val="18"/>
          <w:color w:val="auto"/>
        </w:rPr>
        <w:t>” means any mixed-use project that includes or will include a Retail Property and will also include a Multifamily Property and/or an Office Property.</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Moody’s</w:t>
      </w:r>
      <w:r>
        <w:rPr>
          <w:rFonts w:ascii="Times New Roman" w:cs="Times New Roman" w:eastAsia="Times New Roman" w:hAnsi="Times New Roman"/>
          <w:sz w:val="18"/>
          <w:szCs w:val="18"/>
          <w:color w:val="auto"/>
        </w:rPr>
        <w:t>” means Moody’s Investors Service, Inc. and its successors.</w:t>
      </w:r>
    </w:p>
    <w:p>
      <w:pPr>
        <w:spacing w:after="0" w:line="22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Mortgage</w:t>
      </w:r>
      <w:r>
        <w:rPr>
          <w:rFonts w:ascii="Times New Roman" w:cs="Times New Roman" w:eastAsia="Times New Roman" w:hAnsi="Times New Roman"/>
          <w:sz w:val="18"/>
          <w:szCs w:val="18"/>
          <w:color w:val="auto"/>
        </w:rPr>
        <w:t>” means a mortgage, deed of trust, deed to secure debt or similar security instrument made by a Person owning an interest in real estate granting a Lien on such interest in real estate as security for the payment of Indebtedness.</w:t>
      </w:r>
    </w:p>
    <w:p>
      <w:pPr>
        <w:spacing w:after="0" w:line="155" w:lineRule="exact"/>
        <w:rPr>
          <w:sz w:val="20"/>
          <w:szCs w:val="20"/>
          <w:color w:val="auto"/>
        </w:rPr>
      </w:pPr>
    </w:p>
    <w:p>
      <w:pPr>
        <w:ind w:right="2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Mortgage Receivable</w:t>
      </w:r>
      <w:r>
        <w:rPr>
          <w:rFonts w:ascii="Times New Roman" w:cs="Times New Roman" w:eastAsia="Times New Roman" w:hAnsi="Times New Roman"/>
          <w:sz w:val="18"/>
          <w:szCs w:val="18"/>
          <w:color w:val="auto"/>
        </w:rPr>
        <w:t>” means a promissory note or similarly structured investment secured by a Mortgage of which the Borrower, its Subsidiaries or its Unconsolidated Affiliates is the holder and retains the rights of collection of all payments thereunder including, without limitation, mezzanine debt and preferred equity investments secured by individual or portfolio properties.</w:t>
      </w:r>
    </w:p>
    <w:p>
      <w:pPr>
        <w:spacing w:after="0" w:line="171" w:lineRule="exact"/>
        <w:rPr>
          <w:sz w:val="20"/>
          <w:szCs w:val="20"/>
          <w:color w:val="auto"/>
        </w:rPr>
      </w:pPr>
    </w:p>
    <w:p>
      <w:pPr>
        <w:ind w:right="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Multiemployer Plan</w:t>
      </w:r>
      <w:r>
        <w:rPr>
          <w:rFonts w:ascii="Times New Roman" w:cs="Times New Roman" w:eastAsia="Times New Roman" w:hAnsi="Times New Roman"/>
          <w:sz w:val="18"/>
          <w:szCs w:val="18"/>
          <w:color w:val="auto"/>
        </w:rPr>
        <w:t>” means at any time a multiemployer plan within the meaning of Section 4001(a)(3) of ERISA to which any member of the ERISA Group is then making or accruing an obligation to make contributions or has within the preceding six plan years made contributions, including for these purposes any Person which ceased to be a member of the ERISA Group during such six-year period.</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80"/>
          </w:cols>
          <w:pgMar w:left="440" w:top="270" w:right="479" w:bottom="1440" w:gutter="0" w:footer="0" w:header="0"/>
        </w:sectPr>
      </w:pPr>
    </w:p>
    <w:bookmarkStart w:id="202" w:name="page203"/>
    <w:bookmarkEnd w:id="202"/>
    <w:p>
      <w:pPr>
        <w:ind w:right="74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Multifamily Property</w:t>
      </w:r>
      <w:r>
        <w:rPr>
          <w:rFonts w:ascii="Times New Roman" w:cs="Times New Roman" w:eastAsia="Times New Roman" w:hAnsi="Times New Roman"/>
          <w:sz w:val="18"/>
          <w:szCs w:val="18"/>
          <w:color w:val="auto"/>
        </w:rPr>
        <w:t>” means a Property improved with, and from which at least 80% of the rental income is derived from, residential apartments, which may include a Property that is a part of a Mixed-Use Project.</w:t>
      </w:r>
    </w:p>
    <w:p>
      <w:pPr>
        <w:spacing w:after="0" w:line="155" w:lineRule="exact"/>
        <w:rPr>
          <w:sz w:val="20"/>
          <w:szCs w:val="20"/>
          <w:color w:val="auto"/>
        </w:rPr>
      </w:pPr>
    </w:p>
    <w:p>
      <w:pPr>
        <w:ind w:right="2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Negative Pledge</w:t>
      </w:r>
      <w:r>
        <w:rPr>
          <w:rFonts w:ascii="Times New Roman" w:cs="Times New Roman" w:eastAsia="Times New Roman" w:hAnsi="Times New Roman"/>
          <w:sz w:val="18"/>
          <w:szCs w:val="18"/>
          <w:color w:val="auto"/>
        </w:rPr>
        <w:t>” means, with respect to a given asset, any provision of a document, instrument or agreement (other than any Loan Document) which prohibits or purports to prohibit the creation or assumption of any Lien on such asset as security for Indebtedness of the Person owning such asset or any other Person; provided, however, that an agreement that conditions a Person’s ability to encumber its assets upon the maintenance of one or more specified ratios that limit such Person’s ability to encumber its assets but that do not generally prohibit the encumbrance of its assets, or the encumbrance of specific assets, shall not constitute a Negative Pledge.</w:t>
      </w:r>
    </w:p>
    <w:p>
      <w:pPr>
        <w:spacing w:after="0" w:line="179" w:lineRule="exact"/>
        <w:rPr>
          <w:sz w:val="20"/>
          <w:szCs w:val="20"/>
          <w:color w:val="auto"/>
        </w:rPr>
      </w:pPr>
    </w:p>
    <w:p>
      <w:pPr>
        <w:ind w:right="20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 Operating Income</w:t>
      </w:r>
      <w:r>
        <w:rPr>
          <w:rFonts w:ascii="Times New Roman" w:cs="Times New Roman" w:eastAsia="Times New Roman" w:hAnsi="Times New Roman"/>
          <w:sz w:val="18"/>
          <w:szCs w:val="18"/>
          <w:color w:val="auto"/>
        </w:rPr>
        <w:t xml:space="preserve">” means, for any Property and for a given period, the sum of the following (without duplication and determined on a consistent basis with prior periods): (a) rents and other revenues received in the ordinary course from such Property (including proceeds of rent loss insurance but excluding pre-paid rents and revenues and security deposits except to the extent applied in satisfaction of tenants’ obligations for rent)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(b) all expenses paid (excluding interest but including an appropriate accrual for taxes and insurance) related to the ownership, operation or maintenance of such Property, including but not limited to taxes, assessments and the like, insurance, utilities, payroll costs, maintenance, repair and landscaping expenses, marketing expenses, and general and administrative expenses (including an appropriate allocation for legal, accounting, advertising, marketing and other expenses incurred in connection with such Property, but specifically excluding general overhead expenses of the Borrower, its Subsidiaries or, to the extent applicable its Unconsolidated Affiliates and any property management fees)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(c) the Capital Reserves for such Property as of the end of such period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(d) the greater of (i) the actual property management fee paid during such period with respect to such Property and (ii) an imputed management fee in the amount equal to 3.0% of the gross revenues for such Property for such period.</w:t>
      </w:r>
    </w:p>
    <w:p>
      <w:pPr>
        <w:spacing w:after="0" w:line="185"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 Proceeds</w:t>
      </w:r>
      <w:r>
        <w:rPr>
          <w:rFonts w:ascii="Times New Roman" w:cs="Times New Roman" w:eastAsia="Times New Roman" w:hAnsi="Times New Roman"/>
          <w:sz w:val="18"/>
          <w:szCs w:val="18"/>
          <w:color w:val="auto"/>
        </w:rPr>
        <w:t>” means with respect to any Equity Issuance by a Person, the aggregate amount of all cash and the Fair Market Value of all other property (other than securities of such Person being converted or exchanged in connection with such Equity Issuance) received by such Person in respect of such Equity Issuance net of investment banking fees, legal fees, accountants’ fees, underwriting discounts and commissions and other customary fees and expenses actually incurred by such Person in connection with such Equity Issuance.</w:t>
      </w:r>
    </w:p>
    <w:p>
      <w:pPr>
        <w:spacing w:after="0" w:line="176" w:lineRule="exact"/>
        <w:rPr>
          <w:sz w:val="20"/>
          <w:szCs w:val="20"/>
          <w:color w:val="auto"/>
        </w:rPr>
      </w:pPr>
    </w:p>
    <w:p>
      <w:pPr>
        <w:ind w:right="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Non-Controlled Property</w:t>
      </w:r>
      <w:r>
        <w:rPr>
          <w:rFonts w:ascii="Times New Roman" w:cs="Times New Roman" w:eastAsia="Times New Roman" w:hAnsi="Times New Roman"/>
          <w:sz w:val="18"/>
          <w:szCs w:val="18"/>
          <w:color w:val="auto"/>
        </w:rPr>
        <w:t>” means an Eligible Property owned in fee simple (or leased under a Ground Lease) by (a) an Unconsolidated Affiliate or (b) a Subsidiary that is not a Wholly Owned Subsidiary but which Property does not otherwise qualify as a Controlled Property.</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Non-Defaulting Lender</w:t>
      </w:r>
      <w:r>
        <w:rPr>
          <w:rFonts w:ascii="Times New Roman" w:cs="Times New Roman" w:eastAsia="Times New Roman" w:hAnsi="Times New Roman"/>
          <w:sz w:val="18"/>
          <w:szCs w:val="18"/>
          <w:color w:val="auto"/>
        </w:rPr>
        <w:t>” means, at any time, each Lender that is not a Defaulting Lender at such time.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has the meaning given that term in Section 2.11.(a).</w:t>
      </w:r>
    </w:p>
    <w:p>
      <w:pPr>
        <w:spacing w:after="0" w:line="225" w:lineRule="exact"/>
        <w:rPr>
          <w:sz w:val="20"/>
          <w:szCs w:val="20"/>
          <w:color w:val="auto"/>
        </w:rPr>
      </w:pPr>
    </w:p>
    <w:p>
      <w:pPr>
        <w:ind w:right="2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Notice of Borrowing</w:t>
      </w:r>
      <w:r>
        <w:rPr>
          <w:rFonts w:ascii="Times New Roman" w:cs="Times New Roman" w:eastAsia="Times New Roman" w:hAnsi="Times New Roman"/>
          <w:sz w:val="18"/>
          <w:szCs w:val="18"/>
          <w:color w:val="auto"/>
        </w:rPr>
        <w:t>” means a notice substantially in the form of Exhibit C (or such other form reasonably acceptable to the Administrative Agent and containing the information required in such Exhibit) to be delivered to the Administrative Agent pursuant to Section 2.1.(b) evidencing the Borrower’s request for the borrowing of the Loans.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66" w:right="459" w:bottom="1440" w:gutter="0" w:footer="0" w:header="0"/>
        </w:sectPr>
      </w:pPr>
    </w:p>
    <w:bookmarkStart w:id="203" w:name="page204"/>
    <w:bookmarkEnd w:id="203"/>
    <w:p>
      <w:pPr>
        <w:ind w:left="4" w:right="160" w:firstLine="4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Notice of Continuation</w:t>
      </w:r>
      <w:r>
        <w:rPr>
          <w:rFonts w:ascii="Times New Roman" w:cs="Times New Roman" w:eastAsia="Times New Roman" w:hAnsi="Times New Roman"/>
          <w:sz w:val="18"/>
          <w:szCs w:val="18"/>
          <w:color w:val="auto"/>
        </w:rPr>
        <w:t xml:space="preserve">” means a notice substantially in the form of Exhibit D (or such other form reasonably acceptable to the Administrative Agent and containing the information required in such Exhibit) to be delivered to the Administrative Agent pursuant to Section 2.9. evidencing the Borrower’s request for the Continuation of a </w:t>
      </w:r>
      <w:r>
        <w:rPr>
          <w:rFonts w:ascii="Times New Roman" w:cs="Times New Roman" w:eastAsia="Times New Roman" w:hAnsi="Times New Roman"/>
          <w:sz w:val="18"/>
          <w:szCs w:val="18"/>
          <w:color w:val="FF0000"/>
          <w:strike w:val="1"/>
        </w:rPr>
        <w:t>LIBOR</w:t>
      </w:r>
      <w:r>
        <w:rPr>
          <w:rFonts w:ascii="Times New Roman" w:cs="Times New Roman" w:eastAsia="Times New Roman" w:hAnsi="Times New Roman"/>
          <w:sz w:val="18"/>
          <w:szCs w:val="18"/>
          <w:u w:val="single" w:color="auto"/>
          <w:color w:val="0000FF"/>
        </w:rPr>
        <w:t>SOFR</w:t>
      </w:r>
      <w:r>
        <w:rPr>
          <w:rFonts w:ascii="Times New Roman" w:cs="Times New Roman" w:eastAsia="Times New Roman" w:hAnsi="Times New Roman"/>
          <w:sz w:val="18"/>
          <w:szCs w:val="18"/>
          <w:color w:val="auto"/>
        </w:rPr>
        <w:t xml:space="preserve">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2408555</wp:posOffset>
            </wp:positionH>
            <wp:positionV relativeFrom="paragraph">
              <wp:posOffset>-5715</wp:posOffset>
            </wp:positionV>
            <wp:extent cx="28257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282575" cy="8255"/>
                    </a:xfrm>
                    <a:prstGeom prst="rect">
                      <a:avLst/>
                    </a:prstGeom>
                    <a:noFill/>
                  </pic:spPr>
                </pic:pic>
              </a:graphicData>
            </a:graphic>
          </wp:anchor>
        </w:drawing>
      </w:r>
    </w:p>
    <w:p>
      <w:pPr>
        <w:spacing w:after="0" w:line="151" w:lineRule="exact"/>
        <w:rPr>
          <w:sz w:val="20"/>
          <w:szCs w:val="20"/>
          <w:color w:val="auto"/>
        </w:rPr>
      </w:pPr>
    </w:p>
    <w:p>
      <w:pPr>
        <w:jc w:val="both"/>
        <w:ind w:left="4" w:right="3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Notice of Conversion</w:t>
      </w:r>
      <w:r>
        <w:rPr>
          <w:rFonts w:ascii="Times New Roman" w:cs="Times New Roman" w:eastAsia="Times New Roman" w:hAnsi="Times New Roman"/>
          <w:sz w:val="18"/>
          <w:szCs w:val="18"/>
          <w:color w:val="auto"/>
        </w:rPr>
        <w:t>” means a notice substantially in the form of Exhibit E (or such other form reasonably acceptable to the Administrative Agent and containing the information required in such Exhibit) to be delivered to the Administrative Agent pursuant to Section 2.10. evidencing the Borrower’s request for the Conversion of a Loan from one Type to another Type.</w:t>
      </w:r>
    </w:p>
    <w:p>
      <w:pPr>
        <w:spacing w:after="0" w:line="17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Obligations</w:t>
      </w:r>
      <w:r>
        <w:rPr>
          <w:rFonts w:ascii="Times New Roman" w:cs="Times New Roman" w:eastAsia="Times New Roman" w:hAnsi="Times New Roman"/>
          <w:sz w:val="18"/>
          <w:szCs w:val="18"/>
          <w:color w:val="auto"/>
        </w:rPr>
        <w:t>” means, individually and collectively: (a) the aggregate principal balance of, and all accrued and unpaid interest on, all Loans; and</w:t>
      </w:r>
    </w:p>
    <w:p>
      <w:pPr>
        <w:spacing w:after="0" w:line="31" w:lineRule="exact"/>
        <w:rPr>
          <w:sz w:val="20"/>
          <w:szCs w:val="20"/>
          <w:color w:val="auto"/>
        </w:rPr>
      </w:pPr>
    </w:p>
    <w:p>
      <w:pPr>
        <w:ind w:left="4" w:hanging="4"/>
        <w:spacing w:after="0" w:line="253" w:lineRule="auto"/>
        <w:tabs>
          <w:tab w:leader="none" w:pos="259"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indebtedness, liabilities, obligations, covenants and duties of the Borrower and the other Loan Parties owing to the Administrative Agent or any Lender of every kind, nature and description, under or in respect of this Agreement or any of the other Loan Documents, including, without limitation, the Fees and indemnification obligations, whether direct or indirect, absolute or contingent, due or not due, contractual or tortious, liquidated or unliquidated, and whether or not evidenced by any promissory note. For the avoidance of doubt, “Obligations” shall not include Specified Derivatives Obligations.</w:t>
      </w:r>
    </w:p>
    <w:p>
      <w:pPr>
        <w:spacing w:after="0" w:line="183" w:lineRule="exact"/>
        <w:rPr>
          <w:sz w:val="20"/>
          <w:szCs w:val="20"/>
          <w:color w:val="auto"/>
        </w:rPr>
      </w:pPr>
    </w:p>
    <w:p>
      <w:pPr>
        <w:ind w:left="4" w:right="30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Occupancy Rate</w:t>
      </w:r>
      <w:r>
        <w:rPr>
          <w:rFonts w:ascii="Times New Roman" w:cs="Times New Roman" w:eastAsia="Times New Roman" w:hAnsi="Times New Roman"/>
          <w:sz w:val="18"/>
          <w:szCs w:val="18"/>
          <w:color w:val="auto"/>
        </w:rPr>
        <w:t xml:space="preserve">” means, with respect to a Property at any time, the ratio, expressed as a percentage, of (a) the net rentable square footage of such Property for which the Borrower, a Subsidiary or, to the extent applicable, an Unconsolidated Affiliate, is collecting rent to (b) the total square footage of such Property available for lease;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in the case of a Multifamily Property, “Occupancy Rate” means the ratio, expressed as a percentage, of (a) the net rentable units of such Multifamily Property for which the Borrower, a Subsidiary or, to the extent applicable, an Unconsolidated Affiliate is collecting rent to (b) the total units of such Multifamily Property available for lease.</w:t>
      </w:r>
    </w:p>
    <w:p>
      <w:pPr>
        <w:spacing w:after="0" w:line="17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means the U.S. Department of the Treasury’s Office of Foreign Assets Control.</w:t>
      </w:r>
    </w:p>
    <w:p>
      <w:pPr>
        <w:spacing w:after="0" w:line="225" w:lineRule="exact"/>
        <w:rPr>
          <w:sz w:val="20"/>
          <w:szCs w:val="20"/>
          <w:color w:val="auto"/>
        </w:rPr>
      </w:pPr>
    </w:p>
    <w:p>
      <w:pPr>
        <w:ind w:left="4" w:right="4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Office Property</w:t>
      </w:r>
      <w:r>
        <w:rPr>
          <w:rFonts w:ascii="Times New Roman" w:cs="Times New Roman" w:eastAsia="Times New Roman" w:hAnsi="Times New Roman"/>
          <w:sz w:val="18"/>
          <w:szCs w:val="18"/>
          <w:color w:val="auto"/>
        </w:rPr>
        <w:t>” means a Property improved with a building or buildings the substantial use of which is office space, which may include a Property that is part of a Mixed-Use Project.</w:t>
      </w:r>
    </w:p>
    <w:p>
      <w:pPr>
        <w:spacing w:after="0" w:line="155" w:lineRule="exact"/>
        <w:rPr>
          <w:sz w:val="20"/>
          <w:szCs w:val="20"/>
          <w:color w:val="auto"/>
        </w:rPr>
      </w:pPr>
    </w:p>
    <w:p>
      <w:pPr>
        <w:jc w:val="both"/>
        <w:ind w:left="4" w:right="20" w:firstLine="440"/>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Off-Balance Sheet Obligations</w:t>
      </w:r>
      <w:r>
        <w:rPr>
          <w:rFonts w:ascii="Times New Roman" w:cs="Times New Roman" w:eastAsia="Times New Roman" w:hAnsi="Times New Roman"/>
          <w:sz w:val="17"/>
          <w:szCs w:val="17"/>
          <w:color w:val="auto"/>
        </w:rPr>
        <w:t>” means liabilities and obligations of the Borrower, any Subsidiary or any other Person in respect of “off-balance sheet arrangements” (as defined in Item 303(a)(4)(ii) of Regulation S-K promulgated under the Securities Act) which the Borrower would be required to disclose in the “Management’s Discussion and Analysis of Financial Condition and Results of Operations” section of the Borrower’s report on Form</w:t>
      </w:r>
    </w:p>
    <w:p>
      <w:pPr>
        <w:spacing w:after="0" w:line="1" w:lineRule="exact"/>
        <w:rPr>
          <w:sz w:val="20"/>
          <w:szCs w:val="20"/>
          <w:color w:val="auto"/>
        </w:rPr>
      </w:pPr>
    </w:p>
    <w:p>
      <w:pPr>
        <w:ind w:left="4" w:right="240"/>
        <w:spacing w:after="0" w:line="260" w:lineRule="auto"/>
        <w:rPr>
          <w:sz w:val="20"/>
          <w:szCs w:val="20"/>
          <w:color w:val="auto"/>
        </w:rPr>
      </w:pPr>
      <w:r>
        <w:rPr>
          <w:rFonts w:ascii="Times New Roman" w:cs="Times New Roman" w:eastAsia="Times New Roman" w:hAnsi="Times New Roman"/>
          <w:sz w:val="18"/>
          <w:szCs w:val="18"/>
          <w:color w:val="auto"/>
        </w:rPr>
        <w:t>10-Q or Form 10-K (or their equivalents) which the Borrower is required to file with the Securities and Exchange Commission (or any Governmental Authority substituted therefor).</w:t>
      </w:r>
    </w:p>
    <w:p>
      <w:pPr>
        <w:spacing w:after="0" w:line="177" w:lineRule="exact"/>
        <w:rPr>
          <w:sz w:val="20"/>
          <w:szCs w:val="20"/>
          <w:color w:val="auto"/>
        </w:rPr>
      </w:pPr>
    </w:p>
    <w:p>
      <w:pPr>
        <w:ind w:left="4" w:right="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Connection Taxes</w:t>
      </w:r>
      <w:r>
        <w:rPr>
          <w:rFonts w:ascii="Times New Roman" w:cs="Times New Roman" w:eastAsia="Times New Roman" w:hAnsi="Times New Roman"/>
          <w:sz w:val="18"/>
          <w:szCs w:val="18"/>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76" w:lineRule="exact"/>
        <w:rPr>
          <w:sz w:val="20"/>
          <w:szCs w:val="20"/>
          <w:color w:val="auto"/>
        </w:rPr>
      </w:pPr>
    </w:p>
    <w:p>
      <w:pPr>
        <w:ind w:left="4" w:right="6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Taxes</w:t>
      </w:r>
      <w:r>
        <w:rPr>
          <w:rFonts w:ascii="Times New Roman" w:cs="Times New Roman" w:eastAsia="Times New Roman" w:hAnsi="Times New Roman"/>
          <w:sz w:val="18"/>
          <w:szCs w:val="18"/>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4.6.).</w:t>
      </w:r>
    </w:p>
    <w:p>
      <w:pPr>
        <w:spacing w:after="0" w:line="11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4"/>
          </w:cols>
          <w:pgMar w:left="436" w:top="266" w:right="459" w:bottom="1440" w:gutter="0" w:footer="0" w:header="0"/>
        </w:sectPr>
      </w:pPr>
    </w:p>
    <w:bookmarkStart w:id="204" w:name="page205"/>
    <w:bookmarkEnd w:id="204"/>
    <w:p>
      <w:pPr>
        <w:ind w:left="4" w:firstLine="44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Ownership Share</w:t>
      </w:r>
      <w:r>
        <w:rPr>
          <w:rFonts w:ascii="Times New Roman" w:cs="Times New Roman" w:eastAsia="Times New Roman" w:hAnsi="Times New Roman"/>
          <w:sz w:val="18"/>
          <w:szCs w:val="18"/>
          <w:color w:val="auto"/>
        </w:rPr>
        <w:t>” means, with respect to any Subsidiary of a Person (other than a Wholly Owned Subsidiary) or any Unconsolidated Affiliate of a Person, the greater of (a) such Person’s relative nominal direct and indirect ownership interest (expressed as a percentage) in such Subsidiary or Unconsolidated Affiliate and (b) subject to compliance with Section 8.4.(p), such Person’s relative direct and indirect economic interest (calculated as a percentage) in such Subsidiary or Unconsolidated Affiliate determined in accordance with the applicable provisions of the declaration of trust, articles or certificate of incorporation, articles of organization, partnership agreement, joint venture agreement or other applicable organizational document of such Subsidiary or Unconsolidated Affiliate.</w:t>
      </w:r>
    </w:p>
    <w:p>
      <w:pPr>
        <w:spacing w:after="0" w:line="182" w:lineRule="exact"/>
        <w:rPr>
          <w:sz w:val="20"/>
          <w:szCs w:val="20"/>
          <w:color w:val="auto"/>
        </w:rPr>
      </w:pPr>
    </w:p>
    <w:p>
      <w:pPr>
        <w:ind w:left="4" w:right="1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means Federal Realty Investment Trust, a real estate investment trust formed under the laws of the State of Maryland, formerly known as FRT Holdco REIT.</w:t>
      </w:r>
    </w:p>
    <w:p>
      <w:pPr>
        <w:spacing w:after="0" w:line="155" w:lineRule="exact"/>
        <w:rPr>
          <w:sz w:val="20"/>
          <w:szCs w:val="20"/>
          <w:color w:val="auto"/>
        </w:rPr>
      </w:pPr>
    </w:p>
    <w:p>
      <w:pPr>
        <w:ind w:left="4" w:right="1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Parent/General Partner Guaranty</w:t>
      </w:r>
      <w:r>
        <w:rPr>
          <w:rFonts w:ascii="Times New Roman" w:cs="Times New Roman" w:eastAsia="Times New Roman" w:hAnsi="Times New Roman"/>
          <w:sz w:val="18"/>
          <w:szCs w:val="18"/>
          <w:color w:val="auto"/>
        </w:rPr>
        <w:t>” means the Parent/General Partner Guaranty delivered (if ever) pursuant to Section 7.14. and substantially in the form of Exhibit L.</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 has the meaning given that term in Section 12.6.(d).</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u w:val="single" w:color="auto"/>
          <w:color w:val="0000FF"/>
        </w:rPr>
        <w:t>Participant Register</w:t>
      </w:r>
      <w:r>
        <w:rPr>
          <w:rFonts w:ascii="Times New Roman" w:cs="Times New Roman" w:eastAsia="Times New Roman" w:hAnsi="Times New Roman"/>
          <w:sz w:val="18"/>
          <w:szCs w:val="18"/>
          <w:u w:val="single" w:color="auto"/>
          <w:color w:val="0000FF"/>
        </w:rPr>
        <w:t>” has the meaning given that term in Section 12.6.(c).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28575</wp:posOffset>
            </wp:positionV>
            <wp:extent cx="348043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20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PATRIOT Act</w:t>
      </w:r>
      <w:r>
        <w:rPr>
          <w:rFonts w:ascii="Times New Roman" w:cs="Times New Roman" w:eastAsia="Times New Roman" w:hAnsi="Times New Roman"/>
          <w:sz w:val="18"/>
          <w:szCs w:val="18"/>
          <w:color w:val="auto"/>
        </w:rPr>
        <w:t>” means the USA PATRIOT Act (Title III of Pub. L. 107-56 (signed into law October 26, 2001)).</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u w:val="single" w:color="auto"/>
          <w:color w:val="0000FF"/>
        </w:rPr>
        <w:t>Payment Recipient</w:t>
      </w:r>
      <w:r>
        <w:rPr>
          <w:rFonts w:ascii="Times New Roman" w:cs="Times New Roman" w:eastAsia="Times New Roman" w:hAnsi="Times New Roman"/>
          <w:sz w:val="18"/>
          <w:szCs w:val="18"/>
          <w:u w:val="single" w:color="auto"/>
          <w:color w:val="0000FF"/>
        </w:rPr>
        <w:t>” has the meaning given that term in Section 11.10(a).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28575</wp:posOffset>
            </wp:positionV>
            <wp:extent cx="343725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20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PBGC</w:t>
      </w:r>
      <w:r>
        <w:rPr>
          <w:rFonts w:ascii="Times New Roman" w:cs="Times New Roman" w:eastAsia="Times New Roman" w:hAnsi="Times New Roman"/>
          <w:sz w:val="18"/>
          <w:szCs w:val="18"/>
          <w:color w:val="auto"/>
        </w:rPr>
        <w:t>” means the Pension Benefit Guaranty Corporation and any successor agency.</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u w:val="single" w:color="auto"/>
          <w:color w:val="0000FF"/>
        </w:rPr>
        <w:t>Periodic Term SOFR Determination Day</w:t>
      </w:r>
      <w:r>
        <w:rPr>
          <w:rFonts w:ascii="Times New Roman" w:cs="Times New Roman" w:eastAsia="Times New Roman" w:hAnsi="Times New Roman"/>
          <w:sz w:val="18"/>
          <w:szCs w:val="18"/>
          <w:u w:val="single" w:color="auto"/>
          <w:color w:val="0000FF"/>
        </w:rPr>
        <w:t>” has the meaning given that term in the definition of the term “Term SOFR”.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28575</wp:posOffset>
            </wp:positionV>
            <wp:extent cx="558038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5580380" cy="8890"/>
                    </a:xfrm>
                    <a:prstGeom prst="rect">
                      <a:avLst/>
                    </a:prstGeom>
                    <a:noFill/>
                  </pic:spPr>
                </pic:pic>
              </a:graphicData>
            </a:graphic>
          </wp:anchor>
        </w:drawing>
      </w:r>
    </w:p>
    <w:p>
      <w:pPr>
        <w:spacing w:after="0" w:line="205" w:lineRule="exact"/>
        <w:rPr>
          <w:sz w:val="20"/>
          <w:szCs w:val="20"/>
          <w:color w:val="auto"/>
        </w:rPr>
      </w:pPr>
    </w:p>
    <w:p>
      <w:pPr>
        <w:ind w:left="4" w:right="6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Liens</w:t>
      </w:r>
      <w:r>
        <w:rPr>
          <w:rFonts w:ascii="Times New Roman" w:cs="Times New Roman" w:eastAsia="Times New Roman" w:hAnsi="Times New Roman"/>
          <w:sz w:val="18"/>
          <w:szCs w:val="18"/>
          <w:color w:val="auto"/>
        </w:rPr>
        <w:t>” means, with respect to any asset or property of a Person, (a) (i) Liens securing taxes, assessments and other charges or levies imposed by any Governmental Authority (excluding any Lien imposed pursuant to any of the provisions of ERISA or pursuant to any Environmental Laws) or (ii) the claims of materialmen, mechanics, carriers, warehousemen or landlords for labor, materials, supplies or rentals incurred in the ordinary course of business, which, in each case, are not at the time required to be paid or discharged under Section 7.6.; (b) Liens consisting of deposits or pledges made, in the ordinary course of business, in connection with, or to secure payment of, obligations under workmen’s compensation, unemployment insurance or similar Applicable Laws; (c) Liens consisting of encumbrances in the nature of zoning restrictions, easements, and rights or restrictions of record on the use of real property, which do not materially detract from the value of such property or materially impair the use thereof in the business of such Person; (d) the rights of tenants under leases or subleases not interfering with the ordinary conduct of business of such Person;</w:t>
      </w:r>
    </w:p>
    <w:p>
      <w:pPr>
        <w:spacing w:after="0" w:line="5" w:lineRule="exact"/>
        <w:rPr>
          <w:sz w:val="20"/>
          <w:szCs w:val="20"/>
          <w:color w:val="auto"/>
        </w:rPr>
      </w:pPr>
    </w:p>
    <w:p>
      <w:pPr>
        <w:ind w:left="4" w:hanging="4"/>
        <w:spacing w:after="0" w:line="255" w:lineRule="auto"/>
        <w:tabs>
          <w:tab w:leader="none" w:pos="249"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the Administrative Agent for its benefit and the benefit of the Lenders and each Specified Derivatives Provider; (f) Liens in favor of the Borrower or a Subsidiary securing obligations owing by a Subsidiary to the Borrower or a Subsidiary; (g) Liens in existence as of the Agreement Date and set forth on Part II of Schedule 6.1.(f); and (h) Liens securing Indebtedness permitted by the Loan Documents.</w:t>
      </w:r>
    </w:p>
    <w:p>
      <w:pPr>
        <w:spacing w:after="0" w:line="182" w:lineRule="exact"/>
        <w:rPr>
          <w:sz w:val="20"/>
          <w:szCs w:val="20"/>
          <w:color w:val="auto"/>
        </w:rPr>
      </w:pPr>
    </w:p>
    <w:p>
      <w:pPr>
        <w:ind w:left="4" w:right="1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natural person, corporation, limited partnership, general partnership, joint stock company, limited liability company, limited liability partnership, joint venture, association, company, trust, bank, trust company, land trust, business trust or other organization, whether or not a legal entity, or any other nongovernmental entity, or any Governmental Authority.</w:t>
      </w:r>
    </w:p>
    <w:p>
      <w:pPr>
        <w:spacing w:after="0" w:line="1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4"/>
          </w:cols>
          <w:pgMar w:left="436" w:top="266" w:right="459" w:bottom="1440" w:gutter="0" w:footer="0" w:header="0"/>
        </w:sectPr>
      </w:pPr>
    </w:p>
    <w:bookmarkStart w:id="205" w:name="page206"/>
    <w:bookmarkEnd w:id="205"/>
    <w:p>
      <w:pPr>
        <w:ind w:left="4" w:firstLine="440"/>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means at any time an employee pension benefit plan (other than a Multiemployer Plan) which is covered by Title IV of ERISA or subject to the minimum funding standards under Section 412 of the Internal Revenue Code and either (a) is maintained, or contributed to, by any member of the ERISA Group for employees of any member of the ERISA Group or (b) has at any time within the preceding six years been maintained, or contributed to, by any Person which was at such time a member of the ERISA Group for employees of any Person which was at such time a member of the ERISA Group.</w:t>
      </w:r>
    </w:p>
    <w:p>
      <w:pPr>
        <w:spacing w:after="0" w:line="17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PNC Bank</w:t>
      </w:r>
      <w:r>
        <w:rPr>
          <w:rFonts w:ascii="Times New Roman" w:cs="Times New Roman" w:eastAsia="Times New Roman" w:hAnsi="Times New Roman"/>
          <w:sz w:val="18"/>
          <w:szCs w:val="18"/>
          <w:color w:val="auto"/>
        </w:rPr>
        <w:t>” means PNC Bank, National Association, and its successors and permitted assigns.</w:t>
      </w:r>
    </w:p>
    <w:p>
      <w:pPr>
        <w:spacing w:after="0" w:line="225" w:lineRule="exact"/>
        <w:rPr>
          <w:sz w:val="20"/>
          <w:szCs w:val="20"/>
          <w:color w:val="auto"/>
        </w:rPr>
      </w:pPr>
    </w:p>
    <w:p>
      <w:pPr>
        <w:ind w:left="4" w:right="1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Post-Default Rate</w:t>
      </w:r>
      <w:r>
        <w:rPr>
          <w:rFonts w:ascii="Times New Roman" w:cs="Times New Roman" w:eastAsia="Times New Roman" w:hAnsi="Times New Roman"/>
          <w:sz w:val="18"/>
          <w:szCs w:val="18"/>
          <w:color w:val="auto"/>
        </w:rPr>
        <w:t xml:space="preserve">” means, in respect of any principal of any Loan, the rate otherwise applicable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an additional four percent (4.0%) per annum and with respect to any other Obligation, a rate per annum equal to the Base Rate as in effect from time to time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Margin for Base Rate Loans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four percent (4.0%).</w:t>
      </w:r>
    </w:p>
    <w:p>
      <w:pPr>
        <w:spacing w:after="0" w:line="171" w:lineRule="exact"/>
        <w:rPr>
          <w:sz w:val="20"/>
          <w:szCs w:val="20"/>
          <w:color w:val="auto"/>
        </w:rPr>
      </w:pPr>
    </w:p>
    <w:p>
      <w:pPr>
        <w:ind w:left="4" w:right="180" w:firstLine="440"/>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Preferred Dividends</w:t>
      </w:r>
      <w:r>
        <w:rPr>
          <w:rFonts w:ascii="Times New Roman" w:cs="Times New Roman" w:eastAsia="Times New Roman" w:hAnsi="Times New Roman"/>
          <w:sz w:val="17"/>
          <w:szCs w:val="17"/>
          <w:color w:val="auto"/>
        </w:rPr>
        <w:t>” means, for any period and without duplication, all Restricted Payments paid during such period on Preferred Equity issued by the Borrower, a Subsidiary or an Unconsolidated Affiliate (including any distributions by the Borrower to the General Partner or Parent to make payments with respect to Preferred Equity of the Parent or the General Partner). Preferred Dividends shall not include dividends or distributions</w:t>
      </w:r>
    </w:p>
    <w:p>
      <w:pPr>
        <w:spacing w:after="0" w:line="1" w:lineRule="exact"/>
        <w:rPr>
          <w:sz w:val="20"/>
          <w:szCs w:val="20"/>
          <w:color w:val="auto"/>
        </w:rPr>
      </w:pPr>
    </w:p>
    <w:p>
      <w:pPr>
        <w:jc w:val="both"/>
        <w:ind w:left="4" w:hanging="4"/>
        <w:spacing w:after="0" w:line="290" w:lineRule="auto"/>
        <w:tabs>
          <w:tab w:leader="none" w:pos="249" w:val="left"/>
        </w:tabs>
        <w:numPr>
          <w:ilvl w:val="0"/>
          <w:numId w:val="1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paid or payable solely in Equity Interests (other than Mandatorily Redeemable Stock) payable to holders of such class of Equity Interests; (b) paid or payable to the Borrower or a Subsidiary; or (c) constituting balloon, bullet or similar redemptions resulting in the redemption of Preferred Equity in full.</w:t>
      </w:r>
    </w:p>
    <w:p>
      <w:pPr>
        <w:spacing w:after="0" w:line="153" w:lineRule="exact"/>
        <w:rPr>
          <w:sz w:val="20"/>
          <w:szCs w:val="20"/>
          <w:color w:val="auto"/>
        </w:rPr>
      </w:pPr>
    </w:p>
    <w:p>
      <w:pPr>
        <w:ind w:left="4" w:right="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Preferred Equity</w:t>
      </w:r>
      <w:r>
        <w:rPr>
          <w:rFonts w:ascii="Times New Roman" w:cs="Times New Roman" w:eastAsia="Times New Roman" w:hAnsi="Times New Roman"/>
          <w:sz w:val="18"/>
          <w:szCs w:val="18"/>
          <w:color w:val="auto"/>
        </w:rPr>
        <w:t>” means, with respect to any Person, Equity Interests in such Person which are entitled to preference or priority over any other Equity Interest in such Person in respect of the payment of dividends or distribution of assets upon liquidation or both.</w:t>
      </w:r>
    </w:p>
    <w:p>
      <w:pPr>
        <w:spacing w:after="0" w:line="155" w:lineRule="exact"/>
        <w:rPr>
          <w:sz w:val="20"/>
          <w:szCs w:val="20"/>
          <w:color w:val="auto"/>
        </w:rPr>
      </w:pPr>
    </w:p>
    <w:p>
      <w:pPr>
        <w:ind w:left="4" w:right="20" w:firstLine="440"/>
        <w:spacing w:after="0" w:line="262" w:lineRule="auto"/>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u w:val="single" w:color="auto"/>
          <w:color w:val="0000FF"/>
        </w:rPr>
        <w:t>Prime Rate</w:t>
      </w:r>
      <w:r>
        <w:rPr>
          <w:rFonts w:ascii="Times New Roman" w:cs="Times New Roman" w:eastAsia="Times New Roman" w:hAnsi="Times New Roman"/>
          <w:sz w:val="18"/>
          <w:szCs w:val="18"/>
          <w:u w:val="single" w:color="auto"/>
          <w:color w:val="0000FF"/>
        </w:rPr>
        <w:t>” means, at any time, the rate of interest per annum publicly announced from time to time by the Administrative Agent as its prime rate. Each change in the Prime Rate shall be effective as of the opening of business on the day such change in such prime rate occurs. The parties hereto acknowledge that the rate announced publicly by the Administrative Agent as its prime rate is an index or base rate and shall not necessarily be its lowest or best rate charged to its customers or other banks.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-413385</wp:posOffset>
            </wp:positionV>
            <wp:extent cx="658368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58368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-276225</wp:posOffset>
            </wp:positionV>
            <wp:extent cx="694372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94372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-139065</wp:posOffset>
            </wp:positionV>
            <wp:extent cx="668655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68655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-1905</wp:posOffset>
            </wp:positionV>
            <wp:extent cx="268287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156" w:lineRule="exact"/>
        <w:rPr>
          <w:sz w:val="20"/>
          <w:szCs w:val="20"/>
          <w:color w:val="auto"/>
        </w:rPr>
      </w:pPr>
    </w:p>
    <w:p>
      <w:pPr>
        <w:ind w:left="4" w:right="7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“Principal Office” </w:t>
      </w:r>
      <w:r>
        <w:rPr>
          <w:rFonts w:ascii="Times New Roman" w:cs="Times New Roman" w:eastAsia="Times New Roman" w:hAnsi="Times New Roman"/>
          <w:sz w:val="18"/>
          <w:szCs w:val="18"/>
          <w:color w:val="auto"/>
        </w:rPr>
        <w:t>means the main banking office of the Administrative Agent located in Pittsburgh, Pennsylvania, or such other office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designated by the Administrative Agent.</w:t>
      </w:r>
    </w:p>
    <w:p>
      <w:pPr>
        <w:spacing w:after="0" w:line="155" w:lineRule="exact"/>
        <w:rPr>
          <w:sz w:val="20"/>
          <w:szCs w:val="20"/>
          <w:color w:val="auto"/>
        </w:rPr>
      </w:pPr>
    </w:p>
    <w:p>
      <w:pPr>
        <w:ind w:left="4" w:right="7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means any parcel of real property owned or leased (in whole or in part) or operated by the Borrower, any Subsidiary or any Unconsolidated Affiliate of the Borrower and which is located in a state of the United States of America or the District of Columbia.</w:t>
      </w:r>
    </w:p>
    <w:p>
      <w:pPr>
        <w:spacing w:after="0" w:line="155" w:lineRule="exact"/>
        <w:rPr>
          <w:sz w:val="20"/>
          <w:szCs w:val="20"/>
          <w:color w:val="auto"/>
        </w:rPr>
      </w:pPr>
    </w:p>
    <w:p>
      <w:pPr>
        <w:ind w:left="4" w:right="2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Property Management Agreement</w:t>
      </w:r>
      <w:r>
        <w:rPr>
          <w:rFonts w:ascii="Times New Roman" w:cs="Times New Roman" w:eastAsia="Times New Roman" w:hAnsi="Times New Roman"/>
          <w:sz w:val="18"/>
          <w:szCs w:val="18"/>
          <w:color w:val="auto"/>
        </w:rPr>
        <w:t>” means an agreement pursuant to which the Borrower or a Subsidiary engages a Person to advise it with respect to the management of an Unencumbered Property or to provide management services with respect to the same.</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QFC</w:t>
      </w:r>
      <w:r>
        <w:rPr>
          <w:rFonts w:ascii="Times New Roman" w:cs="Times New Roman" w:eastAsia="Times New Roman" w:hAnsi="Times New Roman"/>
          <w:sz w:val="18"/>
          <w:szCs w:val="18"/>
          <w:color w:val="auto"/>
        </w:rPr>
        <w:t>” has the meaning assigned to the term “qualified financial contract” in, and shall be interpreted in accordance with, 12 U.S.C. 5390(c)(8)</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w:t>
      </w:r>
    </w:p>
    <w:p>
      <w:pPr>
        <w:spacing w:after="0" w:line="20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QFC Credit Support</w:t>
      </w:r>
      <w:r>
        <w:rPr>
          <w:rFonts w:ascii="Times New Roman" w:cs="Times New Roman" w:eastAsia="Times New Roman" w:hAnsi="Times New Roman"/>
          <w:sz w:val="18"/>
          <w:szCs w:val="18"/>
          <w:color w:val="auto"/>
        </w:rPr>
        <w:t>” has the meaning given that term in Section 12.24.</w:t>
      </w:r>
    </w:p>
    <w:p>
      <w:pPr>
        <w:spacing w:after="0" w:line="162" w:lineRule="exact"/>
        <w:rPr>
          <w:sz w:val="20"/>
          <w:szCs w:val="20"/>
          <w:color w:val="auto"/>
        </w:rPr>
      </w:pPr>
    </w:p>
    <w:p>
      <w:pPr>
        <w:ind w:left="5424"/>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64"/>
          </w:cols>
          <w:pgMar w:left="436" w:top="266" w:right="499" w:bottom="1440" w:gutter="0" w:footer="0" w:header="0"/>
        </w:sectPr>
      </w:pPr>
    </w:p>
    <w:bookmarkStart w:id="206" w:name="page207"/>
    <w:bookmarkEnd w:id="206"/>
    <w:p>
      <w:pPr>
        <w:ind w:right="140" w:firstLine="440"/>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Qualified ECP Guarantor</w:t>
      </w:r>
      <w:r>
        <w:rPr>
          <w:rFonts w:ascii="Times New Roman" w:cs="Times New Roman" w:eastAsia="Times New Roman" w:hAnsi="Times New Roman"/>
          <w:sz w:val="18"/>
          <w:szCs w:val="18"/>
          <w:color w:val="auto"/>
        </w:rPr>
        <w:t>” means, in respect of any Swap Obligation, each Loan Party that has total assets exceeding $10,000,000 at the time the relevant Guarantee or grant of the relevant security interest becomes effective with respect to such Swap Obligation or such other person as constitutes an “eligible contract participant” under the Commodity Exchange Act or any regulations promulgated thereunder and can cause another person to qualify as an “eligible contract participant” at such time by entering into a keepwell under Section 1a(18)(A)(v)(II) of the Commodity Exchange Act.</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Qualified Plan</w:t>
      </w:r>
      <w:r>
        <w:rPr>
          <w:rFonts w:ascii="Times New Roman" w:cs="Times New Roman" w:eastAsia="Times New Roman" w:hAnsi="Times New Roman"/>
          <w:sz w:val="18"/>
          <w:szCs w:val="18"/>
          <w:color w:val="auto"/>
        </w:rPr>
        <w:t>” means a Benefit Arrangement that is intended to be tax-qualified under Section 401(a) of the Internal Revenue Code.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Rating Agency</w:t>
      </w:r>
      <w:r>
        <w:rPr>
          <w:rFonts w:ascii="Times New Roman" w:cs="Times New Roman" w:eastAsia="Times New Roman" w:hAnsi="Times New Roman"/>
          <w:sz w:val="18"/>
          <w:szCs w:val="18"/>
          <w:color w:val="auto"/>
        </w:rPr>
        <w:t>” means S&amp;P or Moody’s.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Recipient</w:t>
      </w:r>
      <w:r>
        <w:rPr>
          <w:rFonts w:ascii="Times New Roman" w:cs="Times New Roman" w:eastAsia="Times New Roman" w:hAnsi="Times New Roman"/>
          <w:sz w:val="18"/>
          <w:szCs w:val="18"/>
          <w:color w:val="auto"/>
        </w:rPr>
        <w:t>” means (a) the Administrative Agent and (b) any Lender, as applicable.</w:t>
      </w:r>
    </w:p>
    <w:p>
      <w:pPr>
        <w:spacing w:after="0" w:line="225" w:lineRule="exact"/>
        <w:rPr>
          <w:sz w:val="20"/>
          <w:szCs w:val="20"/>
          <w:color w:val="auto"/>
        </w:rPr>
      </w:pPr>
    </w:p>
    <w:p>
      <w:pPr>
        <w:ind w:right="20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Recourse Indebtedness</w:t>
      </w:r>
      <w:r>
        <w:rPr>
          <w:rFonts w:ascii="Times New Roman" w:cs="Times New Roman" w:eastAsia="Times New Roman" w:hAnsi="Times New Roman"/>
          <w:sz w:val="18"/>
          <w:szCs w:val="18"/>
          <w:color w:val="auto"/>
        </w:rPr>
        <w:t>” means, with respect to a Person, any Indebtedness other than Indebtedness for borrowed money in respect of which recourse for payment (except for customary exceptions for fraud, misapplication of funds, environmental indemnities, voluntary bankruptcy, collusive involuntary bankruptcy and other similar customary exceptions to nonrecourse liability) is contractually limited to specific assets of such Person encumbered by a Lien securing such Indebtedness.</w:t>
      </w:r>
    </w:p>
    <w:p>
      <w:pPr>
        <w:spacing w:after="0" w:line="176"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b w:val="1"/>
          <w:bCs w:val="1"/>
          <w:color w:val="FF0000"/>
          <w:strike w:val="1"/>
        </w:rPr>
        <w:t>Reference Time</w:t>
      </w:r>
      <w:r>
        <w:rPr>
          <w:rFonts w:ascii="Times New Roman" w:cs="Times New Roman" w:eastAsia="Times New Roman" w:hAnsi="Times New Roman"/>
          <w:sz w:val="18"/>
          <w:szCs w:val="18"/>
          <w:color w:val="FF0000"/>
          <w:strike w:val="1"/>
        </w:rPr>
        <w:t>” with respect to any setting of the then-current Benchmark means (1) if such Benchmark is USD LIBOR, 11:00 a.m. (London time) on the day that is two London banking days preceding the date of such setting, and (2) if such Benchmark is not USD LIBOR, the time determined by the Administrative Agent in its reasonable discretion.</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 has the meaning given that term in Section 12.6.(c).</w:t>
      </w:r>
    </w:p>
    <w:p>
      <w:pPr>
        <w:spacing w:after="0" w:line="225" w:lineRule="exact"/>
        <w:rPr>
          <w:sz w:val="20"/>
          <w:szCs w:val="20"/>
          <w:color w:val="auto"/>
        </w:rPr>
      </w:pPr>
    </w:p>
    <w:p>
      <w:pPr>
        <w:ind w:right="100" w:firstLine="440"/>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Regulatory Change</w:t>
      </w:r>
      <w:r>
        <w:rPr>
          <w:rFonts w:ascii="Times New Roman" w:cs="Times New Roman" w:eastAsia="Times New Roman" w:hAnsi="Times New Roman"/>
          <w:sz w:val="17"/>
          <w:szCs w:val="17"/>
          <w:color w:val="auto"/>
        </w:rPr>
        <w:t xml:space="preserve">” means, with respect to any Lender, any change effective after the Agreement Date in Applicable Law (including without limitation, Regulation D of the </w:t>
      </w:r>
      <w:r>
        <w:rPr>
          <w:rFonts w:ascii="Times New Roman" w:cs="Times New Roman" w:eastAsia="Times New Roman" w:hAnsi="Times New Roman"/>
          <w:sz w:val="17"/>
          <w:szCs w:val="17"/>
          <w:color w:val="FF0000"/>
          <w:strike w:val="1"/>
        </w:rPr>
        <w:t>Board of Governors of the Federal Reserve System</w:t>
      </w:r>
      <w:r>
        <w:rPr>
          <w:rFonts w:ascii="Times New Roman" w:cs="Times New Roman" w:eastAsia="Times New Roman" w:hAnsi="Times New Roman"/>
          <w:sz w:val="17"/>
          <w:szCs w:val="17"/>
          <w:u w:val="single" w:color="auto"/>
          <w:color w:val="0000FF"/>
        </w:rPr>
        <w:t>FRB</w:t>
      </w:r>
      <w:r>
        <w:rPr>
          <w:rFonts w:ascii="Times New Roman" w:cs="Times New Roman" w:eastAsia="Times New Roman" w:hAnsi="Times New Roman"/>
          <w:sz w:val="17"/>
          <w:szCs w:val="17"/>
          <w:color w:val="auto"/>
        </w:rPr>
        <w:t>) or the adoption or making after such date of any interpretation, directive or request applying to a class of banks, including such Lender, of or under any Applicable Law (whether or not having the force of law and whether or not failure to comply therewith would be unlawful) by any Governmental Authority or monetary authority charged with the interpretation, implementation or administration thereof or compliance by any Lender with any request or directive regarding capital adequacy. Notwithstanding anything herein to the contrary, (a) the Dodd-Frank Wall Street Reform and Consumer Protection Act and all requests, rules, regulations, guidelines, interpretations or directives thereunder or issued in connection therewith (whether or not having the force of law and whether or not failure to comply therewith would be unlawful) and (b) all requests, rules, regulations, guidelines, interpretations or directives promulgated by the Bank for International Settlements, the Basel Committee on Banking Supervision (or any successor or similar authority) or the United States or foreign regulatory authorities (whether or not having the force of law and whether or not failure to comply therewith would be unlawful), in each case pursuant to Basel III, shall in each case be deemed to be a “Regulatory Change”, regardless of the date enacted, adopted, promulgated, implemented or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3769360</wp:posOffset>
            </wp:positionH>
            <wp:positionV relativeFrom="paragraph">
              <wp:posOffset>-1238250</wp:posOffset>
            </wp:positionV>
            <wp:extent cx="21463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214630" cy="8255"/>
                    </a:xfrm>
                    <a:prstGeom prst="rect">
                      <a:avLst/>
                    </a:prstGeom>
                    <a:noFill/>
                  </pic:spPr>
                </pic:pic>
              </a:graphicData>
            </a:graphic>
          </wp:anchor>
        </w:drawing>
      </w:r>
    </w:p>
    <w:p>
      <w:pPr>
        <w:spacing w:after="0" w:line="15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REIT</w:t>
      </w:r>
      <w:r>
        <w:rPr>
          <w:rFonts w:ascii="Times New Roman" w:cs="Times New Roman" w:eastAsia="Times New Roman" w:hAnsi="Times New Roman"/>
          <w:sz w:val="18"/>
          <w:szCs w:val="18"/>
          <w:color w:val="auto"/>
        </w:rPr>
        <w:t>” means a Person qualifying for treatment as a “real estate investment trust” under the Internal Revenue Code.</w:t>
      </w:r>
    </w:p>
    <w:p>
      <w:pPr>
        <w:spacing w:after="0" w:line="225" w:lineRule="exact"/>
        <w:rPr>
          <w:sz w:val="20"/>
          <w:szCs w:val="20"/>
          <w:color w:val="auto"/>
        </w:rPr>
      </w:pPr>
    </w:p>
    <w:p>
      <w:pPr>
        <w:ind w:right="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Related Parties</w:t>
      </w:r>
      <w:r>
        <w:rPr>
          <w:rFonts w:ascii="Times New Roman" w:cs="Times New Roman" w:eastAsia="Times New Roman" w:hAnsi="Times New Roman"/>
          <w:sz w:val="18"/>
          <w:szCs w:val="18"/>
          <w:color w:val="auto"/>
        </w:rPr>
        <w:t>” means, with respect to any Person, such Person’s Affiliates and the partners, directors, officers, employees, agents and advisors of such Person and of such Person’s Affiliates.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440" w:top="266" w:right="459" w:bottom="1440" w:gutter="0" w:footer="0" w:header="0"/>
        </w:sectPr>
      </w:pPr>
    </w:p>
    <w:bookmarkStart w:id="207" w:name="page208"/>
    <w:bookmarkEnd w:id="207"/>
    <w:p>
      <w:pPr>
        <w:ind w:left="4" w:right="38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Relevant Governmental Body</w:t>
      </w:r>
      <w:r>
        <w:rPr>
          <w:rFonts w:ascii="Times New Roman" w:cs="Times New Roman" w:eastAsia="Times New Roman" w:hAnsi="Times New Roman"/>
          <w:sz w:val="18"/>
          <w:szCs w:val="18"/>
          <w:color w:val="auto"/>
        </w:rPr>
        <w:t xml:space="preserve">” means the </w:t>
      </w:r>
      <w:r>
        <w:rPr>
          <w:rFonts w:ascii="Times New Roman" w:cs="Times New Roman" w:eastAsia="Times New Roman" w:hAnsi="Times New Roman"/>
          <w:sz w:val="18"/>
          <w:szCs w:val="18"/>
          <w:color w:val="FF0000"/>
          <w:strike w:val="1"/>
        </w:rPr>
        <w:t>Federal Reserve Board</w:t>
      </w:r>
      <w:r>
        <w:rPr>
          <w:rFonts w:ascii="Times New Roman" w:cs="Times New Roman" w:eastAsia="Times New Roman" w:hAnsi="Times New Roman"/>
          <w:sz w:val="18"/>
          <w:szCs w:val="18"/>
          <w:u w:val="single" w:color="auto"/>
          <w:color w:val="0000FF"/>
        </w:rPr>
        <w:t>FRB</w:t>
      </w:r>
      <w:r>
        <w:rPr>
          <w:rFonts w:ascii="Times New Roman" w:cs="Times New Roman" w:eastAsia="Times New Roman" w:hAnsi="Times New Roman"/>
          <w:sz w:val="18"/>
          <w:szCs w:val="18"/>
          <w:color w:val="auto"/>
        </w:rPr>
        <w:t xml:space="preserve"> or the Federal Reserve Bank of New York, or a committee officially endorsed or convened by the </w:t>
      </w:r>
      <w:r>
        <w:rPr>
          <w:rFonts w:ascii="Times New Roman" w:cs="Times New Roman" w:eastAsia="Times New Roman" w:hAnsi="Times New Roman"/>
          <w:sz w:val="18"/>
          <w:szCs w:val="18"/>
          <w:color w:val="FF0000"/>
          <w:strike w:val="1"/>
        </w:rPr>
        <w:t>Federal Reserve Board</w:t>
      </w:r>
      <w:r>
        <w:rPr>
          <w:rFonts w:ascii="Times New Roman" w:cs="Times New Roman" w:eastAsia="Times New Roman" w:hAnsi="Times New Roman"/>
          <w:sz w:val="18"/>
          <w:szCs w:val="18"/>
          <w:u w:val="single" w:color="auto"/>
          <w:color w:val="0000FF"/>
        </w:rPr>
        <w:t>FRB</w:t>
      </w:r>
      <w:r>
        <w:rPr>
          <w:rFonts w:ascii="Times New Roman" w:cs="Times New Roman" w:eastAsia="Times New Roman" w:hAnsi="Times New Roman"/>
          <w:sz w:val="18"/>
          <w:szCs w:val="18"/>
          <w:color w:val="auto"/>
        </w:rPr>
        <w:t xml:space="preserve"> or the Federal Reserve Bank of New York, or any successor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3394710</wp:posOffset>
            </wp:positionH>
            <wp:positionV relativeFrom="paragraph">
              <wp:posOffset>-152400</wp:posOffset>
            </wp:positionV>
            <wp:extent cx="21463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2391410</wp:posOffset>
            </wp:positionH>
            <wp:positionV relativeFrom="paragraph">
              <wp:posOffset>-15240</wp:posOffset>
            </wp:positionV>
            <wp:extent cx="21463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214630" cy="8255"/>
                    </a:xfrm>
                    <a:prstGeom prst="rect">
                      <a:avLst/>
                    </a:prstGeom>
                    <a:noFill/>
                  </pic:spPr>
                </pic:pic>
              </a:graphicData>
            </a:graphic>
          </wp:anchor>
        </w:drawing>
      </w:r>
    </w:p>
    <w:p>
      <w:pPr>
        <w:spacing w:after="0" w:line="135" w:lineRule="exact"/>
        <w:rPr>
          <w:sz w:val="20"/>
          <w:szCs w:val="20"/>
          <w:color w:val="auto"/>
        </w:rPr>
      </w:pPr>
    </w:p>
    <w:p>
      <w:pPr>
        <w:ind w:left="4"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Requisite Lenders</w:t>
      </w:r>
      <w:r>
        <w:rPr>
          <w:rFonts w:ascii="Times New Roman" w:cs="Times New Roman" w:eastAsia="Times New Roman" w:hAnsi="Times New Roman"/>
          <w:sz w:val="18"/>
          <w:szCs w:val="18"/>
          <w:color w:val="auto"/>
        </w:rPr>
        <w:t>” means, as of any date, (a) Lenders having more than 50.0% of the aggregate amount of the Commitments or (b) if the Commitments have been terminated or reduced to zero, Lenders holding more than 50.0% of the principal amount of the aggregate outstanding Loans; provided that in determining such percentage at any given time, all then existing Defaulting Lenders will be disregarded and excluded</w:t>
      </w:r>
      <w:r>
        <w:rPr>
          <w:rFonts w:ascii="Times New Roman" w:cs="Times New Roman" w:eastAsia="Times New Roman" w:hAnsi="Times New Roman"/>
          <w:sz w:val="18"/>
          <w:szCs w:val="18"/>
          <w:u w:val="single" w:color="auto"/>
          <w:color w:val="0000FF"/>
        </w:rPr>
        <w:t>; provided, 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that at all times when two or more Lenders (excluding Defaulting Lenders) are party to this Agreement, the term “Requisite Lenders” shall in no event mean less than two unaffiliated Lenders</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6120765</wp:posOffset>
            </wp:positionH>
            <wp:positionV relativeFrom="paragraph">
              <wp:posOffset>-274320</wp:posOffset>
            </wp:positionV>
            <wp:extent cx="85725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85725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-137160</wp:posOffset>
            </wp:positionV>
            <wp:extent cx="688340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88340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0</wp:posOffset>
            </wp:positionV>
            <wp:extent cx="182562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15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Resolution Authority</w:t>
      </w:r>
      <w:r>
        <w:rPr>
          <w:rFonts w:ascii="Times New Roman" w:cs="Times New Roman" w:eastAsia="Times New Roman" w:hAnsi="Times New Roman"/>
          <w:sz w:val="18"/>
          <w:szCs w:val="18"/>
          <w:color w:val="auto"/>
        </w:rPr>
        <w:t>” means an EEA Resolution Authority or, with respect to any UK Financial Institution, a UK Resolution Authority.</w:t>
      </w:r>
    </w:p>
    <w:p>
      <w:pPr>
        <w:spacing w:after="0" w:line="225" w:lineRule="exact"/>
        <w:rPr>
          <w:sz w:val="20"/>
          <w:szCs w:val="20"/>
          <w:color w:val="auto"/>
        </w:rPr>
      </w:pPr>
    </w:p>
    <w:p>
      <w:pPr>
        <w:jc w:val="both"/>
        <w:ind w:left="4" w:right="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Responsible Officer</w:t>
      </w:r>
      <w:r>
        <w:rPr>
          <w:rFonts w:ascii="Times New Roman" w:cs="Times New Roman" w:eastAsia="Times New Roman" w:hAnsi="Times New Roman"/>
          <w:sz w:val="18"/>
          <w:szCs w:val="18"/>
          <w:color w:val="auto"/>
        </w:rPr>
        <w:t xml:space="preserve">” means with respect to the Borrower or any Subsidiary, the chief executive officer, the chief financial officer, the treasurer or the chief operating officer of the Borrower or such Subsidiary and, solely in the case of the Borrower, the </w:t>
      </w:r>
      <w:r>
        <w:rPr>
          <w:rFonts w:ascii="Times New Roman" w:cs="Times New Roman" w:eastAsia="Times New Roman" w:hAnsi="Times New Roman"/>
          <w:sz w:val="18"/>
          <w:szCs w:val="18"/>
          <w:color w:val="FF0000"/>
          <w:strike w:val="1"/>
        </w:rPr>
        <w:t>vice president-chief</w:t>
      </w:r>
      <w:r>
        <w:rPr>
          <w:rFonts w:ascii="Times New Roman" w:cs="Times New Roman" w:eastAsia="Times New Roman" w:hAnsi="Times New Roman"/>
          <w:sz w:val="18"/>
          <w:szCs w:val="18"/>
          <w:u w:val="single" w:color="auto"/>
          <w:color w:val="0000FF"/>
        </w:rPr>
        <w:t>chief</w:t>
      </w:r>
      <w:r>
        <w:rPr>
          <w:rFonts w:ascii="Times New Roman" w:cs="Times New Roman" w:eastAsia="Times New Roman" w:hAnsi="Times New Roman"/>
          <w:sz w:val="18"/>
          <w:szCs w:val="18"/>
          <w:color w:val="auto"/>
        </w:rPr>
        <w:t xml:space="preserve"> accounting officer of the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5863590</wp:posOffset>
            </wp:positionH>
            <wp:positionV relativeFrom="paragraph">
              <wp:posOffset>-142875</wp:posOffset>
            </wp:positionV>
            <wp:extent cx="23177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231775" cy="8255"/>
                    </a:xfrm>
                    <a:prstGeom prst="rect">
                      <a:avLst/>
                    </a:prstGeom>
                    <a:noFill/>
                  </pic:spPr>
                </pic:pic>
              </a:graphicData>
            </a:graphic>
          </wp:anchor>
        </w:drawing>
      </w:r>
    </w:p>
    <w:p>
      <w:pPr>
        <w:spacing w:after="0" w:line="151" w:lineRule="exact"/>
        <w:rPr>
          <w:sz w:val="20"/>
          <w:szCs w:val="20"/>
          <w:color w:val="auto"/>
        </w:rPr>
      </w:pPr>
    </w:p>
    <w:p>
      <w:pPr>
        <w:ind w:left="4" w:right="20" w:firstLine="440"/>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Payment</w:t>
      </w:r>
      <w:r>
        <w:rPr>
          <w:rFonts w:ascii="Times New Roman" w:cs="Times New Roman" w:eastAsia="Times New Roman" w:hAnsi="Times New Roman"/>
          <w:sz w:val="18"/>
          <w:szCs w:val="18"/>
          <w:color w:val="auto"/>
        </w:rPr>
        <w:t>” means (a) any dividend or other distribution, direct or indirect, on account of any Equity Interest of the Borrower or any of its Subsidiaries now or hereafter outstanding, except a dividend payable solely in shares of that class of Equity Interests to the holders of that class;</w:t>
      </w:r>
    </w:p>
    <w:p>
      <w:pPr>
        <w:spacing w:after="0" w:line="1" w:lineRule="exact"/>
        <w:rPr>
          <w:sz w:val="20"/>
          <w:szCs w:val="20"/>
          <w:color w:val="auto"/>
        </w:rPr>
      </w:pPr>
    </w:p>
    <w:p>
      <w:pPr>
        <w:jc w:val="both"/>
        <w:ind w:left="4" w:hanging="4"/>
        <w:spacing w:after="0" w:line="253" w:lineRule="auto"/>
        <w:tabs>
          <w:tab w:leader="none" w:pos="259"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redemption, conversion, exchange, retirement, sinking fund or similar payment, purchase or other acquisition for value, direct or indirect, of any shares of any Equity Interest of the Borrower or any of its Subsidiaries now or hereafter outstanding; and (c) any payment made to retire, or to obtain the surrender of, any outstanding warrants, options or other rights to acquire any Equity Interests of the Borrower or any of its Subsidiaries now or hereafter outstanding.</w:t>
      </w:r>
    </w:p>
    <w:p>
      <w:pPr>
        <w:spacing w:after="0" w:line="185" w:lineRule="exact"/>
        <w:rPr>
          <w:sz w:val="20"/>
          <w:szCs w:val="20"/>
          <w:color w:val="auto"/>
        </w:rPr>
      </w:pPr>
    </w:p>
    <w:p>
      <w:pPr>
        <w:ind w:left="4" w:right="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Retail Property</w:t>
      </w:r>
      <w:r>
        <w:rPr>
          <w:rFonts w:ascii="Times New Roman" w:cs="Times New Roman" w:eastAsia="Times New Roman" w:hAnsi="Times New Roman"/>
          <w:sz w:val="18"/>
          <w:szCs w:val="18"/>
          <w:color w:val="auto"/>
        </w:rPr>
        <w:t>” means each Property listed on Part I of Schedule 6.1.(f) hereto as a Retail Property and any other Property, a substantial use of which is the retail sale of goods and services, which may include a Property that is part of a Mixed-Use Project.</w:t>
      </w:r>
    </w:p>
    <w:p>
      <w:pPr>
        <w:spacing w:after="0" w:line="155" w:lineRule="exact"/>
        <w:rPr>
          <w:sz w:val="20"/>
          <w:szCs w:val="20"/>
          <w:color w:val="auto"/>
        </w:rPr>
      </w:pPr>
    </w:p>
    <w:p>
      <w:pPr>
        <w:ind w:left="4"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FF0000"/>
          <w:strike w:val="1"/>
        </w:rPr>
        <w:t>First Amendment</w:t>
      </w:r>
      <w:r>
        <w:rPr>
          <w:rFonts w:ascii="Times New Roman" w:cs="Times New Roman" w:eastAsia="Times New Roman" w:hAnsi="Times New Roman"/>
          <w:sz w:val="18"/>
          <w:szCs w:val="18"/>
          <w:b w:val="1"/>
          <w:bCs w:val="1"/>
          <w:u w:val="single" w:color="auto"/>
          <w:color w:val="0000FF"/>
        </w:rPr>
        <w:t>Credit Agreement</w:t>
      </w:r>
      <w:r>
        <w:rPr>
          <w:rFonts w:ascii="Times New Roman" w:cs="Times New Roman" w:eastAsia="Times New Roman" w:hAnsi="Times New Roman"/>
          <w:sz w:val="18"/>
          <w:szCs w:val="18"/>
          <w:color w:val="auto"/>
        </w:rPr>
        <w:t xml:space="preserve">” means that certain </w:t>
      </w:r>
      <w:r>
        <w:rPr>
          <w:rFonts w:ascii="Times New Roman" w:cs="Times New Roman" w:eastAsia="Times New Roman" w:hAnsi="Times New Roman"/>
          <w:sz w:val="18"/>
          <w:szCs w:val="18"/>
          <w:color w:val="FF0000"/>
          <w:strike w:val="1"/>
        </w:rPr>
        <w:t>First Amendment to</w:t>
      </w:r>
      <w:r>
        <w:rPr>
          <w:rFonts w:ascii="Times New Roman" w:cs="Times New Roman" w:eastAsia="Times New Roman" w:hAnsi="Times New Roman"/>
          <w:sz w:val="18"/>
          <w:szCs w:val="18"/>
          <w:u w:val="single" w:color="auto"/>
          <w:color w:val="0000FF"/>
        </w:rPr>
        <w:t>Second</w:t>
      </w:r>
      <w:r>
        <w:rPr>
          <w:rFonts w:ascii="Times New Roman" w:cs="Times New Roman" w:eastAsia="Times New Roman" w:hAnsi="Times New Roman"/>
          <w:sz w:val="18"/>
          <w:szCs w:val="18"/>
          <w:color w:val="auto"/>
        </w:rPr>
        <w:t xml:space="preserve"> Amended and Restated Credit Agreement, dated as </w:t>
      </w:r>
      <w:r>
        <w:rPr>
          <w:rFonts w:ascii="Times New Roman" w:cs="Times New Roman" w:eastAsia="Times New Roman" w:hAnsi="Times New Roman"/>
          <w:sz w:val="18"/>
          <w:szCs w:val="18"/>
          <w:color w:val="FF0000"/>
          <w:strike w:val="1"/>
        </w:rPr>
        <w:t>May 6</w:t>
      </w:r>
      <w:r>
        <w:rPr>
          <w:rFonts w:ascii="Times New Roman" w:cs="Times New Roman" w:eastAsia="Times New Roman" w:hAnsi="Times New Roman"/>
          <w:sz w:val="18"/>
          <w:szCs w:val="18"/>
          <w:u w:val="single" w:color="auto"/>
          <w:color w:val="0000FF"/>
        </w:rPr>
        <w:t>October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2020</w:t>
      </w:r>
      <w:r>
        <w:rPr>
          <w:rFonts w:ascii="Times New Roman" w:cs="Times New Roman" w:eastAsia="Times New Roman" w:hAnsi="Times New Roman"/>
          <w:sz w:val="18"/>
          <w:szCs w:val="18"/>
          <w:u w:val="single" w:color="auto"/>
          <w:color w:val="0000FF"/>
        </w:rPr>
        <w:t>2022</w:t>
      </w:r>
      <w:r>
        <w:rPr>
          <w:rFonts w:ascii="Times New Roman" w:cs="Times New Roman" w:eastAsia="Times New Roman" w:hAnsi="Times New Roman"/>
          <w:sz w:val="18"/>
          <w:szCs w:val="18"/>
          <w:color w:val="auto"/>
        </w:rPr>
        <w:t>, by and among the Borrower, the financial institutions party thereto as “Lenders”, Wells Fargo Bank, National Association, as administrative agent thereunder, and the other parties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1663065</wp:posOffset>
            </wp:positionH>
            <wp:positionV relativeFrom="paragraph">
              <wp:posOffset>-280035</wp:posOffset>
            </wp:positionV>
            <wp:extent cx="88265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882650" cy="8255"/>
                    </a:xfrm>
                    <a:prstGeom prst="rect">
                      <a:avLst/>
                    </a:prstGeom>
                    <a:noFill/>
                  </pic:spPr>
                </pic:pic>
              </a:graphicData>
            </a:graphic>
          </wp:anchor>
        </w:drawing>
        <w:drawing>
          <wp:anchor simplePos="0" relativeHeight="251657728" behindDoc="1" locked="0" layoutInCell="0" allowOverlap="1">
            <wp:simplePos x="0" y="0"/>
            <wp:positionH relativeFrom="column">
              <wp:posOffset>4406265</wp:posOffset>
            </wp:positionH>
            <wp:positionV relativeFrom="paragraph">
              <wp:posOffset>-280035</wp:posOffset>
            </wp:positionV>
            <wp:extent cx="33401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334010" cy="8255"/>
                    </a:xfrm>
                    <a:prstGeom prst="rect">
                      <a:avLst/>
                    </a:prstGeom>
                    <a:noFill/>
                  </pic:spPr>
                </pic:pic>
              </a:graphicData>
            </a:graphic>
          </wp:anchor>
        </w:drawing>
        <w:drawing>
          <wp:anchor simplePos="0" relativeHeight="251657728" behindDoc="1" locked="0" layoutInCell="0" allowOverlap="1">
            <wp:simplePos x="0" y="0"/>
            <wp:positionH relativeFrom="column">
              <wp:posOffset>445770</wp:posOffset>
            </wp:positionH>
            <wp:positionV relativeFrom="paragraph">
              <wp:posOffset>-142875</wp:posOffset>
            </wp:positionV>
            <wp:extent cx="45402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454025" cy="8255"/>
                    </a:xfrm>
                    <a:prstGeom prst="rect">
                      <a:avLst/>
                    </a:prstGeom>
                    <a:noFill/>
                  </pic:spPr>
                </pic:pic>
              </a:graphicData>
            </a:graphic>
          </wp:anchor>
        </w:drawing>
        <w:drawing>
          <wp:anchor simplePos="0" relativeHeight="251657728" behindDoc="1" locked="0" layoutInCell="0" allowOverlap="1">
            <wp:simplePos x="0" y="0"/>
            <wp:positionH relativeFrom="column">
              <wp:posOffset>1183005</wp:posOffset>
            </wp:positionH>
            <wp:positionV relativeFrom="paragraph">
              <wp:posOffset>-142875</wp:posOffset>
            </wp:positionV>
            <wp:extent cx="23114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231140" cy="8255"/>
                    </a:xfrm>
                    <a:prstGeom prst="rect">
                      <a:avLst/>
                    </a:prstGeom>
                    <a:noFill/>
                  </pic:spPr>
                </pic:pic>
              </a:graphicData>
            </a:graphic>
          </wp:anchor>
        </w:drawing>
      </w:r>
    </w:p>
    <w:p>
      <w:pPr>
        <w:spacing w:after="0" w:line="15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S&amp;P</w:t>
      </w:r>
      <w:r>
        <w:rPr>
          <w:rFonts w:ascii="Times New Roman" w:cs="Times New Roman" w:eastAsia="Times New Roman" w:hAnsi="Times New Roman"/>
          <w:sz w:val="18"/>
          <w:szCs w:val="18"/>
          <w:color w:val="auto"/>
        </w:rPr>
        <w:t>” means S&amp;P Global Ratings, a business unit of Standard &amp; Poor’s Financial Services LLC, and any successor thereto.</w:t>
      </w:r>
    </w:p>
    <w:p>
      <w:pPr>
        <w:spacing w:after="0" w:line="225" w:lineRule="exact"/>
        <w:rPr>
          <w:sz w:val="20"/>
          <w:szCs w:val="20"/>
          <w:color w:val="auto"/>
        </w:rPr>
      </w:pPr>
    </w:p>
    <w:p>
      <w:pPr>
        <w:ind w:left="4" w:right="3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Sanctioned Country</w:t>
      </w:r>
      <w:r>
        <w:rPr>
          <w:rFonts w:ascii="Times New Roman" w:cs="Times New Roman" w:eastAsia="Times New Roman" w:hAnsi="Times New Roman"/>
          <w:sz w:val="18"/>
          <w:szCs w:val="18"/>
          <w:color w:val="auto"/>
        </w:rPr>
        <w:t>” means</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at any time, a country</w:t>
      </w:r>
      <w:r>
        <w:rPr>
          <w:rFonts w:ascii="Times New Roman" w:cs="Times New Roman" w:eastAsia="Times New Roman" w:hAnsi="Times New Roman"/>
          <w:sz w:val="18"/>
          <w:szCs w:val="18"/>
          <w:u w:val="single" w:color="auto"/>
          <w:color w:val="0000FF"/>
        </w:rPr>
        <w:t>, region</w:t>
      </w:r>
      <w:r>
        <w:rPr>
          <w:rFonts w:ascii="Times New Roman" w:cs="Times New Roman" w:eastAsia="Times New Roman" w:hAnsi="Times New Roman"/>
          <w:sz w:val="18"/>
          <w:szCs w:val="18"/>
          <w:color w:val="auto"/>
        </w:rPr>
        <w:t xml:space="preserve"> or territory which is itself </w:t>
      </w:r>
      <w:r>
        <w:rPr>
          <w:rFonts w:ascii="Times New Roman" w:cs="Times New Roman" w:eastAsia="Times New Roman" w:hAnsi="Times New Roman"/>
          <w:sz w:val="18"/>
          <w:szCs w:val="18"/>
          <w:color w:val="FF0000"/>
          <w:strike w:val="1"/>
        </w:rPr>
        <w:t>or whose government is,</w:t>
      </w:r>
      <w:r>
        <w:rPr>
          <w:rFonts w:ascii="Times New Roman" w:cs="Times New Roman" w:eastAsia="Times New Roman" w:hAnsi="Times New Roman"/>
          <w:sz w:val="18"/>
          <w:szCs w:val="18"/>
          <w:color w:val="auto"/>
        </w:rPr>
        <w:t xml:space="preserve"> the subject or target of any Sanctions (including, </w:t>
      </w:r>
      <w:r>
        <w:rPr>
          <w:rFonts w:ascii="Times New Roman" w:cs="Times New Roman" w:eastAsia="Times New Roman" w:hAnsi="Times New Roman"/>
          <w:sz w:val="18"/>
          <w:szCs w:val="18"/>
          <w:color w:val="FF0000"/>
          <w:strike w:val="1"/>
        </w:rPr>
        <w:t>as of the Effective Date</w:t>
      </w:r>
      <w:r>
        <w:rPr>
          <w:rFonts w:ascii="Times New Roman" w:cs="Times New Roman" w:eastAsia="Times New Roman" w:hAnsi="Times New Roman"/>
          <w:sz w:val="18"/>
          <w:szCs w:val="18"/>
          <w:u w:val="single" w:color="auto"/>
          <w:color w:val="0000FF"/>
        </w:rPr>
        <w:t>without limitation, at the time of this agreement, the Crimea Region of Ukraine, the so-called Donetsk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People’s Republic or Luhansk People’s Republic regions of Ukraine</w:t>
      </w:r>
      <w:r>
        <w:rPr>
          <w:rFonts w:ascii="Times New Roman" w:cs="Times New Roman" w:eastAsia="Times New Roman" w:hAnsi="Times New Roman"/>
          <w:sz w:val="18"/>
          <w:szCs w:val="18"/>
          <w:color w:val="000000"/>
        </w:rPr>
        <w:t>, Cuba, Iran, North Korea</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0000FF"/>
        </w:rPr>
        <w:t xml:space="preserve"> and </w:t>
      </w:r>
      <w:r>
        <w:rPr>
          <w:rFonts w:ascii="Times New Roman" w:cs="Times New Roman" w:eastAsia="Times New Roman" w:hAnsi="Times New Roman"/>
          <w:sz w:val="18"/>
          <w:szCs w:val="18"/>
          <w:color w:val="000000"/>
        </w:rPr>
        <w:t>Syria</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rPr>
        <w:t>and Crimea</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1680210</wp:posOffset>
            </wp:positionH>
            <wp:positionV relativeFrom="paragraph">
              <wp:posOffset>-280035</wp:posOffset>
            </wp:positionV>
            <wp:extent cx="3429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2734310</wp:posOffset>
            </wp:positionH>
            <wp:positionV relativeFrom="paragraph">
              <wp:posOffset>-280035</wp:posOffset>
            </wp:positionV>
            <wp:extent cx="34290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342900" cy="8255"/>
                    </a:xfrm>
                    <a:prstGeom prst="rect">
                      <a:avLst/>
                    </a:prstGeom>
                    <a:noFill/>
                  </pic:spPr>
                </pic:pic>
              </a:graphicData>
            </a:graphic>
          </wp:anchor>
        </w:drawing>
        <w:drawing>
          <wp:anchor simplePos="0" relativeHeight="251657728" behindDoc="1" locked="0" layoutInCell="0" allowOverlap="1">
            <wp:simplePos x="0" y="0"/>
            <wp:positionH relativeFrom="column">
              <wp:posOffset>2074545</wp:posOffset>
            </wp:positionH>
            <wp:positionV relativeFrom="paragraph">
              <wp:posOffset>-142875</wp:posOffset>
            </wp:positionV>
            <wp:extent cx="467233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467233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-5715</wp:posOffset>
            </wp:positionV>
            <wp:extent cx="311150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3111500" cy="8255"/>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-5715</wp:posOffset>
            </wp:positionV>
            <wp:extent cx="19685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4315460</wp:posOffset>
            </wp:positionH>
            <wp:positionV relativeFrom="paragraph">
              <wp:posOffset>-40005</wp:posOffset>
            </wp:positionV>
            <wp:extent cx="19367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93675" cy="8255"/>
                    </a:xfrm>
                    <a:prstGeom prst="rect">
                      <a:avLst/>
                    </a:prstGeom>
                    <a:noFill/>
                  </pic:spPr>
                </pic:pic>
              </a:graphicData>
            </a:graphic>
          </wp:anchor>
        </w:drawing>
        <w:drawing>
          <wp:anchor simplePos="0" relativeHeight="251657728" behindDoc="1" locked="0" layoutInCell="0" allowOverlap="1">
            <wp:simplePos x="0" y="0"/>
            <wp:positionH relativeFrom="column">
              <wp:posOffset>4778375</wp:posOffset>
            </wp:positionH>
            <wp:positionV relativeFrom="paragraph">
              <wp:posOffset>-91440</wp:posOffset>
            </wp:positionV>
            <wp:extent cx="55816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558165" cy="8255"/>
                    </a:xfrm>
                    <a:prstGeom prst="rect">
                      <a:avLst/>
                    </a:prstGeom>
                    <a:noFill/>
                  </pic:spPr>
                </pic:pic>
              </a:graphicData>
            </a:graphic>
          </wp:anchor>
        </w:drawing>
      </w:r>
    </w:p>
    <w:p>
      <w:pPr>
        <w:spacing w:after="0" w:line="151" w:lineRule="exact"/>
        <w:rPr>
          <w:sz w:val="20"/>
          <w:szCs w:val="20"/>
          <w:color w:val="auto"/>
        </w:rPr>
      </w:pPr>
    </w:p>
    <w:p>
      <w:pPr>
        <w:ind w:left="4" w:right="26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Sanctioned Person</w:t>
      </w:r>
      <w:r>
        <w:rPr>
          <w:rFonts w:ascii="Times New Roman" w:cs="Times New Roman" w:eastAsia="Times New Roman" w:hAnsi="Times New Roman"/>
          <w:sz w:val="18"/>
          <w:szCs w:val="18"/>
          <w:color w:val="auto"/>
        </w:rPr>
        <w:t>” means, at any time, (a) any Person listed in any Sanctions-related list of designated Persons maintained by OFAC (including</w:t>
      </w:r>
      <w:r>
        <w:rPr>
          <w:rFonts w:ascii="Times New Roman" w:cs="Times New Roman" w:eastAsia="Times New Roman" w:hAnsi="Times New Roman"/>
          <w:sz w:val="18"/>
          <w:szCs w:val="18"/>
          <w:color w:val="FF0000"/>
          <w:strike w:val="1"/>
        </w:rPr>
        <w:t>, without limitation,</w:t>
      </w:r>
      <w:r>
        <w:rPr>
          <w:rFonts w:ascii="Times New Roman" w:cs="Times New Roman" w:eastAsia="Times New Roman" w:hAnsi="Times New Roman"/>
          <w:sz w:val="18"/>
          <w:szCs w:val="18"/>
          <w:color w:val="auto"/>
        </w:rPr>
        <w:t xml:space="preserve"> OFAC’s Specially Designated Nationals and Blocked Persons List and OFAC’s Consolidated Non-SDN List), the U.S. Department of State, the United Nations Security Council, the European Union, </w:t>
      </w:r>
      <w:r>
        <w:rPr>
          <w:rFonts w:ascii="Times New Roman" w:cs="Times New Roman" w:eastAsia="Times New Roman" w:hAnsi="Times New Roman"/>
          <w:sz w:val="18"/>
          <w:szCs w:val="18"/>
          <w:color w:val="FF0000"/>
          <w:strike w:val="1"/>
        </w:rPr>
        <w:t>Her</w:t>
      </w:r>
      <w:r>
        <w:rPr>
          <w:rFonts w:ascii="Times New Roman" w:cs="Times New Roman" w:eastAsia="Times New Roman" w:hAnsi="Times New Roman"/>
          <w:sz w:val="18"/>
          <w:szCs w:val="18"/>
          <w:u w:val="single" w:color="auto"/>
          <w:color w:val="0000FF"/>
        </w:rPr>
        <w:t>any European member state, His</w:t>
      </w:r>
      <w:r>
        <w:rPr>
          <w:rFonts w:ascii="Times New Roman" w:cs="Times New Roman" w:eastAsia="Times New Roman" w:hAnsi="Times New Roman"/>
          <w:sz w:val="18"/>
          <w:szCs w:val="18"/>
          <w:color w:val="auto"/>
        </w:rPr>
        <w:t xml:space="preserve"> Majesty’s Treasury, or other relevant </w:t>
      </w:r>
      <w:r>
        <w:rPr>
          <w:rFonts w:ascii="Times New Roman" w:cs="Times New Roman" w:eastAsia="Times New Roman" w:hAnsi="Times New Roman"/>
          <w:sz w:val="18"/>
          <w:szCs w:val="18"/>
          <w:color w:val="FF0000"/>
          <w:strike w:val="1"/>
        </w:rPr>
        <w:t>Sanctions</w:t>
      </w:r>
      <w:r>
        <w:rPr>
          <w:rFonts w:ascii="Times New Roman" w:cs="Times New Roman" w:eastAsia="Times New Roman" w:hAnsi="Times New Roman"/>
          <w:sz w:val="18"/>
          <w:szCs w:val="18"/>
          <w:u w:val="single" w:color="auto"/>
          <w:color w:val="0000FF"/>
        </w:rPr>
        <w:t>sanctions</w:t>
      </w:r>
      <w:r>
        <w:rPr>
          <w:rFonts w:ascii="Times New Roman" w:cs="Times New Roman" w:eastAsia="Times New Roman" w:hAnsi="Times New Roman"/>
          <w:sz w:val="18"/>
          <w:szCs w:val="18"/>
          <w:color w:val="auto"/>
        </w:rPr>
        <w:t xml:space="preserve"> authority, (b) any Person </w:t>
      </w:r>
      <w:r>
        <w:rPr>
          <w:rFonts w:ascii="Times New Roman" w:cs="Times New Roman" w:eastAsia="Times New Roman" w:hAnsi="Times New Roman"/>
          <w:sz w:val="18"/>
          <w:szCs w:val="18"/>
          <w:color w:val="FF0000"/>
          <w:strike w:val="1"/>
        </w:rPr>
        <w:t>located,</w:t>
      </w:r>
      <w:r>
        <w:rPr>
          <w:rFonts w:ascii="Times New Roman" w:cs="Times New Roman" w:eastAsia="Times New Roman" w:hAnsi="Times New Roman"/>
          <w:sz w:val="18"/>
          <w:szCs w:val="18"/>
          <w:color w:val="auto"/>
        </w:rPr>
        <w:t xml:space="preserve">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3848735</wp:posOffset>
            </wp:positionH>
            <wp:positionV relativeFrom="paragraph">
              <wp:posOffset>-139065</wp:posOffset>
            </wp:positionV>
            <wp:extent cx="148272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482725" cy="8255"/>
                    </a:xfrm>
                    <a:prstGeom prst="rect">
                      <a:avLst/>
                    </a:prstGeom>
                    <a:noFill/>
                  </pic:spPr>
                </pic:pic>
              </a:graphicData>
            </a:graphic>
          </wp:anchor>
        </w:drawing>
        <w:drawing>
          <wp:anchor simplePos="0" relativeHeight="251657728" behindDoc="1" locked="0" layoutInCell="0" allowOverlap="1">
            <wp:simplePos x="0" y="0"/>
            <wp:positionH relativeFrom="column">
              <wp:posOffset>840105</wp:posOffset>
            </wp:positionH>
            <wp:positionV relativeFrom="paragraph">
              <wp:posOffset>-1905</wp:posOffset>
            </wp:positionV>
            <wp:extent cx="428625"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pacing w:after="0" w:line="9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4"/>
          </w:cols>
          <w:pgMar w:left="436" w:top="266" w:right="459" w:bottom="1440" w:gutter="0" w:footer="0" w:header="0"/>
        </w:sectPr>
      </w:pPr>
    </w:p>
    <w:bookmarkStart w:id="208" w:name="page209"/>
    <w:bookmarkEnd w:id="208"/>
    <w:p>
      <w:pPr>
        <w:ind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organized or resident in a Sanctioned Country </w:t>
      </w:r>
      <w:r>
        <w:rPr>
          <w:rFonts w:ascii="Times New Roman" w:cs="Times New Roman" w:eastAsia="Times New Roman" w:hAnsi="Times New Roman"/>
          <w:sz w:val="18"/>
          <w:szCs w:val="18"/>
          <w:color w:val="FF0000"/>
        </w:rPr>
        <w:t>or</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(c) any Person owned or controlled by</w:t>
      </w:r>
      <w:r>
        <w:rPr>
          <w:rFonts w:ascii="Times New Roman" w:cs="Times New Roman" w:eastAsia="Times New Roman" w:hAnsi="Times New Roman"/>
          <w:sz w:val="18"/>
          <w:szCs w:val="18"/>
          <w:u w:val="single" w:color="auto"/>
          <w:color w:val="0000FF"/>
        </w:rPr>
        <w:t>, or acting or purporting to act for or on behalf of, directly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indirectly,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any such Person or Persons described in clauses (a) and (b), including a Person that is deemed by OFAC to be a Sanctions target based on 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ownership of such legal entity by Sanctioned </w:t>
      </w:r>
      <w:r>
        <w:rPr>
          <w:rFonts w:ascii="Times New Roman" w:cs="Times New Roman" w:eastAsia="Times New Roman" w:hAnsi="Times New Roman"/>
          <w:sz w:val="18"/>
          <w:szCs w:val="18"/>
          <w:color w:val="FF0000"/>
          <w:strike w:val="1"/>
        </w:rPr>
        <w:t>Peron</w:t>
      </w:r>
      <w:r>
        <w:rPr>
          <w:rFonts w:ascii="Times New Roman" w:cs="Times New Roman" w:eastAsia="Times New Roman" w:hAnsi="Times New Roman"/>
          <w:sz w:val="18"/>
          <w:szCs w:val="18"/>
          <w:u w:val="single" w:color="auto"/>
          <w:color w:val="0000FF"/>
        </w:rPr>
        <w:t>Person</w:t>
      </w:r>
      <w:r>
        <w:rPr>
          <w:rFonts w:ascii="Times New Roman" w:cs="Times New Roman" w:eastAsia="Times New Roman" w:hAnsi="Times New Roman"/>
          <w:sz w:val="18"/>
          <w:szCs w:val="18"/>
          <w:color w:val="000000"/>
        </w:rPr>
        <w:t xml:space="preserve">(s) </w:t>
      </w:r>
      <w:r>
        <w:rPr>
          <w:rFonts w:ascii="Times New Roman" w:cs="Times New Roman" w:eastAsia="Times New Roman" w:hAnsi="Times New Roman"/>
          <w:sz w:val="18"/>
          <w:szCs w:val="18"/>
          <w:color w:val="0000FF"/>
        </w:rPr>
        <w:t>or (d) any Person otherwise a target of Sanctions, including vessels and aircraft, that are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designated under any Sanctions program</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2095500</wp:posOffset>
            </wp:positionH>
            <wp:positionV relativeFrom="paragraph">
              <wp:posOffset>-499745</wp:posOffset>
            </wp:positionV>
            <wp:extent cx="123825"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3825" cy="8890"/>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-414020</wp:posOffset>
            </wp:positionV>
            <wp:extent cx="3429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4026535</wp:posOffset>
            </wp:positionH>
            <wp:positionV relativeFrom="paragraph">
              <wp:posOffset>-414020</wp:posOffset>
            </wp:positionV>
            <wp:extent cx="276860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276860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-276860</wp:posOffset>
            </wp:positionV>
            <wp:extent cx="46291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462915" cy="8255"/>
                    </a:xfrm>
                    <a:prstGeom prst="rect">
                      <a:avLst/>
                    </a:prstGeom>
                    <a:noFill/>
                  </pic:spPr>
                </pic:pic>
              </a:graphicData>
            </a:graphic>
          </wp:anchor>
        </w:drawing>
        <w:drawing>
          <wp:anchor simplePos="0" relativeHeight="251657728" behindDoc="1" locked="0" layoutInCell="0" allowOverlap="1">
            <wp:simplePos x="0" y="0"/>
            <wp:positionH relativeFrom="column">
              <wp:posOffset>2346325</wp:posOffset>
            </wp:positionH>
            <wp:positionV relativeFrom="paragraph">
              <wp:posOffset>-139700</wp:posOffset>
            </wp:positionV>
            <wp:extent cx="447484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4474845" cy="8255"/>
                    </a:xfrm>
                    <a:prstGeom prst="rect">
                      <a:avLst/>
                    </a:prstGeom>
                    <a:noFill/>
                  </pic:spPr>
                </pic:pic>
              </a:graphicData>
            </a:graphic>
          </wp:anchor>
        </w:drawing>
        <w:drawing>
          <wp:anchor simplePos="0" relativeHeight="251657728" behindDoc="1" locked="0" layoutInCell="0" allowOverlap="1">
            <wp:simplePos x="0" y="0"/>
            <wp:positionH relativeFrom="column">
              <wp:posOffset>2780030</wp:posOffset>
            </wp:positionH>
            <wp:positionV relativeFrom="paragraph">
              <wp:posOffset>-173990</wp:posOffset>
            </wp:positionV>
            <wp:extent cx="404304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40430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-2540</wp:posOffset>
            </wp:positionV>
            <wp:extent cx="185991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156"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xml:space="preserve">” means any and all economic or financial sanctions, sectoral sanctions, secondary sanctions, trade embargoes and </w:t>
      </w:r>
      <w:r>
        <w:rPr>
          <w:rFonts w:ascii="Times New Roman" w:cs="Times New Roman" w:eastAsia="Times New Roman" w:hAnsi="Times New Roman"/>
          <w:sz w:val="18"/>
          <w:szCs w:val="18"/>
          <w:u w:val="single" w:color="auto"/>
          <w:color w:val="0000FF"/>
        </w:rPr>
        <w:t>restrictions and</w:t>
      </w:r>
      <w:r>
        <w:rPr>
          <w:rFonts w:ascii="Times New Roman" w:cs="Times New Roman" w:eastAsia="Times New Roman" w:hAnsi="Times New Roman"/>
          <w:sz w:val="18"/>
          <w:szCs w:val="18"/>
          <w:color w:val="auto"/>
        </w:rPr>
        <w:t xml:space="preserve"> anti-terrorism laws, including but not limited to those </w:t>
      </w:r>
      <w:r>
        <w:rPr>
          <w:rFonts w:ascii="Times New Roman" w:cs="Times New Roman" w:eastAsia="Times New Roman" w:hAnsi="Times New Roman"/>
          <w:sz w:val="18"/>
          <w:szCs w:val="18"/>
          <w:color w:val="FF0000"/>
          <w:strike w:val="1"/>
        </w:rPr>
        <w:t>enacted,</w:t>
      </w:r>
      <w:r>
        <w:rPr>
          <w:rFonts w:ascii="Times New Roman" w:cs="Times New Roman" w:eastAsia="Times New Roman" w:hAnsi="Times New Roman"/>
          <w:sz w:val="18"/>
          <w:szCs w:val="18"/>
          <w:color w:val="auto"/>
        </w:rPr>
        <w:t xml:space="preserve"> imposed, administered or enforced from time to time by the U.S. government (including those administered by OFAC or the U.S. Department of State), the United Nations Security Council, the European Union, </w:t>
      </w:r>
      <w:r>
        <w:rPr>
          <w:rFonts w:ascii="Times New Roman" w:cs="Times New Roman" w:eastAsia="Times New Roman" w:hAnsi="Times New Roman"/>
          <w:sz w:val="18"/>
          <w:szCs w:val="18"/>
          <w:color w:val="FF0000"/>
          <w:strike w:val="1"/>
        </w:rPr>
        <w:t>Her</w:t>
      </w:r>
      <w:r>
        <w:rPr>
          <w:rFonts w:ascii="Times New Roman" w:cs="Times New Roman" w:eastAsia="Times New Roman" w:hAnsi="Times New Roman"/>
          <w:sz w:val="18"/>
          <w:szCs w:val="18"/>
          <w:u w:val="single" w:color="auto"/>
          <w:color w:val="0000FF"/>
        </w:rPr>
        <w:t>any European member state, His</w:t>
      </w:r>
      <w:r>
        <w:rPr>
          <w:rFonts w:ascii="Times New Roman" w:cs="Times New Roman" w:eastAsia="Times New Roman" w:hAnsi="Times New Roman"/>
          <w:sz w:val="18"/>
          <w:szCs w:val="18"/>
          <w:color w:val="auto"/>
        </w:rPr>
        <w:t xml:space="preserve"> Majesty’s Treasury, or other relevant sanctions authority </w:t>
      </w:r>
      <w:r>
        <w:rPr>
          <w:rFonts w:ascii="Times New Roman" w:cs="Times New Roman" w:eastAsia="Times New Roman" w:hAnsi="Times New Roman"/>
          <w:sz w:val="18"/>
          <w:szCs w:val="18"/>
          <w:color w:val="FF0000"/>
          <w:strike w:val="1"/>
        </w:rPr>
        <w:t>with</w:t>
      </w:r>
      <w:r>
        <w:rPr>
          <w:rFonts w:ascii="Times New Roman" w:cs="Times New Roman" w:eastAsia="Times New Roman" w:hAnsi="Times New Roman"/>
          <w:sz w:val="18"/>
          <w:szCs w:val="18"/>
          <w:u w:val="single" w:color="auto"/>
          <w:color w:val="0000FF"/>
        </w:rPr>
        <w:t>in any</w:t>
      </w:r>
      <w:r>
        <w:rPr>
          <w:rFonts w:ascii="Times New Roman" w:cs="Times New Roman" w:eastAsia="Times New Roman" w:hAnsi="Times New Roman"/>
          <w:sz w:val="18"/>
          <w:szCs w:val="18"/>
          <w:color w:val="auto"/>
        </w:rPr>
        <w:t xml:space="preserve"> jurisdiction </w:t>
      </w:r>
      <w:r>
        <w:rPr>
          <w:rFonts w:ascii="Times New Roman" w:cs="Times New Roman" w:eastAsia="Times New Roman" w:hAnsi="Times New Roman"/>
          <w:sz w:val="18"/>
          <w:szCs w:val="18"/>
          <w:color w:val="FF0000"/>
          <w:strike w:val="1"/>
        </w:rPr>
        <w:t>over any Lender,</w:t>
      </w:r>
      <w:r>
        <w:rPr>
          <w:rFonts w:ascii="Times New Roman" w:cs="Times New Roman" w:eastAsia="Times New Roman" w:hAnsi="Times New Roman"/>
          <w:sz w:val="18"/>
          <w:szCs w:val="18"/>
          <w:u w:val="single" w:color="auto"/>
          <w:color w:val="0000FF"/>
        </w:rPr>
        <w:t>in which (a)</w:t>
      </w:r>
      <w:r>
        <w:rPr>
          <w:rFonts w:ascii="Times New Roman" w:cs="Times New Roman" w:eastAsia="Times New Roman" w:hAnsi="Times New Roman"/>
          <w:sz w:val="18"/>
          <w:szCs w:val="18"/>
          <w:color w:val="auto"/>
        </w:rPr>
        <w:t xml:space="preserve"> the Borrower or any of its Subsidiaries or Affiliates </w:t>
      </w:r>
      <w:r>
        <w:rPr>
          <w:rFonts w:ascii="Times New Roman" w:cs="Times New Roman" w:eastAsia="Times New Roman" w:hAnsi="Times New Roman"/>
          <w:sz w:val="18"/>
          <w:szCs w:val="18"/>
          <w:color w:val="0000FF"/>
        </w:rPr>
        <w:t>is located or conducts business, (b) in which any of the proceeds of the Extensions of Credit will be used, or (c) from which repayment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Extensions of Credit will be derived</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6049645</wp:posOffset>
            </wp:positionH>
            <wp:positionV relativeFrom="paragraph">
              <wp:posOffset>-683895</wp:posOffset>
            </wp:positionV>
            <wp:extent cx="728345"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8345" cy="8890"/>
                    </a:xfrm>
                    <a:prstGeom prst="rect">
                      <a:avLst/>
                    </a:prstGeom>
                    <a:noFill/>
                  </pic:spPr>
                </pic:pic>
              </a:graphicData>
            </a:graphic>
          </wp:anchor>
        </w:drawing>
        <w:drawing>
          <wp:anchor simplePos="0" relativeHeight="251657728" behindDoc="1" locked="0" layoutInCell="0" allowOverlap="1">
            <wp:simplePos x="0" y="0"/>
            <wp:positionH relativeFrom="column">
              <wp:posOffset>5492115</wp:posOffset>
            </wp:positionH>
            <wp:positionV relativeFrom="paragraph">
              <wp:posOffset>-409575</wp:posOffset>
            </wp:positionV>
            <wp:extent cx="148272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48272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2800350</wp:posOffset>
            </wp:positionH>
            <wp:positionV relativeFrom="paragraph">
              <wp:posOffset>-272415</wp:posOffset>
            </wp:positionV>
            <wp:extent cx="28257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282575" cy="8255"/>
                    </a:xfrm>
                    <a:prstGeom prst="rect">
                      <a:avLst/>
                    </a:prstGeom>
                    <a:noFill/>
                  </pic:spPr>
                </pic:pic>
              </a:graphicData>
            </a:graphic>
          </wp:anchor>
        </w:drawing>
        <w:drawing>
          <wp:anchor simplePos="0" relativeHeight="251657728" behindDoc="1" locked="0" layoutInCell="0" allowOverlap="1">
            <wp:simplePos x="0" y="0"/>
            <wp:positionH relativeFrom="column">
              <wp:posOffset>4438015</wp:posOffset>
            </wp:positionH>
            <wp:positionV relativeFrom="paragraph">
              <wp:posOffset>-272415</wp:posOffset>
            </wp:positionV>
            <wp:extent cx="54864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548640" cy="8255"/>
                    </a:xfrm>
                    <a:prstGeom prst="rect">
                      <a:avLst/>
                    </a:prstGeom>
                    <a:noFill/>
                  </pic:spPr>
                </pic:pic>
              </a:graphicData>
            </a:graphic>
          </wp:anchor>
        </w:drawing>
        <w:drawing>
          <wp:anchor simplePos="0" relativeHeight="251657728" behindDoc="1" locked="0" layoutInCell="0" allowOverlap="1">
            <wp:simplePos x="0" y="0"/>
            <wp:positionH relativeFrom="column">
              <wp:posOffset>426085</wp:posOffset>
            </wp:positionH>
            <wp:positionV relativeFrom="paragraph">
              <wp:posOffset>-135255</wp:posOffset>
            </wp:positionV>
            <wp:extent cx="648081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480810" cy="8255"/>
                    </a:xfrm>
                    <a:prstGeom prst="rect">
                      <a:avLst/>
                    </a:prstGeom>
                    <a:noFill/>
                  </pic:spPr>
                </pic:pic>
              </a:graphicData>
            </a:graphic>
          </wp:anchor>
        </w:drawing>
        <w:drawing>
          <wp:anchor simplePos="0" relativeHeight="251657728" behindDoc="1" locked="0" layoutInCell="0" allowOverlap="1">
            <wp:simplePos x="0" y="0"/>
            <wp:positionH relativeFrom="column">
              <wp:posOffset>426720</wp:posOffset>
            </wp:positionH>
            <wp:positionV relativeFrom="paragraph">
              <wp:posOffset>-169545</wp:posOffset>
            </wp:positionV>
            <wp:extent cx="648208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4820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1270</wp:posOffset>
            </wp:positionV>
            <wp:extent cx="165417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654175" cy="8255"/>
                    </a:xfrm>
                    <a:prstGeom prst="rect">
                      <a:avLst/>
                    </a:prstGeom>
                    <a:noFill/>
                  </pic:spPr>
                </pic:pic>
              </a:graphicData>
            </a:graphic>
          </wp:anchor>
        </w:drawing>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Amendment</w:t>
      </w:r>
      <w:r>
        <w:rPr>
          <w:rFonts w:ascii="Times New Roman" w:cs="Times New Roman" w:eastAsia="Times New Roman" w:hAnsi="Times New Roman"/>
          <w:sz w:val="18"/>
          <w:szCs w:val="18"/>
          <w:color w:val="auto"/>
        </w:rPr>
        <w:t>” means that certain Second Amendment to Term Loan Agreement dated as of January 1, 2022 relating to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Amendment Date</w:t>
      </w:r>
      <w:r>
        <w:rPr>
          <w:rFonts w:ascii="Times New Roman" w:cs="Times New Roman" w:eastAsia="Times New Roman" w:hAnsi="Times New Roman"/>
          <w:sz w:val="18"/>
          <w:szCs w:val="18"/>
          <w:color w:val="auto"/>
        </w:rPr>
        <w:t>” means January 1, 2022.</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b w:val="1"/>
          <w:bCs w:val="1"/>
          <w:color w:val="FF0000"/>
          <w:strike w:val="1"/>
        </w:rPr>
        <w:t>Secondary Term SOFR Conversion Date</w:t>
      </w:r>
      <w:r>
        <w:rPr>
          <w:rFonts w:ascii="Times New Roman" w:cs="Times New Roman" w:eastAsia="Times New Roman" w:hAnsi="Times New Roman"/>
          <w:sz w:val="18"/>
          <w:szCs w:val="18"/>
          <w:color w:val="FF0000"/>
          <w:strike w:val="1"/>
        </w:rPr>
        <w:t>” has the meaning given that term in Section 4.2.(f).</w:t>
      </w:r>
    </w:p>
    <w:p>
      <w:pPr>
        <w:spacing w:after="0" w:line="225" w:lineRule="exact"/>
        <w:rPr>
          <w:sz w:val="20"/>
          <w:szCs w:val="20"/>
          <w:color w:val="auto"/>
        </w:rPr>
      </w:pPr>
    </w:p>
    <w:p>
      <w:pPr>
        <w:ind w:right="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Secured Indebtedness</w:t>
      </w:r>
      <w:r>
        <w:rPr>
          <w:rFonts w:ascii="Times New Roman" w:cs="Times New Roman" w:eastAsia="Times New Roman" w:hAnsi="Times New Roman"/>
          <w:sz w:val="18"/>
          <w:szCs w:val="18"/>
          <w:color w:val="auto"/>
        </w:rPr>
        <w:t xml:space="preserve">” means, with respect to any Person, (a) all Indebtedness of such Person that is secured in any manner by any Lien on any property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such Person’s Ownership Share of the Secured Indebtedness of any of such Person’s Unconsolidated Affiliates.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as amended from time to time, together with all rules and regulations issued thereunder.</w:t>
      </w:r>
    </w:p>
    <w:p>
      <w:pPr>
        <w:spacing w:after="0" w:line="225" w:lineRule="exact"/>
        <w:rPr>
          <w:sz w:val="20"/>
          <w:szCs w:val="20"/>
          <w:color w:val="auto"/>
        </w:rPr>
      </w:pPr>
    </w:p>
    <w:p>
      <w:pPr>
        <w:ind w:right="3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Exchange Act</w:t>
      </w:r>
      <w:r>
        <w:rPr>
          <w:rFonts w:ascii="Times New Roman" w:cs="Times New Roman" w:eastAsia="Times New Roman" w:hAnsi="Times New Roman"/>
          <w:sz w:val="18"/>
          <w:szCs w:val="18"/>
          <w:color w:val="auto"/>
        </w:rPr>
        <w:t>” means the Securities Exchange Act of 1934, as amended from time to time, together with all rules and regulations issued thereunder.</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Significant Subsidiary</w:t>
      </w:r>
      <w:r>
        <w:rPr>
          <w:rFonts w:ascii="Times New Roman" w:cs="Times New Roman" w:eastAsia="Times New Roman" w:hAnsi="Times New Roman"/>
          <w:sz w:val="18"/>
          <w:szCs w:val="18"/>
          <w:color w:val="auto"/>
        </w:rPr>
        <w:t>” means any Subsidiary to which more than $200,000,000 of Total Asset Value is attributable on an individual basis.</w:t>
      </w:r>
    </w:p>
    <w:p>
      <w:pPr>
        <w:spacing w:after="0" w:line="225" w:lineRule="exact"/>
        <w:rPr>
          <w:sz w:val="20"/>
          <w:szCs w:val="20"/>
          <w:color w:val="auto"/>
        </w:rPr>
      </w:pPr>
    </w:p>
    <w:p>
      <w:pPr>
        <w:ind w:right="740" w:firstLine="4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SOFR</w:t>
      </w:r>
      <w:r>
        <w:rPr>
          <w:rFonts w:ascii="Times New Roman" w:cs="Times New Roman" w:eastAsia="Times New Roman" w:hAnsi="Times New Roman"/>
          <w:sz w:val="17"/>
          <w:szCs w:val="17"/>
          <w:color w:val="auto"/>
        </w:rPr>
        <w:t>” means</w:t>
      </w:r>
      <w:r>
        <w:rPr>
          <w:rFonts w:ascii="Times New Roman" w:cs="Times New Roman" w:eastAsia="Times New Roman" w:hAnsi="Times New Roman"/>
          <w:sz w:val="17"/>
          <w:szCs w:val="17"/>
          <w:color w:val="FF0000"/>
          <w:strike w:val="1"/>
        </w:rPr>
        <w:t>, with respect to any Business Day,</w:t>
      </w:r>
      <w:r>
        <w:rPr>
          <w:rFonts w:ascii="Times New Roman" w:cs="Times New Roman" w:eastAsia="Times New Roman" w:hAnsi="Times New Roman"/>
          <w:sz w:val="17"/>
          <w:szCs w:val="17"/>
          <w:color w:val="auto"/>
        </w:rPr>
        <w:t xml:space="preserve"> a rate </w:t>
      </w:r>
      <w:r>
        <w:rPr>
          <w:rFonts w:ascii="Times New Roman" w:cs="Times New Roman" w:eastAsia="Times New Roman" w:hAnsi="Times New Roman"/>
          <w:sz w:val="17"/>
          <w:szCs w:val="17"/>
          <w:color w:val="FF0000"/>
          <w:strike w:val="1"/>
        </w:rPr>
        <w:t>per annum</w:t>
      </w:r>
      <w:r>
        <w:rPr>
          <w:rFonts w:ascii="Times New Roman" w:cs="Times New Roman" w:eastAsia="Times New Roman" w:hAnsi="Times New Roman"/>
          <w:sz w:val="17"/>
          <w:szCs w:val="17"/>
          <w:color w:val="auto"/>
        </w:rPr>
        <w:t xml:space="preserve"> equal to the secured overnight financing rate </w:t>
      </w:r>
      <w:r>
        <w:rPr>
          <w:rFonts w:ascii="Times New Roman" w:cs="Times New Roman" w:eastAsia="Times New Roman" w:hAnsi="Times New Roman"/>
          <w:sz w:val="17"/>
          <w:szCs w:val="17"/>
          <w:color w:val="FF0000"/>
          <w:strike w:val="1"/>
        </w:rPr>
        <w:t>for such Business Day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FF0000"/>
          <w:strike w:val="1"/>
        </w:rPr>
        <w:t>published</w:t>
      </w:r>
      <w:r>
        <w:rPr>
          <w:rFonts w:ascii="Times New Roman" w:cs="Times New Roman" w:eastAsia="Times New Roman" w:hAnsi="Times New Roman"/>
          <w:sz w:val="17"/>
          <w:szCs w:val="17"/>
          <w:u w:val="single" w:color="auto"/>
          <w:color w:val="0000FF"/>
        </w:rPr>
        <w:t>as administered</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by the SOFR Administrator</w:t>
      </w:r>
      <w:r>
        <w:rPr>
          <w:rFonts w:ascii="Times New Roman" w:cs="Times New Roman" w:eastAsia="Times New Roman" w:hAnsi="Times New Roman"/>
          <w:sz w:val="17"/>
          <w:szCs w:val="17"/>
          <w:color w:val="FF0000"/>
        </w:rPr>
        <w:t xml:space="preserve"> on the SOFR Administrator’s Website on the immediately succeeding Business Day</w:t>
      </w:r>
      <w:r>
        <w:rPr>
          <w:rFonts w:ascii="Times New Roman" w:cs="Times New Roman" w:eastAsia="Times New Roman" w:hAnsi="Times New Roman"/>
          <w:sz w:val="17"/>
          <w:szCs w:val="17"/>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443230</wp:posOffset>
            </wp:positionH>
            <wp:positionV relativeFrom="paragraph">
              <wp:posOffset>-30480</wp:posOffset>
            </wp:positionV>
            <wp:extent cx="71120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1200" cy="8890"/>
                    </a:xfrm>
                    <a:prstGeom prst="rect">
                      <a:avLst/>
                    </a:prstGeom>
                    <a:noFill/>
                  </pic:spPr>
                </pic:pic>
              </a:graphicData>
            </a:graphic>
          </wp:anchor>
        </w:drawing>
        <w:drawing>
          <wp:anchor simplePos="0" relativeHeight="251657728" behindDoc="1" locked="0" layoutInCell="0" allowOverlap="1">
            <wp:simplePos x="0" y="0"/>
            <wp:positionH relativeFrom="column">
              <wp:posOffset>2444115</wp:posOffset>
            </wp:positionH>
            <wp:positionV relativeFrom="paragraph">
              <wp:posOffset>-116205</wp:posOffset>
            </wp:positionV>
            <wp:extent cx="386969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3869690" cy="8890"/>
                    </a:xfrm>
                    <a:prstGeom prst="rect">
                      <a:avLst/>
                    </a:prstGeom>
                    <a:noFill/>
                  </pic:spPr>
                </pic:pic>
              </a:graphicData>
            </a:graphic>
          </wp:anchor>
        </w:drawing>
      </w:r>
    </w:p>
    <w:p>
      <w:pPr>
        <w:spacing w:after="0" w:line="11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SOFR Administrator</w:t>
      </w:r>
      <w:r>
        <w:rPr>
          <w:rFonts w:ascii="Times New Roman" w:cs="Times New Roman" w:eastAsia="Times New Roman" w:hAnsi="Times New Roman"/>
          <w:sz w:val="18"/>
          <w:szCs w:val="18"/>
          <w:color w:val="auto"/>
        </w:rPr>
        <w:t>” means the Federal Reserve Bank of New York (or a successor administrator of the secured overnight financing rate).</w:t>
      </w:r>
    </w:p>
    <w:p>
      <w:pPr>
        <w:spacing w:after="0" w:line="225" w:lineRule="exact"/>
        <w:rPr>
          <w:sz w:val="20"/>
          <w:szCs w:val="20"/>
          <w:color w:val="auto"/>
        </w:rPr>
      </w:pPr>
    </w:p>
    <w:p>
      <w:pPr>
        <w:ind w:right="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SOFR Administrator’s Website</w:t>
      </w:r>
      <w:r>
        <w:rPr>
          <w:rFonts w:ascii="Times New Roman" w:cs="Times New Roman" w:eastAsia="Times New Roman" w:hAnsi="Times New Roman"/>
          <w:sz w:val="18"/>
          <w:szCs w:val="18"/>
          <w:color w:val="auto"/>
        </w:rPr>
        <w:t>” means the website of the Federal Reserve Bank of New York, currently at http://www.newyorkfed.org, or any successor source for the secured overnight financing rate identified as such by the SOFR Administrator from time to time.</w:t>
      </w:r>
    </w:p>
    <w:p>
      <w:pPr>
        <w:spacing w:after="0" w:line="155" w:lineRule="exact"/>
        <w:rPr>
          <w:sz w:val="20"/>
          <w:szCs w:val="20"/>
          <w:color w:val="auto"/>
        </w:rPr>
      </w:pPr>
    </w:p>
    <w:p>
      <w:pPr>
        <w:ind w:right="140" w:firstLine="440"/>
        <w:spacing w:after="0" w:line="286" w:lineRule="auto"/>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u w:val="single" w:color="auto"/>
          <w:color w:val="0000FF"/>
        </w:rPr>
        <w:t>SOFR Loan</w:t>
      </w:r>
      <w:r>
        <w:rPr>
          <w:rFonts w:ascii="Times New Roman" w:cs="Times New Roman" w:eastAsia="Times New Roman" w:hAnsi="Times New Roman"/>
          <w:sz w:val="18"/>
          <w:szCs w:val="18"/>
          <w:u w:val="single" w:color="auto"/>
          <w:color w:val="0000FF"/>
        </w:rPr>
        <w:t xml:space="preserve"> ” means any Loan bearing interest at a rate based on Adjusted Term SOFR (other than the Adjusted Term SOFR component of the definition of “Base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-152400</wp:posOffset>
            </wp:positionV>
            <wp:extent cx="661797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6179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-15240</wp:posOffset>
            </wp:positionV>
            <wp:extent cx="122555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225550" cy="8890"/>
                    </a:xfrm>
                    <a:prstGeom prst="rect">
                      <a:avLst/>
                    </a:prstGeom>
                    <a:noFill/>
                  </pic:spPr>
                </pic:pic>
              </a:graphicData>
            </a:graphic>
          </wp:anchor>
        </w:drawing>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0"/>
          </w:cols>
          <w:pgMar w:left="440" w:top="270" w:right="459" w:bottom="1440" w:gutter="0" w:footer="0" w:header="0"/>
        </w:sectPr>
      </w:pPr>
    </w:p>
    <w:bookmarkStart w:id="209" w:name="page210"/>
    <w:bookmarkEnd w:id="209"/>
    <w:p>
      <w:pPr>
        <w:ind w:right="20" w:firstLine="440"/>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Solvent</w:t>
      </w:r>
      <w:r>
        <w:rPr>
          <w:rFonts w:ascii="Times New Roman" w:cs="Times New Roman" w:eastAsia="Times New Roman" w:hAnsi="Times New Roman"/>
          <w:sz w:val="18"/>
          <w:szCs w:val="18"/>
          <w:color w:val="auto"/>
        </w:rPr>
        <w:t>” means, when used with respect to any Person, that (a) the fair value and the fair salable value of its assets (excluding any Indebtedness due from any Affiliate of such Person) are each in excess of the fair valuation of its total liabilities (including all contingent liabilities computed at the amount which, in light of all facts and circumstances existing at such time, represents the amount that could reasonably be expected to become an actual and matured liability); (b) such Person is able to pay its debts or other obligations in the ordinary course as they mature; and (c) such Person has capital not unreasonably small to carry on its business and all business in which it proposes to be engaged.</w:t>
      </w:r>
    </w:p>
    <w:p>
      <w:pPr>
        <w:spacing w:after="0" w:line="179" w:lineRule="exact"/>
        <w:rPr>
          <w:sz w:val="20"/>
          <w:szCs w:val="20"/>
          <w:color w:val="auto"/>
        </w:rPr>
      </w:pPr>
    </w:p>
    <w:p>
      <w:pPr>
        <w:jc w:val="both"/>
        <w:ind w:right="3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Derivatives Contract</w:t>
      </w:r>
      <w:r>
        <w:rPr>
          <w:rFonts w:ascii="Times New Roman" w:cs="Times New Roman" w:eastAsia="Times New Roman" w:hAnsi="Times New Roman"/>
          <w:sz w:val="18"/>
          <w:szCs w:val="18"/>
          <w:color w:val="auto"/>
        </w:rPr>
        <w:t>” means any Derivatives Contract, together with any Derivatives Support Document relating thereto, that is made or entered into at any time, or in effect at any time now or hereafter, whether as a result of an assignment or transfer or otherwise, between the Borrower or any Subsidiary of the Borrower and any Specified Derivatives Provider.</w:t>
      </w:r>
    </w:p>
    <w:p>
      <w:pPr>
        <w:spacing w:after="0" w:line="171" w:lineRule="exact"/>
        <w:rPr>
          <w:sz w:val="20"/>
          <w:szCs w:val="20"/>
          <w:color w:val="auto"/>
        </w:rPr>
      </w:pPr>
    </w:p>
    <w:p>
      <w:pPr>
        <w:ind w:right="1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Derivatives Obligations</w:t>
      </w:r>
      <w:r>
        <w:rPr>
          <w:rFonts w:ascii="Times New Roman" w:cs="Times New Roman" w:eastAsia="Times New Roman" w:hAnsi="Times New Roman"/>
          <w:sz w:val="18"/>
          <w:szCs w:val="18"/>
          <w:color w:val="auto"/>
        </w:rPr>
        <w:t>” means all indebtedness, liabilities, obligations, covenants and duties of the Borrower or its Subsidiaries under or in respect of any Specified Derivatives Contract, whether direct or indirect, absolute or contingent, due or not due, liquidated or unliquidated, and whether or not evidenced by any written confirmation.</w:t>
      </w:r>
    </w:p>
    <w:p>
      <w:pPr>
        <w:spacing w:after="0" w:line="171" w:lineRule="exact"/>
        <w:rPr>
          <w:sz w:val="20"/>
          <w:szCs w:val="20"/>
          <w:color w:val="auto"/>
        </w:rPr>
      </w:pPr>
    </w:p>
    <w:p>
      <w:pPr>
        <w:ind w:right="6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Derivatives Provider</w:t>
      </w:r>
      <w:r>
        <w:rPr>
          <w:rFonts w:ascii="Times New Roman" w:cs="Times New Roman" w:eastAsia="Times New Roman" w:hAnsi="Times New Roman"/>
          <w:sz w:val="18"/>
          <w:szCs w:val="18"/>
          <w:color w:val="auto"/>
        </w:rPr>
        <w:t>” means any Lender, or any Affiliate of a Lender that is a party to a Derivatives Contract at the time the Derivatives Contract is entered into.</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Stabilized Property</w:t>
      </w:r>
      <w:r>
        <w:rPr>
          <w:rFonts w:ascii="Times New Roman" w:cs="Times New Roman" w:eastAsia="Times New Roman" w:hAnsi="Times New Roman"/>
          <w:sz w:val="18"/>
          <w:szCs w:val="18"/>
          <w:color w:val="auto"/>
        </w:rPr>
        <w:t>” means a property that is not a Development Property.</w:t>
      </w:r>
    </w:p>
    <w:p>
      <w:pPr>
        <w:spacing w:after="0" w:line="225" w:lineRule="exact"/>
        <w:rPr>
          <w:sz w:val="20"/>
          <w:szCs w:val="20"/>
          <w:color w:val="auto"/>
        </w:rPr>
      </w:pPr>
    </w:p>
    <w:p>
      <w:pPr>
        <w:ind w:right="6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for any Person, any corporation, partnership or other entity of which at least a majority of the securities or other ownership interests having by the terms thereof ordinary voting power to elect a majority of the board of directors or other persons performing similar functions of such corporation, partnership or other entity (without regard to the occurrence of any contingency) is at the time directly or indirectly owned or controlled by such Person or one or more Subsidiaries of such Person or by such Person and one or more Subsidiaries of such Person, and shall include all Persons the accounts of which are consolidated with those of such Person pursuant to GAAP.</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Supported QFC</w:t>
      </w:r>
      <w:r>
        <w:rPr>
          <w:rFonts w:ascii="Times New Roman" w:cs="Times New Roman" w:eastAsia="Times New Roman" w:hAnsi="Times New Roman"/>
          <w:sz w:val="18"/>
          <w:szCs w:val="18"/>
          <w:color w:val="auto"/>
        </w:rPr>
        <w:t>” has the meaning given that term in Section 12.24.</w:t>
      </w:r>
    </w:p>
    <w:p>
      <w:pPr>
        <w:spacing w:after="0" w:line="225" w:lineRule="exact"/>
        <w:rPr>
          <w:sz w:val="20"/>
          <w:szCs w:val="20"/>
          <w:color w:val="auto"/>
        </w:rPr>
      </w:pPr>
    </w:p>
    <w:p>
      <w:pPr>
        <w:ind w:right="3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Swap Obligation</w:t>
      </w:r>
      <w:r>
        <w:rPr>
          <w:rFonts w:ascii="Times New Roman" w:cs="Times New Roman" w:eastAsia="Times New Roman" w:hAnsi="Times New Roman"/>
          <w:sz w:val="18"/>
          <w:szCs w:val="18"/>
          <w:color w:val="auto"/>
        </w:rPr>
        <w:t>” means, with respect to any Guarantor, any obligation to pay or perform under any agreement, contract or transaction that constitutes a “swap” within the meaning of section 1a(47) of the Commodity Exchange Act.</w:t>
      </w:r>
    </w:p>
    <w:p>
      <w:pPr>
        <w:spacing w:after="0" w:line="155" w:lineRule="exact"/>
        <w:rPr>
          <w:sz w:val="20"/>
          <w:szCs w:val="20"/>
          <w:color w:val="auto"/>
        </w:rPr>
      </w:pPr>
    </w:p>
    <w:p>
      <w:pPr>
        <w:ind w:right="1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u w:val="single" w:color="auto"/>
          <w:color w:val="0000FF"/>
        </w:rPr>
        <w:t>Term SOFR</w:t>
      </w:r>
      <w:r>
        <w:rPr>
          <w:rFonts w:ascii="Times New Roman" w:cs="Times New Roman" w:eastAsia="Times New Roman" w:hAnsi="Times New Roman"/>
          <w:sz w:val="18"/>
          <w:szCs w:val="18"/>
          <w:u w:val="single" w:color="auto"/>
          <w:color w:val="0000FF"/>
        </w:rPr>
        <w:t xml:space="preserve"> ” means,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28575</wp:posOffset>
            </wp:positionV>
            <wp:extent cx="107124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071245" cy="8255"/>
                    </a:xfrm>
                    <a:prstGeom prst="rect">
                      <a:avLst/>
                    </a:prstGeom>
                    <a:noFill/>
                  </pic:spPr>
                </pic:pic>
              </a:graphicData>
            </a:graphic>
          </wp:anchor>
        </w:drawing>
      </w:r>
    </w:p>
    <w:p>
      <w:pPr>
        <w:spacing w:after="0" w:line="209" w:lineRule="exact"/>
        <w:rPr>
          <w:sz w:val="20"/>
          <w:szCs w:val="20"/>
          <w:color w:val="auto"/>
        </w:rPr>
      </w:pPr>
    </w:p>
    <w:p>
      <w:pPr>
        <w:ind w:firstLine="436"/>
        <w:spacing w:after="0" w:line="254" w:lineRule="auto"/>
        <w:tabs>
          <w:tab w:leader="none" w:pos="685" w:val="left"/>
        </w:tabs>
        <w:numPr>
          <w:ilvl w:val="0"/>
          <w:numId w:val="195"/>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for any calculation with respect to a SOFR Loan, the Term SOFR Reference Rate for a tenor comparable to the applicable Interest Period on the day (such day, the “Periodic Term SOFR Determination Day”) that is two (2) U.S. Government Securities Business Days prior to the first day of such Interest Period, as such rate is published by the Term SOFR Administrator; provided, however, that if as of 5:00 p.m. (Eastern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-1094105</wp:posOffset>
            </wp:positionV>
            <wp:extent cx="656653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5665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-956945</wp:posOffset>
            </wp:positionV>
            <wp:extent cx="677227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77227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-819785</wp:posOffset>
            </wp:positionV>
            <wp:extent cx="6600825"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60082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-682625</wp:posOffset>
            </wp:positionV>
            <wp:extent cx="640334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40334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-545465</wp:posOffset>
            </wp:positionV>
            <wp:extent cx="691769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9176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-408305</wp:posOffset>
            </wp:positionV>
            <wp:extent cx="6969125"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96912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-271145</wp:posOffset>
            </wp:positionV>
            <wp:extent cx="697801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97801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-133985</wp:posOffset>
            </wp:positionV>
            <wp:extent cx="682371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8237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2540</wp:posOffset>
            </wp:positionV>
            <wp:extent cx="16256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62560" cy="8890"/>
                    </a:xfrm>
                    <a:prstGeom prst="rect">
                      <a:avLst/>
                    </a:prstGeom>
                    <a:noFill/>
                  </pic:spPr>
                </pic:pic>
              </a:graphicData>
            </a:graphic>
          </wp:anchor>
        </w:drawing>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80"/>
          </w:cols>
          <w:pgMar w:left="440" w:top="266" w:right="479" w:bottom="1440" w:gutter="0" w:footer="0" w:header="0"/>
        </w:sectPr>
      </w:pPr>
    </w:p>
    <w:bookmarkStart w:id="210" w:name="page211"/>
    <w:bookmarkEnd w:id="210"/>
    <w:p>
      <w:pPr>
        <w:ind w:left="4" w:right="40" w:firstLine="436"/>
        <w:spacing w:after="0" w:line="268" w:lineRule="auto"/>
        <w:tabs>
          <w:tab w:leader="none" w:pos="699" w:val="left"/>
        </w:tabs>
        <w:numPr>
          <w:ilvl w:val="1"/>
          <w:numId w:val="196"/>
        </w:numPr>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any calculation with respect to a Base Rate Loan on any day, the Term SOFR Reference Rate for a tenor of one month on the day (such day, the “Base Rate Term SOFR Determination Day”) that is two (2) U.S. Government Securities Business Days prior to such day, as such rate is published by the Term SOFR Administrator; provided, however, that if as of 5:00 p.m. (Eastern time) on any Base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w:t>
      </w:r>
    </w:p>
    <w:p>
      <w:pPr>
        <w:spacing w:after="0" w:line="2" w:lineRule="exact"/>
        <w:rPr>
          <w:rFonts w:ascii="Times New Roman" w:cs="Times New Roman" w:eastAsia="Times New Roman" w:hAnsi="Times New Roman"/>
          <w:sz w:val="17"/>
          <w:szCs w:val="17"/>
          <w:u w:val="single" w:color="auto"/>
          <w:color w:val="0000FF"/>
        </w:rPr>
      </w:pPr>
    </w:p>
    <w:p>
      <w:pPr>
        <w:ind w:left="264" w:hanging="264"/>
        <w:spacing w:after="0"/>
        <w:tabs>
          <w:tab w:leader="none" w:pos="264" w:val="left"/>
        </w:tabs>
        <w:numPr>
          <w:ilvl w:val="0"/>
          <w:numId w:val="197"/>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U.S. Government Securities Business Days prior to such Base Rate SOFR Determination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-944880</wp:posOffset>
            </wp:positionV>
            <wp:extent cx="6497955"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-807720</wp:posOffset>
            </wp:positionV>
            <wp:extent cx="663511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63511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-670560</wp:posOffset>
            </wp:positionV>
            <wp:extent cx="695198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95198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-533400</wp:posOffset>
            </wp:positionV>
            <wp:extent cx="687514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8751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-396240</wp:posOffset>
            </wp:positionV>
            <wp:extent cx="685800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8580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-259080</wp:posOffset>
            </wp:positionV>
            <wp:extent cx="691769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9176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-121920</wp:posOffset>
            </wp:positionV>
            <wp:extent cx="688340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8834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14605</wp:posOffset>
            </wp:positionV>
            <wp:extent cx="448310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4483100" cy="8255"/>
                    </a:xfrm>
                    <a:prstGeom prst="rect">
                      <a:avLst/>
                    </a:prstGeom>
                    <a:noFill/>
                  </pic:spPr>
                </pic:pic>
              </a:graphicData>
            </a:graphic>
          </wp:anchor>
        </w:drawing>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u w:val="single" w:color="auto"/>
          <w:color w:val="0000FF"/>
        </w:rPr>
        <w:t>Term SOFR Adjustment</w:t>
      </w:r>
      <w:r>
        <w:rPr>
          <w:rFonts w:ascii="Times New Roman" w:cs="Times New Roman" w:eastAsia="Times New Roman" w:hAnsi="Times New Roman"/>
          <w:sz w:val="18"/>
          <w:szCs w:val="18"/>
          <w:u w:val="single" w:color="auto"/>
          <w:color w:val="0000FF"/>
        </w:rPr>
        <w:t>” means a percentage equal to 0.10% per annum.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28575</wp:posOffset>
            </wp:positionV>
            <wp:extent cx="348043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205" w:lineRule="exact"/>
        <w:rPr>
          <w:sz w:val="20"/>
          <w:szCs w:val="20"/>
          <w:color w:val="auto"/>
        </w:rPr>
      </w:pPr>
    </w:p>
    <w:p>
      <w:pPr>
        <w:ind w:left="4" w:right="200" w:firstLine="440"/>
        <w:spacing w:after="0" w:line="286" w:lineRule="auto"/>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u w:val="single" w:color="auto"/>
          <w:color w:val="0000FF"/>
        </w:rPr>
        <w:t>Term SOFR Administrator</w:t>
      </w:r>
      <w:r>
        <w:rPr>
          <w:rFonts w:ascii="Times New Roman" w:cs="Times New Roman" w:eastAsia="Times New Roman" w:hAnsi="Times New Roman"/>
          <w:sz w:val="18"/>
          <w:szCs w:val="18"/>
          <w:u w:val="single" w:color="auto"/>
          <w:color w:val="0000FF"/>
        </w:rPr>
        <w:t>” means CME Group Benchmark Administration Limited (CBA) (or a successor administrator of the Term SOFR Reference Rate selected by the Administrative Agent in its reasonable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-152400</wp:posOffset>
            </wp:positionV>
            <wp:extent cx="6566535"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56653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-15240</wp:posOffset>
            </wp:positionV>
            <wp:extent cx="374586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3745865" cy="8255"/>
                    </a:xfrm>
                    <a:prstGeom prst="rect">
                      <a:avLst/>
                    </a:prstGeom>
                    <a:noFill/>
                  </pic:spPr>
                </pic:pic>
              </a:graphicData>
            </a:graphic>
          </wp:anchor>
        </w:drawing>
      </w:r>
    </w:p>
    <w:p>
      <w:pPr>
        <w:spacing w:after="0" w:line="135" w:lineRule="exact"/>
        <w:rPr>
          <w:sz w:val="20"/>
          <w:szCs w:val="20"/>
          <w:color w:val="auto"/>
        </w:rPr>
      </w:pPr>
    </w:p>
    <w:p>
      <w:pPr>
        <w:ind w:left="4" w:right="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SOFR</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means, for the applicable Corresponding Tenor as of the applicable Reference Time,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Reference Rate</w:t>
      </w:r>
      <w:r>
        <w:rPr>
          <w:rFonts w:ascii="Times New Roman" w:cs="Times New Roman" w:eastAsia="Times New Roman" w:hAnsi="Times New Roman"/>
          <w:sz w:val="18"/>
          <w:szCs w:val="18"/>
          <w:u w:val="single" w:color="auto"/>
          <w:color w:val="0000FF"/>
        </w:rPr>
        <w:t>” means</w:t>
      </w:r>
      <w:r>
        <w:rPr>
          <w:rFonts w:ascii="Times New Roman" w:cs="Times New Roman" w:eastAsia="Times New Roman" w:hAnsi="Times New Roman"/>
          <w:sz w:val="18"/>
          <w:szCs w:val="18"/>
          <w:color w:val="auto"/>
        </w:rPr>
        <w:t xml:space="preserve"> the forward-looking term rate based on SOFR </w:t>
      </w:r>
      <w:r>
        <w:rPr>
          <w:rFonts w:ascii="Times New Roman" w:cs="Times New Roman" w:eastAsia="Times New Roman" w:hAnsi="Times New Roman"/>
          <w:sz w:val="18"/>
          <w:szCs w:val="18"/>
          <w:color w:val="FF0000"/>
        </w:rPr>
        <w:t>that has been selected or recommended by the Relevant Governmental Body</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4860290</wp:posOffset>
            </wp:positionH>
            <wp:positionV relativeFrom="paragraph">
              <wp:posOffset>-152400</wp:posOffset>
            </wp:positionV>
            <wp:extent cx="1139825"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139825" cy="8255"/>
                    </a:xfrm>
                    <a:prstGeom prst="rect">
                      <a:avLst/>
                    </a:prstGeom>
                    <a:noFill/>
                  </pic:spPr>
                </pic:pic>
              </a:graphicData>
            </a:graphic>
          </wp:anchor>
        </w:drawing>
        <w:drawing>
          <wp:anchor simplePos="0" relativeHeight="251657728" behindDoc="1" locked="0" layoutInCell="0" allowOverlap="1">
            <wp:simplePos x="0" y="0"/>
            <wp:positionH relativeFrom="column">
              <wp:posOffset>1155065</wp:posOffset>
            </wp:positionH>
            <wp:positionV relativeFrom="paragraph">
              <wp:posOffset>-100965</wp:posOffset>
            </wp:positionV>
            <wp:extent cx="352488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3524885" cy="8255"/>
                    </a:xfrm>
                    <a:prstGeom prst="rect">
                      <a:avLst/>
                    </a:prstGeom>
                    <a:noFill/>
                  </pic:spPr>
                </pic:pic>
              </a:graphicData>
            </a:graphic>
          </wp:anchor>
        </w:drawing>
      </w:r>
    </w:p>
    <w:p>
      <w:pPr>
        <w:spacing w:after="0" w:line="135" w:lineRule="exact"/>
        <w:rPr>
          <w:sz w:val="20"/>
          <w:szCs w:val="20"/>
          <w:color w:val="auto"/>
        </w:rPr>
      </w:pPr>
    </w:p>
    <w:p>
      <w:pPr>
        <w:ind w:left="4" w:right="400" w:firstLine="440"/>
        <w:spacing w:after="0" w:line="286" w:lineRule="auto"/>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b w:val="1"/>
          <w:bCs w:val="1"/>
          <w:color w:val="FF0000"/>
          <w:strike w:val="1"/>
        </w:rPr>
        <w:t>Term SOFR Notice</w:t>
      </w:r>
      <w:r>
        <w:rPr>
          <w:rFonts w:ascii="Times New Roman" w:cs="Times New Roman" w:eastAsia="Times New Roman" w:hAnsi="Times New Roman"/>
          <w:sz w:val="18"/>
          <w:szCs w:val="18"/>
          <w:color w:val="FF0000"/>
          <w:strike w:val="1"/>
        </w:rPr>
        <w:t>” means a notification by the Administrative Agent to the Lenders and the Borrower of the occurrence of a Term SOFR Transition Event.</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u w:val="single" w:color="auto"/>
          <w:color w:val="0000FF"/>
        </w:rPr>
        <w:t>Third Amendment</w:t>
      </w:r>
      <w:r>
        <w:rPr>
          <w:rFonts w:ascii="Times New Roman" w:cs="Times New Roman" w:eastAsia="Times New Roman" w:hAnsi="Times New Roman"/>
          <w:sz w:val="18"/>
          <w:szCs w:val="18"/>
          <w:u w:val="single" w:color="auto"/>
          <w:color w:val="0000FF"/>
        </w:rPr>
        <w:t>” means that certain Third Amendment to Term Loan Agreement dated as of October 5, 2022 relating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28575</wp:posOffset>
            </wp:positionV>
            <wp:extent cx="648081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480810" cy="8255"/>
                    </a:xfrm>
                    <a:prstGeom prst="rect">
                      <a:avLst/>
                    </a:prstGeom>
                    <a:noFill/>
                  </pic:spPr>
                </pic:pic>
              </a:graphicData>
            </a:graphic>
          </wp:anchor>
        </w:drawing>
      </w:r>
    </w:p>
    <w:p>
      <w:pPr>
        <w:spacing w:after="0" w:line="205" w:lineRule="exact"/>
        <w:rPr>
          <w:sz w:val="20"/>
          <w:szCs w:val="20"/>
          <w:color w:val="auto"/>
        </w:rPr>
      </w:pPr>
    </w:p>
    <w:p>
      <w:pPr>
        <w:ind w:left="4" w:firstLine="440"/>
        <w:spacing w:after="0" w:line="274" w:lineRule="auto"/>
        <w:rPr>
          <w:sz w:val="20"/>
          <w:szCs w:val="20"/>
          <w:color w:val="auto"/>
        </w:rPr>
      </w:pPr>
      <w:r>
        <w:rPr>
          <w:rFonts w:ascii="Times New Roman" w:cs="Times New Roman" w:eastAsia="Times New Roman" w:hAnsi="Times New Roman"/>
          <w:sz w:val="17"/>
          <w:szCs w:val="17"/>
          <w:color w:val="FF0000"/>
          <w:strike w:val="1"/>
        </w:rPr>
        <w:t>“</w:t>
      </w:r>
      <w:r>
        <w:rPr>
          <w:rFonts w:ascii="Times New Roman" w:cs="Times New Roman" w:eastAsia="Times New Roman" w:hAnsi="Times New Roman"/>
          <w:sz w:val="17"/>
          <w:szCs w:val="17"/>
          <w:b w:val="1"/>
          <w:bCs w:val="1"/>
          <w:color w:val="FF0000"/>
          <w:strike w:val="1"/>
        </w:rPr>
        <w:t>Term SOFR Transition Event</w:t>
      </w:r>
      <w:r>
        <w:rPr>
          <w:rFonts w:ascii="Times New Roman" w:cs="Times New Roman" w:eastAsia="Times New Roman" w:hAnsi="Times New Roman"/>
          <w:sz w:val="17"/>
          <w:szCs w:val="17"/>
          <w:color w:val="FF0000"/>
          <w:strike w:val="1"/>
        </w:rPr>
        <w:t>” means the determination by the Administrative Agent that (a) Term SOFR has been recommended for use by the Relevant Governmental Body, and is determinable for each Available Tenor, (b) the administration of Term SOFR is administratively feasible for the Administrative Agent and (c) a Benchmark Transition Event has previously occurred resulting in a Benchmark Replacement in accordance with clauses</w:t>
      </w:r>
    </w:p>
    <w:p>
      <w:pPr>
        <w:spacing w:after="0" w:line="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FF0000"/>
          <w:strike w:val="1"/>
        </w:rPr>
        <w:t>(b) through (f) of Section 4.2 that is not Term SOFR.</w:t>
      </w:r>
    </w:p>
    <w:p>
      <w:pPr>
        <w:spacing w:after="0" w:line="20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u w:val="single" w:color="auto"/>
          <w:color w:val="0000FF"/>
        </w:rPr>
        <w:t>Third Amendment Date</w:t>
      </w:r>
      <w:r>
        <w:rPr>
          <w:rFonts w:ascii="Times New Roman" w:cs="Times New Roman" w:eastAsia="Times New Roman" w:hAnsi="Times New Roman"/>
          <w:sz w:val="18"/>
          <w:szCs w:val="18"/>
          <w:u w:val="single" w:color="auto"/>
          <w:color w:val="0000FF"/>
        </w:rPr>
        <w:t>” means October 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28575</wp:posOffset>
            </wp:positionV>
            <wp:extent cx="239141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2391410" cy="8890"/>
                    </a:xfrm>
                    <a:prstGeom prst="rect">
                      <a:avLst/>
                    </a:prstGeom>
                    <a:noFill/>
                  </pic:spPr>
                </pic:pic>
              </a:graphicData>
            </a:graphic>
          </wp:anchor>
        </w:drawing>
      </w:r>
    </w:p>
    <w:p>
      <w:pPr>
        <w:spacing w:after="0" w:line="205"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Total Asset Value</w:t>
      </w:r>
      <w:r>
        <w:rPr>
          <w:rFonts w:ascii="Times New Roman" w:cs="Times New Roman" w:eastAsia="Times New Roman" w:hAnsi="Times New Roman"/>
          <w:sz w:val="18"/>
          <w:szCs w:val="18"/>
          <w:color w:val="auto"/>
        </w:rPr>
        <w:t>” means the sum of all of the following of the Borrower and its Subsidiaries on a consolidated basis determined in accordance with GAAP applied on a consistent basis: (a) cash and cash equivalents, plus (b) with respect to each Stabilized Property owned by the Borrower or any Subsidiary, (i) EBITDA attributable to such Property for the most recently ended four consecutive fiscal quarter period (adjusted for acquisitions and dispositions) divided by (ii) the Capitalization Rate; plus (c) the GAAP book value of Properties acquired during the most recently ended four quarter period, plus (d) Construction-in-Process, plus (e) the GAAP book value of accounts receivables from tenants (limited to rent, common area maintenance fees, taxes, insurance and other reimbursable expenses collected in the normal course of business net of bad debt expense and adjusted to exclude the impact of straight lining), plus (f) the GAAP book value of Unimproved Land, Mortgage Receivables and other promissory notes. The EBITDA attributable to each Stabilized Property for the most recently ended four consecutive fiscal quarter period cannot be less than zero. Borrower’s Ownership Share of assets held by Unconsolidated Affiliates will be included in Total Asset Value calculations consistent with the above described treatment for wholly owned assets. For purposes of determining Total Asset Value, EBITDA from Properties acquired or disposed of</w:t>
      </w:r>
    </w:p>
    <w:p>
      <w:pPr>
        <w:spacing w:after="0" w:line="12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84"/>
          </w:cols>
          <w:pgMar w:left="436" w:top="270" w:right="479" w:bottom="1440" w:gutter="0" w:footer="0" w:header="0"/>
        </w:sectPr>
      </w:pPr>
    </w:p>
    <w:bookmarkStart w:id="211" w:name="page212"/>
    <w:bookmarkEnd w:id="211"/>
    <w:p>
      <w:pPr>
        <w:ind w:left="4" w:right="38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by the Borrower and its Subsidiaries during the period of determination shall be excluded from clause (b) above. In addition, to the extent (A) the amount of Total Asset Value attributable to Investments in Unconsolidated Affiliates and other Persons that are not Subsidiaries and Investments in Subsidiaries that own Non-Controlled Properties would exceed 20.0% of Total Asset Value, such excess shall be excluded from Total Asset Value,</w:t>
      </w:r>
    </w:p>
    <w:p>
      <w:pPr>
        <w:spacing w:after="0" w:line="2" w:lineRule="exact"/>
        <w:rPr>
          <w:sz w:val="20"/>
          <w:szCs w:val="20"/>
          <w:color w:val="auto"/>
        </w:rPr>
      </w:pPr>
    </w:p>
    <w:p>
      <w:pPr>
        <w:ind w:left="4" w:hanging="4"/>
        <w:spacing w:after="0" w:line="251" w:lineRule="auto"/>
        <w:tabs>
          <w:tab w:leader="none" w:pos="289"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Total Asset Value attributable to Mortgage Receivables would exceed 5.0% of Total Asset Value, such excess shall be excluded from Total Asset Value, (C) the amount of Total Asset Value attributable to Construction-in-Process would exceed 20.0% of Total Asset Value, such excess shall be excluded from Total Asset Value, (D) the amount of Total Asset Value attributable to Unimproved Land (calculated on the basis of acquisition cost) would exceed 5.0% of Total Asset Value, such excess shall be excluded from Total Asset Value, (E) the amount of Total Asset Value attributable to Investments in Persons (other than Investments in Subsidiaries and Unconsolidated Affiliates) would exceed 5.0% of Total Asset Value, such excess shall be excluded from Total Asset Value, (F) the amount of Total Asset Value attributable to Hotel Properties would exceed 2.5% of Total Asset Value, such excess shall be excluded form Total Asset Value and (G) the amount of Total Asset Value attributable to assets of the types referred to in the immediately preceding clauses (B) through (F) would exceed 25.0% of Total Asset Value in the aggregate, such excess shall be excluded from Total Asset Value. Notwithstanding the foregoing, for purposes of clause (b) above for any Property which has ceased to be a Development Property in the immediately preceding four fiscal quarter period, EBITDA for such Property shall be determined as (i) for the first full fiscal quarter after such Property ceases to be a Development Property, EBITDA attributable to such Property for such fiscal quarter multiplied by 4, (ii) for the second full fiscal quarter after such Property ceases to be a Development Property, EBITDA attributable to such Property for such two fiscal quarter period multiplied by 2, (iii) for the third full fiscal quarter after such Property ceases to be a Development Property, EBITDA attributable to such Property for such three fiscal quarter period multiplied by 4/3 and (iv) for each fiscal quarter thereafter, EBITDA attributable to such Property for the most recently ended four consecutive fiscal quarters as provided in clause (b) above.</w:t>
      </w:r>
    </w:p>
    <w:p>
      <w:pPr>
        <w:spacing w:after="0" w:line="187" w:lineRule="exact"/>
        <w:rPr>
          <w:sz w:val="20"/>
          <w:szCs w:val="20"/>
          <w:color w:val="auto"/>
        </w:rPr>
      </w:pPr>
    </w:p>
    <w:p>
      <w:pPr>
        <w:ind w:left="4" w:right="2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Total Indebtedness</w:t>
      </w:r>
      <w:r>
        <w:rPr>
          <w:rFonts w:ascii="Times New Roman" w:cs="Times New Roman" w:eastAsia="Times New Roman" w:hAnsi="Times New Roman"/>
          <w:sz w:val="18"/>
          <w:szCs w:val="18"/>
          <w:color w:val="auto"/>
        </w:rPr>
        <w:t xml:space="preserve">” means (a) all Indebtedness of the Borrower and its Subsidiaries determined on a consolidated basis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such Person’s Ownership Share of the Indebtedness of the Borrower’s Unconsolidated Affiliates. Notwithstanding the use of GAAP, the calculation of Total Indebtedness shall not include any fair value adjustments to the carrying value of liabilities to record such liabilities at fair value pursuant to electing the fair value option election under FASB ASC 825-10-25 (formerly known as FAS 159, The Fair Value Option for Financial Assets and Financial Liabilities) or other FASB standards allowing entities to elect fair value option for financial liabilities.</w:t>
      </w:r>
    </w:p>
    <w:p>
      <w:pPr>
        <w:spacing w:after="0" w:line="17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Type</w:t>
      </w:r>
      <w:r>
        <w:rPr>
          <w:rFonts w:ascii="Times New Roman" w:cs="Times New Roman" w:eastAsia="Times New Roman" w:hAnsi="Times New Roman"/>
          <w:sz w:val="18"/>
          <w:szCs w:val="18"/>
          <w:color w:val="auto"/>
        </w:rPr>
        <w:t xml:space="preserve">” with respect to any Loan, refers to whether such Loan or portion thereof is a </w:t>
      </w:r>
      <w:r>
        <w:rPr>
          <w:rFonts w:ascii="Times New Roman" w:cs="Times New Roman" w:eastAsia="Times New Roman" w:hAnsi="Times New Roman"/>
          <w:sz w:val="18"/>
          <w:szCs w:val="18"/>
          <w:color w:val="FF0000"/>
          <w:strike w:val="1"/>
        </w:rPr>
        <w:t>LIBOR</w:t>
      </w:r>
      <w:r>
        <w:rPr>
          <w:rFonts w:ascii="Times New Roman" w:cs="Times New Roman" w:eastAsia="Times New Roman" w:hAnsi="Times New Roman"/>
          <w:sz w:val="18"/>
          <w:szCs w:val="18"/>
          <w:u w:val="single" w:color="auto"/>
          <w:color w:val="0000FF"/>
        </w:rPr>
        <w:t>SOFR</w:t>
      </w:r>
      <w:r>
        <w:rPr>
          <w:rFonts w:ascii="Times New Roman" w:cs="Times New Roman" w:eastAsia="Times New Roman" w:hAnsi="Times New Roman"/>
          <w:sz w:val="18"/>
          <w:szCs w:val="18"/>
          <w:color w:val="auto"/>
        </w:rPr>
        <w:t xml:space="preserve"> Loan or a Base Rate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4500245</wp:posOffset>
            </wp:positionH>
            <wp:positionV relativeFrom="paragraph">
              <wp:posOffset>28575</wp:posOffset>
            </wp:positionV>
            <wp:extent cx="282575"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282575" cy="8255"/>
                    </a:xfrm>
                    <a:prstGeom prst="rect">
                      <a:avLst/>
                    </a:prstGeom>
                    <a:noFill/>
                  </pic:spPr>
                </pic:pic>
              </a:graphicData>
            </a:graphic>
          </wp:anchor>
        </w:drawing>
      </w:r>
    </w:p>
    <w:p>
      <w:pPr>
        <w:spacing w:after="0" w:line="20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UCC</w:t>
      </w:r>
      <w:r>
        <w:rPr>
          <w:rFonts w:ascii="Times New Roman" w:cs="Times New Roman" w:eastAsia="Times New Roman" w:hAnsi="Times New Roman"/>
          <w:sz w:val="18"/>
          <w:szCs w:val="18"/>
          <w:color w:val="auto"/>
        </w:rPr>
        <w:t>” means the Uniform Commercial Code as in effect in any applicable jurisdiction.</w:t>
      </w:r>
    </w:p>
    <w:p>
      <w:pPr>
        <w:spacing w:after="0" w:line="225" w:lineRule="exact"/>
        <w:rPr>
          <w:sz w:val="20"/>
          <w:szCs w:val="20"/>
          <w:color w:val="auto"/>
        </w:rPr>
      </w:pPr>
    </w:p>
    <w:p>
      <w:pPr>
        <w:ind w:left="4" w:right="24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UK Financial Institution</w:t>
      </w:r>
      <w:r>
        <w:rPr>
          <w:rFonts w:ascii="Times New Roman" w:cs="Times New Roman" w:eastAsia="Times New Roman" w:hAnsi="Times New Roman"/>
          <w:sz w:val="18"/>
          <w:szCs w:val="18"/>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76" w:lineRule="exact"/>
        <w:rPr>
          <w:sz w:val="20"/>
          <w:szCs w:val="20"/>
          <w:color w:val="auto"/>
        </w:rPr>
      </w:pPr>
    </w:p>
    <w:p>
      <w:pPr>
        <w:ind w:left="4" w:right="2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UK Resolution Authority</w:t>
      </w:r>
      <w:r>
        <w:rPr>
          <w:rFonts w:ascii="Times New Roman" w:cs="Times New Roman" w:eastAsia="Times New Roman" w:hAnsi="Times New Roman"/>
          <w:sz w:val="18"/>
          <w:szCs w:val="18"/>
          <w:color w:val="auto"/>
        </w:rPr>
        <w:t>” means the Bank of England or any other public administrative authority having responsibility for the resolution of any UK Financial Institution.</w:t>
      </w:r>
    </w:p>
    <w:p>
      <w:pPr>
        <w:spacing w:after="0" w:line="155" w:lineRule="exact"/>
        <w:rPr>
          <w:sz w:val="20"/>
          <w:szCs w:val="20"/>
          <w:color w:val="auto"/>
        </w:rPr>
      </w:pPr>
    </w:p>
    <w:p>
      <w:pPr>
        <w:ind w:left="4" w:right="6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Unadjusted Benchmark Replacement</w:t>
      </w:r>
      <w:r>
        <w:rPr>
          <w:rFonts w:ascii="Times New Roman" w:cs="Times New Roman" w:eastAsia="Times New Roman" w:hAnsi="Times New Roman"/>
          <w:sz w:val="18"/>
          <w:szCs w:val="18"/>
          <w:color w:val="auto"/>
        </w:rPr>
        <w:t>” means the applicable Benchmark Replacement excluding the related Benchmark Replacement Adjustment.</w:t>
      </w:r>
    </w:p>
    <w:p>
      <w:pPr>
        <w:spacing w:after="0" w:line="9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84"/>
          </w:cols>
          <w:pgMar w:left="436" w:top="270" w:right="479" w:bottom="1440" w:gutter="0" w:footer="0" w:header="0"/>
        </w:sectPr>
      </w:pPr>
    </w:p>
    <w:bookmarkStart w:id="212" w:name="page213"/>
    <w:bookmarkEnd w:id="212"/>
    <w:p>
      <w:pPr>
        <w:ind w:right="80" w:firstLine="44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Unconsolidated Affiliate</w:t>
      </w:r>
      <w:r>
        <w:rPr>
          <w:rFonts w:ascii="Times New Roman" w:cs="Times New Roman" w:eastAsia="Times New Roman" w:hAnsi="Times New Roman"/>
          <w:sz w:val="18"/>
          <w:szCs w:val="18"/>
          <w:color w:val="auto"/>
        </w:rPr>
        <w:t>” means, with respect to any Person, any other Person in whom such Person holds, either directly or indirectly through any of such Person’s Subsidiaries, an Investment, which Investment is accounted for in the financial statements of such Person on an equity basis of accounting and whose financial results would not be consolidated under GAAP with the financial results of such Person on the consolidated financial statements of such Person.</w:t>
      </w:r>
    </w:p>
    <w:p>
      <w:pPr>
        <w:spacing w:after="0" w:line="176" w:lineRule="exact"/>
        <w:rPr>
          <w:sz w:val="20"/>
          <w:szCs w:val="20"/>
          <w:color w:val="auto"/>
        </w:rPr>
      </w:pPr>
    </w:p>
    <w:p>
      <w:pPr>
        <w:ind w:right="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Unencumbered Adjusted NOI</w:t>
      </w:r>
      <w:r>
        <w:rPr>
          <w:rFonts w:ascii="Times New Roman" w:cs="Times New Roman" w:eastAsia="Times New Roman" w:hAnsi="Times New Roman"/>
          <w:sz w:val="18"/>
          <w:szCs w:val="18"/>
          <w:color w:val="auto"/>
        </w:rPr>
        <w:t>” means the aggregate Net Operating Income from each (i) Wholly Owned Property; (ii) Controlled Property; and (iii) Non-Controlled Property all of which are Stabilized Properties and have been owned for the entire period and as adjusted for any non-recurring items during the reporting period. The Unencumbered Adjusted NOI for each Property cannot be less than zero.</w:t>
      </w:r>
    </w:p>
    <w:p>
      <w:pPr>
        <w:spacing w:after="0" w:line="171"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Unencumbered Asset Value</w:t>
      </w:r>
      <w:r>
        <w:rPr>
          <w:rFonts w:ascii="Times New Roman" w:cs="Times New Roman" w:eastAsia="Times New Roman" w:hAnsi="Times New Roman"/>
          <w:sz w:val="17"/>
          <w:szCs w:val="17"/>
          <w:color w:val="auto"/>
        </w:rPr>
        <w:t>” means (a) Unencumbered Adjusted NOI for the most recently ended four consecutive fiscal quarter period divided by the Capitalization Rate, plus (b) the GAAP book value of all assets (other than assets otherwise included in clauses (c) and (d) below) acquired during the most recently ended four quarter period, which assets are not subject to any Liens other than Permitted Liens (excluding Permitted Liens of the type described in clauses (g) and (h) of the definition thereof) or subject to any Negative Pledge, plus (c) the GAAP book value of Development Properties that satisfy the requirements of clauses (b) through (d) of the definition of the term “Eligible Property” plus (d) unrestricted cash and cash equivalents in excess of $25,000,000 which are not subject to any Liens (other than Permitted Liens of the type described in clause (a)(i) of the definition thereof) or subject to any Negative Pledge. For purposes of this definition, (A) to the extent that more than 25.0% of Unencumbered Asset Value would be attributable to Controlled Properties, Non-Controlled Properties and Development Properties such excess shall be excluded, and (B) to the extent that more than 2.5% of Unencumbered Asset Value would be attributable to Hotel Properties, such excess shall be excluded. Notwithstanding the foregoing, for purposes of clause (a) for any Property which has ceased to be a Development Property in the immediately preceding four fiscal quarter period, Unencumbered Adjusted NOI attributable to such Property shall be determined as (i) for the first full fiscal quarter after such Property ceases to be a Development Property, Unencumbered Adjusted NOI attributable to such Property for such fiscal quarter multiplied by 4, (ii) for the second full fiscal quarter after such Property ceases to be a Development Property, Unencumbered Adjusted NOI attributable to such Property for such two fiscal quarter period multiplied by 2, (iii) for the third full fiscal quarter after such Property ceases to be a Development Property, Unencumbered Adjusted NOI attributable to such Property for such three fiscal quarter period multiplied by 4/3 and (iv) for each fiscal quarter thereafter, Unencumbered Adjusted NOI attributable to such Property for the most recently ended four consecutive fiscal quarters as provided in clause (a) above.</w:t>
      </w:r>
    </w:p>
    <w:p>
      <w:pPr>
        <w:spacing w:after="0" w:line="179" w:lineRule="exact"/>
        <w:rPr>
          <w:sz w:val="20"/>
          <w:szCs w:val="20"/>
          <w:color w:val="auto"/>
        </w:rPr>
      </w:pPr>
    </w:p>
    <w:p>
      <w:pPr>
        <w:ind w:right="1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Unimproved Land</w:t>
      </w:r>
      <w:r>
        <w:rPr>
          <w:rFonts w:ascii="Times New Roman" w:cs="Times New Roman" w:eastAsia="Times New Roman" w:hAnsi="Times New Roman"/>
          <w:sz w:val="18"/>
          <w:szCs w:val="18"/>
          <w:color w:val="auto"/>
        </w:rPr>
        <w:t>” means land on which no development (other than paving or other improvements that are not material and are temporary in nature) has occurred and for which no development is planned in the following 12 months.</w:t>
      </w:r>
    </w:p>
    <w:p>
      <w:pPr>
        <w:spacing w:after="0" w:line="155" w:lineRule="exact"/>
        <w:rPr>
          <w:sz w:val="20"/>
          <w:szCs w:val="20"/>
          <w:color w:val="auto"/>
        </w:rPr>
      </w:pPr>
    </w:p>
    <w:p>
      <w:pPr>
        <w:ind w:right="1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Unsecured Indebtedness</w:t>
      </w:r>
      <w:r>
        <w:rPr>
          <w:rFonts w:ascii="Times New Roman" w:cs="Times New Roman" w:eastAsia="Times New Roman" w:hAnsi="Times New Roman"/>
          <w:sz w:val="18"/>
          <w:szCs w:val="18"/>
          <w:color w:val="auto"/>
        </w:rPr>
        <w:t>” means Total Indebtedness which is not Secured Indebtedness. Indebtedness that is secured solely by Equity Interests and is recourse to the Borrower or its Subsidiaries shall be considered to be Unsecured Indebtedness.</w:t>
      </w:r>
    </w:p>
    <w:p>
      <w:pPr>
        <w:spacing w:after="0" w:line="155" w:lineRule="exact"/>
        <w:rPr>
          <w:sz w:val="20"/>
          <w:szCs w:val="20"/>
          <w:color w:val="auto"/>
        </w:rPr>
      </w:pPr>
    </w:p>
    <w:p>
      <w:pPr>
        <w:jc w:val="both"/>
        <w:ind w:right="20" w:firstLine="440"/>
        <w:spacing w:after="0" w:line="262" w:lineRule="auto"/>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u w:val="single" w:color="auto"/>
          <w:color w:val="0000FF"/>
        </w:rPr>
        <w:t>U.S. Government Securities Business Day</w:t>
      </w:r>
      <w:r>
        <w:rPr>
          <w:rFonts w:ascii="Times New Roman" w:cs="Times New Roman" w:eastAsia="Times New Roman" w:hAnsi="Times New Roman"/>
          <w:sz w:val="18"/>
          <w:szCs w:val="18"/>
          <w:u w:val="single" w:color="auto"/>
          <w:color w:val="0000FF"/>
        </w:rPr>
        <w:t>” means any day except for (a) a Saturday, (b) a Sunday or (c) a day on which the Securities Industry and Financial Markets Association recommends that the fixed income departments of its members be closed for the entire day for purposes of trading in United States government securities; provided, that for purposes of notice requirements in Sections 2.1.(a)., , 2.8., 2.9. and 2.10., in each case, such day is also a Business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-413385</wp:posOffset>
            </wp:positionV>
            <wp:extent cx="667766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6776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-276225</wp:posOffset>
            </wp:positionV>
            <wp:extent cx="695198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9519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-139065</wp:posOffset>
            </wp:positionV>
            <wp:extent cx="691769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91769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-1905</wp:posOffset>
            </wp:positionV>
            <wp:extent cx="1045845"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Person</w:t>
      </w:r>
      <w:r>
        <w:rPr>
          <w:rFonts w:ascii="Times New Roman" w:cs="Times New Roman" w:eastAsia="Times New Roman" w:hAnsi="Times New Roman"/>
          <w:sz w:val="18"/>
          <w:szCs w:val="18"/>
          <w:color w:val="auto"/>
        </w:rPr>
        <w:t>” means any Person that is a “United States Person” as defined in Section 7701(a)(30) of the Internal Revenue Code.</w:t>
      </w:r>
    </w:p>
    <w:p>
      <w:pPr>
        <w:spacing w:after="0" w:line="16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980"/>
          </w:cols>
          <w:pgMar w:left="440" w:top="266" w:right="479" w:bottom="1440" w:gutter="0" w:footer="0" w:header="0"/>
        </w:sectPr>
      </w:pPr>
    </w:p>
    <w:bookmarkStart w:id="213" w:name="page214"/>
    <w:bookmarkEnd w:id="21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U.S. Special Resolution Regimes</w:t>
      </w:r>
      <w:r>
        <w:rPr>
          <w:rFonts w:ascii="Times New Roman" w:cs="Times New Roman" w:eastAsia="Times New Roman" w:hAnsi="Times New Roman"/>
          <w:sz w:val="18"/>
          <w:szCs w:val="18"/>
          <w:color w:val="auto"/>
        </w:rPr>
        <w:t>” has the meaning given that term in Section 12.24.</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Tax Compliance Certificate</w:t>
      </w:r>
      <w:r>
        <w:rPr>
          <w:rFonts w:ascii="Times New Roman" w:cs="Times New Roman" w:eastAsia="Times New Roman" w:hAnsi="Times New Roman"/>
          <w:sz w:val="18"/>
          <w:szCs w:val="18"/>
          <w:color w:val="auto"/>
        </w:rPr>
        <w:t>” has the meaning assigned to such term in Section 3.10.(g)(ii)(B)(III).</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b w:val="1"/>
          <w:bCs w:val="1"/>
          <w:color w:val="FF0000"/>
          <w:strike w:val="1"/>
        </w:rPr>
        <w:t>USD LIBOR</w:t>
      </w:r>
      <w:r>
        <w:rPr>
          <w:rFonts w:ascii="Times New Roman" w:cs="Times New Roman" w:eastAsia="Times New Roman" w:hAnsi="Times New Roman"/>
          <w:sz w:val="18"/>
          <w:szCs w:val="18"/>
          <w:color w:val="FF0000"/>
          <w:strike w:val="1"/>
        </w:rPr>
        <w:t>” means the London interbank offered rate for U.S. Dollars.</w:t>
      </w:r>
    </w:p>
    <w:p>
      <w:pPr>
        <w:spacing w:after="0" w:line="225" w:lineRule="exact"/>
        <w:rPr>
          <w:sz w:val="20"/>
          <w:szCs w:val="20"/>
          <w:color w:val="auto"/>
        </w:rPr>
      </w:pPr>
    </w:p>
    <w:p>
      <w:pPr>
        <w:ind w:right="5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Wholly Owned Property</w:t>
      </w:r>
      <w:r>
        <w:rPr>
          <w:rFonts w:ascii="Times New Roman" w:cs="Times New Roman" w:eastAsia="Times New Roman" w:hAnsi="Times New Roman"/>
          <w:sz w:val="18"/>
          <w:szCs w:val="18"/>
          <w:color w:val="auto"/>
        </w:rPr>
        <w:t>” means an Eligible Property which is wholly owned in fee simple (or leased under a Ground Lease) by only the Borrower or a Wholly Owned Subsidiary.</w:t>
      </w:r>
    </w:p>
    <w:p>
      <w:pPr>
        <w:spacing w:after="0" w:line="155" w:lineRule="exact"/>
        <w:rPr>
          <w:sz w:val="20"/>
          <w:szCs w:val="20"/>
          <w:color w:val="auto"/>
        </w:rPr>
      </w:pPr>
    </w:p>
    <w:p>
      <w:pPr>
        <w:ind w:right="1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Wholly Owned Subsidiary</w:t>
      </w:r>
      <w:r>
        <w:rPr>
          <w:rFonts w:ascii="Times New Roman" w:cs="Times New Roman" w:eastAsia="Times New Roman" w:hAnsi="Times New Roman"/>
          <w:sz w:val="18"/>
          <w:szCs w:val="18"/>
          <w:color w:val="auto"/>
        </w:rPr>
        <w:t>” means any Subsidiary of a Person in respect of which all of the Equity Interests (other than, in the case of a corporation, directors’ qualifying shares) are at the time directly or indirectly owned or controlled by such Person or one or more other Subsidiaries of such Person or by such Person and one or more other Subsidiaries of such Person.</w:t>
      </w:r>
    </w:p>
    <w:p>
      <w:pPr>
        <w:spacing w:after="0" w:line="171" w:lineRule="exact"/>
        <w:rPr>
          <w:sz w:val="20"/>
          <w:szCs w:val="20"/>
          <w:color w:val="auto"/>
        </w:rPr>
      </w:pPr>
    </w:p>
    <w:p>
      <w:pPr>
        <w:ind w:right="1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Withdrawal Liability</w:t>
      </w:r>
      <w:r>
        <w:rPr>
          <w:rFonts w:ascii="Times New Roman" w:cs="Times New Roman" w:eastAsia="Times New Roman" w:hAnsi="Times New Roman"/>
          <w:sz w:val="18"/>
          <w:szCs w:val="18"/>
          <w:color w:val="auto"/>
        </w:rPr>
        <w:t>” means any liability as a result of a complete or partial withdrawal from a Multiemployer Plan as such terms are defined in Part I of Subtitle E of Title IV of ERISA.</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Withholding Agent</w:t>
      </w:r>
      <w:r>
        <w:rPr>
          <w:rFonts w:ascii="Times New Roman" w:cs="Times New Roman" w:eastAsia="Times New Roman" w:hAnsi="Times New Roman"/>
          <w:sz w:val="18"/>
          <w:szCs w:val="18"/>
          <w:color w:val="auto"/>
        </w:rPr>
        <w:t>” means (a) the Borrower, (b) any other Loan Party and (c) the Administrative Agent, as applicable.</w:t>
      </w:r>
    </w:p>
    <w:p>
      <w:pPr>
        <w:spacing w:after="0" w:line="22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Write-Down and Conversion Powers</w:t>
      </w:r>
      <w:r>
        <w:rPr>
          <w:rFonts w:ascii="Times New Roman" w:cs="Times New Roman" w:eastAsia="Times New Roman" w:hAnsi="Times New Roman"/>
          <w:sz w:val="18"/>
          <w:szCs w:val="18"/>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such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1.2. General; References to Eastern Time.</w:t>
      </w:r>
    </w:p>
    <w:p>
      <w:pPr>
        <w:spacing w:after="0" w:line="121"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Unless otherwise indicated, all accounting terms, ratios and measurements shall be interpreted or determined in accordance with GAAP from time to time; provided that, if at any time any change in GAAP would affect the computation of any financial ratio or requirement set forth in any Loan Document, and either the Borrower or the Requisite Lenders shall so request, the Administrative Agent, the Lenders and the Borrower shall negotiate in good faith to amend such ratio or requirement to preserve the original intent thereof in light of such change in GAAP (subject to the approval of the Requisite Lenders); provided further that, until so amended, (i) such ratio or requirement shall continue to be computed in accordance with GAAP prior to such change therein and (ii) the Borrower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 Notwithstanding the preceding sentence, (i) the calculation of liabilities shall not include any fair value adjustments to the carrying value of liabilities to record such liabilities at fair value pursuant to electing the fair value option election under FASB ASC 825-10-25 (formerly known as FAS 159, The Fair Value Option for Financial Assets and Financial Liabilities) or other FASB standards allowing entities to elect fair value option for financial liabilities and (ii) all accounting terms, ratios and calculations shall be determined without giving effect to Accounting Standards Codification 842 (or any other Accounting Standards Codification or Financial Accounting Standard having a similar result or effect) (and related interpretations) to the extent any lease where the Borrower or a</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980"/>
          </w:cols>
          <w:pgMar w:left="440" w:top="266" w:right="479" w:bottom="1440" w:gutter="0" w:footer="0" w:header="0"/>
        </w:sectPr>
      </w:pPr>
    </w:p>
    <w:bookmarkStart w:id="214" w:name="page215"/>
    <w:bookmarkEnd w:id="214"/>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Subsidiary is the lessee (or similar arrangement conveying the right to use) would be required to be treated as a finance or operating lease thereunder where such lease (or similar arrangement) would have been treated as an operating lease under GAAP as in effect immediately prior to the effectiveness of the Accounting Standards Codification 842, provided that the Borrower shall provide to the Administrative Agent and the Lenders financial statements and other documents required under this Agreement or as reasonably requested hereunder setting forth a reconciliation between calculations of such ratio or requirement made in accordance with GAAP and made without giving effect to Accounting Standards Codification 842. References in this Agreement to “Sections”, “Articles”, “Exhibits” and “Schedules” are to sections, articles, exhibits and schedules herein and hereto unless otherwise indicated. Any definition or reference to any Applicable Law, including, without limitation, Anti-Corruption Laws, Anti-Money Laundering Laws, the Bankruptcy Code, the Code, the Commodity Exchange Act, ERISA, the Exchange Act, the PATRIOT Act, the Securities Act, the UCC, the Investment Company Act, the Interstate Commerce Act or any of the foreign assets control regulations of the United States Treasury Department, shall include all statutory and regulatory provisions consolidating, amending, replacing, supplementing or interpreting such Applicable Law. References in this Agreement to any document, instrument or agreement (a) shall include all exhibits, schedules and other attachments thereto, (b) shall include all documents, instruments or agreements issued or executed in replacement thereof, to the extent permitted hereby and (c) shall mean such document, instrument or agreement, or replacement or predecessor thereto, as amended, supplemented, restated or otherwise modified from time to time to the extent not otherwise stated herein or prohibited hereby and in effect at any given time. Wherever from the context it appears appropriate, each term stated in either the singular or plural shall include the singular and plural, and pronouns stated in the masculine, feminine or neuter gender shall include the masculine, the feminine and the neuter. Whenever reference is made to Borrower’s knowledge or awareness, or a similar qualification, knowledge or awareness means the actual knowledge of Borrower’s Responsible Officers after reasonable investigation and consultation with Borrower’s regional chief operating officers. Unless explicitly set forth to the contrary, a reference to “Subsidiary” means a Subsidiary of the Borrower or a Subsidiary of such Subsidiary, a reference to an “Affiliate” means a reference to an Affiliate of the Borrower and a reference to an “Unconsolidated Affiliate” means an Unconsolidated Affiliate of the Borrower. Titles and captions of Articles, Sections, subsections and clauses in this Agreement are for convenience only, and neither limit nor amplify the provisions of this Agreement. Unless otherwise indicated, all references to time are references to Eastern time.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1.3. Financial Attributes of Non-Wholly Owned Subsidiaries.</w:t>
      </w:r>
    </w:p>
    <w:p>
      <w:pPr>
        <w:spacing w:after="0" w:line="121" w:lineRule="exact"/>
        <w:rPr>
          <w:sz w:val="20"/>
          <w:szCs w:val="20"/>
          <w:color w:val="auto"/>
        </w:rPr>
      </w:pPr>
    </w:p>
    <w:p>
      <w:pPr>
        <w:ind w:right="360" w:firstLine="440"/>
        <w:spacing w:after="0" w:line="266" w:lineRule="auto"/>
        <w:rPr>
          <w:sz w:val="20"/>
          <w:szCs w:val="20"/>
          <w:color w:val="auto"/>
        </w:rPr>
      </w:pPr>
      <w:r>
        <w:rPr>
          <w:rFonts w:ascii="Times New Roman" w:cs="Times New Roman" w:eastAsia="Times New Roman" w:hAnsi="Times New Roman"/>
          <w:sz w:val="18"/>
          <w:szCs w:val="18"/>
          <w:color w:val="auto"/>
        </w:rPr>
        <w:t>Except as expressly set forth herein, when determining compliance by the Borrower with any financial covenant contained in any of the Loan Documents only the Ownership Share of the Borrower of the financial attributes of a Subsidiary that is not a Wholly Owned Subsidiary shall be included.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1.4. </w:t>
      </w:r>
      <w:r>
        <w:rPr>
          <w:rFonts w:ascii="Times New Roman" w:cs="Times New Roman" w:eastAsia="Times New Roman" w:hAnsi="Times New Roman"/>
          <w:sz w:val="18"/>
          <w:szCs w:val="18"/>
          <w:b w:val="1"/>
          <w:bCs w:val="1"/>
          <w:color w:val="FF0000"/>
          <w:strike w:val="1"/>
        </w:rPr>
        <w:t>LIBOR Notification</w:t>
      </w:r>
      <w:r>
        <w:rPr>
          <w:rFonts w:ascii="Times New Roman" w:cs="Times New Roman" w:eastAsia="Times New Roman" w:hAnsi="Times New Roman"/>
          <w:sz w:val="18"/>
          <w:szCs w:val="18"/>
          <w:b w:val="1"/>
          <w:bCs w:val="1"/>
          <w:u w:val="single" w:color="auto"/>
          <w:color w:val="0000FF"/>
        </w:rPr>
        <w:t>Rates</w:t>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1557655</wp:posOffset>
            </wp:positionH>
            <wp:positionV relativeFrom="paragraph">
              <wp:posOffset>28575</wp:posOffset>
            </wp:positionV>
            <wp:extent cx="27432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101" w:lineRule="exact"/>
        <w:rPr>
          <w:sz w:val="20"/>
          <w:szCs w:val="20"/>
          <w:color w:val="auto"/>
        </w:rPr>
      </w:pPr>
    </w:p>
    <w:p>
      <w:pPr>
        <w:ind w:right="120" w:firstLine="436"/>
        <w:spacing w:after="0" w:line="261" w:lineRule="auto"/>
        <w:tabs>
          <w:tab w:leader="none" w:pos="685" w:val="left"/>
        </w:tabs>
        <w:numPr>
          <w:ilvl w:val="0"/>
          <w:numId w:val="199"/>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Sections 4.2(b) through (f) of this Agreement provide a mechanism for determining an alternative rate of interest in the event that the London interbank offered rate is no longer available or in certain other circumstances. The Administrative Agent does not warrant or accept any responsibility for and shall not have any liability with respect to, the administration, submission or any other matter related to the London interbank offered rate or other rates in the definition of “LIBOR” or with respect to any alternative or successor rate thereto, or replacement rate therefor.</w:t>
      </w:r>
    </w:p>
    <w:p>
      <w:pPr>
        <w:spacing w:after="0" w:line="180"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u w:val="single" w:color="auto"/>
          <w:color w:val="0000FF"/>
        </w:rPr>
        <w:t>The Administrative Agent does not warrant or accept any responsibility for, and shall not have any liability with respect to, (a) the continuation of, administration of, submission of, calculation of or any other matter related to SOFR, the Term SOFR Reference Rate, Adjusted Term SOFR or Term SOFR, or any component definition thereof or rates referred to in the definition thereof, or with respect to any alternative, successor or replacement rate thereto (including any Benchmark Replacement), including whether the composition or characteristics of any such alternative, successor or replacement rate (including any Benchmark Replacement), as it may or may not be adjusted pursuant to Section 4.2.(b), will be similar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-548640</wp:posOffset>
            </wp:positionV>
            <wp:extent cx="6694805"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-411480</wp:posOffset>
            </wp:positionV>
            <wp:extent cx="678942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78942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-274320</wp:posOffset>
            </wp:positionV>
            <wp:extent cx="6943725"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9437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-137160</wp:posOffset>
            </wp:positionV>
            <wp:extent cx="695198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9519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0</wp:posOffset>
            </wp:positionV>
            <wp:extent cx="572643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5726430" cy="8890"/>
                    </a:xfrm>
                    <a:prstGeom prst="rect">
                      <a:avLst/>
                    </a:prstGeom>
                    <a:noFill/>
                  </pic:spPr>
                </pic:pic>
              </a:graphicData>
            </a:graphic>
          </wp:anchor>
        </w:drawing>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980"/>
          </w:cols>
          <w:pgMar w:left="440" w:top="270" w:right="479" w:bottom="1440" w:gutter="0" w:footer="0" w:header="0"/>
        </w:sectPr>
      </w:pPr>
    </w:p>
    <w:bookmarkStart w:id="215" w:name="page216"/>
    <w:bookmarkEnd w:id="215"/>
    <w:p>
      <w:pPr>
        <w:spacing w:after="0" w:line="253" w:lineRule="auto"/>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produce the same value or economic equivalence of, or have the same volume or liquidity as, SOFR, the Term SOFR Reference Rate, Adjusted Term SOFR, Term SOFR or any other Benchmark prior to its discontinuance or unavailability, or (b) the effect, implementation or composition of any Conforming Changes. The Administrative Agent and its Affiliates or other related entities may engage in transactions that affect the calculation of SOFR, Term SOFR Reference Rate, Adjusted Term SOFR, or Term SOFR, any alternative, successor or replacement rate (including any Benchmark Replacement) or any relevant adjustments thereto and such transactions may be adverse to the Borrower. The Administrative Agent may select information sources or services in its reasonable discretion to ascertain SOFR, Term SOFR Reference Rate, Adjusted Term SOFR or Term SOFR, or any other Benchmark, any component definition thereof or rates referred to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-1227455</wp:posOffset>
            </wp:positionV>
            <wp:extent cx="6943725"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9437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-1090295</wp:posOffset>
            </wp:positionV>
            <wp:extent cx="6600825"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6008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-953135</wp:posOffset>
            </wp:positionV>
            <wp:extent cx="667766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66776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-815975</wp:posOffset>
            </wp:positionV>
            <wp:extent cx="6797675"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679767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-678815</wp:posOffset>
            </wp:positionV>
            <wp:extent cx="6532245"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53224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-541655</wp:posOffset>
            </wp:positionV>
            <wp:extent cx="699516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-404495</wp:posOffset>
            </wp:positionV>
            <wp:extent cx="684085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8408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-267335</wp:posOffset>
            </wp:positionV>
            <wp:extent cx="665226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6522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-130175</wp:posOffset>
            </wp:positionV>
            <wp:extent cx="6900545"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69005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6350</wp:posOffset>
            </wp:positionV>
            <wp:extent cx="5126355"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5126355" cy="8255"/>
                    </a:xfrm>
                    <a:prstGeom prst="rect">
                      <a:avLst/>
                    </a:prstGeom>
                    <a:noFill/>
                  </pic:spPr>
                </pic:pic>
              </a:graphicData>
            </a:graphic>
          </wp:anchor>
        </w:drawing>
      </w:r>
    </w:p>
    <w:p>
      <w:pPr>
        <w:spacing w:after="0" w:line="174" w:lineRule="exact"/>
        <w:rPr>
          <w:sz w:val="20"/>
          <w:szCs w:val="20"/>
          <w:color w:val="auto"/>
        </w:rPr>
      </w:pPr>
    </w:p>
    <w:p>
      <w:pPr>
        <w:ind w:firstLine="436"/>
        <w:spacing w:after="0" w:line="256" w:lineRule="auto"/>
        <w:tabs>
          <w:tab w:leader="none" w:pos="695" w:val="left"/>
        </w:tabs>
        <w:numPr>
          <w:ilvl w:val="0"/>
          <w:numId w:val="200"/>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Without prejudice to any other provision of this Agreement, each Person party to this Agreement acknowledges and agrees for the benefit of each of the other Persons party hereto: (i) LIBOR and Benchmark Replacement (A) may be subject to methodological or other changes which could affect their value, (B) may not comply with Applicable Laws and regulations (such as the Regulation (EU) 2016/1011 of the European Parliament and of the Council, as amended (EU Benchmarks Regulation)) and/or (C) may be permanently discontinued; and (ii) the occurrence of any of the aforementioned events and/or a Benchmark Transition Event may have adverse consequences which may materially impact the economics of the financing transactions contemplated under this Agreement.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1.5. Divisions.</w:t>
      </w:r>
    </w:p>
    <w:p>
      <w:pPr>
        <w:spacing w:after="0" w:line="121" w:lineRule="exact"/>
        <w:rPr>
          <w:sz w:val="20"/>
          <w:szCs w:val="20"/>
          <w:color w:val="auto"/>
        </w:rPr>
      </w:pPr>
    </w:p>
    <w:p>
      <w:pPr>
        <w:ind w:right="240" w:firstLine="440"/>
        <w:spacing w:after="0" w:line="258" w:lineRule="auto"/>
        <w:rPr>
          <w:sz w:val="20"/>
          <w:szCs w:val="20"/>
          <w:color w:val="auto"/>
        </w:rPr>
      </w:pPr>
      <w:r>
        <w:rPr>
          <w:rFonts w:ascii="Times New Roman" w:cs="Times New Roman" w:eastAsia="Times New Roman" w:hAnsi="Times New Roman"/>
          <w:sz w:val="18"/>
          <w:szCs w:val="18"/>
          <w:color w:val="auto"/>
        </w:rPr>
        <w:t>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 Credit Facility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2.1. Loans.</w:t>
      </w:r>
    </w:p>
    <w:p>
      <w:pPr>
        <w:spacing w:after="0" w:line="121" w:lineRule="exact"/>
        <w:rPr>
          <w:sz w:val="20"/>
          <w:szCs w:val="20"/>
          <w:color w:val="auto"/>
        </w:rPr>
      </w:pPr>
    </w:p>
    <w:p>
      <w:pPr>
        <w:ind w:right="40" w:firstLine="436"/>
        <w:spacing w:after="0" w:line="254" w:lineRule="auto"/>
        <w:tabs>
          <w:tab w:leader="none" w:pos="685"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Making of Loans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On the Effective Date, certain Lenders made Loans to the Borrower in an amount as set forth under the heading “Effective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Date Term Loan Amount” on Schedule I attached to the Third Amendment. The Borrower, the Administrative Agent and the Lenders acknowledge and agree that as of the Third Amendment Date, the full principal amount of such Loans remain outstanding.</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Subject to the terms and conditions set forth in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this Agreement </w:t>
      </w:r>
      <w:r>
        <w:rPr>
          <w:rFonts w:ascii="Times New Roman" w:cs="Times New Roman" w:eastAsia="Times New Roman" w:hAnsi="Times New Roman"/>
          <w:sz w:val="18"/>
          <w:szCs w:val="18"/>
          <w:color w:val="0000FF"/>
        </w:rPr>
        <w:t>and the Third Amendment</w:t>
      </w:r>
      <w:r>
        <w:rPr>
          <w:rFonts w:ascii="Times New Roman" w:cs="Times New Roman" w:eastAsia="Times New Roman" w:hAnsi="Times New Roman"/>
          <w:sz w:val="18"/>
          <w:szCs w:val="18"/>
          <w:color w:val="000000"/>
        </w:rPr>
        <w:t xml:space="preserve">, on the </w:t>
      </w:r>
      <w:r>
        <w:rPr>
          <w:rFonts w:ascii="Times New Roman" w:cs="Times New Roman" w:eastAsia="Times New Roman" w:hAnsi="Times New Roman"/>
          <w:sz w:val="18"/>
          <w:szCs w:val="18"/>
          <w:color w:val="FF0000"/>
          <w:strike w:val="1"/>
        </w:rPr>
        <w:t>Effective</w:t>
      </w:r>
      <w:r>
        <w:rPr>
          <w:rFonts w:ascii="Times New Roman" w:cs="Times New Roman" w:eastAsia="Times New Roman" w:hAnsi="Times New Roman"/>
          <w:sz w:val="18"/>
          <w:szCs w:val="18"/>
          <w:u w:val="single" w:color="auto"/>
          <w:color w:val="0000FF"/>
        </w:rPr>
        <w:t>Third Amendment</w:t>
      </w:r>
      <w:r>
        <w:rPr>
          <w:rFonts w:ascii="Times New Roman" w:cs="Times New Roman" w:eastAsia="Times New Roman" w:hAnsi="Times New Roman"/>
          <w:sz w:val="18"/>
          <w:szCs w:val="18"/>
          <w:color w:val="000000"/>
        </w:rPr>
        <w:t xml:space="preserve"> Date each </w:t>
      </w:r>
      <w:r>
        <w:rPr>
          <w:rFonts w:ascii="Times New Roman" w:cs="Times New Roman" w:eastAsia="Times New Roman" w:hAnsi="Times New Roman"/>
          <w:sz w:val="18"/>
          <w:szCs w:val="18"/>
          <w:u w:val="single" w:color="auto"/>
          <w:color w:val="0000FF"/>
        </w:rPr>
        <w:t>applicable</w:t>
      </w:r>
      <w:r>
        <w:rPr>
          <w:rFonts w:ascii="Times New Roman" w:cs="Times New Roman" w:eastAsia="Times New Roman" w:hAnsi="Times New Roman"/>
          <w:sz w:val="18"/>
          <w:szCs w:val="18"/>
          <w:color w:val="000000"/>
        </w:rPr>
        <w:t xml:space="preserve"> Lender severally and not jointly agrees to make a Loan in Dollars to the Borrower in a principal amount equal to such Lender’s Commitment as provided </w:t>
      </w:r>
      <w:r>
        <w:rPr>
          <w:rFonts w:ascii="Times New Roman" w:cs="Times New Roman" w:eastAsia="Times New Roman" w:hAnsi="Times New Roman"/>
          <w:sz w:val="18"/>
          <w:szCs w:val="18"/>
          <w:color w:val="FF0000"/>
          <w:strike w:val="1"/>
        </w:rPr>
        <w:t>in Schedule I. Each Continuation under</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FF0000"/>
          <w:strike w:val="1"/>
        </w:rPr>
        <w:t>Section 2.9. of, and each Conversion under Section 2.10. of Base Rate Loans into, LIBOR Loans shall be in an aggregate minimum of $1,000,000 and integral multiples of $1,000,000 in excess of that amount</w:t>
      </w:r>
      <w:r>
        <w:rPr>
          <w:rFonts w:ascii="Times New Roman" w:cs="Times New Roman" w:eastAsia="Times New Roman" w:hAnsi="Times New Roman"/>
          <w:sz w:val="18"/>
          <w:szCs w:val="18"/>
          <w:u w:val="single" w:color="auto"/>
          <w:color w:val="0000FF"/>
          <w:strike w:val="1"/>
        </w:rPr>
        <w:t>under the heading “New Term Loan Amount” on Schedule I attached to the Third Amendment</w:t>
      </w:r>
      <w:r>
        <w:rPr>
          <w:rFonts w:ascii="Times New Roman" w:cs="Times New Roman" w:eastAsia="Times New Roman" w:hAnsi="Times New Roman"/>
          <w:sz w:val="18"/>
          <w:szCs w:val="18"/>
          <w:color w:val="000000"/>
          <w:strike w:val="1"/>
        </w:rPr>
        <w:t>.</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 xml:space="preserve">Upon the funding of a Lender’s Loan in an amount equal to such Lender’s Commitment, such Lender’s Commitment shall terminate. Any Loan made under this Section and repaid or prepaid may not be reborrowed. </w:t>
      </w:r>
      <w:r>
        <w:rPr>
          <w:rFonts w:ascii="Times New Roman" w:cs="Times New Roman" w:eastAsia="Times New Roman" w:hAnsi="Times New Roman"/>
          <w:sz w:val="18"/>
          <w:szCs w:val="18"/>
          <w:color w:val="FF0000"/>
          <w:strike w:val="1"/>
        </w:rPr>
        <w:t>Additional Loans shall be made in accordance with Section 2.16.</w:t>
      </w:r>
    </w:p>
    <w:p>
      <w:pPr>
        <w:spacing w:after="0" w:line="188" w:lineRule="exact"/>
        <w:rPr>
          <w:rFonts w:ascii="Times New Roman" w:cs="Times New Roman" w:eastAsia="Times New Roman" w:hAnsi="Times New Roman"/>
          <w:sz w:val="18"/>
          <w:szCs w:val="18"/>
          <w:color w:val="auto"/>
        </w:rPr>
      </w:pPr>
    </w:p>
    <w:p>
      <w:pPr>
        <w:ind w:right="60" w:firstLine="436"/>
        <w:spacing w:after="0" w:line="266" w:lineRule="auto"/>
        <w:tabs>
          <w:tab w:leader="none" w:pos="695"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Requests for Loans</w:t>
      </w:r>
      <w:r>
        <w:rPr>
          <w:rFonts w:ascii="Times New Roman" w:cs="Times New Roman" w:eastAsia="Times New Roman" w:hAnsi="Times New Roman"/>
          <w:sz w:val="18"/>
          <w:szCs w:val="18"/>
          <w:color w:val="auto"/>
        </w:rPr>
        <w:t xml:space="preserve">. Not later than 2:00 p.m. Eastern time at least one (1) Business Day prior to the anticipated Effective Date </w:t>
      </w:r>
      <w:r>
        <w:rPr>
          <w:rFonts w:ascii="Times New Roman" w:cs="Times New Roman" w:eastAsia="Times New Roman" w:hAnsi="Times New Roman"/>
          <w:sz w:val="18"/>
          <w:szCs w:val="18"/>
          <w:u w:val="single" w:color="auto"/>
          <w:color w:val="0000FF"/>
        </w:rPr>
        <w:t>or the Third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Amendment Date, as applicable,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with respect to the borrowing of Loans that are to be Base Rate Loans and not later than 2:00 p.m. Eastern time at least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three (3) </w:t>
      </w:r>
      <w:r>
        <w:rPr>
          <w:rFonts w:ascii="Times New Roman" w:cs="Times New Roman" w:eastAsia="Times New Roman" w:hAnsi="Times New Roman"/>
          <w:sz w:val="18"/>
          <w:szCs w:val="18"/>
          <w:u w:val="single" w:color="auto"/>
          <w:color w:val="0000FF"/>
        </w:rPr>
        <w:t>U.S. Government Securities</w:t>
      </w:r>
      <w:r>
        <w:rPr>
          <w:rFonts w:ascii="Times New Roman" w:cs="Times New Roman" w:eastAsia="Times New Roman" w:hAnsi="Times New Roman"/>
          <w:sz w:val="18"/>
          <w:szCs w:val="18"/>
          <w:color w:val="000000"/>
        </w:rPr>
        <w:t xml:space="preserve"> Business Days prior to the anticipated Effective Date </w:t>
      </w:r>
      <w:r>
        <w:rPr>
          <w:rFonts w:ascii="Times New Roman" w:cs="Times New Roman" w:eastAsia="Times New Roman" w:hAnsi="Times New Roman"/>
          <w:sz w:val="18"/>
          <w:szCs w:val="18"/>
          <w:u w:val="single" w:color="auto"/>
          <w:color w:val="0000FF"/>
        </w:rPr>
        <w:t>or the Third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1274445</wp:posOffset>
            </wp:positionH>
            <wp:positionV relativeFrom="paragraph">
              <wp:posOffset>-1650365</wp:posOffset>
            </wp:positionV>
            <wp:extent cx="5597525"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559752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-1513205</wp:posOffset>
            </wp:positionV>
            <wp:extent cx="692658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-1376045</wp:posOffset>
            </wp:positionV>
            <wp:extent cx="480885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4808855" cy="8255"/>
                    </a:xfrm>
                    <a:prstGeom prst="rect">
                      <a:avLst/>
                    </a:prstGeom>
                    <a:noFill/>
                  </pic:spPr>
                </pic:pic>
              </a:graphicData>
            </a:graphic>
          </wp:anchor>
        </w:drawing>
        <w:drawing>
          <wp:anchor simplePos="0" relativeHeight="251657728" behindDoc="1" locked="0" layoutInCell="0" allowOverlap="1">
            <wp:simplePos x="0" y="0"/>
            <wp:positionH relativeFrom="column">
              <wp:posOffset>691515</wp:posOffset>
            </wp:positionH>
            <wp:positionV relativeFrom="paragraph">
              <wp:posOffset>-1238885</wp:posOffset>
            </wp:positionV>
            <wp:extent cx="123444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234440" cy="8890"/>
                    </a:xfrm>
                    <a:prstGeom prst="rect">
                      <a:avLst/>
                    </a:prstGeom>
                    <a:noFill/>
                  </pic:spPr>
                </pic:pic>
              </a:graphicData>
            </a:graphic>
          </wp:anchor>
        </w:drawing>
        <w:drawing>
          <wp:anchor simplePos="0" relativeHeight="251657728" behindDoc="1" locked="0" layoutInCell="0" allowOverlap="1">
            <wp:simplePos x="0" y="0"/>
            <wp:positionH relativeFrom="column">
              <wp:posOffset>692150</wp:posOffset>
            </wp:positionH>
            <wp:positionV relativeFrom="paragraph">
              <wp:posOffset>-1273175</wp:posOffset>
            </wp:positionV>
            <wp:extent cx="123761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237615" cy="8255"/>
                    </a:xfrm>
                    <a:prstGeom prst="rect">
                      <a:avLst/>
                    </a:prstGeom>
                    <a:noFill/>
                  </pic:spPr>
                </pic:pic>
              </a:graphicData>
            </a:graphic>
          </wp:anchor>
        </w:drawing>
        <w:drawing>
          <wp:anchor simplePos="0" relativeHeight="251657728" behindDoc="1" locked="0" layoutInCell="0" allowOverlap="1">
            <wp:simplePos x="0" y="0"/>
            <wp:positionH relativeFrom="column">
              <wp:posOffset>2714625</wp:posOffset>
            </wp:positionH>
            <wp:positionV relativeFrom="paragraph">
              <wp:posOffset>-1238885</wp:posOffset>
            </wp:positionV>
            <wp:extent cx="840105"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840105" cy="8890"/>
                    </a:xfrm>
                    <a:prstGeom prst="rect">
                      <a:avLst/>
                    </a:prstGeom>
                    <a:noFill/>
                  </pic:spPr>
                </pic:pic>
              </a:graphicData>
            </a:graphic>
          </wp:anchor>
        </w:drawing>
        <w:drawing>
          <wp:anchor simplePos="0" relativeHeight="251657728" behindDoc="1" locked="0" layoutInCell="0" allowOverlap="1">
            <wp:simplePos x="0" y="0"/>
            <wp:positionH relativeFrom="column">
              <wp:posOffset>4069080</wp:posOffset>
            </wp:positionH>
            <wp:positionV relativeFrom="paragraph">
              <wp:posOffset>-1238885</wp:posOffset>
            </wp:positionV>
            <wp:extent cx="497205"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497205" cy="8890"/>
                    </a:xfrm>
                    <a:prstGeom prst="rect">
                      <a:avLst/>
                    </a:prstGeom>
                    <a:noFill/>
                  </pic:spPr>
                </pic:pic>
              </a:graphicData>
            </a:graphic>
          </wp:anchor>
        </w:drawing>
        <w:drawing>
          <wp:anchor simplePos="0" relativeHeight="251657728" behindDoc="1" locked="0" layoutInCell="0" allowOverlap="1">
            <wp:simplePos x="0" y="0"/>
            <wp:positionH relativeFrom="column">
              <wp:posOffset>2603500</wp:posOffset>
            </wp:positionH>
            <wp:positionV relativeFrom="paragraph">
              <wp:posOffset>-827405</wp:posOffset>
            </wp:positionV>
            <wp:extent cx="4328795"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4328795"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-278765</wp:posOffset>
            </wp:positionV>
            <wp:extent cx="54864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54864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-141605</wp:posOffset>
            </wp:positionV>
            <wp:extent cx="1517015"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517015" cy="8890"/>
                    </a:xfrm>
                    <a:prstGeom prst="rect">
                      <a:avLst/>
                    </a:prstGeom>
                    <a:noFill/>
                  </pic:spPr>
                </pic:pic>
              </a:graphicData>
            </a:graphic>
          </wp:anchor>
        </w:drawing>
        <w:drawing>
          <wp:anchor simplePos="0" relativeHeight="251657728" behindDoc="1" locked="0" layoutInCell="0" allowOverlap="1">
            <wp:simplePos x="0" y="0"/>
            <wp:positionH relativeFrom="column">
              <wp:posOffset>417195</wp:posOffset>
            </wp:positionH>
            <wp:positionV relativeFrom="paragraph">
              <wp:posOffset>-4445</wp:posOffset>
            </wp:positionV>
            <wp:extent cx="1311275"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311275" cy="8255"/>
                    </a:xfrm>
                    <a:prstGeom prst="rect">
                      <a:avLst/>
                    </a:prstGeom>
                    <a:noFill/>
                  </pic:spPr>
                </pic:pic>
              </a:graphicData>
            </a:graphic>
          </wp:anchor>
        </w:drawing>
        <w:drawing>
          <wp:anchor simplePos="0" relativeHeight="251657728" behindDoc="1" locked="0" layoutInCell="0" allowOverlap="1">
            <wp:simplePos x="0" y="0"/>
            <wp:positionH relativeFrom="column">
              <wp:posOffset>4180840</wp:posOffset>
            </wp:positionH>
            <wp:positionV relativeFrom="paragraph">
              <wp:posOffset>-4445</wp:posOffset>
            </wp:positionV>
            <wp:extent cx="54864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00"/>
          </w:cols>
          <w:pgMar w:left="440" w:top="270" w:right="459" w:bottom="1440" w:gutter="0" w:footer="0" w:header="0"/>
        </w:sectPr>
      </w:pPr>
    </w:p>
    <w:bookmarkStart w:id="216" w:name="page217"/>
    <w:bookmarkEnd w:id="216"/>
    <w:p>
      <w:pPr>
        <w:spacing w:after="0" w:line="258" w:lineRule="auto"/>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Amendment Date, as applicable,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with respect to a borrowing of Loans that are to be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LIBOR</w:t>
      </w:r>
      <w:r>
        <w:rPr>
          <w:rFonts w:ascii="Times New Roman" w:cs="Times New Roman" w:eastAsia="Times New Roman" w:hAnsi="Times New Roman"/>
          <w:sz w:val="18"/>
          <w:szCs w:val="18"/>
          <w:u w:val="single" w:color="auto"/>
          <w:color w:val="0000FF"/>
        </w:rPr>
        <w:t>SOFR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Loans, the Borrower shall deliver to 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Administrative Agent a Notice of Borrowing. Such Notice of Borrowing shall specify the aggregate principal amount of the Loans to be borrowed, the date such Loans are to be borrowed (which must be a </w:t>
      </w:r>
      <w:r>
        <w:rPr>
          <w:rFonts w:ascii="Times New Roman" w:cs="Times New Roman" w:eastAsia="Times New Roman" w:hAnsi="Times New Roman"/>
          <w:sz w:val="18"/>
          <w:szCs w:val="18"/>
          <w:u w:val="single" w:color="auto"/>
          <w:color w:val="0000FF"/>
        </w:rPr>
        <w:t>U.S. Government Securities</w:t>
      </w:r>
      <w:r>
        <w:rPr>
          <w:rFonts w:ascii="Times New Roman" w:cs="Times New Roman" w:eastAsia="Times New Roman" w:hAnsi="Times New Roman"/>
          <w:sz w:val="18"/>
          <w:szCs w:val="18"/>
          <w:color w:val="000000"/>
        </w:rPr>
        <w:t xml:space="preserve"> Business Day), the Type of the requested Loans, and if such Loans are to be </w:t>
      </w:r>
      <w:r>
        <w:rPr>
          <w:rFonts w:ascii="Times New Roman" w:cs="Times New Roman" w:eastAsia="Times New Roman" w:hAnsi="Times New Roman"/>
          <w:sz w:val="18"/>
          <w:szCs w:val="18"/>
          <w:color w:val="FF0000"/>
          <w:strike w:val="1"/>
        </w:rPr>
        <w:t>LIBOR</w:t>
      </w:r>
      <w:r>
        <w:rPr>
          <w:rFonts w:ascii="Times New Roman" w:cs="Times New Roman" w:eastAsia="Times New Roman" w:hAnsi="Times New Roman"/>
          <w:sz w:val="18"/>
          <w:szCs w:val="18"/>
          <w:u w:val="single" w:color="auto"/>
          <w:color w:val="0000FF"/>
        </w:rPr>
        <w:t>SOFR</w:t>
      </w:r>
      <w:r>
        <w:rPr>
          <w:rFonts w:ascii="Times New Roman" w:cs="Times New Roman" w:eastAsia="Times New Roman" w:hAnsi="Times New Roman"/>
          <w:sz w:val="18"/>
          <w:szCs w:val="18"/>
          <w:color w:val="000000"/>
        </w:rPr>
        <w:t xml:space="preserve"> Loans, the initial Interest Period for such Loans. The Notice of Borrowing shall be irrevocable once given and binding on the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-548640</wp:posOffset>
            </wp:positionV>
            <wp:extent cx="1517015"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517015" cy="825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-548640</wp:posOffset>
            </wp:positionV>
            <wp:extent cx="282575"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282575" cy="8255"/>
                    </a:xfrm>
                    <a:prstGeom prst="rect">
                      <a:avLst/>
                    </a:prstGeom>
                    <a:noFill/>
                  </pic:spPr>
                </pic:pic>
              </a:graphicData>
            </a:graphic>
          </wp:anchor>
        </w:drawing>
        <w:drawing>
          <wp:anchor simplePos="0" relativeHeight="251657728" behindDoc="1" locked="0" layoutInCell="0" allowOverlap="1">
            <wp:simplePos x="0" y="0"/>
            <wp:positionH relativeFrom="column">
              <wp:posOffset>2466340</wp:posOffset>
            </wp:positionH>
            <wp:positionV relativeFrom="paragraph">
              <wp:posOffset>-274320</wp:posOffset>
            </wp:positionV>
            <wp:extent cx="130302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303020" cy="8255"/>
                    </a:xfrm>
                    <a:prstGeom prst="rect">
                      <a:avLst/>
                    </a:prstGeom>
                    <a:noFill/>
                  </pic:spPr>
                </pic:pic>
              </a:graphicData>
            </a:graphic>
          </wp:anchor>
        </w:drawing>
        <w:drawing>
          <wp:anchor simplePos="0" relativeHeight="251657728" behindDoc="1" locked="0" layoutInCell="0" allowOverlap="1">
            <wp:simplePos x="0" y="0"/>
            <wp:positionH relativeFrom="column">
              <wp:posOffset>597535</wp:posOffset>
            </wp:positionH>
            <wp:positionV relativeFrom="paragraph">
              <wp:posOffset>-137160</wp:posOffset>
            </wp:positionV>
            <wp:extent cx="28257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282575" cy="8255"/>
                    </a:xfrm>
                    <a:prstGeom prst="rect">
                      <a:avLst/>
                    </a:prstGeom>
                    <a:noFill/>
                  </pic:spPr>
                </pic:pic>
              </a:graphicData>
            </a:graphic>
          </wp:anchor>
        </w:drawing>
      </w:r>
    </w:p>
    <w:p>
      <w:pPr>
        <w:spacing w:after="0" w:line="163" w:lineRule="exact"/>
        <w:rPr>
          <w:sz w:val="20"/>
          <w:szCs w:val="20"/>
          <w:color w:val="auto"/>
        </w:rPr>
      </w:pPr>
    </w:p>
    <w:p>
      <w:pPr>
        <w:ind w:right="20" w:firstLine="436"/>
        <w:spacing w:after="0" w:line="255" w:lineRule="auto"/>
        <w:tabs>
          <w:tab w:leader="none" w:pos="685"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Funding of Loans</w:t>
      </w:r>
      <w:r>
        <w:rPr>
          <w:rFonts w:ascii="Times New Roman" w:cs="Times New Roman" w:eastAsia="Times New Roman" w:hAnsi="Times New Roman"/>
          <w:sz w:val="18"/>
          <w:szCs w:val="18"/>
          <w:color w:val="auto"/>
        </w:rPr>
        <w:t xml:space="preserve">. Promptly after receipt of the Notice of Borrowing under the immediately preceding subsection (b), the Administrative Agent shall notify each Lender of the proposed borrowing. Each Lender shall deposit an amount equal to the Loan to be made by such Lender to the Borrower with the Administrative Agent at the Principal Office, in immediately available funds not later than 11:00 a.m. Eastern time on the Effective Date </w:t>
      </w:r>
      <w:r>
        <w:rPr>
          <w:rFonts w:ascii="Times New Roman" w:cs="Times New Roman" w:eastAsia="Times New Roman" w:hAnsi="Times New Roman"/>
          <w:sz w:val="18"/>
          <w:szCs w:val="18"/>
          <w:color w:val="0000FF"/>
        </w:rPr>
        <w:t>or the Third Amendment Date, as applicable</w:t>
      </w:r>
      <w:r>
        <w:rPr>
          <w:rFonts w:ascii="Times New Roman" w:cs="Times New Roman" w:eastAsia="Times New Roman" w:hAnsi="Times New Roman"/>
          <w:sz w:val="18"/>
          <w:szCs w:val="18"/>
          <w:color w:val="auto"/>
        </w:rPr>
        <w:t xml:space="preserve">. Subject to fulfillment of the conditions set forth in Section 5.1. </w:t>
      </w:r>
      <w:r>
        <w:rPr>
          <w:rFonts w:ascii="Times New Roman" w:cs="Times New Roman" w:eastAsia="Times New Roman" w:hAnsi="Times New Roman"/>
          <w:sz w:val="18"/>
          <w:szCs w:val="18"/>
          <w:color w:val="0000FF"/>
        </w:rPr>
        <w:t>or Section 3 of the Third Amendment,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as applicable</w:t>
      </w:r>
      <w:r>
        <w:rPr>
          <w:rFonts w:ascii="Times New Roman" w:cs="Times New Roman" w:eastAsia="Times New Roman" w:hAnsi="Times New Roman"/>
          <w:sz w:val="18"/>
          <w:szCs w:val="18"/>
          <w:color w:val="000000"/>
        </w:rPr>
        <w:t>, the Administrative Agent shall make available to the Borrower in the account specified in the Disbursement Instruction Agreement, not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later than 12:00 p.m. noon Eastern time on the Effective Date </w:t>
      </w:r>
      <w:r>
        <w:rPr>
          <w:rFonts w:ascii="Times New Roman" w:cs="Times New Roman" w:eastAsia="Times New Roman" w:hAnsi="Times New Roman"/>
          <w:sz w:val="18"/>
          <w:szCs w:val="18"/>
          <w:color w:val="0000FF"/>
        </w:rPr>
        <w:t>or the Third Amendment Date, as applicable</w:t>
      </w:r>
      <w:r>
        <w:rPr>
          <w:rFonts w:ascii="Times New Roman" w:cs="Times New Roman" w:eastAsia="Times New Roman" w:hAnsi="Times New Roman"/>
          <w:sz w:val="18"/>
          <w:szCs w:val="18"/>
          <w:color w:val="000000"/>
        </w:rPr>
        <w:t>, the proceeds of such amounts received by the Administrative Agent.</w:t>
      </w:r>
    </w:p>
    <w:p>
      <w:pPr>
        <w:spacing w:after="0" w:line="188" w:lineRule="exact"/>
        <w:rPr>
          <w:rFonts w:ascii="Times New Roman" w:cs="Times New Roman" w:eastAsia="Times New Roman" w:hAnsi="Times New Roman"/>
          <w:sz w:val="18"/>
          <w:szCs w:val="18"/>
          <w:color w:val="auto"/>
        </w:rPr>
      </w:pPr>
    </w:p>
    <w:p>
      <w:pPr>
        <w:ind w:firstLine="436"/>
        <w:spacing w:after="0" w:line="251" w:lineRule="auto"/>
        <w:tabs>
          <w:tab w:leader="none" w:pos="695"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Assumptions Regarding Funding by Lenders</w:t>
      </w:r>
      <w:r>
        <w:rPr>
          <w:rFonts w:ascii="Times New Roman" w:cs="Times New Roman" w:eastAsia="Times New Roman" w:hAnsi="Times New Roman"/>
          <w:sz w:val="18"/>
          <w:szCs w:val="18"/>
          <w:color w:val="auto"/>
        </w:rPr>
        <w:t>. Unless the Administrative Agent shall have been notified by any Lender that such Lender will not make available to the Administrative Agent the Loan to be made by such Lender in connection with the borrowing, the Administrative Agent may assume that such Lender will make the proceeds of such Loan available to the Administrative Agent in accordance with this Section, and the Administrative Agent may (but shall not be obligated to), in reliance upon such assumption, make available to the Borrower the amount of such Loan to be provided by such Lender. If the Administrative Agent makes the amount of such Loan available to the Borrower prior to its receipt of any proceeds of Loans by any Lender, then if such Lender has not funded its Loan prior to the time set forth therefor in clause (c) above, the Administrative Agent shall use reasonable efforts to notify the Borrower that such Lender has failed to fund by the time required therefore; provided, however, that the Administrative Agent’s failure to provide such notice shall not result in any liability to the Administrative Agent and shall not affect any other provision set forth herein. In such event, if such Lender does not make available to the Administrative Agent the proceeds of such Loan, then such Lender and the Borrower severally agree to pay to the Administrative Agent on demand the amount of such Loan with interest thereon, for each day from and including the date such Loan is made available to the Borrower but excluding the date of payment to the Administrative Agent, at (i) in the case of a payment to be made by such Lender, the Federal Funds Rate and (ii) in the case of a payment to be made by the Borrower, the interest rate applicable to Base Rate Loans. Notwithstanding the prior sentence, if any Lender shall fail to make available to the Administrative Agent the proceeds of the Loan on the date and at the time specified in Section 2.1.(c) but shall make such proceeds available to the Administrative Agent at a later time on such date, such Lender shall pay to the Administrative Agent one day’s worth of interest computed in accordance with clause (i) of the immediately preceding sentence, unless such Lender can provide evidence reasonably satisfactory to the Administrative Agent that such Lender has timely made such proceeds available to the Administrative Agent, including, without limitation, a Fed Reference Number screen shot evidencing the date and time such Lender’s wire was sent. If the Borrower and such Lender shall pay the amount of such interest to the Administrative Agent for the same or overlapping period, the Administrative Agent shall promptly remit to the Borrower the amount of such interest paid by the Borrower for such period. If such Lender pays to the Administrative Agent the amount of such Loan, the amount so paid shall constitute such Lender’s Loan included in the borrowing. Any payment by the Borrower shall be without prejudice to any claim the Borrower may have against a Lender that shall have failed to make available the proceeds of the Loan to be made by such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-3552190</wp:posOffset>
            </wp:positionV>
            <wp:extent cx="2065655"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2065655" cy="8890"/>
                    </a:xfrm>
                    <a:prstGeom prst="rect">
                      <a:avLst/>
                    </a:prstGeom>
                    <a:noFill/>
                  </pic:spPr>
                </pic:pic>
              </a:graphicData>
            </a:graphic>
          </wp:anchor>
        </w:drawing>
        <w:drawing>
          <wp:anchor simplePos="0" relativeHeight="251657728" behindDoc="1" locked="0" layoutInCell="0" allowOverlap="1">
            <wp:simplePos x="0" y="0"/>
            <wp:positionH relativeFrom="column">
              <wp:posOffset>213360</wp:posOffset>
            </wp:positionH>
            <wp:positionV relativeFrom="paragraph">
              <wp:posOffset>-3586480</wp:posOffset>
            </wp:positionV>
            <wp:extent cx="206248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2062480" cy="8255"/>
                    </a:xfrm>
                    <a:prstGeom prst="rect">
                      <a:avLst/>
                    </a:prstGeom>
                    <a:noFill/>
                  </pic:spPr>
                </pic:pic>
              </a:graphicData>
            </a:graphic>
          </wp:anchor>
        </w:drawing>
        <w:drawing>
          <wp:anchor simplePos="0" relativeHeight="251657728" behindDoc="1" locked="0" layoutInCell="0" allowOverlap="1">
            <wp:simplePos x="0" y="0"/>
            <wp:positionH relativeFrom="column">
              <wp:posOffset>5200650</wp:posOffset>
            </wp:positionH>
            <wp:positionV relativeFrom="paragraph">
              <wp:posOffset>-3552190</wp:posOffset>
            </wp:positionV>
            <wp:extent cx="177419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774190" cy="8890"/>
                    </a:xfrm>
                    <a:prstGeom prst="rect">
                      <a:avLst/>
                    </a:prstGeom>
                    <a:noFill/>
                  </pic:spPr>
                </pic:pic>
              </a:graphicData>
            </a:graphic>
          </wp:anchor>
        </w:drawing>
        <w:drawing>
          <wp:anchor simplePos="0" relativeHeight="251657728" behindDoc="1" locked="0" layoutInCell="0" allowOverlap="1">
            <wp:simplePos x="0" y="0"/>
            <wp:positionH relativeFrom="column">
              <wp:posOffset>5201285</wp:posOffset>
            </wp:positionH>
            <wp:positionV relativeFrom="paragraph">
              <wp:posOffset>-3586480</wp:posOffset>
            </wp:positionV>
            <wp:extent cx="177673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77673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-3415030</wp:posOffset>
            </wp:positionV>
            <wp:extent cx="591185"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591185" cy="8890"/>
                    </a:xfrm>
                    <a:prstGeom prst="rect">
                      <a:avLst/>
                    </a:prstGeom>
                    <a:noFill/>
                  </pic:spPr>
                </pic:pic>
              </a:graphicData>
            </a:graphic>
          </wp:anchor>
        </w:drawing>
        <w:drawing>
          <wp:anchor simplePos="0" relativeHeight="251657728" behindDoc="1" locked="0" layoutInCell="0" allowOverlap="1">
            <wp:simplePos x="0" y="0"/>
            <wp:positionH relativeFrom="column">
              <wp:posOffset>2809240</wp:posOffset>
            </wp:positionH>
            <wp:positionV relativeFrom="paragraph">
              <wp:posOffset>-3277870</wp:posOffset>
            </wp:positionV>
            <wp:extent cx="205740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2057400" cy="8255"/>
                    </a:xfrm>
                    <a:prstGeom prst="rect">
                      <a:avLst/>
                    </a:prstGeom>
                    <a:noFill/>
                  </pic:spPr>
                </pic:pic>
              </a:graphicData>
            </a:graphic>
          </wp:anchor>
        </w:drawing>
        <w:drawing>
          <wp:anchor simplePos="0" relativeHeight="251657728" behindDoc="1" locked="0" layoutInCell="0" allowOverlap="1">
            <wp:simplePos x="0" y="0"/>
            <wp:positionH relativeFrom="column">
              <wp:posOffset>2806065</wp:posOffset>
            </wp:positionH>
            <wp:positionV relativeFrom="paragraph">
              <wp:posOffset>-3312160</wp:posOffset>
            </wp:positionV>
            <wp:extent cx="206248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2062480" cy="8255"/>
                    </a:xfrm>
                    <a:prstGeom prst="rect">
                      <a:avLst/>
                    </a:prstGeom>
                    <a:noFill/>
                  </pic:spPr>
                </pic:pic>
              </a:graphicData>
            </a:graphic>
          </wp:anchor>
        </w:drawing>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00"/>
          </w:cols>
          <w:pgMar w:left="440" w:top="270" w:right="45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2.2. [Intentionally Omitted].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2.3. [Intentionally Omitted].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2.4. [Intentionally Omitted].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2.5. Rates and Payment of Interest on Loans.</w:t>
      </w:r>
    </w:p>
    <w:p>
      <w:pPr>
        <w:spacing w:after="0" w:line="121" w:lineRule="exact"/>
        <w:rPr>
          <w:sz w:val="20"/>
          <w:szCs w:val="20"/>
          <w:color w:val="auto"/>
        </w:rPr>
      </w:pPr>
    </w:p>
    <w:p>
      <w:pPr>
        <w:ind w:firstLine="436"/>
        <w:spacing w:after="0" w:line="266" w:lineRule="auto"/>
        <w:tabs>
          <w:tab w:leader="none" w:pos="685"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Rates</w:t>
      </w:r>
      <w:r>
        <w:rPr>
          <w:rFonts w:ascii="Times New Roman" w:cs="Times New Roman" w:eastAsia="Times New Roman" w:hAnsi="Times New Roman"/>
          <w:sz w:val="18"/>
          <w:szCs w:val="18"/>
          <w:color w:val="auto"/>
        </w:rPr>
        <w:t>. The Borrower promises to pay to the Administrative Agent for the account of each Lender interest on the unpaid principal amount of the Loan made by such Lender for the period from and including the date of the making of such Loan to but excluding the date such Loan shall be paid in full, at the following per annum rates:</w:t>
      </w:r>
    </w:p>
    <w:p>
      <w:pPr>
        <w:spacing w:after="0" w:line="67" w:lineRule="exact"/>
        <w:rPr>
          <w:rFonts w:ascii="Times New Roman" w:cs="Times New Roman" w:eastAsia="Times New Roman" w:hAnsi="Times New Roman"/>
          <w:sz w:val="18"/>
          <w:szCs w:val="18"/>
          <w:color w:val="auto"/>
        </w:rPr>
      </w:pPr>
    </w:p>
    <w:p>
      <w:pPr>
        <w:ind w:left="440" w:right="220" w:firstLine="419"/>
        <w:spacing w:after="0" w:line="282" w:lineRule="auto"/>
        <w:tabs>
          <w:tab w:leader="none" w:pos="1078"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such periods as such Loan is a Base Rate Loan, at the Base Rate (as in effect from time to time), plus the Applicable Margin for Base Rate Loans; and</w:t>
      </w:r>
    </w:p>
    <w:p>
      <w:pPr>
        <w:spacing w:after="0" w:line="53" w:lineRule="exact"/>
        <w:rPr>
          <w:rFonts w:ascii="Times New Roman" w:cs="Times New Roman" w:eastAsia="Times New Roman" w:hAnsi="Times New Roman"/>
          <w:sz w:val="18"/>
          <w:szCs w:val="18"/>
          <w:color w:val="auto"/>
        </w:rPr>
      </w:pPr>
    </w:p>
    <w:p>
      <w:pPr>
        <w:ind w:left="440" w:right="40" w:firstLine="419"/>
        <w:spacing w:after="0" w:line="282" w:lineRule="auto"/>
        <w:tabs>
          <w:tab w:leader="none" w:pos="1128"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such periods as such Loan is a </w:t>
      </w:r>
      <w:r>
        <w:rPr>
          <w:rFonts w:ascii="Times New Roman" w:cs="Times New Roman" w:eastAsia="Times New Roman" w:hAnsi="Times New Roman"/>
          <w:sz w:val="18"/>
          <w:szCs w:val="18"/>
          <w:color w:val="FF0000"/>
          <w:strike w:val="1"/>
        </w:rPr>
        <w:t>LIBOR</w:t>
      </w:r>
      <w:r>
        <w:rPr>
          <w:rFonts w:ascii="Times New Roman" w:cs="Times New Roman" w:eastAsia="Times New Roman" w:hAnsi="Times New Roman"/>
          <w:sz w:val="18"/>
          <w:szCs w:val="18"/>
          <w:u w:val="single" w:color="auto"/>
          <w:color w:val="0000FF"/>
        </w:rPr>
        <w:t>SOFR</w:t>
      </w:r>
      <w:r>
        <w:rPr>
          <w:rFonts w:ascii="Times New Roman" w:cs="Times New Roman" w:eastAsia="Times New Roman" w:hAnsi="Times New Roman"/>
          <w:sz w:val="18"/>
          <w:szCs w:val="18"/>
          <w:color w:val="auto"/>
        </w:rPr>
        <w:t xml:space="preserve"> Loan, at </w:t>
      </w:r>
      <w:r>
        <w:rPr>
          <w:rFonts w:ascii="Times New Roman" w:cs="Times New Roman" w:eastAsia="Times New Roman" w:hAnsi="Times New Roman"/>
          <w:sz w:val="18"/>
          <w:szCs w:val="18"/>
          <w:color w:val="FF0000"/>
          <w:strike w:val="1"/>
        </w:rPr>
        <w:t>LIBOR</w:t>
      </w:r>
      <w:r>
        <w:rPr>
          <w:rFonts w:ascii="Times New Roman" w:cs="Times New Roman" w:eastAsia="Times New Roman" w:hAnsi="Times New Roman"/>
          <w:sz w:val="18"/>
          <w:szCs w:val="18"/>
          <w:u w:val="single" w:color="auto"/>
          <w:color w:val="0000FF"/>
        </w:rPr>
        <w:t>Adjusted Term SOFR</w:t>
      </w:r>
      <w:r>
        <w:rPr>
          <w:rFonts w:ascii="Times New Roman" w:cs="Times New Roman" w:eastAsia="Times New Roman" w:hAnsi="Times New Roman"/>
          <w:sz w:val="18"/>
          <w:szCs w:val="18"/>
          <w:color w:val="auto"/>
        </w:rPr>
        <w:t xml:space="preserve"> for such Loan for the Interest Period therefor, plus the Applicable Margin for </w:t>
      </w:r>
      <w:r>
        <w:rPr>
          <w:rFonts w:ascii="Times New Roman" w:cs="Times New Roman" w:eastAsia="Times New Roman" w:hAnsi="Times New Roman"/>
          <w:sz w:val="18"/>
          <w:szCs w:val="18"/>
          <w:color w:val="FF0000"/>
          <w:strike w:val="1"/>
        </w:rPr>
        <w:t>LIBOR</w:t>
      </w:r>
      <w:r>
        <w:rPr>
          <w:rFonts w:ascii="Times New Roman" w:cs="Times New Roman" w:eastAsia="Times New Roman" w:hAnsi="Times New Roman"/>
          <w:sz w:val="18"/>
          <w:szCs w:val="18"/>
          <w:u w:val="single" w:color="auto"/>
          <w:color w:val="0000FF"/>
        </w:rPr>
        <w:t>SOFR</w:t>
      </w:r>
      <w:r>
        <w:rPr>
          <w:rFonts w:ascii="Times New Roman" w:cs="Times New Roman" w:eastAsia="Times New Roman" w:hAnsi="Times New Roman"/>
          <w:sz w:val="18"/>
          <w:szCs w:val="18"/>
          <w:color w:val="auto"/>
        </w:rPr>
        <w:t xml:space="preserv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2792095</wp:posOffset>
            </wp:positionH>
            <wp:positionV relativeFrom="paragraph">
              <wp:posOffset>-151130</wp:posOffset>
            </wp:positionV>
            <wp:extent cx="291465"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291465" cy="8255"/>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-151130</wp:posOffset>
            </wp:positionV>
            <wp:extent cx="99441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994410" cy="8255"/>
                    </a:xfrm>
                    <a:prstGeom prst="rect">
                      <a:avLst/>
                    </a:prstGeom>
                    <a:noFill/>
                  </pic:spPr>
                </pic:pic>
              </a:graphicData>
            </a:graphic>
          </wp:anchor>
        </w:drawing>
        <w:drawing>
          <wp:anchor simplePos="0" relativeHeight="251657728" behindDoc="1" locked="0" layoutInCell="0" allowOverlap="1">
            <wp:simplePos x="0" y="0"/>
            <wp:positionH relativeFrom="column">
              <wp:posOffset>2063115</wp:posOffset>
            </wp:positionH>
            <wp:positionV relativeFrom="paragraph">
              <wp:posOffset>-13970</wp:posOffset>
            </wp:positionV>
            <wp:extent cx="28321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283210" cy="8255"/>
                    </a:xfrm>
                    <a:prstGeom prst="rect">
                      <a:avLst/>
                    </a:prstGeom>
                    <a:noFill/>
                  </pic:spPr>
                </pic:pic>
              </a:graphicData>
            </a:graphic>
          </wp:anchor>
        </w:drawing>
      </w:r>
    </w:p>
    <w:p>
      <w:pPr>
        <w:spacing w:after="0" w:line="142"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Notwithstanding the foregoing, while an Event of Default exists, the Borrower shall pay to the Administrative Agent for the account of each Lender, interest at the Post-Default Rate on the outstanding principal amount of the Loan made by such Lender, and on any other amount payable by the Borrower hereunder or under the Note held by such Lender to or for the account of such Lender (including without limitation, accrued but unpaid interest to the extent permitted under Applicable Law).</w:t>
      </w:r>
    </w:p>
    <w:p>
      <w:pPr>
        <w:spacing w:after="0" w:line="180" w:lineRule="exact"/>
        <w:rPr>
          <w:sz w:val="20"/>
          <w:szCs w:val="20"/>
          <w:color w:val="auto"/>
        </w:rPr>
      </w:pPr>
    </w:p>
    <w:p>
      <w:pPr>
        <w:ind w:right="140" w:firstLine="436"/>
        <w:spacing w:after="0" w:line="255" w:lineRule="auto"/>
        <w:tabs>
          <w:tab w:leader="none" w:pos="695"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Interest</w:t>
      </w:r>
      <w:r>
        <w:rPr>
          <w:rFonts w:ascii="Times New Roman" w:cs="Times New Roman" w:eastAsia="Times New Roman" w:hAnsi="Times New Roman"/>
          <w:sz w:val="18"/>
          <w:szCs w:val="18"/>
          <w:color w:val="auto"/>
        </w:rPr>
        <w:t>. All accrued and unpaid interest on the outstanding principal amount of each Loan shall be payable (i) monthly in arrears on the first day of each month, commencing with the first full calendar month occurring after the Effective Date and (ii) on any date on which the principal balance of such Loan is due and payable in full (whether at maturity, due to acceleration or otherwise). Interest payable at the Post-Default Rate shall be payable from time to time on demand. Promptly after the determination of any interest rate provided for herein or any change therein, the Administrative Agent shall give notice thereof to the Lenders to which such interest is payable and to the Borrower. All determinations by the Administrative Agent of an interest rate hereunder shall be conclusive and binding on the Lenders and the Borrower for all purposes, absent manifest error.</w:t>
      </w:r>
    </w:p>
    <w:p>
      <w:pPr>
        <w:spacing w:after="0" w:line="80"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Borrower Information Used to Determine Applicable Interest Rates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right="60" w:firstLine="419"/>
        <w:spacing w:after="0" w:line="274" w:lineRule="auto"/>
        <w:tabs>
          <w:tab w:leader="none" w:pos="1078" w:val="left"/>
        </w:tabs>
        <w:numPr>
          <w:ilvl w:val="1"/>
          <w:numId w:val="2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parties understand that the applicable interest rate for the Obligations and certain fees set forth herein may be determined and/or adjusted from time to time based upon certain financial ratios and/or other information to be provided or certified to the Lenders by the Borrower (the “</w:t>
      </w:r>
      <w:r>
        <w:rPr>
          <w:rFonts w:ascii="Times New Roman" w:cs="Times New Roman" w:eastAsia="Times New Roman" w:hAnsi="Times New Roman"/>
          <w:sz w:val="17"/>
          <w:szCs w:val="17"/>
          <w:b w:val="1"/>
          <w:bCs w:val="1"/>
          <w:color w:val="auto"/>
        </w:rPr>
        <w:t>Borrower Information</w:t>
      </w:r>
      <w:r>
        <w:rPr>
          <w:rFonts w:ascii="Times New Roman" w:cs="Times New Roman" w:eastAsia="Times New Roman" w:hAnsi="Times New Roman"/>
          <w:sz w:val="17"/>
          <w:szCs w:val="17"/>
          <w:color w:val="auto"/>
        </w:rPr>
        <w:t>”). If it is subsequently determined that any such Borrower Information was incorrect (for whatever reason, including without limitation because of a subsequent restatement of earnings by the Borrower) at the time it was delivered to the Administrative Agent, and if the applicable interest rate or fees calculated for any period were lower than they should have been had the correct information been timely provided, then, such interest rate and such fees for such period shall be automatically recalculated using correct Borrower Information.</w:t>
      </w:r>
    </w:p>
    <w:p>
      <w:pPr>
        <w:spacing w:after="0" w:line="64" w:lineRule="exact"/>
        <w:rPr>
          <w:rFonts w:ascii="Times New Roman" w:cs="Times New Roman" w:eastAsia="Times New Roman" w:hAnsi="Times New Roman"/>
          <w:sz w:val="17"/>
          <w:szCs w:val="17"/>
          <w:color w:val="auto"/>
        </w:rPr>
      </w:pPr>
    </w:p>
    <w:p>
      <w:pPr>
        <w:ind w:left="440" w:right="20" w:firstLine="419"/>
        <w:spacing w:after="0" w:line="261" w:lineRule="auto"/>
        <w:tabs>
          <w:tab w:leader="none" w:pos="1128"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Borrower’s Credit Rating from one or more Rating Agency is downgraded and such downgrade results in an increase in the Applicable Margin, but such higher Credit Rating is subsequently restored and the increased Applicable Margin would no longer be applicable within 90 days from the first day such downgrade was effective, the Borrower will receive a credit for incremental borrowing costs and fees paid by the Borrower during such 90 day period solely as a result of the downgrade and increase in the Applicable Margin. Additionally, in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00"/>
          </w:cols>
          <w:pgMar w:left="440" w:top="266" w:right="459" w:bottom="1440" w:gutter="0" w:footer="0" w:header="0"/>
        </w:sectPr>
      </w:pPr>
    </w:p>
    <w:bookmarkStart w:id="218" w:name="page219"/>
    <w:bookmarkEnd w:id="218"/>
    <w:p>
      <w:pPr>
        <w:ind w:left="440"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event the Borrower’s Credit Rating from one or more Rating Agency is upgraded and such upgrade results in a decrease in the Applicable Margin, but such lower Credit Rating is subsequently restored and the decreased Applicable Margin would no longer be applicable within 90 days from the first day such upgrade was effective, the Borrower will pay the incremental borrowing costs and fees which would have otherwise been payable during such 90 day period had the upgrade not occurred.</w:t>
      </w:r>
    </w:p>
    <w:p>
      <w:pPr>
        <w:spacing w:after="0" w:line="72" w:lineRule="exact"/>
        <w:rPr>
          <w:sz w:val="20"/>
          <w:szCs w:val="20"/>
          <w:color w:val="auto"/>
        </w:rPr>
      </w:pPr>
    </w:p>
    <w:p>
      <w:pPr>
        <w:ind w:left="440" w:right="20" w:firstLine="419"/>
        <w:spacing w:after="0" w:line="258" w:lineRule="auto"/>
        <w:tabs>
          <w:tab w:leader="none" w:pos="1178"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promptly notify the Borrower in writing of any additional interest and fees due or of any interest and fees credited because of such recalculation or changed Credit Rating, and, to the extent additional fees and interest are due, the Borrower shall pay such additional interest or fees due to the Administrative Agent, for the account of each Lender, within five (5) Business Days of receipt of such written notice. Any recalculation of interest or fees required by this Section 2.5.(c) shall survive the termination of this Agreement, and this provision shall not in any way limit any of the Administrative Agent’s or any Lender’s other rights under this Agreement.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2.6. Number of Interest Periods.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There may be no more than three (3) different Interest Periods for Loans outstanding at the same time.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2.7. Repayment of Loans.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Borrower shall repay the entire outstanding principal amount of, and all accrued but unpaid interest on, the Loans on the Maturity Date.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2.8. Prepayments.</w:t>
      </w:r>
    </w:p>
    <w:p>
      <w:pPr>
        <w:spacing w:after="0" w:line="121"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u w:val="single" w:color="auto"/>
          <w:color w:val="auto"/>
        </w:rPr>
        <w:t>Optional</w:t>
      </w:r>
      <w:r>
        <w:rPr>
          <w:rFonts w:ascii="Times New Roman" w:cs="Times New Roman" w:eastAsia="Times New Roman" w:hAnsi="Times New Roman"/>
          <w:sz w:val="18"/>
          <w:szCs w:val="18"/>
          <w:color w:val="auto"/>
        </w:rPr>
        <w:t xml:space="preserve">. Subject to Section 4.4., the Borrower may prepay any Loan in whole or part at any time without premium or penalty. The Borrower shall give the Administrative Agent at least one (1) </w:t>
      </w:r>
      <w:r>
        <w:rPr>
          <w:rFonts w:ascii="Times New Roman" w:cs="Times New Roman" w:eastAsia="Times New Roman" w:hAnsi="Times New Roman"/>
          <w:sz w:val="18"/>
          <w:szCs w:val="18"/>
          <w:u w:val="single" w:color="auto"/>
          <w:color w:val="0000FF"/>
        </w:rPr>
        <w:t>U.S. Government Securities</w:t>
      </w:r>
      <w:r>
        <w:rPr>
          <w:rFonts w:ascii="Times New Roman" w:cs="Times New Roman" w:eastAsia="Times New Roman" w:hAnsi="Times New Roman"/>
          <w:sz w:val="18"/>
          <w:szCs w:val="18"/>
          <w:color w:val="auto"/>
        </w:rPr>
        <w:t xml:space="preserve"> Business Day’s prior written notice of the prepayment of any Loan. Each voluntary prepayment of Loans shall be in an aggregate minimum amount of $1,000,000 and integral multiples of $100,000 in excess thereof (or, if less, the aggregate principal amount of Loans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-276860</wp:posOffset>
            </wp:positionV>
            <wp:extent cx="1311275"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2.9. Continuation.</w:t>
      </w:r>
    </w:p>
    <w:p>
      <w:pPr>
        <w:spacing w:after="0" w:line="121"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So long as no Event of Default exists, the Borrower may on any Business Day, with respect to any </w:t>
      </w:r>
      <w:r>
        <w:rPr>
          <w:rFonts w:ascii="Times New Roman" w:cs="Times New Roman" w:eastAsia="Times New Roman" w:hAnsi="Times New Roman"/>
          <w:sz w:val="18"/>
          <w:szCs w:val="18"/>
          <w:color w:val="FF0000"/>
          <w:strike w:val="1"/>
        </w:rPr>
        <w:t>LIBOR</w:t>
      </w:r>
      <w:r>
        <w:rPr>
          <w:rFonts w:ascii="Times New Roman" w:cs="Times New Roman" w:eastAsia="Times New Roman" w:hAnsi="Times New Roman"/>
          <w:sz w:val="18"/>
          <w:szCs w:val="18"/>
          <w:u w:val="single" w:color="auto"/>
          <w:color w:val="0000FF"/>
        </w:rPr>
        <w:t>SOFR</w:t>
      </w:r>
      <w:r>
        <w:rPr>
          <w:rFonts w:ascii="Times New Roman" w:cs="Times New Roman" w:eastAsia="Times New Roman" w:hAnsi="Times New Roman"/>
          <w:sz w:val="18"/>
          <w:szCs w:val="18"/>
          <w:color w:val="auto"/>
        </w:rPr>
        <w:t xml:space="preserve"> Loan, elect to maintain such </w:t>
      </w:r>
      <w:r>
        <w:rPr>
          <w:rFonts w:ascii="Times New Roman" w:cs="Times New Roman" w:eastAsia="Times New Roman" w:hAnsi="Times New Roman"/>
          <w:sz w:val="18"/>
          <w:szCs w:val="18"/>
          <w:color w:val="FF0000"/>
          <w:strike w:val="1"/>
        </w:rPr>
        <w:t>LIBOR</w:t>
      </w:r>
      <w:r>
        <w:rPr>
          <w:rFonts w:ascii="Times New Roman" w:cs="Times New Roman" w:eastAsia="Times New Roman" w:hAnsi="Times New Roman"/>
          <w:sz w:val="18"/>
          <w:szCs w:val="18"/>
          <w:u w:val="single" w:color="auto"/>
          <w:color w:val="0000FF"/>
        </w:rPr>
        <w:t>SOFR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Loan or any portion thereof as a</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LIBOR</w:t>
      </w:r>
      <w:r>
        <w:rPr>
          <w:rFonts w:ascii="Times New Roman" w:cs="Times New Roman" w:eastAsia="Times New Roman" w:hAnsi="Times New Roman"/>
          <w:sz w:val="18"/>
          <w:szCs w:val="18"/>
          <w:u w:val="single" w:color="auto"/>
          <w:color w:val="0000FF"/>
        </w:rPr>
        <w:t>SOFR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Loan by selecting a new Interest Period for such</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LIBOR</w:t>
      </w:r>
      <w:r>
        <w:rPr>
          <w:rFonts w:ascii="Times New Roman" w:cs="Times New Roman" w:eastAsia="Times New Roman" w:hAnsi="Times New Roman"/>
          <w:sz w:val="18"/>
          <w:szCs w:val="18"/>
          <w:u w:val="single" w:color="auto"/>
          <w:color w:val="0000FF"/>
        </w:rPr>
        <w:t>SOFR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Loan. Each Continuation of</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a </w:t>
      </w:r>
      <w:r>
        <w:rPr>
          <w:rFonts w:ascii="Times New Roman" w:cs="Times New Roman" w:eastAsia="Times New Roman" w:hAnsi="Times New Roman"/>
          <w:sz w:val="18"/>
          <w:szCs w:val="18"/>
          <w:color w:val="FF0000"/>
          <w:strike w:val="1"/>
        </w:rPr>
        <w:t>LIBOR</w:t>
      </w:r>
      <w:r>
        <w:rPr>
          <w:rFonts w:ascii="Times New Roman" w:cs="Times New Roman" w:eastAsia="Times New Roman" w:hAnsi="Times New Roman"/>
          <w:sz w:val="18"/>
          <w:szCs w:val="18"/>
          <w:u w:val="single" w:color="auto"/>
          <w:color w:val="0000FF"/>
        </w:rPr>
        <w:t>SOFR</w:t>
      </w:r>
      <w:r>
        <w:rPr>
          <w:rFonts w:ascii="Times New Roman" w:cs="Times New Roman" w:eastAsia="Times New Roman" w:hAnsi="Times New Roman"/>
          <w:sz w:val="18"/>
          <w:szCs w:val="18"/>
          <w:color w:val="000000"/>
        </w:rPr>
        <w:t xml:space="preserve"> Loan shall be in an aggregate minimum amount of $1,000,000 and integral multiples of $1,000,000 in excess of that amount, and each new Interest Period selected </w:t>
      </w:r>
      <w:r>
        <w:rPr>
          <w:rFonts w:ascii="Times New Roman" w:cs="Times New Roman" w:eastAsia="Times New Roman" w:hAnsi="Times New Roman"/>
          <w:sz w:val="18"/>
          <w:szCs w:val="18"/>
          <w:color w:val="FF0000"/>
          <w:strike w:val="1"/>
        </w:rPr>
        <w:t>under this Section</w:t>
      </w:r>
      <w:r>
        <w:rPr>
          <w:rFonts w:ascii="Times New Roman" w:cs="Times New Roman" w:eastAsia="Times New Roman" w:hAnsi="Times New Roman"/>
          <w:sz w:val="18"/>
          <w:szCs w:val="18"/>
          <w:u w:val="single" w:color="auto"/>
          <w:color w:val="0000FF"/>
        </w:rPr>
        <w:t>in the Notice of Continuation</w:t>
      </w:r>
      <w:r>
        <w:rPr>
          <w:rFonts w:ascii="Times New Roman" w:cs="Times New Roman" w:eastAsia="Times New Roman" w:hAnsi="Times New Roman"/>
          <w:sz w:val="18"/>
          <w:szCs w:val="18"/>
          <w:color w:val="000000"/>
        </w:rPr>
        <w:t xml:space="preserve"> shall commence on the last day of the immediately preceding Interest Period. </w:t>
      </w:r>
      <w:r>
        <w:rPr>
          <w:rFonts w:ascii="Times New Roman" w:cs="Times New Roman" w:eastAsia="Times New Roman" w:hAnsi="Times New Roman"/>
          <w:sz w:val="18"/>
          <w:szCs w:val="18"/>
          <w:color w:val="FF0000"/>
          <w:strike w:val="1"/>
        </w:rPr>
        <w:t>Each selection of a new Interest Period shall be made by</w:t>
      </w:r>
      <w:r>
        <w:rPr>
          <w:rFonts w:ascii="Times New Roman" w:cs="Times New Roman" w:eastAsia="Times New Roman" w:hAnsi="Times New Roman"/>
          <w:sz w:val="18"/>
          <w:szCs w:val="18"/>
          <w:u w:val="single" w:color="auto"/>
          <w:color w:val="0000FF"/>
        </w:rPr>
        <w:t>Whenever</w:t>
      </w:r>
      <w:r>
        <w:rPr>
          <w:rFonts w:ascii="Times New Roman" w:cs="Times New Roman" w:eastAsia="Times New Roman" w:hAnsi="Times New Roman"/>
          <w:sz w:val="18"/>
          <w:szCs w:val="18"/>
          <w:color w:val="000000"/>
        </w:rPr>
        <w:t xml:space="preserve"> the Borrower </w:t>
      </w:r>
      <w:r>
        <w:rPr>
          <w:rFonts w:ascii="Times New Roman" w:cs="Times New Roman" w:eastAsia="Times New Roman" w:hAnsi="Times New Roman"/>
          <w:sz w:val="18"/>
          <w:szCs w:val="18"/>
          <w:color w:val="FF0000"/>
          <w:strike w:val="1"/>
        </w:rPr>
        <w:t>giving</w:t>
      </w:r>
      <w:r>
        <w:rPr>
          <w:rFonts w:ascii="Times New Roman" w:cs="Times New Roman" w:eastAsia="Times New Roman" w:hAnsi="Times New Roman"/>
          <w:sz w:val="18"/>
          <w:szCs w:val="18"/>
          <w:u w:val="single" w:color="auto"/>
          <w:color w:val="0000FF"/>
        </w:rPr>
        <w:t>desires to continue Loans as provided above, the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Borrower shall give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to the Administrative Agent a Notice of Continuation not later than 12:00 p.m. noon Eastern time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on the third</w:t>
      </w:r>
      <w:r>
        <w:rPr>
          <w:rFonts w:ascii="Times New Roman" w:cs="Times New Roman" w:eastAsia="Times New Roman" w:hAnsi="Times New Roman"/>
          <w:sz w:val="18"/>
          <w:szCs w:val="18"/>
          <w:u w:val="single" w:color="auto"/>
          <w:color w:val="0000FF"/>
        </w:rPr>
        <w:t>three (3) U.S.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Government Securities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Business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Day prior to the date of any such</w:t>
      </w:r>
      <w:r>
        <w:rPr>
          <w:rFonts w:ascii="Times New Roman" w:cs="Times New Roman" w:eastAsia="Times New Roman" w:hAnsi="Times New Roman"/>
          <w:sz w:val="18"/>
          <w:szCs w:val="18"/>
          <w:u w:val="single" w:color="auto"/>
          <w:color w:val="0000FF"/>
        </w:rPr>
        <w:t>Days before the day on which a proposed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Continuation</w:t>
      </w:r>
      <w:r>
        <w:rPr>
          <w:rFonts w:ascii="Times New Roman" w:cs="Times New Roman" w:eastAsia="Times New Roman" w:hAnsi="Times New Roman"/>
          <w:sz w:val="18"/>
          <w:szCs w:val="18"/>
          <w:color w:val="0000FF"/>
        </w:rPr>
        <w:t xml:space="preserve"> of such Loan is to be effective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Such notice by the Borrower of a Continuation shall be by telephone (confirmed promptly in writing on the same Business Day), electronic mail or other similar form of communication in the form of a Notice of Continuation, specifying (a) the proposed date of such Continuation, (b) the </w:t>
      </w:r>
      <w:r>
        <w:rPr>
          <w:rFonts w:ascii="Times New Roman" w:cs="Times New Roman" w:eastAsia="Times New Roman" w:hAnsi="Times New Roman"/>
          <w:sz w:val="18"/>
          <w:szCs w:val="18"/>
          <w:color w:val="FF0000"/>
          <w:strike w:val="1"/>
        </w:rPr>
        <w:t>LIBOR</w:t>
      </w:r>
      <w:r>
        <w:rPr>
          <w:rFonts w:ascii="Times New Roman" w:cs="Times New Roman" w:eastAsia="Times New Roman" w:hAnsi="Times New Roman"/>
          <w:sz w:val="18"/>
          <w:szCs w:val="18"/>
          <w:u w:val="single" w:color="auto"/>
          <w:color w:val="0000FF"/>
        </w:rPr>
        <w:t>SOFR</w:t>
      </w:r>
      <w:r>
        <w:rPr>
          <w:rFonts w:ascii="Times New Roman" w:cs="Times New Roman" w:eastAsia="Times New Roman" w:hAnsi="Times New Roman"/>
          <w:sz w:val="18"/>
          <w:szCs w:val="18"/>
          <w:color w:val="000000"/>
        </w:rPr>
        <w:t xml:space="preserve"> Loans and portions thereof subject to such Continuation and (c) the duration of the selected Interest Period, all of which shall be specified in such manner as is necessary to comply with all limitations on Loans outstanding hereunder. Each Notice of Continuation shall be irrevocable by and binding on the Borrower once given. Promptly after receipt of a Notice of Continuation, the Administrative Agent shall notify each Lender of the proposed Continuation. If the Borrower shall fail to select in a timely manner a new Interest Period for any </w:t>
      </w:r>
      <w:r>
        <w:rPr>
          <w:rFonts w:ascii="Times New Roman" w:cs="Times New Roman" w:eastAsia="Times New Roman" w:hAnsi="Times New Roman"/>
          <w:sz w:val="18"/>
          <w:szCs w:val="18"/>
          <w:color w:val="FF0000"/>
          <w:strike w:val="1"/>
        </w:rPr>
        <w:t>LIBOR</w:t>
      </w:r>
      <w:r>
        <w:rPr>
          <w:rFonts w:ascii="Times New Roman" w:cs="Times New Roman" w:eastAsia="Times New Roman" w:hAnsi="Times New Roman"/>
          <w:sz w:val="18"/>
          <w:szCs w:val="18"/>
          <w:u w:val="single" w:color="auto"/>
          <w:color w:val="0000FF"/>
        </w:rPr>
        <w:t>SOFR</w:t>
      </w:r>
      <w:r>
        <w:rPr>
          <w:rFonts w:ascii="Times New Roman" w:cs="Times New Roman" w:eastAsia="Times New Roman" w:hAnsi="Times New Roman"/>
          <w:sz w:val="18"/>
          <w:szCs w:val="18"/>
          <w:color w:val="000000"/>
        </w:rPr>
        <w:t xml:space="preserve"> Loan in accordance with this Section, such Loan will automatically, on the last day of the current Interest Period therefor, continue as a </w:t>
      </w:r>
      <w:r>
        <w:rPr>
          <w:rFonts w:ascii="Times New Roman" w:cs="Times New Roman" w:eastAsia="Times New Roman" w:hAnsi="Times New Roman"/>
          <w:sz w:val="18"/>
          <w:szCs w:val="18"/>
          <w:color w:val="FF0000"/>
          <w:strike w:val="1"/>
        </w:rPr>
        <w:t>LIBOR</w:t>
      </w:r>
      <w:r>
        <w:rPr>
          <w:rFonts w:ascii="Times New Roman" w:cs="Times New Roman" w:eastAsia="Times New Roman" w:hAnsi="Times New Roman"/>
          <w:sz w:val="18"/>
          <w:szCs w:val="18"/>
          <w:u w:val="single" w:color="auto"/>
          <w:color w:val="0000FF"/>
        </w:rPr>
        <w:t>SOFR</w:t>
      </w:r>
      <w:r>
        <w:rPr>
          <w:rFonts w:ascii="Times New Roman" w:cs="Times New Roman" w:eastAsia="Times New Roman" w:hAnsi="Times New Roman"/>
          <w:sz w:val="18"/>
          <w:szCs w:val="18"/>
          <w:color w:val="000000"/>
        </w:rPr>
        <w:t xml:space="preserve"> Loan with an Interest Period of one month; provided, however that if </w:t>
      </w:r>
      <w:r>
        <w:rPr>
          <w:rFonts w:ascii="Times New Roman" w:cs="Times New Roman" w:eastAsia="Times New Roman" w:hAnsi="Times New Roman"/>
          <w:sz w:val="18"/>
          <w:szCs w:val="18"/>
          <w:color w:val="FF0000"/>
          <w:strike w:val="1"/>
        </w:rPr>
        <w:t>a</w:t>
      </w:r>
      <w:r>
        <w:rPr>
          <w:rFonts w:ascii="Times New Roman" w:cs="Times New Roman" w:eastAsia="Times New Roman" w:hAnsi="Times New Roman"/>
          <w:sz w:val="18"/>
          <w:szCs w:val="18"/>
          <w:u w:val="single" w:color="auto"/>
          <w:color w:val="0000FF"/>
        </w:rPr>
        <w:t>an</w:t>
      </w:r>
      <w:r>
        <w:rPr>
          <w:rFonts w:ascii="Times New Roman" w:cs="Times New Roman" w:eastAsia="Times New Roman" w:hAnsi="Times New Roman"/>
          <w:sz w:val="18"/>
          <w:szCs w:val="18"/>
          <w:color w:val="000000"/>
        </w:rPr>
        <w:t xml:space="preserve"> Event of Default exists, such Loan will automatically, on the last day of the current Interest Period therefor, Convert into a Base Rate Loan notwithstanding the first sentence of Section 2.10. or the Borrower’s failure to comply with any of the terms of such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5140960</wp:posOffset>
            </wp:positionH>
            <wp:positionV relativeFrom="paragraph">
              <wp:posOffset>-2188210</wp:posOffset>
            </wp:positionV>
            <wp:extent cx="282575"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282575" cy="8255"/>
                    </a:xfrm>
                    <a:prstGeom prst="rect">
                      <a:avLst/>
                    </a:prstGeom>
                    <a:noFill/>
                  </pic:spPr>
                </pic:pic>
              </a:graphicData>
            </a:graphic>
          </wp:anchor>
        </w:drawing>
        <w:drawing>
          <wp:anchor simplePos="0" relativeHeight="251657728" behindDoc="1" locked="0" layoutInCell="0" allowOverlap="1">
            <wp:simplePos x="0" y="0"/>
            <wp:positionH relativeFrom="column">
              <wp:posOffset>340360</wp:posOffset>
            </wp:positionH>
            <wp:positionV relativeFrom="paragraph">
              <wp:posOffset>-2051050</wp:posOffset>
            </wp:positionV>
            <wp:extent cx="282575"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282575" cy="8255"/>
                    </a:xfrm>
                    <a:prstGeom prst="rect">
                      <a:avLst/>
                    </a:prstGeom>
                    <a:noFill/>
                  </pic:spPr>
                </pic:pic>
              </a:graphicData>
            </a:graphic>
          </wp:anchor>
        </w:drawing>
        <w:drawing>
          <wp:anchor simplePos="0" relativeHeight="251657728" behindDoc="1" locked="0" layoutInCell="0" allowOverlap="1">
            <wp:simplePos x="0" y="0"/>
            <wp:positionH relativeFrom="column">
              <wp:posOffset>2491740</wp:posOffset>
            </wp:positionH>
            <wp:positionV relativeFrom="paragraph">
              <wp:posOffset>-2051050</wp:posOffset>
            </wp:positionV>
            <wp:extent cx="282575"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282575" cy="8255"/>
                    </a:xfrm>
                    <a:prstGeom prst="rect">
                      <a:avLst/>
                    </a:prstGeom>
                    <a:noFill/>
                  </pic:spPr>
                </pic:pic>
              </a:graphicData>
            </a:graphic>
          </wp:anchor>
        </w:drawing>
        <w:drawing>
          <wp:anchor simplePos="0" relativeHeight="251657728" behindDoc="1" locked="0" layoutInCell="0" allowOverlap="1">
            <wp:simplePos x="0" y="0"/>
            <wp:positionH relativeFrom="column">
              <wp:posOffset>5389245</wp:posOffset>
            </wp:positionH>
            <wp:positionV relativeFrom="paragraph">
              <wp:posOffset>-2051050</wp:posOffset>
            </wp:positionV>
            <wp:extent cx="282575"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282575" cy="8255"/>
                    </a:xfrm>
                    <a:prstGeom prst="rect">
                      <a:avLst/>
                    </a:prstGeom>
                    <a:noFill/>
                  </pic:spPr>
                </pic:pic>
              </a:graphicData>
            </a:graphic>
          </wp:anchor>
        </w:drawing>
        <w:drawing>
          <wp:anchor simplePos="0" relativeHeight="251657728" behindDoc="1" locked="0" layoutInCell="0" allowOverlap="1">
            <wp:simplePos x="0" y="0"/>
            <wp:positionH relativeFrom="column">
              <wp:posOffset>417195</wp:posOffset>
            </wp:positionH>
            <wp:positionV relativeFrom="paragraph">
              <wp:posOffset>-1913890</wp:posOffset>
            </wp:positionV>
            <wp:extent cx="291465"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291465" cy="8890"/>
                    </a:xfrm>
                    <a:prstGeom prst="rect">
                      <a:avLst/>
                    </a:prstGeom>
                    <a:noFill/>
                  </pic:spPr>
                </pic:pic>
              </a:graphicData>
            </a:graphic>
          </wp:anchor>
        </w:drawing>
        <w:drawing>
          <wp:anchor simplePos="0" relativeHeight="251657728" behindDoc="1" locked="0" layoutInCell="0" allowOverlap="1">
            <wp:simplePos x="0" y="0"/>
            <wp:positionH relativeFrom="column">
              <wp:posOffset>2131695</wp:posOffset>
            </wp:positionH>
            <wp:positionV relativeFrom="paragraph">
              <wp:posOffset>-1776730</wp:posOffset>
            </wp:positionV>
            <wp:extent cx="1345565"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345565" cy="8890"/>
                    </a:xfrm>
                    <a:prstGeom prst="rect">
                      <a:avLst/>
                    </a:prstGeom>
                    <a:noFill/>
                  </pic:spPr>
                </pic:pic>
              </a:graphicData>
            </a:graphic>
          </wp:anchor>
        </w:drawing>
        <w:drawing>
          <wp:anchor simplePos="0" relativeHeight="251657728" behindDoc="1" locked="0" layoutInCell="0" allowOverlap="1">
            <wp:simplePos x="0" y="0"/>
            <wp:positionH relativeFrom="column">
              <wp:posOffset>2937510</wp:posOffset>
            </wp:positionH>
            <wp:positionV relativeFrom="paragraph">
              <wp:posOffset>-1639570</wp:posOffset>
            </wp:positionV>
            <wp:extent cx="462915"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462915" cy="8255"/>
                    </a:xfrm>
                    <a:prstGeom prst="rect">
                      <a:avLst/>
                    </a:prstGeom>
                    <a:noFill/>
                  </pic:spPr>
                </pic:pic>
              </a:graphicData>
            </a:graphic>
          </wp:anchor>
        </w:drawing>
        <w:drawing>
          <wp:anchor simplePos="0" relativeHeight="251657728" behindDoc="1" locked="0" layoutInCell="0" allowOverlap="1">
            <wp:simplePos x="0" y="0"/>
            <wp:positionH relativeFrom="column">
              <wp:posOffset>4360545</wp:posOffset>
            </wp:positionH>
            <wp:positionV relativeFrom="paragraph">
              <wp:posOffset>-1639570</wp:posOffset>
            </wp:positionV>
            <wp:extent cx="221996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22199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-1502410</wp:posOffset>
            </wp:positionV>
            <wp:extent cx="908685"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908685" cy="8890"/>
                    </a:xfrm>
                    <a:prstGeom prst="rect">
                      <a:avLst/>
                    </a:prstGeom>
                    <a:noFill/>
                  </pic:spPr>
                </pic:pic>
              </a:graphicData>
            </a:graphic>
          </wp:anchor>
        </w:drawing>
        <w:drawing>
          <wp:anchor simplePos="0" relativeHeight="251657728" behindDoc="1" locked="0" layoutInCell="0" allowOverlap="1">
            <wp:simplePos x="0" y="0"/>
            <wp:positionH relativeFrom="column">
              <wp:posOffset>5937885</wp:posOffset>
            </wp:positionH>
            <wp:positionV relativeFrom="paragraph">
              <wp:posOffset>-1502410</wp:posOffset>
            </wp:positionV>
            <wp:extent cx="625475"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62547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-1365250</wp:posOffset>
            </wp:positionV>
            <wp:extent cx="105410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054100" cy="8255"/>
                    </a:xfrm>
                    <a:prstGeom prst="rect">
                      <a:avLst/>
                    </a:prstGeom>
                    <a:noFill/>
                  </pic:spPr>
                </pic:pic>
              </a:graphicData>
            </a:graphic>
          </wp:anchor>
        </w:drawing>
        <w:drawing>
          <wp:anchor simplePos="0" relativeHeight="251657728" behindDoc="1" locked="0" layoutInCell="0" allowOverlap="1">
            <wp:simplePos x="0" y="0"/>
            <wp:positionH relativeFrom="column">
              <wp:posOffset>3014980</wp:posOffset>
            </wp:positionH>
            <wp:positionV relativeFrom="paragraph">
              <wp:posOffset>-1365250</wp:posOffset>
            </wp:positionV>
            <wp:extent cx="3926205"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3926205" cy="8255"/>
                    </a:xfrm>
                    <a:prstGeom prst="rect">
                      <a:avLst/>
                    </a:prstGeom>
                    <a:noFill/>
                  </pic:spPr>
                </pic:pic>
              </a:graphicData>
            </a:graphic>
          </wp:anchor>
        </w:drawing>
        <w:drawing>
          <wp:anchor simplePos="0" relativeHeight="251657728" behindDoc="1" locked="0" layoutInCell="0" allowOverlap="1">
            <wp:simplePos x="0" y="0"/>
            <wp:positionH relativeFrom="column">
              <wp:posOffset>5530850</wp:posOffset>
            </wp:positionH>
            <wp:positionV relativeFrom="paragraph">
              <wp:posOffset>-1399540</wp:posOffset>
            </wp:positionV>
            <wp:extent cx="140970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409700" cy="825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-1090930</wp:posOffset>
            </wp:positionV>
            <wp:extent cx="291465"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291465" cy="8890"/>
                    </a:xfrm>
                    <a:prstGeom prst="rect">
                      <a:avLst/>
                    </a:prstGeom>
                    <a:noFill/>
                  </pic:spPr>
                </pic:pic>
              </a:graphicData>
            </a:graphic>
          </wp:anchor>
        </w:drawing>
        <w:drawing>
          <wp:anchor simplePos="0" relativeHeight="251657728" behindDoc="1" locked="0" layoutInCell="0" allowOverlap="1">
            <wp:simplePos x="0" y="0"/>
            <wp:positionH relativeFrom="column">
              <wp:posOffset>4806315</wp:posOffset>
            </wp:positionH>
            <wp:positionV relativeFrom="paragraph">
              <wp:posOffset>-542290</wp:posOffset>
            </wp:positionV>
            <wp:extent cx="282575"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282575" cy="8255"/>
                    </a:xfrm>
                    <a:prstGeom prst="rect">
                      <a:avLst/>
                    </a:prstGeom>
                    <a:noFill/>
                  </pic:spPr>
                </pic:pic>
              </a:graphicData>
            </a:graphic>
          </wp:anchor>
        </w:drawing>
        <w:drawing>
          <wp:anchor simplePos="0" relativeHeight="251657728" behindDoc="1" locked="0" layoutInCell="0" allowOverlap="1">
            <wp:simplePos x="0" y="0"/>
            <wp:positionH relativeFrom="column">
              <wp:posOffset>4789170</wp:posOffset>
            </wp:positionH>
            <wp:positionV relativeFrom="paragraph">
              <wp:posOffset>-405130</wp:posOffset>
            </wp:positionV>
            <wp:extent cx="291465"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291465" cy="8255"/>
                    </a:xfrm>
                    <a:prstGeom prst="rect">
                      <a:avLst/>
                    </a:prstGeom>
                    <a:noFill/>
                  </pic:spPr>
                </pic:pic>
              </a:graphicData>
            </a:graphic>
          </wp:anchor>
        </w:drawing>
        <w:drawing>
          <wp:anchor simplePos="0" relativeHeight="251657728" behindDoc="1" locked="0" layoutInCell="0" allowOverlap="1">
            <wp:simplePos x="0" y="0"/>
            <wp:positionH relativeFrom="column">
              <wp:posOffset>1583055</wp:posOffset>
            </wp:positionH>
            <wp:positionV relativeFrom="paragraph">
              <wp:posOffset>-267970</wp:posOffset>
            </wp:positionV>
            <wp:extent cx="111125"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00"/>
          </w:cols>
          <w:pgMar w:left="440" w:top="270" w:right="45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2.10. Conversion.</w:t>
      </w:r>
    </w:p>
    <w:p>
      <w:pPr>
        <w:spacing w:after="0" w:line="121"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The Borrower may on any Business Day, upon the Borrower’s giving of a Notice of Conversion to the Administrative Agent by electronic mail or other similar form of communication, Convert all or a portion of a Loan of one Type into a Loan of another Type; provided, however, a Base Rate Loan may not be Converted into a </w:t>
      </w:r>
      <w:r>
        <w:rPr>
          <w:rFonts w:ascii="Times New Roman" w:cs="Times New Roman" w:eastAsia="Times New Roman" w:hAnsi="Times New Roman"/>
          <w:sz w:val="18"/>
          <w:szCs w:val="18"/>
          <w:color w:val="FF0000"/>
          <w:strike w:val="1"/>
        </w:rPr>
        <w:t>LIBOR</w:t>
      </w:r>
      <w:r>
        <w:rPr>
          <w:rFonts w:ascii="Times New Roman" w:cs="Times New Roman" w:eastAsia="Times New Roman" w:hAnsi="Times New Roman"/>
          <w:sz w:val="18"/>
          <w:szCs w:val="18"/>
          <w:u w:val="single" w:color="auto"/>
          <w:color w:val="0000FF"/>
        </w:rPr>
        <w:t>SOFR</w:t>
      </w:r>
      <w:r>
        <w:rPr>
          <w:rFonts w:ascii="Times New Roman" w:cs="Times New Roman" w:eastAsia="Times New Roman" w:hAnsi="Times New Roman"/>
          <w:sz w:val="18"/>
          <w:szCs w:val="18"/>
          <w:color w:val="auto"/>
        </w:rPr>
        <w:t xml:space="preserve"> Loan if an Event of Default exists. Each Conversion of Base Rate Loans into </w:t>
      </w:r>
      <w:r>
        <w:rPr>
          <w:rFonts w:ascii="Times New Roman" w:cs="Times New Roman" w:eastAsia="Times New Roman" w:hAnsi="Times New Roman"/>
          <w:sz w:val="18"/>
          <w:szCs w:val="18"/>
          <w:color w:val="FF0000"/>
          <w:strike w:val="1"/>
        </w:rPr>
        <w:t>LIBOR</w:t>
      </w:r>
      <w:r>
        <w:rPr>
          <w:rFonts w:ascii="Times New Roman" w:cs="Times New Roman" w:eastAsia="Times New Roman" w:hAnsi="Times New Roman"/>
          <w:sz w:val="18"/>
          <w:szCs w:val="18"/>
          <w:u w:val="single" w:color="auto"/>
          <w:color w:val="0000FF"/>
        </w:rPr>
        <w:t>SOFR</w:t>
      </w:r>
      <w:r>
        <w:rPr>
          <w:rFonts w:ascii="Times New Roman" w:cs="Times New Roman" w:eastAsia="Times New Roman" w:hAnsi="Times New Roman"/>
          <w:sz w:val="18"/>
          <w:szCs w:val="18"/>
          <w:color w:val="auto"/>
        </w:rPr>
        <w:t xml:space="preserve"> Loans shall be in an aggregate minimum amount of $1,000,000 and integral multiples of $1,000,000 in excess of that amount. Each such Notice of Conversion shall be given not later than 12:00 p.m. noon Eastern time </w:t>
      </w:r>
      <w:r>
        <w:rPr>
          <w:rFonts w:ascii="Times New Roman" w:cs="Times New Roman" w:eastAsia="Times New Roman" w:hAnsi="Times New Roman"/>
          <w:sz w:val="18"/>
          <w:szCs w:val="18"/>
          <w:u w:val="single" w:color="auto"/>
          <w:color w:val="0000FF"/>
        </w:rPr>
        <w:t>three (</w:t>
      </w:r>
      <w:r>
        <w:rPr>
          <w:rFonts w:ascii="Times New Roman" w:cs="Times New Roman" w:eastAsia="Times New Roman" w:hAnsi="Times New Roman"/>
          <w:sz w:val="18"/>
          <w:szCs w:val="18"/>
          <w:color w:val="auto"/>
        </w:rPr>
        <w:t>3</w:t>
      </w:r>
      <w:r>
        <w:rPr>
          <w:rFonts w:ascii="Times New Roman" w:cs="Times New Roman" w:eastAsia="Times New Roman" w:hAnsi="Times New Roman"/>
          <w:sz w:val="18"/>
          <w:szCs w:val="18"/>
          <w:u w:val="single" w:color="auto"/>
          <w:color w:val="0000FF"/>
        </w:rPr>
        <w:t>) U.S. Government Securities</w:t>
      </w:r>
      <w:r>
        <w:rPr>
          <w:rFonts w:ascii="Times New Roman" w:cs="Times New Roman" w:eastAsia="Times New Roman" w:hAnsi="Times New Roman"/>
          <w:sz w:val="18"/>
          <w:szCs w:val="18"/>
          <w:color w:val="auto"/>
        </w:rPr>
        <w:t xml:space="preserve"> Business Days prior to the date of any proposed Conversion. Promptly after receipt of a Notice of Conversion, the Administrative Agent shall notify each Lender of the proposed Conversion. Subject to the restrictions specified above, each Notice of Conversion shall be by telephone, (confirmed promptly in writing on the same Business Day </w:t>
      </w:r>
      <w:r>
        <w:rPr>
          <w:rFonts w:ascii="Times New Roman" w:cs="Times New Roman" w:eastAsia="Times New Roman" w:hAnsi="Times New Roman"/>
          <w:sz w:val="18"/>
          <w:szCs w:val="18"/>
          <w:color w:val="0000FF"/>
        </w:rPr>
        <w:t>or 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Government Securities Business Day, as applicable</w:t>
      </w:r>
      <w:r>
        <w:rPr>
          <w:rFonts w:ascii="Times New Roman" w:cs="Times New Roman" w:eastAsia="Times New Roman" w:hAnsi="Times New Roman"/>
          <w:sz w:val="18"/>
          <w:szCs w:val="18"/>
          <w:color w:val="000000"/>
        </w:rPr>
        <w:t>), electronic mail or other similar form of communication in the form of a Notice of Conversion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specifying (a) the requested date of such Conversion, (b) the Type of Loan to be Converted, (c) the portion of such Type of Loan to be Converted, (d) the Type of Loan such Loan is to be Converted into and (e) if such Conversion is into a </w:t>
      </w:r>
      <w:r>
        <w:rPr>
          <w:rFonts w:ascii="Times New Roman" w:cs="Times New Roman" w:eastAsia="Times New Roman" w:hAnsi="Times New Roman"/>
          <w:sz w:val="18"/>
          <w:szCs w:val="18"/>
          <w:color w:val="FF0000"/>
          <w:strike w:val="1"/>
        </w:rPr>
        <w:t>LIBOR</w:t>
      </w:r>
      <w:r>
        <w:rPr>
          <w:rFonts w:ascii="Times New Roman" w:cs="Times New Roman" w:eastAsia="Times New Roman" w:hAnsi="Times New Roman"/>
          <w:sz w:val="18"/>
          <w:szCs w:val="18"/>
          <w:u w:val="single" w:color="auto"/>
          <w:color w:val="0000FF"/>
        </w:rPr>
        <w:t>SOFR</w:t>
      </w:r>
      <w:r>
        <w:rPr>
          <w:rFonts w:ascii="Times New Roman" w:cs="Times New Roman" w:eastAsia="Times New Roman" w:hAnsi="Times New Roman"/>
          <w:sz w:val="18"/>
          <w:szCs w:val="18"/>
          <w:color w:val="000000"/>
        </w:rPr>
        <w:t xml:space="preserve"> Loan, the requested duration of the Interest Period of such Loan. Each Notice of Conversion shall be irrevocable by and binding on the Borrower once given. </w:t>
      </w:r>
      <w:r>
        <w:rPr>
          <w:rFonts w:ascii="Times New Roman" w:cs="Times New Roman" w:eastAsia="Times New Roman" w:hAnsi="Times New Roman"/>
          <w:sz w:val="18"/>
          <w:szCs w:val="18"/>
          <w:u w:val="single" w:color="auto"/>
          <w:color w:val="0000FF"/>
        </w:rPr>
        <w:t>If the Borrower requests a Conversion to a</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SOFR Loan, but fails to specify an Interest Period, it will be deemed to have specified an Interest Period of one month.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1668780</wp:posOffset>
            </wp:positionH>
            <wp:positionV relativeFrom="paragraph">
              <wp:posOffset>-1230630</wp:posOffset>
            </wp:positionV>
            <wp:extent cx="282575"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282575" cy="8255"/>
                    </a:xfrm>
                    <a:prstGeom prst="rect">
                      <a:avLst/>
                    </a:prstGeom>
                    <a:noFill/>
                  </pic:spPr>
                </pic:pic>
              </a:graphicData>
            </a:graphic>
          </wp:anchor>
        </w:drawing>
        <w:drawing>
          <wp:anchor simplePos="0" relativeHeight="251657728" behindDoc="1" locked="0" layoutInCell="0" allowOverlap="1">
            <wp:simplePos x="0" y="0"/>
            <wp:positionH relativeFrom="column">
              <wp:posOffset>5869305</wp:posOffset>
            </wp:positionH>
            <wp:positionV relativeFrom="paragraph">
              <wp:posOffset>-1230630</wp:posOffset>
            </wp:positionV>
            <wp:extent cx="282575"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282575" cy="8255"/>
                    </a:xfrm>
                    <a:prstGeom prst="rect">
                      <a:avLst/>
                    </a:prstGeom>
                    <a:noFill/>
                  </pic:spPr>
                </pic:pic>
              </a:graphicData>
            </a:graphic>
          </wp:anchor>
        </w:drawing>
        <w:drawing>
          <wp:anchor simplePos="0" relativeHeight="251657728" behindDoc="1" locked="0" layoutInCell="0" allowOverlap="1">
            <wp:simplePos x="0" y="0"/>
            <wp:positionH relativeFrom="column">
              <wp:posOffset>2294890</wp:posOffset>
            </wp:positionH>
            <wp:positionV relativeFrom="paragraph">
              <wp:posOffset>-956310</wp:posOffset>
            </wp:positionV>
            <wp:extent cx="1697355"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697355" cy="8255"/>
                    </a:xfrm>
                    <a:prstGeom prst="rect">
                      <a:avLst/>
                    </a:prstGeom>
                    <a:noFill/>
                  </pic:spPr>
                </pic:pic>
              </a:graphicData>
            </a:graphic>
          </wp:anchor>
        </w:drawing>
        <w:drawing>
          <wp:anchor simplePos="0" relativeHeight="251657728" behindDoc="1" locked="0" layoutInCell="0" allowOverlap="1">
            <wp:simplePos x="0" y="0"/>
            <wp:positionH relativeFrom="column">
              <wp:posOffset>6238240</wp:posOffset>
            </wp:positionH>
            <wp:positionV relativeFrom="paragraph">
              <wp:posOffset>-681990</wp:posOffset>
            </wp:positionV>
            <wp:extent cx="360045"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360045" cy="8255"/>
                    </a:xfrm>
                    <a:prstGeom prst="rect">
                      <a:avLst/>
                    </a:prstGeom>
                    <a:noFill/>
                  </pic:spPr>
                </pic:pic>
              </a:graphicData>
            </a:graphic>
          </wp:anchor>
        </w:drawing>
        <w:drawing>
          <wp:anchor simplePos="0" relativeHeight="251657728" behindDoc="1" locked="0" layoutInCell="0" allowOverlap="1">
            <wp:simplePos x="0" y="0"/>
            <wp:positionH relativeFrom="column">
              <wp:posOffset>6238875</wp:posOffset>
            </wp:positionH>
            <wp:positionV relativeFrom="paragraph">
              <wp:posOffset>-716280</wp:posOffset>
            </wp:positionV>
            <wp:extent cx="35560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3556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-544830</wp:posOffset>
            </wp:positionV>
            <wp:extent cx="2348865"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2348865" cy="8255"/>
                    </a:xfrm>
                    <a:prstGeom prst="rect">
                      <a:avLst/>
                    </a:prstGeom>
                    <a:noFill/>
                  </pic:spPr>
                </pic:pic>
              </a:graphicData>
            </a:graphic>
          </wp:anchor>
        </w:drawing>
        <w:drawing>
          <wp:anchor simplePos="0" relativeHeight="251657728" behindDoc="1" locked="0" layoutInCell="0" allowOverlap="1">
            <wp:simplePos x="0" y="0"/>
            <wp:positionH relativeFrom="column">
              <wp:posOffset>4180840</wp:posOffset>
            </wp:positionH>
            <wp:positionV relativeFrom="paragraph">
              <wp:posOffset>-270510</wp:posOffset>
            </wp:positionV>
            <wp:extent cx="291465"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291465" cy="8255"/>
                    </a:xfrm>
                    <a:prstGeom prst="rect">
                      <a:avLst/>
                    </a:prstGeom>
                    <a:noFill/>
                  </pic:spPr>
                </pic:pic>
              </a:graphicData>
            </a:graphic>
          </wp:anchor>
        </w:drawing>
        <w:drawing>
          <wp:anchor simplePos="0" relativeHeight="251657728" behindDoc="1" locked="0" layoutInCell="0" allowOverlap="1">
            <wp:simplePos x="0" y="0"/>
            <wp:positionH relativeFrom="column">
              <wp:posOffset>4763770</wp:posOffset>
            </wp:positionH>
            <wp:positionV relativeFrom="paragraph">
              <wp:posOffset>-133350</wp:posOffset>
            </wp:positionV>
            <wp:extent cx="1946275"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94627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3175</wp:posOffset>
            </wp:positionV>
            <wp:extent cx="5434965"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5434965" cy="8255"/>
                    </a:xfrm>
                    <a:prstGeom prst="rect">
                      <a:avLst/>
                    </a:prstGeom>
                    <a:noFill/>
                  </pic:spPr>
                </pic:pic>
              </a:graphicData>
            </a:graphic>
          </wp:anchor>
        </w:drawing>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2.11. Notes.</w:t>
      </w:r>
    </w:p>
    <w:p>
      <w:pPr>
        <w:spacing w:after="0" w:line="121" w:lineRule="exact"/>
        <w:rPr>
          <w:sz w:val="20"/>
          <w:szCs w:val="20"/>
          <w:color w:val="auto"/>
        </w:rPr>
      </w:pPr>
    </w:p>
    <w:p>
      <w:pPr>
        <w:ind w:right="20" w:firstLine="436"/>
        <w:spacing w:after="0" w:line="261" w:lineRule="auto"/>
        <w:tabs>
          <w:tab w:leader="none" w:pos="685"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Except in the case of a Lender that has notified the Administrative Agent in writing that it elects not to receive a Note, the Loan made by each Lender shall, in addition to this Agreement, also be evidenced by a promissory note substantially in the form of Exhibit F (a “</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payable to the order of such Lender in a principal amount equal to the amount of its Commitment as originally in effect and otherwise duly completed (or, if such Lender was not a Lender on the Effective Date, in a principal amount equal to the initial principal amount of the Loan of such Lender).</w:t>
      </w:r>
    </w:p>
    <w:p>
      <w:pPr>
        <w:spacing w:after="0" w:line="179" w:lineRule="exact"/>
        <w:rPr>
          <w:rFonts w:ascii="Times New Roman" w:cs="Times New Roman" w:eastAsia="Times New Roman" w:hAnsi="Times New Roman"/>
          <w:sz w:val="18"/>
          <w:szCs w:val="18"/>
          <w:color w:val="auto"/>
        </w:rPr>
      </w:pPr>
    </w:p>
    <w:p>
      <w:pPr>
        <w:ind w:right="120" w:firstLine="436"/>
        <w:spacing w:after="0" w:line="256" w:lineRule="auto"/>
        <w:tabs>
          <w:tab w:leader="none" w:pos="695"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Records</w:t>
      </w:r>
      <w:r>
        <w:rPr>
          <w:rFonts w:ascii="Times New Roman" w:cs="Times New Roman" w:eastAsia="Times New Roman" w:hAnsi="Times New Roman"/>
          <w:sz w:val="18"/>
          <w:szCs w:val="18"/>
          <w:color w:val="auto"/>
        </w:rPr>
        <w:t>. The date, amount, interest rate, Type and duration of Interest Periods (if applicable) of the Loan made by each Lender to the Borrower, and each payment made on account of the principal thereof, shall be recorded by such Lender on its books and such entries shall be binding on the Borrower absent manifest error; provided, however, that (i) the failure of a Lender to make any such record shall not affect the obligations of the Borrower under any of the Loan Documents and (ii) if there is a discrepancy between such records of a Lender and the statements of accounts maintained by the Administrative Agent pursuant to Section 3.8., in the absence of manifest error, the statements of account maintained by the Administrative Agent pursuant to Section 3.8. shall be controlling.</w:t>
      </w:r>
    </w:p>
    <w:p>
      <w:pPr>
        <w:spacing w:after="0" w:line="187" w:lineRule="exact"/>
        <w:rPr>
          <w:rFonts w:ascii="Times New Roman" w:cs="Times New Roman" w:eastAsia="Times New Roman" w:hAnsi="Times New Roman"/>
          <w:sz w:val="18"/>
          <w:szCs w:val="18"/>
          <w:color w:val="auto"/>
        </w:rPr>
      </w:pPr>
    </w:p>
    <w:p>
      <w:pPr>
        <w:ind w:right="60" w:firstLine="436"/>
        <w:spacing w:after="0" w:line="261" w:lineRule="auto"/>
        <w:tabs>
          <w:tab w:leader="none" w:pos="685"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Lost, Stolen, Destroyed or Mutilated Notes</w:t>
      </w:r>
      <w:r>
        <w:rPr>
          <w:rFonts w:ascii="Times New Roman" w:cs="Times New Roman" w:eastAsia="Times New Roman" w:hAnsi="Times New Roman"/>
          <w:sz w:val="18"/>
          <w:szCs w:val="18"/>
          <w:color w:val="auto"/>
        </w:rPr>
        <w:t>. Upon receipt by the Borrower of (i) written notice from a Lender that the Note of such Lender has been lost, stolen, destroyed or mutilated, and (ii)(A) in the case of loss, theft or destruction, an unsecured agreement of indemnity from such Lender in form reasonably satisfactory to the Borrower, or (B) in the case of mutilation, upon surrender and cancellation of such Note, the Borrower shall at its own expense execute and deliver to such Lender a new Note dated the date of such lost, stolen, destroyed or mutilated Note.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00"/>
          </w:cols>
          <w:pgMar w:left="440" w:top="266" w:right="45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2.12. [Intentionally Omitted].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2.13. Extension of Maturity Date.</w:t>
      </w:r>
    </w:p>
    <w:p>
      <w:pPr>
        <w:spacing w:after="0" w:line="121" w:lineRule="exact"/>
        <w:rPr>
          <w:sz w:val="20"/>
          <w:szCs w:val="20"/>
          <w:color w:val="auto"/>
        </w:rPr>
      </w:pPr>
    </w:p>
    <w:p>
      <w:pPr>
        <w:ind w:right="80" w:firstLine="440"/>
        <w:spacing w:after="0" w:line="252" w:lineRule="auto"/>
        <w:rPr>
          <w:sz w:val="20"/>
          <w:szCs w:val="20"/>
          <w:color w:val="auto"/>
        </w:rPr>
      </w:pPr>
      <w:r>
        <w:rPr>
          <w:rFonts w:ascii="Times New Roman" w:cs="Times New Roman" w:eastAsia="Times New Roman" w:hAnsi="Times New Roman"/>
          <w:sz w:val="18"/>
          <w:szCs w:val="18"/>
          <w:color w:val="auto"/>
        </w:rPr>
        <w:t>The Borrower shall have the right, exercisable two times, to extend the Maturity Date by twelve months. The Borrower may exercise such right only by executing and delivering to the Administrative Agent at least 30 days but not more than 90 days prior to the Maturity Date, a written request for such extension (an “</w:t>
      </w:r>
      <w:r>
        <w:rPr>
          <w:rFonts w:ascii="Times New Roman" w:cs="Times New Roman" w:eastAsia="Times New Roman" w:hAnsi="Times New Roman"/>
          <w:sz w:val="18"/>
          <w:szCs w:val="18"/>
          <w:b w:val="1"/>
          <w:bCs w:val="1"/>
          <w:color w:val="auto"/>
        </w:rPr>
        <w:t>Extension Request</w:t>
      </w:r>
      <w:r>
        <w:rPr>
          <w:rFonts w:ascii="Times New Roman" w:cs="Times New Roman" w:eastAsia="Times New Roman" w:hAnsi="Times New Roman"/>
          <w:sz w:val="18"/>
          <w:szCs w:val="18"/>
          <w:color w:val="auto"/>
        </w:rPr>
        <w:t>”). The Administrative Agent shall notify the Lenders if it receives an Extension Request promptly upon receipt thereof. Subject to satisfaction of the following conditions, the Maturity Date shall be extended for twelve months effective upon receipt by the Administrative Agent of the Extension Request and payment of the fee referred to in the following clause (y): (x) immediately prior to such extension and immediately after giving effect thereto, (A) no Default or Event of Default shall exist and (B) the representations and warranties made or deemed made by the Borrower and each other Loan Party in the Loan Documents to which any of them is a party, shall be true and correct in all material respects (or, to the extent qualified by materiality or Material Adverse Effect, in all respects) on and as of the date of such extension with the same force and effect as if made on and as of such date except to the extent that such representations and warranties expressly relate solely to an earlier date (in which case such representations and warranties shall have been true and correct in all material respects (or, to the extent qualified by materiality or Material Adverse Effect, in all respects) on and as of such earlier date) and except for changes in factual circumstances which are not prohibited under the Loan Documents and (y) the Borrower shall have paid the Fees payable under Section 3.5(b). Any extension shall constitute certification by the Borrower to the effect that the matters referred to in the immediately preceding clauses (x)(A) and (x)(B) are true and correct and the Borrower shall be deemed to have represented to the Administrative Agent and the Lenders that the foregoing conditions have been satisfied.</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2.14. [Intentionally Omitted].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2.15. [Intentionally Omitted].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2.16. </w:t>
      </w:r>
      <w:r>
        <w:rPr>
          <w:rFonts w:ascii="Times New Roman" w:cs="Times New Roman" w:eastAsia="Times New Roman" w:hAnsi="Times New Roman"/>
          <w:sz w:val="18"/>
          <w:szCs w:val="18"/>
          <w:b w:val="1"/>
          <w:bCs w:val="1"/>
          <w:color w:val="FF0000"/>
          <w:strike w:val="1"/>
        </w:rPr>
        <w:t>Additional Loans</w:t>
      </w:r>
      <w:r>
        <w:rPr>
          <w:rFonts w:ascii="Times New Roman" w:cs="Times New Roman" w:eastAsia="Times New Roman" w:hAnsi="Times New Roman"/>
          <w:sz w:val="18"/>
          <w:szCs w:val="18"/>
          <w:b w:val="1"/>
          <w:bCs w:val="1"/>
          <w:u w:val="single" w:color="auto"/>
          <w:color w:val="0000FF"/>
        </w:rPr>
        <w:t>[Intentionally Omitted]</w:t>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1489075</wp:posOffset>
            </wp:positionH>
            <wp:positionV relativeFrom="paragraph">
              <wp:posOffset>28575</wp:posOffset>
            </wp:positionV>
            <wp:extent cx="1139825"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line="97"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FF0000"/>
          <w:strike w:val="1"/>
        </w:rPr>
        <w:t>The Borrower shall have the right at any time and from time to time, to but excluding the Maturity Date, to request additional loans (“</w:t>
      </w:r>
      <w:r>
        <w:rPr>
          <w:rFonts w:ascii="Times New Roman" w:cs="Times New Roman" w:eastAsia="Times New Roman" w:hAnsi="Times New Roman"/>
          <w:sz w:val="18"/>
          <w:szCs w:val="18"/>
          <w:b w:val="1"/>
          <w:bCs w:val="1"/>
          <w:color w:val="FF0000"/>
          <w:strike w:val="1"/>
        </w:rPr>
        <w:t>Additional</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b w:val="1"/>
          <w:bCs w:val="1"/>
          <w:color w:val="FF0000"/>
          <w:strike w:val="1"/>
        </w:rPr>
        <w:t>Loans</w:t>
      </w:r>
      <w:r>
        <w:rPr>
          <w:rFonts w:ascii="Times New Roman" w:cs="Times New Roman" w:eastAsia="Times New Roman" w:hAnsi="Times New Roman"/>
          <w:sz w:val="18"/>
          <w:szCs w:val="18"/>
          <w:color w:val="FF0000"/>
          <w:strike w:val="1"/>
        </w:rPr>
        <w:t>”) in an aggregate amount up to $200,000,000 by providing written notice to the Administrative Agent, which notice shall specify the principal</w:t>
      </w:r>
      <w:r>
        <w:rPr>
          <w:rFonts w:ascii="Times New Roman" w:cs="Times New Roman" w:eastAsia="Times New Roman" w:hAnsi="Times New Roman"/>
          <w:sz w:val="18"/>
          <w:szCs w:val="18"/>
          <w:b w:val="1"/>
          <w:bCs w:val="1"/>
          <w:color w:val="FF0000"/>
          <w:strike w:val="1"/>
        </w:rPr>
        <w:t xml:space="preserve"> </w:t>
      </w:r>
      <w:r>
        <w:rPr>
          <w:rFonts w:ascii="Times New Roman" w:cs="Times New Roman" w:eastAsia="Times New Roman" w:hAnsi="Times New Roman"/>
          <w:sz w:val="18"/>
          <w:szCs w:val="18"/>
          <w:color w:val="FF0000"/>
          <w:strike w:val="1"/>
        </w:rPr>
        <w:t xml:space="preserve">amount of the requested Additional Loans and which shall be irrevocable once given; </w:t>
      </w:r>
      <w:r>
        <w:rPr>
          <w:rFonts w:ascii="Times New Roman" w:cs="Times New Roman" w:eastAsia="Times New Roman" w:hAnsi="Times New Roman"/>
          <w:sz w:val="18"/>
          <w:szCs w:val="18"/>
          <w:u w:val="single" w:color="auto"/>
          <w:color w:val="FF0000"/>
          <w:strike w:val="1"/>
        </w:rPr>
        <w:t>provided</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FF0000"/>
          <w:strike w:val="1"/>
        </w:rPr>
        <w:t>however</w:t>
      </w:r>
      <w:r>
        <w:rPr>
          <w:rFonts w:ascii="Times New Roman" w:cs="Times New Roman" w:eastAsia="Times New Roman" w:hAnsi="Times New Roman"/>
          <w:sz w:val="18"/>
          <w:szCs w:val="18"/>
          <w:color w:val="FF0000"/>
          <w:strike w:val="1"/>
        </w:rPr>
        <w:t>, that after giving effect to any such Additional Loans the aggregate principal amount of the Loans shall not exceed $500,000,000. Each such borrowing must be an aggregate minimum amount of $25,000,000 and integral multiples of $10,000,000 in excess thereof. Additional Loans shall be subject to the same terms and conditions of this Agreement that are applicable to all other Loans. The Administrative Agent, in consultation with the Borrower, shall manage all aspects of the syndication of such Additional Loans, including decisions as to the selection of the existing Lenders and/or other banks, financial institutions and other institutional lenders to be approached with respect to such Additional Loans and the allocations of such Additional Loans among such existing Lenders and/or other banks, financial institutions and other institutional lenders; provided, that any such other banks, financial institutions and other institutional lenders and any such allocations shall be reasonably acceptable to the Borrower. No Lender shall be obligated in any way whatsoever to make Additional Loans, and any new Lender becoming a party to this Agreement in connection with any such requested Additional Loans must be an Eligible Assignee. The making of the Additional Loans under this Section is subject to the following conditions precedent: (x) no Default or Event of Default shall be in existence on the effective date of such Additional Loans, (y) the representations and warranties made or deemed made by the Borrower and each other Loan Party in the Loan Documents to which any of them is a party shall be true and correct in all material respects (except in the case of a representation or warranty qualified by materiality, in which case such representation or warranty shall be true and correct in all respects) on and as of the effective date of such Additional Loans with the same force and effect as if made on and as of such date except to the extent that such representations and warranties expressly relate solely to an earlier date (in which case such representations and warranties shall have been true and correct in all material respects (except in the case of a representation or warranty</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20"/>
          </w:cols>
          <w:pgMar w:left="440" w:top="266" w:right="439" w:bottom="1440" w:gutter="0" w:footer="0" w:header="0"/>
        </w:sectPr>
      </w:pPr>
    </w:p>
    <w:bookmarkStart w:id="221" w:name="page222"/>
    <w:bookmarkEnd w:id="221"/>
    <w:p>
      <w:pPr>
        <w:ind w:right="40"/>
        <w:spacing w:after="0" w:line="253" w:lineRule="auto"/>
        <w:rPr>
          <w:sz w:val="20"/>
          <w:szCs w:val="20"/>
          <w:color w:val="auto"/>
        </w:rPr>
      </w:pPr>
      <w:r>
        <w:rPr>
          <w:rFonts w:ascii="Times New Roman" w:cs="Times New Roman" w:eastAsia="Times New Roman" w:hAnsi="Times New Roman"/>
          <w:sz w:val="18"/>
          <w:szCs w:val="18"/>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qualified by materiality, in which case such representation or warranty shall be true and correct in all respects) on and as of such earlier date) and except for changes in factual circumstances not prohibited hereunder, and (z) the Administrative Agent shall have received each of the following, in form and substance satisfactory to the Administrative Agent: (i) if not previously delivered to the Administrative Agent, copies certified by the Secretary or Assistant Secretary of all corporate, partnership, member or other necessary action taken by the applicable Loan Party to authorize such Additional Loans, (ii) an opinion of counsel to the Borrower and the other Loan Parties, addressed to the Administrative Agent and the Lenders covering such matters as reasonably requested by the Administrative Agent, and (iii) new Notes executed by the Borrower, payable to any new Lenders and replacement Notes executed by the Borrower, payable to any existing Lenders increasing the principal amount of their Loans, in the aggregate principal amount of such Lender’s Loans at the time of the effectiveness of the making of the applicable Additional Loans. In connection with any Additional Loans pursuant to this Section 2.16. any Lender becoming a party hereto shall (1) execute such documents and agreements as the Administrative Agent may reasonably request and (2) in the case of any Lender that is organized under the laws of a jurisdiction outside of the United States of America, provide to the Administrative Agent, its name, address, tax identification number and/or such other information as shall be necessary for the Administrative Agent to comply with the requirements of any Anti-Money Laundering Laws, including, without limitation, the PATRIOT Act and any applicable “know your customer” rules and regulations.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2.17. Funds Transfer Disbursements.</w:t>
      </w:r>
    </w:p>
    <w:p>
      <w:pPr>
        <w:spacing w:after="0" w:line="121"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The Borrower hereby authorizes the Administrative Agent to disburse the proceeds of the Loans made by the Lenders or any of their Affiliates pursuant to the Loan Documents to any of the accounts designated in the Disbursement Instruction Agreement.</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 Payments, Fees and Other General Provisions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3.1. Payments.</w:t>
      </w:r>
    </w:p>
    <w:p>
      <w:pPr>
        <w:spacing w:after="0" w:line="121" w:lineRule="exact"/>
        <w:rPr>
          <w:sz w:val="20"/>
          <w:szCs w:val="20"/>
          <w:color w:val="auto"/>
        </w:rPr>
      </w:pPr>
    </w:p>
    <w:p>
      <w:pPr>
        <w:ind w:firstLine="436"/>
        <w:spacing w:after="0" w:line="253" w:lineRule="auto"/>
        <w:tabs>
          <w:tab w:leader="none" w:pos="685"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by Borrower</w:t>
      </w:r>
      <w:r>
        <w:rPr>
          <w:rFonts w:ascii="Times New Roman" w:cs="Times New Roman" w:eastAsia="Times New Roman" w:hAnsi="Times New Roman"/>
          <w:sz w:val="18"/>
          <w:szCs w:val="18"/>
          <w:color w:val="auto"/>
        </w:rPr>
        <w:t>. Except to the extent otherwise provided herein, all payments of principal, interest, Fees and other amounts to be made by the Borrower under this Agreement, the Notes or any other Loan Document shall be made in Dollars, in immediately available funds, without setoff, deduction or counterclaim (excluding Taxes required to be withheld pursuant to Section 3.10.), to the Administrative Agent at the Principal Office, not later than 2:00 p.m. Eastern time on the date on which such payment shall become due (each such payment made after such time on such due date to be deemed to have been made on the next succeeding Business Day). Subject to Section 10.5., the Borrower shall, at the time of making each payment under this Agreement or any other Loan Document, specify to the Administrative Agent the amounts payable by the Borrower hereunder to which such payment is to be applied. Each payment received by the Administrative Agent for the account of a Lender under this Agreement or any Note shall be paid to such Lender by wire transfer of immediately available funds in accordance with the wiring instructions provided by such Lender to the Administrative Agent from time to time, for the account of such Lender at the applicable Lending Office of such Lender. In the event the Administrative Agent fails to pay such amounts to such Lender within one Business Day of receipt of such amounts, the Administrative Agent shall pay interest on such amount until paid at a rate per annum equal to the Federal Funds Rate from time to time in effect. If the due date of any payment under this Agreement or any other Loan Document would otherwise fall on a day which is not a Business Day such date shall be extended to the next succeeding Business Day and interest shall continue to accrue at the rate, if any, applicable to such payment for the period of such extension.</w:t>
      </w:r>
    </w:p>
    <w:p>
      <w:pPr>
        <w:spacing w:after="0" w:line="187" w:lineRule="exact"/>
        <w:rPr>
          <w:rFonts w:ascii="Times New Roman" w:cs="Times New Roman" w:eastAsia="Times New Roman" w:hAnsi="Times New Roman"/>
          <w:sz w:val="18"/>
          <w:szCs w:val="18"/>
          <w:color w:val="auto"/>
        </w:rPr>
      </w:pPr>
    </w:p>
    <w:p>
      <w:pPr>
        <w:ind w:right="100" w:firstLine="436"/>
        <w:spacing w:after="0" w:line="255" w:lineRule="auto"/>
        <w:tabs>
          <w:tab w:leader="none" w:pos="695"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Presumptions Regarding Payments by Borrower</w:t>
      </w:r>
      <w:r>
        <w:rPr>
          <w:rFonts w:ascii="Times New Roman" w:cs="Times New Roman" w:eastAsia="Times New Roman" w:hAnsi="Times New Roman"/>
          <w:sz w:val="18"/>
          <w:szCs w:val="18"/>
          <w:color w:val="auto"/>
        </w:rPr>
        <w:t>. Unless the Administrative Agent shall have received notice from the Borrower prior to the date on which any payment is due to the Administrative Agent for the account of the Lenders hereunder that the Borrower will not make such payment, the Administrative Agent may assume that the Borrower has made such payment on such date in accordance herewith and may (but shall not be obligated to), in reliance upon such assumption, distribute to the Lenders the amount due. In such event, if the Borrower has not in fact made such payment, then each of the Lenders severally agrees to repay to the Administrative Agent on demand that amount so distributed to such Lender, with interest thereon, for each day from and including the date such amount is distributed to it to but excluding the date of payment to the Administrative Agent, at the Federal Funds Rate.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00"/>
          </w:cols>
          <w:pgMar w:left="440" w:top="270" w:right="45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3.2. Pro Rata Treatment.</w:t>
      </w:r>
    </w:p>
    <w:p>
      <w:pPr>
        <w:spacing w:after="0" w:line="121"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Except to the extent otherwise provided herein: (a) the making of the Loans by the Lenders under Section 2.1.(a) shall be made from the Lenders, each payment of the fees under Sections 3.5.(a) and 3.5.(b) shall be made for the account of the Lenders, pro rata according to the amount of their respective Loans; (b) each payment or prepayment of principal of the Loans shall be made for the account of the Lenders pro rata in accordance with the respective unpaid principal amounts of the Loans held by them; (c) each payment of interest on the Loans shall be made for the account of the Lenders pro rata in accordance with the amounts of interest on such Loans then due and payable to the respective Lenders; and (d) the Conversion and Continuation of Loans of a particular Type (other than Conversions provided for by Sections 4.1.(c) and 4.5.) shall be made pro rata among the Lenders according to the amounts of their respective Loans and the then current Interest Period for each Lender’s portion of each such Loan of such Type shall be coterminous.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3.3. Sharing of Payments, Etc.</w:t>
      </w:r>
    </w:p>
    <w:p>
      <w:pPr>
        <w:spacing w:after="0" w:line="121"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7"/>
          <w:szCs w:val="17"/>
          <w:color w:val="auto"/>
        </w:rPr>
        <w:t>If a Lender shall obtain payment of any principal of, or interest on, the Loan made by it to the Borrower under this Agreement or shall obtain payment on any other Obligation owing by the Borrower or any other Loan Party through the exercise of any right of set-off, banker’s lien, counterclaim or similar right or otherwise or through voluntary prepayments directly to a Lender or other payments made by or on behalf the Borrower or any other Loan Party to a Lender (other than any payment in respect of Specified Derivatives Obligations) not in accordance with the terms of this Agreement and such payment should be distributed to the Lenders in accordance with Section 3.2. or Section 10.5., as applicable, such Lender shall promptly purchase from the other Lenders participations in (or, if and to the extent specified by such Lender, direct interests in) the Loans made by the other Lenders or other Obligations owed to such other Lenders in such amounts, and make such other adjustments from time to time as shall be equitable, to the end that all the Lenders shall share the benefit of such payment (net of any reasonable expenses which may actually be incurred by such Lender in obtaining or preserving such benefit) in accordance with the requirements of Section 3.2. or Section 10.5., as applicable. To such end, all the Lenders shall make appropriate adjustments among themselves (by the resale of participations sold or otherwise) if such payment is rescinded or must otherwise be restored. The Borrower agrees that any Lender so purchasing a participation (or direct interest) in the Loans or other Obligations owed to such other Lenders may exercise all rights of set-off, banker’s lien, counterclaim or similar rights with respect to such participation as fully as if such Lender were a direct holder of Loans in the amount of such participation. Nothing contained herein shall require any Lender to exercise any such right or shall affect the right of any Lender to exercise and retain the benefits of exercising, any such right with respect to any other indebtedness or obligation of the Borrower.</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3.4. Several Obligations.</w:t>
      </w:r>
    </w:p>
    <w:p>
      <w:pPr>
        <w:spacing w:after="0" w:line="121" w:lineRule="exact"/>
        <w:rPr>
          <w:sz w:val="20"/>
          <w:szCs w:val="20"/>
          <w:color w:val="auto"/>
        </w:rPr>
      </w:pPr>
    </w:p>
    <w:p>
      <w:pPr>
        <w:jc w:val="both"/>
        <w:ind w:right="80" w:firstLine="440"/>
        <w:spacing w:after="0" w:line="289" w:lineRule="auto"/>
        <w:rPr>
          <w:sz w:val="20"/>
          <w:szCs w:val="20"/>
          <w:color w:val="auto"/>
        </w:rPr>
      </w:pPr>
      <w:r>
        <w:rPr>
          <w:rFonts w:ascii="Times New Roman" w:cs="Times New Roman" w:eastAsia="Times New Roman" w:hAnsi="Times New Roman"/>
          <w:sz w:val="17"/>
          <w:szCs w:val="17"/>
          <w:color w:val="auto"/>
        </w:rPr>
        <w:t>No Lender shall be responsible for the failure of any other Lender to make a Loan or to perform any other obligation to be made or performed by such other Lender hereunder, and the failure of any Lender to make a Loan or to perform any other obligation to be made or performed by it hereunder shall not relieve the obligation of any other Lender to make any Loan or to perform any other obligation to be made or performed by such other Lender.</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3.5. Fees.</w:t>
      </w:r>
    </w:p>
    <w:p>
      <w:pPr>
        <w:spacing w:after="0" w:line="121" w:lineRule="exact"/>
        <w:rPr>
          <w:sz w:val="20"/>
          <w:szCs w:val="20"/>
          <w:color w:val="auto"/>
        </w:rPr>
      </w:pPr>
    </w:p>
    <w:p>
      <w:pPr>
        <w:ind w:right="60" w:firstLine="436"/>
        <w:spacing w:after="0" w:line="282" w:lineRule="auto"/>
        <w:tabs>
          <w:tab w:leader="none" w:pos="685"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Fee</w:t>
      </w:r>
      <w:r>
        <w:rPr>
          <w:rFonts w:ascii="Times New Roman" w:cs="Times New Roman" w:eastAsia="Times New Roman" w:hAnsi="Times New Roman"/>
          <w:sz w:val="18"/>
          <w:szCs w:val="18"/>
          <w:color w:val="auto"/>
        </w:rPr>
        <w:t>. On the Effective Date, the Borrower agrees to pay to the Administrative Agent and each Lender all loan fees as have been agreed to in writing by the Borrower and the Administrative Agent.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00"/>
          </w:cols>
          <w:pgMar w:left="440" w:top="266" w:right="459" w:bottom="1440" w:gutter="0" w:footer="0" w:header="0"/>
        </w:sectPr>
      </w:pPr>
    </w:p>
    <w:bookmarkStart w:id="223" w:name="page224"/>
    <w:bookmarkEnd w:id="223"/>
    <w:p>
      <w:pPr>
        <w:ind w:right="240" w:firstLine="436"/>
        <w:spacing w:after="0" w:line="261" w:lineRule="auto"/>
        <w:tabs>
          <w:tab w:leader="none" w:pos="695"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Maturity Extension Fee</w:t>
      </w:r>
      <w:r>
        <w:rPr>
          <w:rFonts w:ascii="Times New Roman" w:cs="Times New Roman" w:eastAsia="Times New Roman" w:hAnsi="Times New Roman"/>
          <w:sz w:val="18"/>
          <w:szCs w:val="18"/>
          <w:color w:val="auto"/>
        </w:rPr>
        <w:t>. If the Borrower exercises its right to extend the Maturity Date in accordance with Section 2.13., the Borrower shall pay to the Administrative Agent for the account of each Lender a fee for each extension equal to 0.125% of the aggregate principal amount of such Lender’s Loan outstanding as of the effective date of such extension. Such fee shall be due and payable in full on the date the Administrative Agent receives the Extension Request pursuant to Section 2.13.</w:t>
      </w:r>
    </w:p>
    <w:p>
      <w:pPr>
        <w:spacing w:after="0" w:line="179" w:lineRule="exact"/>
        <w:rPr>
          <w:rFonts w:ascii="Times New Roman" w:cs="Times New Roman" w:eastAsia="Times New Roman" w:hAnsi="Times New Roman"/>
          <w:sz w:val="18"/>
          <w:szCs w:val="18"/>
          <w:color w:val="auto"/>
        </w:rPr>
      </w:pPr>
    </w:p>
    <w:p>
      <w:pPr>
        <w:ind w:right="220" w:firstLine="436"/>
        <w:spacing w:after="0" w:line="282" w:lineRule="auto"/>
        <w:tabs>
          <w:tab w:leader="none" w:pos="685"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Administrative and Other Fees</w:t>
      </w:r>
      <w:r>
        <w:rPr>
          <w:rFonts w:ascii="Times New Roman" w:cs="Times New Roman" w:eastAsia="Times New Roman" w:hAnsi="Times New Roman"/>
          <w:sz w:val="18"/>
          <w:szCs w:val="18"/>
          <w:color w:val="auto"/>
        </w:rPr>
        <w:t>. The Borrower agrees to pay the administrative and other fees of the Administrative Agent as provided in the Fee Letter and as may be otherwise agreed to in writing from time to time by the Borrower, the Arrangers and the Administrative Agent.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3.6. Computations.</w:t>
      </w:r>
    </w:p>
    <w:p>
      <w:pPr>
        <w:spacing w:after="0" w:line="121"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Unless otherwise expressly set forth herein, any accrued interest on any Loan, any Fees or any other Obligations due hereunder shall be computed on the basis of a year of 360 days and the actual number of days elapsed.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3.7. Usury.</w:t>
      </w:r>
    </w:p>
    <w:p>
      <w:pPr>
        <w:spacing w:after="0" w:line="121"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In no event shall the amount of interest due or payable on the Loans or other Obligations exceed the maximum rate of interest allowed by Applicable Law and, if any such payment is paid by the Borrower or any other Loan Party or received by any Lender, then such excess sum shall be credited as a payment of principal, unless the Borrower shall notify the respective Lender in writing that the Borrower elects to have such excess sum returned to it forthwith. It is the express intent of the parties hereto that the Borrower not pay and the Lenders not receive, directly or indirectly, in any manner whatsoever, interest in excess of that which may be lawfully paid by the Borrower under Applicable Law. The parties hereto hereby agree and stipulate that the only charge imposed upon the Borrower for the use of money in connection with this Agreement is and shall be the interest specifically described in Section 2.5.(a)(i) and (ii). Notwithstanding the foregoing, the parties hereto further agree and stipulate that all agency fees, syndication fees, arrangement fees, closing fees, underwriting fees, default charges, late charges, funding or “breakage” charges, increased cost charges, attorneys’ fees and reimbursement for costs and expenses paid by the Administrative Agent or any Lender to third parties or for damages incurred by the Administrative Agent or any Lender, in each case, in connection with the transactions contemplated by this Agreement and the other Loan Documents, are charges made to compensate the Administrative Agent or any such Lender for underwriting or administrative services and costs or losses performed or incurred, and to be performed or incurred, by the Administrative Agent and the Lenders in connection with this Agreement and shall under no circumstances be deemed to be charges for the use of money. All charges other than charges for the use of money shall be fully earned and nonrefundable when due.</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3.8. Statements of Account.</w:t>
      </w:r>
    </w:p>
    <w:p>
      <w:pPr>
        <w:spacing w:after="0" w:line="121"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 Administrative Agent will account to the Borrower monthly with a statement of Loans, accrued interest and Fees, charges and payments made pursuant to this Agreement and the other Loan Documents, and such account rendered by the Administrative Agent shall be deemed conclusive upon the Borrower absent manifest error. The failure of the Administrative Agent to deliver such a statement of accounts shall not relieve or discharge the Borrower from any of its obligations hereunder.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3.9. Defaulting Lenders.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Notwithstanding anything to the contrary contained in this Agreement, if any Lender becomes a Defaulting Lender, then, until such time as such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 is no longer a Defaulting Lender, to the extent permitted by Applicable Law:</w:t>
      </w:r>
    </w:p>
    <w:p>
      <w:pPr>
        <w:spacing w:after="0" w:line="207" w:lineRule="exact"/>
        <w:rPr>
          <w:sz w:val="20"/>
          <w:szCs w:val="20"/>
          <w:color w:val="auto"/>
        </w:rPr>
      </w:pPr>
    </w:p>
    <w:p>
      <w:pPr>
        <w:ind w:right="80" w:firstLine="436"/>
        <w:spacing w:after="0" w:line="261" w:lineRule="auto"/>
        <w:tabs>
          <w:tab w:leader="none" w:pos="685"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Waivers and Amendments</w:t>
      </w:r>
      <w:r>
        <w:rPr>
          <w:rFonts w:ascii="Times New Roman" w:cs="Times New Roman" w:eastAsia="Times New Roman" w:hAnsi="Times New Roman"/>
          <w:sz w:val="18"/>
          <w:szCs w:val="18"/>
          <w:color w:val="auto"/>
        </w:rPr>
        <w:t>. Such Defaulting Lender’s right to approve or disapprove any amendment, waiver or consent with respect to this Agreement shall be restricted as set forth in the definition of Requisite Lenders. The rights and remedies of the Borrower, the Administrative Agent and the other Lenders against a Defaulting Lender under this Section are in addition to any other rights and remedies such parties may have against such Defaulting Lender under this Agreement, any of the Loan Documents, Applicable Law or otherwise.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00"/>
          </w:cols>
          <w:pgMar w:left="440" w:top="270" w:right="459" w:bottom="1440" w:gutter="0" w:footer="0" w:header="0"/>
        </w:sectPr>
      </w:pPr>
    </w:p>
    <w:bookmarkStart w:id="224" w:name="page225"/>
    <w:bookmarkEnd w:id="224"/>
    <w:p>
      <w:pPr>
        <w:ind w:firstLine="436"/>
        <w:spacing w:after="0" w:line="252" w:lineRule="auto"/>
        <w:tabs>
          <w:tab w:leader="none" w:pos="695"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Defaulting Lender Waterfall</w:t>
      </w:r>
      <w:r>
        <w:rPr>
          <w:rFonts w:ascii="Times New Roman" w:cs="Times New Roman" w:eastAsia="Times New Roman" w:hAnsi="Times New Roman"/>
          <w:sz w:val="18"/>
          <w:szCs w:val="18"/>
          <w:color w:val="auto"/>
        </w:rPr>
        <w:t xml:space="preserve">. Any payment of principal, interest, Fees or other amounts received by the Administrative Agent for the account of such Defaulting Lender (whether voluntary or mandatory, at maturity, pursuant to Article X. or otherwise) or received by the Administrative Agent from a Defaulting Lender pursuant to Section 3.3. shall be applied at such time or times as may be determined by the Administrative Agent as follows: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 the payment of any amounts owing by such Defaulting Lender to the Administrative Agent hereunder;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to the payment of any amounts owing to the Lenders as a result of any judgment of a court of competent jurisdiction obtained by any Lender against such Defaulting Lender as a result of such Defaulting Lender’s breach of its obligations under this Agreement; </w:t>
      </w: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Times New Roman" w:cs="Times New Roman" w:eastAsia="Times New Roman" w:hAnsi="Times New Roman"/>
          <w:sz w:val="18"/>
          <w:szCs w:val="18"/>
          <w:u w:val="single" w:color="auto"/>
          <w:color w:val="auto"/>
        </w:rPr>
        <w:t>fifth</w:t>
      </w:r>
      <w:r>
        <w:rPr>
          <w:rFonts w:ascii="Times New Roman" w:cs="Times New Roman" w:eastAsia="Times New Roman" w:hAnsi="Times New Roman"/>
          <w:sz w:val="18"/>
          <w:szCs w:val="18"/>
          <w:color w:val="auto"/>
        </w:rPr>
        <w:t xml:space="preserve">, to such Defaulting Lender or as otherwise directed by a court of competent jurisdiction;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payment is a payment of the principal amount of a Loan in respect of which such Defaulting Lender has not fully funded its appropriate share, such payment shall be applied solely to pay the Loans of all Non-Defaulting Lenders on a pro rata basis prior to being applied to the payment of a Loan of such Defaulting Lender until such time as all Loans are held by the Lenders pro rata in accordance with their respective Credit Percentages. Any payments, prepayments or other amounts paid or payable to a Defaulting Lender that are applied (or held) to pay amounts owed by a Defaulting Lender pursuant to this subsection shall be deemed paid to and redirected by such Defaulting Lender, and each Lender irrevocably consents hereto.</w:t>
      </w:r>
    </w:p>
    <w:p>
      <w:pPr>
        <w:spacing w:after="0" w:line="194" w:lineRule="exact"/>
        <w:rPr>
          <w:rFonts w:ascii="Times New Roman" w:cs="Times New Roman" w:eastAsia="Times New Roman" w:hAnsi="Times New Roman"/>
          <w:sz w:val="18"/>
          <w:szCs w:val="18"/>
          <w:color w:val="auto"/>
        </w:rPr>
      </w:pPr>
    </w:p>
    <w:p>
      <w:pPr>
        <w:ind w:right="60" w:firstLine="436"/>
        <w:spacing w:after="0" w:line="266" w:lineRule="auto"/>
        <w:tabs>
          <w:tab w:leader="none" w:pos="685"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Fees</w:t>
      </w:r>
      <w:r>
        <w:rPr>
          <w:rFonts w:ascii="Times New Roman" w:cs="Times New Roman" w:eastAsia="Times New Roman" w:hAnsi="Times New Roman"/>
          <w:sz w:val="18"/>
          <w:szCs w:val="18"/>
          <w:color w:val="auto"/>
        </w:rPr>
        <w:t>. No Defaulting Lender shall be entitled to receive any Fees payable under Section 3.5. for any period during which that Lender is a Defaulting Lender (and the Borrower shall not be required to pay any such fee that otherwise would have been required to have been paid to that Defaulting Lender).</w:t>
      </w:r>
    </w:p>
    <w:p>
      <w:pPr>
        <w:spacing w:after="0" w:line="175" w:lineRule="exact"/>
        <w:rPr>
          <w:rFonts w:ascii="Times New Roman" w:cs="Times New Roman" w:eastAsia="Times New Roman" w:hAnsi="Times New Roman"/>
          <w:sz w:val="18"/>
          <w:szCs w:val="18"/>
          <w:color w:val="auto"/>
        </w:rPr>
      </w:pPr>
    </w:p>
    <w:p>
      <w:pPr>
        <w:ind w:right="40" w:firstLine="436"/>
        <w:spacing w:after="0" w:line="254" w:lineRule="auto"/>
        <w:tabs>
          <w:tab w:leader="none" w:pos="695"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Defaulting Lender Cure</w:t>
      </w:r>
      <w:r>
        <w:rPr>
          <w:rFonts w:ascii="Times New Roman" w:cs="Times New Roman" w:eastAsia="Times New Roman" w:hAnsi="Times New Roman"/>
          <w:sz w:val="18"/>
          <w:szCs w:val="18"/>
          <w:color w:val="auto"/>
        </w:rPr>
        <w:t xml:space="preserve">. If the Borrower and the Administrative Agent agree in writing that a Lender is no longer a Defaulting Lender, the Administrative Agent will so notify the parties hereto, whereupon as of the effective date specified in such notice and subject to any conditions set forth therein, that Lender will, to the extent applicable, purchase at par that portion of outstanding Loans of the other Lenders or take such other actions as the Administrative Agent may determine to be necessary to cause the Loans to be held pro rata by the Lenders in accordance with their respective Credit Percentages, whereupon such Lender will cease to be a Defaulting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adjustments will be made retroactively with respect to Fees accrued or payments made by or on behalf of the Borrower while that Lender was a Defaulting Lender;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296" w:lineRule="exact"/>
        <w:rPr>
          <w:sz w:val="20"/>
          <w:szCs w:val="20"/>
          <w:color w:val="auto"/>
        </w:rPr>
      </w:pPr>
    </w:p>
    <w:p>
      <w:pPr>
        <w:jc w:val="center"/>
        <w:ind w:right="8140"/>
        <w:spacing w:after="0"/>
        <w:rPr>
          <w:sz w:val="20"/>
          <w:szCs w:val="20"/>
          <w:color w:val="auto"/>
        </w:rPr>
      </w:pPr>
      <w:r>
        <w:rPr>
          <w:rFonts w:ascii="Times New Roman" w:cs="Times New Roman" w:eastAsia="Times New Roman" w:hAnsi="Times New Roman"/>
          <w:sz w:val="17"/>
          <w:szCs w:val="17"/>
          <w:b w:val="1"/>
          <w:bCs w:val="1"/>
          <w:color w:val="auto"/>
        </w:rPr>
        <w:t>Section 3.10. Taxes; Foreign Lenders.</w:t>
      </w:r>
    </w:p>
    <w:p>
      <w:pPr>
        <w:spacing w:after="0" w:line="133" w:lineRule="exact"/>
        <w:rPr>
          <w:sz w:val="20"/>
          <w:szCs w:val="20"/>
          <w:color w:val="auto"/>
        </w:rPr>
      </w:pPr>
    </w:p>
    <w:p>
      <w:pPr>
        <w:jc w:val="center"/>
        <w:ind w:right="8160"/>
        <w:spacing w:after="0"/>
        <w:rPr>
          <w:sz w:val="20"/>
          <w:szCs w:val="20"/>
          <w:color w:val="auto"/>
        </w:rPr>
      </w:pPr>
      <w:r>
        <w:rPr>
          <w:rFonts w:ascii="Times New Roman" w:cs="Times New Roman" w:eastAsia="Times New Roman" w:hAnsi="Times New Roman"/>
          <w:sz w:val="18"/>
          <w:szCs w:val="18"/>
          <w:color w:val="auto"/>
        </w:rPr>
        <w:t>(a) [Intentionally Omitted].</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00"/>
          </w:cols>
          <w:pgMar w:left="440" w:top="270" w:right="459" w:bottom="1440" w:gutter="0" w:footer="0" w:header="0"/>
        </w:sectPr>
      </w:pPr>
    </w:p>
    <w:bookmarkStart w:id="225" w:name="page226"/>
    <w:bookmarkEnd w:id="225"/>
    <w:p>
      <w:pPr>
        <w:ind w:left="4" w:right="40" w:firstLine="436"/>
        <w:spacing w:after="0" w:line="254" w:lineRule="auto"/>
        <w:tabs>
          <w:tab w:leader="none" w:pos="699"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Payments Free of Taxes</w:t>
      </w:r>
      <w:r>
        <w:rPr>
          <w:rFonts w:ascii="Times New Roman" w:cs="Times New Roman" w:eastAsia="Times New Roman" w:hAnsi="Times New Roman"/>
          <w:sz w:val="18"/>
          <w:szCs w:val="18"/>
          <w:color w:val="auto"/>
        </w:rPr>
        <w:t>. Any and all payments by or on account of any obligation of the Borrower or any other Loan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Borrower or other applicable Loan Party shall be increased as necessary so that after such deduction or withholding has been made (including such deductions and withholdings applicable to additional sums payable under this Section) the applicable Recipient receives an amount equal to the sum it would have received had no such deduction or withholding been made.</w:t>
      </w:r>
    </w:p>
    <w:p>
      <w:pPr>
        <w:spacing w:after="0" w:line="191" w:lineRule="exact"/>
        <w:rPr>
          <w:rFonts w:ascii="Times New Roman" w:cs="Times New Roman" w:eastAsia="Times New Roman" w:hAnsi="Times New Roman"/>
          <w:sz w:val="18"/>
          <w:szCs w:val="18"/>
          <w:color w:val="auto"/>
        </w:rPr>
      </w:pPr>
    </w:p>
    <w:p>
      <w:pPr>
        <w:ind w:left="4" w:right="40" w:firstLine="436"/>
        <w:spacing w:after="0" w:line="282" w:lineRule="auto"/>
        <w:tabs>
          <w:tab w:leader="none" w:pos="689"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Other Taxes by the Borrower</w:t>
      </w:r>
      <w:r>
        <w:rPr>
          <w:rFonts w:ascii="Times New Roman" w:cs="Times New Roman" w:eastAsia="Times New Roman" w:hAnsi="Times New Roman"/>
          <w:sz w:val="18"/>
          <w:szCs w:val="18"/>
          <w:color w:val="auto"/>
        </w:rPr>
        <w:t>. The Borrower and the other Loan Parties shall timely pay to the relevant Governmental Authority in accordance with Applicable Law, or at the option of the Administrative Agent timely reimburse it for the payment of, any Other Taxes.</w:t>
      </w:r>
    </w:p>
    <w:p>
      <w:pPr>
        <w:spacing w:after="0" w:line="161" w:lineRule="exact"/>
        <w:rPr>
          <w:rFonts w:ascii="Times New Roman" w:cs="Times New Roman" w:eastAsia="Times New Roman" w:hAnsi="Times New Roman"/>
          <w:sz w:val="18"/>
          <w:szCs w:val="18"/>
          <w:color w:val="auto"/>
        </w:rPr>
      </w:pPr>
    </w:p>
    <w:p>
      <w:pPr>
        <w:ind w:left="4" w:firstLine="436"/>
        <w:spacing w:after="0" w:line="256" w:lineRule="auto"/>
        <w:tabs>
          <w:tab w:leader="none" w:pos="699"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the Borrower</w:t>
      </w:r>
      <w:r>
        <w:rPr>
          <w:rFonts w:ascii="Times New Roman" w:cs="Times New Roman" w:eastAsia="Times New Roman" w:hAnsi="Times New Roman"/>
          <w:sz w:val="18"/>
          <w:szCs w:val="18"/>
          <w:color w:val="auto"/>
        </w:rPr>
        <w:t>. The Borrower and the other Loan Parties shall jointly and severally indemnify each Recipient, within 10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w:t>
      </w:r>
    </w:p>
    <w:p>
      <w:pPr>
        <w:spacing w:after="0" w:line="187"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the Lenders</w:t>
      </w:r>
      <w:r>
        <w:rPr>
          <w:rFonts w:ascii="Times New Roman" w:cs="Times New Roman" w:eastAsia="Times New Roman" w:hAnsi="Times New Roman"/>
          <w:sz w:val="18"/>
          <w:szCs w:val="18"/>
          <w:color w:val="auto"/>
        </w:rPr>
        <w:t>. Each Lender shall severally indemnify the Administrative Agent, within 10 days after demand therefor, for</w:t>
      </w:r>
    </w:p>
    <w:p>
      <w:pPr>
        <w:spacing w:after="0" w:line="27" w:lineRule="exact"/>
        <w:rPr>
          <w:rFonts w:ascii="Times New Roman" w:cs="Times New Roman" w:eastAsia="Times New Roman" w:hAnsi="Times New Roman"/>
          <w:sz w:val="18"/>
          <w:szCs w:val="18"/>
          <w:color w:val="auto"/>
        </w:rPr>
      </w:pPr>
    </w:p>
    <w:p>
      <w:pPr>
        <w:ind w:left="4" w:hanging="4"/>
        <w:spacing w:after="0" w:line="251" w:lineRule="auto"/>
        <w:tabs>
          <w:tab w:leader="none" w:pos="219"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Indemnified Taxes attributable to such Lender (but only to the extent that the Borrower or another Loan Party has not already indemnified the Administrative Agent for such Indemnified Taxes and without limiting the obligation of the Borrower and the other Loan Parties to do so), (ii) any Taxes attributable to such Lender’s failure to comply with the provisions of Section 12.6.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subsection. The provisions of this subsection shall continue to inure to the benefit of an Administrative Agent following its resignation or removal as Administrative Agent.</w:t>
      </w:r>
    </w:p>
    <w:p>
      <w:pPr>
        <w:spacing w:after="0" w:line="192" w:lineRule="exact"/>
        <w:rPr>
          <w:rFonts w:ascii="Times New Roman" w:cs="Times New Roman" w:eastAsia="Times New Roman" w:hAnsi="Times New Roman"/>
          <w:sz w:val="18"/>
          <w:szCs w:val="18"/>
          <w:color w:val="auto"/>
        </w:rPr>
      </w:pPr>
    </w:p>
    <w:p>
      <w:pPr>
        <w:ind w:left="4" w:right="160" w:firstLine="436"/>
        <w:spacing w:after="0" w:line="261" w:lineRule="auto"/>
        <w:tabs>
          <w:tab w:leader="none" w:pos="669"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Evidence of Payments</w:t>
      </w:r>
      <w:r>
        <w:rPr>
          <w:rFonts w:ascii="Times New Roman" w:cs="Times New Roman" w:eastAsia="Times New Roman" w:hAnsi="Times New Roman"/>
          <w:sz w:val="18"/>
          <w:szCs w:val="18"/>
          <w:color w:val="auto"/>
        </w:rPr>
        <w:t>. As soon as practicable after any payment of Taxes by the Borrower or any other Loan Party to a Governmental Authority pursuant to this Section, the Borrower or such other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04"/>
          </w:cols>
          <w:pgMar w:left="436" w:top="270" w:right="459" w:bottom="1440" w:gutter="0" w:footer="0" w:header="0"/>
        </w:sectPr>
      </w:pPr>
    </w:p>
    <w:bookmarkStart w:id="226" w:name="page227"/>
    <w:bookmarkEnd w:id="226"/>
    <w:p>
      <w:pPr>
        <w:ind w:left="264" w:hanging="264"/>
        <w:spacing w:after="0"/>
        <w:tabs>
          <w:tab w:leader="none" w:pos="264"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Status of Lenders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firstLine="419"/>
        <w:spacing w:after="0" w:line="253" w:lineRule="auto"/>
        <w:tabs>
          <w:tab w:leader="none" w:pos="641"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the immediately following clauses (ii) (A), (ii)(B) and (ii)(D))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86" w:lineRule="exact"/>
        <w:rPr>
          <w:rFonts w:ascii="Times New Roman" w:cs="Times New Roman" w:eastAsia="Times New Roman" w:hAnsi="Times New Roman"/>
          <w:sz w:val="18"/>
          <w:szCs w:val="18"/>
          <w:color w:val="auto"/>
        </w:rPr>
      </w:pPr>
    </w:p>
    <w:p>
      <w:pPr>
        <w:ind w:left="684" w:hanging="261"/>
        <w:spacing w:after="0"/>
        <w:tabs>
          <w:tab w:leader="none" w:pos="684"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foregoing, in the event that the Borrower is a U.S. Person:</w:t>
      </w:r>
    </w:p>
    <w:p>
      <w:pPr>
        <w:spacing w:after="0" w:line="117" w:lineRule="exact"/>
        <w:rPr>
          <w:rFonts w:ascii="Times New Roman" w:cs="Times New Roman" w:eastAsia="Times New Roman" w:hAnsi="Times New Roman"/>
          <w:sz w:val="18"/>
          <w:szCs w:val="18"/>
          <w:color w:val="auto"/>
        </w:rPr>
      </w:pPr>
    </w:p>
    <w:p>
      <w:pPr>
        <w:ind w:left="544" w:right="20" w:firstLine="408"/>
        <w:spacing w:after="0" w:line="261" w:lineRule="auto"/>
        <w:tabs>
          <w:tab w:leader="none" w:pos="1239" w:val="left"/>
        </w:tabs>
        <w:numPr>
          <w:ilvl w:val="2"/>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an electronic copy (or an original if requested by the Borrower or the Administrative Agent) of an executed IRS Form W-9 (or any successor form) certifying that such Lender is exempt from U.S. federal backup withholding tax;</w:t>
      </w:r>
    </w:p>
    <w:p>
      <w:pPr>
        <w:spacing w:after="0" w:line="71" w:lineRule="exact"/>
        <w:rPr>
          <w:rFonts w:ascii="Times New Roman" w:cs="Times New Roman" w:eastAsia="Times New Roman" w:hAnsi="Times New Roman"/>
          <w:sz w:val="18"/>
          <w:szCs w:val="18"/>
          <w:color w:val="auto"/>
        </w:rPr>
      </w:pPr>
    </w:p>
    <w:p>
      <w:pPr>
        <w:ind w:left="544" w:right="320" w:firstLine="408"/>
        <w:spacing w:after="0" w:line="261" w:lineRule="auto"/>
        <w:tabs>
          <w:tab w:leader="none" w:pos="1229" w:val="left"/>
        </w:tabs>
        <w:numPr>
          <w:ilvl w:val="2"/>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71" w:lineRule="exact"/>
        <w:rPr>
          <w:rFonts w:ascii="Times New Roman" w:cs="Times New Roman" w:eastAsia="Times New Roman" w:hAnsi="Times New Roman"/>
          <w:sz w:val="18"/>
          <w:szCs w:val="18"/>
          <w:color w:val="auto"/>
        </w:rPr>
      </w:pPr>
    </w:p>
    <w:p>
      <w:pPr>
        <w:ind w:left="984" w:right="100" w:firstLine="391"/>
        <w:spacing w:after="0" w:line="256" w:lineRule="auto"/>
        <w:tabs>
          <w:tab w:leader="none" w:pos="1592" w:val="left"/>
        </w:tabs>
        <w:numPr>
          <w:ilvl w:val="3"/>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Foreign Lender claiming the benefits of an income tax treaty to which the United States is a party (x) with respect to payments of interest under any Loan Document, an electronic copy (or an original if requested by the Borrower or the Administrative Agent) of an executed IRS Form W-8BEN, or W-8BEN-E, as applicable, establishing an exemption from, or reduction of, U.S. federal withholding Tax pursuant to the “interest” article of such tax treaty and (y) with respect to any other applicable payments under any Loan Document, IRS Form W-8BEN or W-8BEN-E, as applicable, establishing an exemption from, or reduction of, U.S. federal withholding Tax pursuant to the “business profits” or “other income” article of such tax treaty;</w:t>
      </w:r>
    </w:p>
    <w:p>
      <w:pPr>
        <w:spacing w:after="0" w:line="79" w:lineRule="exact"/>
        <w:rPr>
          <w:sz w:val="20"/>
          <w:szCs w:val="20"/>
          <w:color w:val="auto"/>
        </w:rPr>
      </w:pPr>
    </w:p>
    <w:p>
      <w:pPr>
        <w:ind w:left="1664" w:hanging="289"/>
        <w:spacing w:after="0"/>
        <w:tabs>
          <w:tab w:leader="none" w:pos="1664"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electronic copy (or an original if requested by the Borrower or the Administrative Agent) of an executed IRS Form W-</w:t>
      </w:r>
    </w:p>
    <w:p>
      <w:pPr>
        <w:spacing w:after="0" w:line="27" w:lineRule="exact"/>
        <w:rPr>
          <w:rFonts w:ascii="Times New Roman" w:cs="Times New Roman" w:eastAsia="Times New Roman" w:hAnsi="Times New Roman"/>
          <w:sz w:val="18"/>
          <w:szCs w:val="18"/>
          <w:color w:val="auto"/>
        </w:rPr>
      </w:pPr>
    </w:p>
    <w:p>
      <w:pPr>
        <w:ind w:left="98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8ECI;</w:t>
      </w:r>
    </w:p>
    <w:p>
      <w:pPr>
        <w:spacing w:after="0" w:line="99" w:lineRule="exact"/>
        <w:rPr>
          <w:sz w:val="20"/>
          <w:szCs w:val="20"/>
          <w:color w:val="auto"/>
        </w:rPr>
      </w:pPr>
    </w:p>
    <w:p>
      <w:pPr>
        <w:ind w:left="984" w:right="20" w:firstLine="391"/>
        <w:spacing w:after="0" w:line="255" w:lineRule="auto"/>
        <w:tabs>
          <w:tab w:leader="none" w:pos="1712"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Foreign Lender claiming the benefits of the exemption for portfolio interest under Section 881(c) of the Internal Revenue Code, (x) a certificate substantially in the form of Exhibit J-1 to the effect that such Foreign Lender is not a “bank” within the meaning of Section 881(c)(3)(A) of the Internal Revenue Code, a “10 percent shareholder” of the Borrower within the meaning of Section 881(c)(3)(B) of the Internal Revenue Code, or a “controlled foreign corporation” described in Section 881(c)(3)</w:t>
      </w:r>
    </w:p>
    <w:p>
      <w:pPr>
        <w:spacing w:after="0" w:line="2" w:lineRule="exact"/>
        <w:rPr>
          <w:rFonts w:ascii="Times New Roman" w:cs="Times New Roman" w:eastAsia="Times New Roman" w:hAnsi="Times New Roman"/>
          <w:sz w:val="18"/>
          <w:szCs w:val="18"/>
          <w:color w:val="auto"/>
        </w:rPr>
      </w:pPr>
    </w:p>
    <w:p>
      <w:pPr>
        <w:ind w:left="984" w:right="140" w:firstLine="8"/>
        <w:spacing w:after="0" w:line="260" w:lineRule="auto"/>
        <w:tabs>
          <w:tab w:leader="none" w:pos="1268"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Internal Revenue Code (a “</w:t>
      </w:r>
      <w:r>
        <w:rPr>
          <w:rFonts w:ascii="Times New Roman" w:cs="Times New Roman" w:eastAsia="Times New Roman" w:hAnsi="Times New Roman"/>
          <w:sz w:val="18"/>
          <w:szCs w:val="18"/>
          <w:b w:val="1"/>
          <w:bCs w:val="1"/>
          <w:color w:val="auto"/>
        </w:rPr>
        <w:t>U.S. Tax Compliance Certificate</w:t>
      </w:r>
      <w:r>
        <w:rPr>
          <w:rFonts w:ascii="Times New Roman" w:cs="Times New Roman" w:eastAsia="Times New Roman" w:hAnsi="Times New Roman"/>
          <w:sz w:val="18"/>
          <w:szCs w:val="18"/>
          <w:color w:val="auto"/>
        </w:rPr>
        <w:t>”) and (y) an electronic copy (or an original if requested by the Borrower or the Administrative Agent) of IRS Form W-8BEN or W-8BEN-E, as applicable,; or</w:t>
      </w:r>
    </w:p>
    <w:p>
      <w:pPr>
        <w:spacing w:after="0" w:line="114"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0564"/>
          </w:cols>
          <w:pgMar w:left="876" w:top="270" w:right="459" w:bottom="1440" w:gutter="0" w:footer="0" w:header="0"/>
        </w:sectPr>
      </w:pPr>
    </w:p>
    <w:bookmarkStart w:id="227" w:name="page228"/>
    <w:bookmarkEnd w:id="227"/>
    <w:p>
      <w:pPr>
        <w:ind w:left="1420" w:right="120" w:firstLine="383"/>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(IV) to the extent a Foreign Lender is not the beneficial owner, an electronic copy (or an original if requested by the Borrower or the Administrative Agent) of an executed IRS Form W-8IMY, accompanied by IRS Form W-8ECI, IRS Form W-8BEN or W-8BEN-E, as applicable, a U.S. Tax Compliance Certificate substantially in the form of Exhibit J-2 or Exhibit J-3, IRS Form W-9, and/or other certification documents from each beneficial owner, as applicable; provided that if the Foreign Lender is a partnership and one or more direct or indirect partners of such Foreign Lender are claiming the portfolio interest exemption, such Foreign Lender may provide a U.S. Tax Compliance Certificate substantially in the form of Exhibit J-4 on behalf of each such direct and indirect partner;</w:t>
      </w:r>
    </w:p>
    <w:p>
      <w:pPr>
        <w:spacing w:after="0" w:line="81" w:lineRule="exact"/>
        <w:rPr>
          <w:sz w:val="20"/>
          <w:szCs w:val="20"/>
          <w:color w:val="auto"/>
        </w:rPr>
      </w:pPr>
    </w:p>
    <w:p>
      <w:pPr>
        <w:ind w:left="980" w:right="60" w:firstLine="408"/>
        <w:spacing w:after="0" w:line="255" w:lineRule="auto"/>
        <w:tabs>
          <w:tab w:leader="none" w:pos="1666"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an electronic copy (or an original if requested by the Borrower or the Administrative Agent)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80" w:lineRule="exact"/>
        <w:rPr>
          <w:rFonts w:ascii="Times New Roman" w:cs="Times New Roman" w:eastAsia="Times New Roman" w:hAnsi="Times New Roman"/>
          <w:sz w:val="18"/>
          <w:szCs w:val="18"/>
          <w:color w:val="auto"/>
        </w:rPr>
      </w:pPr>
    </w:p>
    <w:p>
      <w:pPr>
        <w:ind w:left="980" w:firstLine="408"/>
        <w:spacing w:after="0" w:line="253" w:lineRule="auto"/>
        <w:tabs>
          <w:tab w:leader="none" w:pos="1676"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Internal Revenue Code, as applicable), such Lender shall deliver to the Borrower and the Administrative Agent at the time or times prescribed by Applicable Law and at such time or times reasonably requested by the Borrower or the Administrative Agent such documentation prescribed by Applicable Law (including as prescribed by Section 1471(b)(3)(C)(i) of the Internal Revenue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 For purposes of determining withholding Taxes imposed under FATCA, from and after the date of this Agreement, the Borrower and the Administrative Agent shall treat (and the Lenders hereby authorize the Administrative Agent to treat) this Agreement as not qualifying as a “grandfathered obligation” within the meaning of Treasury Regulation Section 1.1471-2(b)(2)(i).</w:t>
      </w:r>
    </w:p>
    <w:p>
      <w:pPr>
        <w:spacing w:after="0" w:line="19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00"/>
          </w:cols>
          <w:pgMar w:left="440" w:top="270" w:right="459" w:bottom="1440" w:gutter="0" w:footer="0" w:header="0"/>
        </w:sectPr>
      </w:pPr>
    </w:p>
    <w:bookmarkStart w:id="228" w:name="page229"/>
    <w:bookmarkEnd w:id="228"/>
    <w:p>
      <w:pPr>
        <w:ind w:firstLine="436"/>
        <w:spacing w:after="0" w:line="253" w:lineRule="auto"/>
        <w:tabs>
          <w:tab w:leader="none" w:pos="695"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Treatment of Certain Refunds</w:t>
      </w:r>
      <w:r>
        <w:rPr>
          <w:rFonts w:ascii="Times New Roman" w:cs="Times New Roman" w:eastAsia="Times New Roman" w:hAnsi="Times New Roman"/>
          <w:sz w:val="18"/>
          <w:szCs w:val="18"/>
          <w:color w:val="auto"/>
        </w:rPr>
        <w:t>. If any party determines, in its sole discretion exercised in good faith, that it has received a refund of any Taxes as to which it has been indemnified pursuant to this Section (including by the payment of additional amounts pursuant to this Section),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subsection (plus any penalties, interest or other charges imposed by the relevant Governmental Authority) in the event that such indemnified party is required to repay such refund to such Governmental Authority. Notwithstanding anything to the contrary in this subsection, in no event will the indemnified party be required to pay any amount to an indemnifying party pursuant to this subsection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subsection shall not be construed to require any indemnified party to make available its Tax returns (or any other information relating to its Taxes that it deems confidential) to the indemnifying party or any other Person.</w:t>
      </w:r>
    </w:p>
    <w:p>
      <w:pPr>
        <w:spacing w:after="0" w:line="187" w:lineRule="exact"/>
        <w:rPr>
          <w:rFonts w:ascii="Times New Roman" w:cs="Times New Roman" w:eastAsia="Times New Roman" w:hAnsi="Times New Roman"/>
          <w:sz w:val="18"/>
          <w:szCs w:val="18"/>
          <w:color w:val="auto"/>
        </w:rPr>
      </w:pPr>
    </w:p>
    <w:p>
      <w:pPr>
        <w:ind w:right="660" w:firstLine="436"/>
        <w:spacing w:after="0" w:line="266" w:lineRule="auto"/>
        <w:tabs>
          <w:tab w:leader="none" w:pos="655"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Each party’s obligations under this Section shall survive the resignation or replacement of the Administrative Agent or any assignment of rights by, or the replacement of, a Lender, the termination of the Commitments and the repayment, satisfaction or discharge of all obligations under any Loan Document.</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IV. Yield Protection, Etc.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4.1. Additional Costs; Capital Adequacy.</w:t>
      </w:r>
    </w:p>
    <w:p>
      <w:pPr>
        <w:spacing w:after="0" w:line="121" w:lineRule="exact"/>
        <w:rPr>
          <w:sz w:val="20"/>
          <w:szCs w:val="20"/>
          <w:color w:val="auto"/>
        </w:rPr>
      </w:pPr>
    </w:p>
    <w:p>
      <w:pPr>
        <w:ind w:right="20" w:firstLine="436"/>
        <w:spacing w:after="0" w:line="253" w:lineRule="auto"/>
        <w:tabs>
          <w:tab w:leader="none" w:pos="685"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 Adequacy</w:t>
      </w:r>
      <w:r>
        <w:rPr>
          <w:rFonts w:ascii="Times New Roman" w:cs="Times New Roman" w:eastAsia="Times New Roman" w:hAnsi="Times New Roman"/>
          <w:sz w:val="18"/>
          <w:szCs w:val="18"/>
          <w:color w:val="auto"/>
        </w:rPr>
        <w:t>. If any Lender or any Participant determines that compliance with any law or regulation or with any guideline or request from any central bank or other Governmental Authority issued or taking effect after the Agreement Date including any Regulatory Change (whether or not having the force of law) affects or would affect the amount of capital or liquidity required or expected to be maintained by such Lender or such Participant, or any corporation controlling such Lender or such Participant, as a consequence of, or with reference to, such Lender’s making, Converting to, Continuing of, or maintaining Loans below the rate which such Lender or such Participant or such corporation controlling such Lender or such Participant could have achieved but for such compliance (taking into account the policies of such Lender or such Participant or such corporation with regard to capital), then the Borrower shall, from time to time, within thirty (30) days after written demand by such Lender or such Participant, pay to such Lender or such Participant additional amounts sufficient to compensate such Lender or such Participant or such corporation controlling such Lender or such Participant to the extent that such Lender or such Participant determines such increase in capital or liquidity is allocable to such Lender’s or such Participant’s obligations hereunder.</w:t>
      </w:r>
    </w:p>
    <w:p>
      <w:pPr>
        <w:spacing w:after="0" w:line="194" w:lineRule="exact"/>
        <w:rPr>
          <w:rFonts w:ascii="Times New Roman" w:cs="Times New Roman" w:eastAsia="Times New Roman" w:hAnsi="Times New Roman"/>
          <w:sz w:val="18"/>
          <w:szCs w:val="18"/>
          <w:color w:val="auto"/>
        </w:rPr>
      </w:pPr>
    </w:p>
    <w:p>
      <w:pPr>
        <w:ind w:right="120" w:firstLine="436"/>
        <w:spacing w:after="0" w:line="255" w:lineRule="auto"/>
        <w:tabs>
          <w:tab w:leader="none" w:pos="695"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Costs.</w:t>
      </w:r>
      <w:r>
        <w:rPr>
          <w:rFonts w:ascii="Times New Roman" w:cs="Times New Roman" w:eastAsia="Times New Roman" w:hAnsi="Times New Roman"/>
          <w:sz w:val="18"/>
          <w:szCs w:val="18"/>
          <w:color w:val="auto"/>
        </w:rPr>
        <w:t xml:space="preserve"> In addition to, and not in limitation of the immediately preceding subsection, the Borrower shall promptly pay to the Administrative Agent for the account of a Lender from time to time such amounts as such Lender may determine to be necessary to compensate such Lender for any costs incurred by such Lender that it determines are attributable to its making, Converting to, Continuing of, or maintaining of any </w:t>
      </w:r>
      <w:r>
        <w:rPr>
          <w:rFonts w:ascii="Times New Roman" w:cs="Times New Roman" w:eastAsia="Times New Roman" w:hAnsi="Times New Roman"/>
          <w:sz w:val="18"/>
          <w:szCs w:val="18"/>
          <w:color w:val="FF0000"/>
          <w:strike w:val="1"/>
        </w:rPr>
        <w:t>LIBOR</w:t>
      </w:r>
      <w:r>
        <w:rPr>
          <w:rFonts w:ascii="Times New Roman" w:cs="Times New Roman" w:eastAsia="Times New Roman" w:hAnsi="Times New Roman"/>
          <w:sz w:val="18"/>
          <w:szCs w:val="18"/>
          <w:u w:val="single" w:color="auto"/>
          <w:color w:val="0000FF"/>
        </w:rPr>
        <w:t>SOFR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Loans or its obligation to make any</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LIBOR</w:t>
      </w:r>
      <w:r>
        <w:rPr>
          <w:rFonts w:ascii="Times New Roman" w:cs="Times New Roman" w:eastAsia="Times New Roman" w:hAnsi="Times New Roman"/>
          <w:sz w:val="18"/>
          <w:szCs w:val="18"/>
          <w:u w:val="single" w:color="auto"/>
          <w:color w:val="0000FF"/>
        </w:rPr>
        <w:t>SOFR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Loans hereunder, any reduction in any amount receivable by such Lender under this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Agreement or any of the other Loan Documents in respect of any of such </w:t>
      </w:r>
      <w:r>
        <w:rPr>
          <w:rFonts w:ascii="Times New Roman" w:cs="Times New Roman" w:eastAsia="Times New Roman" w:hAnsi="Times New Roman"/>
          <w:sz w:val="18"/>
          <w:szCs w:val="18"/>
          <w:color w:val="FF0000"/>
          <w:strike w:val="1"/>
        </w:rPr>
        <w:t>LIBOR</w:t>
      </w:r>
      <w:r>
        <w:rPr>
          <w:rFonts w:ascii="Times New Roman" w:cs="Times New Roman" w:eastAsia="Times New Roman" w:hAnsi="Times New Roman"/>
          <w:sz w:val="18"/>
          <w:szCs w:val="18"/>
          <w:u w:val="single" w:color="auto"/>
          <w:color w:val="0000FF"/>
        </w:rPr>
        <w:t>SOFR</w:t>
      </w:r>
      <w:r>
        <w:rPr>
          <w:rFonts w:ascii="Times New Roman" w:cs="Times New Roman" w:eastAsia="Times New Roman" w:hAnsi="Times New Roman"/>
          <w:sz w:val="18"/>
          <w:szCs w:val="18"/>
          <w:color w:val="000000"/>
        </w:rPr>
        <w:t xml:space="preserve"> Loans or such obligation or the maintenance by such Lender of capital in respect of its </w:t>
      </w:r>
      <w:r>
        <w:rPr>
          <w:rFonts w:ascii="Times New Roman" w:cs="Times New Roman" w:eastAsia="Times New Roman" w:hAnsi="Times New Roman"/>
          <w:sz w:val="18"/>
          <w:szCs w:val="18"/>
          <w:color w:val="FF0000"/>
          <w:strike w:val="1"/>
        </w:rPr>
        <w:t>LIBOR</w:t>
      </w:r>
      <w:r>
        <w:rPr>
          <w:rFonts w:ascii="Times New Roman" w:cs="Times New Roman" w:eastAsia="Times New Roman" w:hAnsi="Times New Roman"/>
          <w:sz w:val="18"/>
          <w:szCs w:val="18"/>
          <w:u w:val="single" w:color="auto"/>
          <w:color w:val="0000FF"/>
        </w:rPr>
        <w:t>SOFR</w:t>
      </w:r>
      <w:r>
        <w:rPr>
          <w:rFonts w:ascii="Times New Roman" w:cs="Times New Roman" w:eastAsia="Times New Roman" w:hAnsi="Times New Roman"/>
          <w:sz w:val="18"/>
          <w:szCs w:val="18"/>
          <w:color w:val="000000"/>
        </w:rPr>
        <w:t xml:space="preserve"> Loans (such increases in costs and reductions in amounts receivable being herein called “</w:t>
      </w:r>
      <w:r>
        <w:rPr>
          <w:rFonts w:ascii="Times New Roman" w:cs="Times New Roman" w:eastAsia="Times New Roman" w:hAnsi="Times New Roman"/>
          <w:sz w:val="18"/>
          <w:szCs w:val="18"/>
          <w:b w:val="1"/>
          <w:bCs w:val="1"/>
          <w:color w:val="000000"/>
        </w:rPr>
        <w:t>Additional Costs</w:t>
      </w:r>
      <w:r>
        <w:rPr>
          <w:rFonts w:ascii="Times New Roman" w:cs="Times New Roman" w:eastAsia="Times New Roman" w:hAnsi="Times New Roman"/>
          <w:sz w:val="18"/>
          <w:szCs w:val="18"/>
          <w:color w:val="000000"/>
        </w:rPr>
        <w:t>”), to the extent resulting from any Regulatory Change that: (i) changes the basis of taxation of any amounts payable to such Lender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-408305</wp:posOffset>
            </wp:positionV>
            <wp:extent cx="282575"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282575" cy="8890"/>
                    </a:xfrm>
                    <a:prstGeom prst="rect">
                      <a:avLst/>
                    </a:prstGeom>
                    <a:noFill/>
                  </pic:spPr>
                </pic:pic>
              </a:graphicData>
            </a:graphic>
          </wp:anchor>
        </w:drawing>
        <w:drawing>
          <wp:anchor simplePos="0" relativeHeight="251657728" behindDoc="1" locked="0" layoutInCell="0" allowOverlap="1">
            <wp:simplePos x="0" y="0"/>
            <wp:positionH relativeFrom="column">
              <wp:posOffset>2646045</wp:posOffset>
            </wp:positionH>
            <wp:positionV relativeFrom="paragraph">
              <wp:posOffset>-408305</wp:posOffset>
            </wp:positionV>
            <wp:extent cx="28321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283210" cy="8890"/>
                    </a:xfrm>
                    <a:prstGeom prst="rect">
                      <a:avLst/>
                    </a:prstGeom>
                    <a:noFill/>
                  </pic:spPr>
                </pic:pic>
              </a:graphicData>
            </a:graphic>
          </wp:anchor>
        </w:drawing>
        <w:drawing>
          <wp:anchor simplePos="0" relativeHeight="251657728" behindDoc="1" locked="0" layoutInCell="0" allowOverlap="1">
            <wp:simplePos x="0" y="0"/>
            <wp:positionH relativeFrom="column">
              <wp:posOffset>3709035</wp:posOffset>
            </wp:positionH>
            <wp:positionV relativeFrom="paragraph">
              <wp:posOffset>-271145</wp:posOffset>
            </wp:positionV>
            <wp:extent cx="28321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283210" cy="8255"/>
                    </a:xfrm>
                    <a:prstGeom prst="rect">
                      <a:avLst/>
                    </a:prstGeom>
                    <a:noFill/>
                  </pic:spPr>
                </pic:pic>
              </a:graphicData>
            </a:graphic>
          </wp:anchor>
        </w:drawing>
        <w:drawing>
          <wp:anchor simplePos="0" relativeHeight="251657728" behindDoc="1" locked="0" layoutInCell="0" allowOverlap="1">
            <wp:simplePos x="0" y="0"/>
            <wp:positionH relativeFrom="column">
              <wp:posOffset>1403350</wp:posOffset>
            </wp:positionH>
            <wp:positionV relativeFrom="paragraph">
              <wp:posOffset>-133985</wp:posOffset>
            </wp:positionV>
            <wp:extent cx="282575"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282575" cy="8255"/>
                    </a:xfrm>
                    <a:prstGeom prst="rect">
                      <a:avLst/>
                    </a:prstGeom>
                    <a:noFill/>
                  </pic:spPr>
                </pic:pic>
              </a:graphicData>
            </a:graphic>
          </wp:anchor>
        </w:drawing>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00"/>
          </w:cols>
          <w:pgMar w:left="440" w:top="270" w:right="459" w:bottom="1440" w:gutter="0" w:footer="0" w:header="0"/>
        </w:sectPr>
      </w:pPr>
    </w:p>
    <w:bookmarkStart w:id="229" w:name="page230"/>
    <w:bookmarkEnd w:id="229"/>
    <w:p>
      <w:pPr>
        <w:ind w:left="4"/>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or any of the other Loan Documents in respect of any of such </w:t>
      </w:r>
      <w:r>
        <w:rPr>
          <w:rFonts w:ascii="Times New Roman" w:cs="Times New Roman" w:eastAsia="Times New Roman" w:hAnsi="Times New Roman"/>
          <w:sz w:val="17"/>
          <w:szCs w:val="17"/>
          <w:color w:val="FF0000"/>
          <w:strike w:val="1"/>
        </w:rPr>
        <w:t>LIBOR</w:t>
      </w:r>
      <w:r>
        <w:rPr>
          <w:rFonts w:ascii="Times New Roman" w:cs="Times New Roman" w:eastAsia="Times New Roman" w:hAnsi="Times New Roman"/>
          <w:sz w:val="17"/>
          <w:szCs w:val="17"/>
          <w:u w:val="single" w:color="auto"/>
          <w:color w:val="0000FF"/>
        </w:rPr>
        <w:t>SOFR</w:t>
      </w:r>
      <w:r>
        <w:rPr>
          <w:rFonts w:ascii="Times New Roman" w:cs="Times New Roman" w:eastAsia="Times New Roman" w:hAnsi="Times New Roman"/>
          <w:sz w:val="17"/>
          <w:szCs w:val="17"/>
          <w:color w:val="auto"/>
        </w:rPr>
        <w:t xml:space="preserve"> Loans (other than Indemnified Taxes, Taxes described in clauses (b) through</w:t>
      </w:r>
    </w:p>
    <w:p>
      <w:pPr>
        <w:spacing w:after="0" w:line="39" w:lineRule="exact"/>
        <w:rPr>
          <w:sz w:val="20"/>
          <w:szCs w:val="20"/>
          <w:color w:val="auto"/>
        </w:rPr>
      </w:pPr>
    </w:p>
    <w:p>
      <w:pPr>
        <w:ind w:left="4" w:right="80" w:hanging="4"/>
        <w:spacing w:after="0" w:line="252" w:lineRule="auto"/>
        <w:tabs>
          <w:tab w:leader="none" w:pos="259"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the definition of Excluded Taxes and Connection Income Taxes), or (ii) imposes or modifies any reserve, special deposit or similar requirements (other than Regulation D of the </w:t>
      </w:r>
      <w:r>
        <w:rPr>
          <w:rFonts w:ascii="Times New Roman" w:cs="Times New Roman" w:eastAsia="Times New Roman" w:hAnsi="Times New Roman"/>
          <w:sz w:val="18"/>
          <w:szCs w:val="18"/>
          <w:color w:val="FF0000"/>
          <w:strike w:val="1"/>
        </w:rPr>
        <w:t>Board of Governors of the Federal Reserve System</w:t>
      </w:r>
      <w:r>
        <w:rPr>
          <w:rFonts w:ascii="Times New Roman" w:cs="Times New Roman" w:eastAsia="Times New Roman" w:hAnsi="Times New Roman"/>
          <w:sz w:val="18"/>
          <w:szCs w:val="18"/>
          <w:u w:val="single" w:color="auto"/>
          <w:color w:val="0000FF"/>
        </w:rPr>
        <w:t>FRB</w:t>
      </w:r>
      <w:r>
        <w:rPr>
          <w:rFonts w:ascii="Times New Roman" w:cs="Times New Roman" w:eastAsia="Times New Roman" w:hAnsi="Times New Roman"/>
          <w:sz w:val="18"/>
          <w:szCs w:val="18"/>
          <w:color w:val="auto"/>
        </w:rPr>
        <w:t xml:space="preserve"> or other similar reserve requirement applicable to any other category of liabilities or category of extensions of credit or other assets by reference to which the interest rate on </w:t>
      </w:r>
      <w:r>
        <w:rPr>
          <w:rFonts w:ascii="Times New Roman" w:cs="Times New Roman" w:eastAsia="Times New Roman" w:hAnsi="Times New Roman"/>
          <w:sz w:val="18"/>
          <w:szCs w:val="18"/>
          <w:color w:val="FF0000"/>
          <w:strike w:val="1"/>
        </w:rPr>
        <w:t>LIBOR</w:t>
      </w:r>
      <w:r>
        <w:rPr>
          <w:rFonts w:ascii="Times New Roman" w:cs="Times New Roman" w:eastAsia="Times New Roman" w:hAnsi="Times New Roman"/>
          <w:sz w:val="18"/>
          <w:szCs w:val="18"/>
          <w:u w:val="single" w:color="auto"/>
          <w:color w:val="0000FF"/>
        </w:rPr>
        <w:t>SOFR</w:t>
      </w:r>
      <w:r>
        <w:rPr>
          <w:rFonts w:ascii="Times New Roman" w:cs="Times New Roman" w:eastAsia="Times New Roman" w:hAnsi="Times New Roman"/>
          <w:sz w:val="18"/>
          <w:szCs w:val="18"/>
          <w:color w:val="auto"/>
        </w:rPr>
        <w:t xml:space="preserve"> Loans is determined to the extent utilized to determine </w:t>
      </w:r>
      <w:r>
        <w:rPr>
          <w:rFonts w:ascii="Times New Roman" w:cs="Times New Roman" w:eastAsia="Times New Roman" w:hAnsi="Times New Roman"/>
          <w:sz w:val="18"/>
          <w:szCs w:val="18"/>
          <w:color w:val="FF0000"/>
          <w:strike w:val="1"/>
        </w:rPr>
        <w:t>LIBOR</w:t>
      </w:r>
      <w:r>
        <w:rPr>
          <w:rFonts w:ascii="Times New Roman" w:cs="Times New Roman" w:eastAsia="Times New Roman" w:hAnsi="Times New Roman"/>
          <w:sz w:val="18"/>
          <w:szCs w:val="18"/>
          <w:u w:val="single" w:color="auto"/>
          <w:color w:val="0000FF"/>
        </w:rPr>
        <w:t>Adjusted Term SOFR</w:t>
      </w:r>
      <w:r>
        <w:rPr>
          <w:rFonts w:ascii="Times New Roman" w:cs="Times New Roman" w:eastAsia="Times New Roman" w:hAnsi="Times New Roman"/>
          <w:sz w:val="18"/>
          <w:szCs w:val="18"/>
          <w:color w:val="auto"/>
        </w:rPr>
        <w:t xml:space="preserve"> for such Loans) relating to any extensions of credit or other assets of, or any deposits with or other liabilities of, or other credit extended by, or any other acquisition of funds by such Lender (or its parent corporation), or any commitment of such Lender or (iii) imposes on any Lender or the London interbank market any other condition, cost or expense (other than Taxes) affecting this Agreement or the Loans made by such Lender.</w:t>
      </w:r>
    </w:p>
    <w:p>
      <w:pPr>
        <w:spacing w:after="0" w:line="188" w:lineRule="exact"/>
        <w:rPr>
          <w:rFonts w:ascii="Times New Roman" w:cs="Times New Roman" w:eastAsia="Times New Roman" w:hAnsi="Times New Roman"/>
          <w:sz w:val="18"/>
          <w:szCs w:val="18"/>
          <w:color w:val="auto"/>
        </w:rPr>
      </w:pPr>
    </w:p>
    <w:p>
      <w:pPr>
        <w:ind w:left="4" w:firstLine="436"/>
        <w:spacing w:after="0" w:line="255" w:lineRule="auto"/>
        <w:tabs>
          <w:tab w:leader="none" w:pos="689"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Lender’s Suspension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FF0000"/>
          <w:strike w:val="1"/>
        </w:rPr>
        <w:t>LIBOR</w:t>
      </w:r>
      <w:r>
        <w:rPr>
          <w:rFonts w:ascii="Times New Roman" w:cs="Times New Roman" w:eastAsia="Times New Roman" w:hAnsi="Times New Roman"/>
          <w:sz w:val="18"/>
          <w:szCs w:val="18"/>
          <w:u w:val="single" w:color="auto"/>
          <w:color w:val="0000FF"/>
        </w:rPr>
        <w:t>SOFR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Loans</w:t>
      </w:r>
      <w:r>
        <w:rPr>
          <w:rFonts w:ascii="Times New Roman" w:cs="Times New Roman" w:eastAsia="Times New Roman" w:hAnsi="Times New Roman"/>
          <w:sz w:val="18"/>
          <w:szCs w:val="18"/>
          <w:color w:val="auto"/>
        </w:rPr>
        <w:t xml:space="preserve">. Without limiting the effect of the provisions of the immediately preceding subsection (a) and (b), if by reason of any Regulatory Change, any Lender either (i) incurs Additional Costs based on or measured by the excess above a specified level of the amount of a category of deposits or other liabilities of such Lender that includes deposits by reference to which the interest rate on </w:t>
      </w:r>
      <w:r>
        <w:rPr>
          <w:rFonts w:ascii="Times New Roman" w:cs="Times New Roman" w:eastAsia="Times New Roman" w:hAnsi="Times New Roman"/>
          <w:sz w:val="18"/>
          <w:szCs w:val="18"/>
          <w:color w:val="FF0000"/>
          <w:strike w:val="1"/>
        </w:rPr>
        <w:t>LIBOR</w:t>
      </w:r>
      <w:r>
        <w:rPr>
          <w:rFonts w:ascii="Times New Roman" w:cs="Times New Roman" w:eastAsia="Times New Roman" w:hAnsi="Times New Roman"/>
          <w:sz w:val="18"/>
          <w:szCs w:val="18"/>
          <w:u w:val="single" w:color="auto"/>
          <w:color w:val="0000FF"/>
        </w:rPr>
        <w:t>SOFR</w:t>
      </w:r>
      <w:r>
        <w:rPr>
          <w:rFonts w:ascii="Times New Roman" w:cs="Times New Roman" w:eastAsia="Times New Roman" w:hAnsi="Times New Roman"/>
          <w:sz w:val="18"/>
          <w:szCs w:val="18"/>
          <w:color w:val="auto"/>
        </w:rPr>
        <w:t xml:space="preserve"> Loan is determined as provided in this Agreement or a category of extensions of credit or other assets of such Lender that includes </w:t>
      </w:r>
      <w:r>
        <w:rPr>
          <w:rFonts w:ascii="Times New Roman" w:cs="Times New Roman" w:eastAsia="Times New Roman" w:hAnsi="Times New Roman"/>
          <w:sz w:val="18"/>
          <w:szCs w:val="18"/>
          <w:color w:val="FF0000"/>
          <w:strike w:val="1"/>
        </w:rPr>
        <w:t>LIBOR</w:t>
      </w:r>
      <w:r>
        <w:rPr>
          <w:rFonts w:ascii="Times New Roman" w:cs="Times New Roman" w:eastAsia="Times New Roman" w:hAnsi="Times New Roman"/>
          <w:sz w:val="18"/>
          <w:szCs w:val="18"/>
          <w:u w:val="single" w:color="auto"/>
          <w:color w:val="0000FF"/>
        </w:rPr>
        <w:t>SOFR</w:t>
      </w:r>
      <w:r>
        <w:rPr>
          <w:rFonts w:ascii="Times New Roman" w:cs="Times New Roman" w:eastAsia="Times New Roman" w:hAnsi="Times New Roman"/>
          <w:sz w:val="18"/>
          <w:szCs w:val="18"/>
          <w:color w:val="auto"/>
        </w:rPr>
        <w:t xml:space="preserve"> Loans or</w:t>
      </w:r>
    </w:p>
    <w:p>
      <w:pPr>
        <w:spacing w:after="0" w:line="2" w:lineRule="exact"/>
        <w:rPr>
          <w:rFonts w:ascii="Times New Roman" w:cs="Times New Roman" w:eastAsia="Times New Roman" w:hAnsi="Times New Roman"/>
          <w:sz w:val="18"/>
          <w:szCs w:val="18"/>
          <w:color w:val="auto"/>
        </w:rPr>
      </w:pPr>
    </w:p>
    <w:p>
      <w:pPr>
        <w:ind w:left="4" w:hanging="4"/>
        <w:spacing w:after="0" w:line="253" w:lineRule="auto"/>
        <w:tabs>
          <w:tab w:leader="none" w:pos="269"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becomes subject to restrictions on the amount of such a category of liabilities or assets that it may hold, then, if such Lender so elects by notice to the Borrower (with a copy to the Administrative Agent), the obligation of such Lender to make or Continue, or to Convert Base Rate Loans into, </w:t>
      </w:r>
      <w:r>
        <w:rPr>
          <w:rFonts w:ascii="Times New Roman" w:cs="Times New Roman" w:eastAsia="Times New Roman" w:hAnsi="Times New Roman"/>
          <w:sz w:val="18"/>
          <w:szCs w:val="18"/>
          <w:color w:val="FF0000"/>
          <w:strike w:val="1"/>
        </w:rPr>
        <w:t>LIBOR</w:t>
      </w:r>
      <w:r>
        <w:rPr>
          <w:rFonts w:ascii="Times New Roman" w:cs="Times New Roman" w:eastAsia="Times New Roman" w:hAnsi="Times New Roman"/>
          <w:sz w:val="18"/>
          <w:szCs w:val="18"/>
          <w:u w:val="single" w:color="auto"/>
          <w:color w:val="0000FF"/>
        </w:rPr>
        <w:t>SOFR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Loans hereunder shall be suspended until such Regulatory Change ceases to be in effect (in which case the provisions of Section 4.5. shall</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apply).</w:t>
      </w:r>
    </w:p>
    <w:p>
      <w:pPr>
        <w:spacing w:after="0" w:line="80"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Omitted].</w:t>
      </w:r>
    </w:p>
    <w:p>
      <w:pPr>
        <w:spacing w:after="0" w:line="225" w:lineRule="exact"/>
        <w:rPr>
          <w:rFonts w:ascii="Times New Roman" w:cs="Times New Roman" w:eastAsia="Times New Roman" w:hAnsi="Times New Roman"/>
          <w:sz w:val="18"/>
          <w:szCs w:val="18"/>
          <w:color w:val="auto"/>
        </w:rPr>
      </w:pPr>
    </w:p>
    <w:p>
      <w:pPr>
        <w:ind w:left="4" w:firstLine="436"/>
        <w:spacing w:after="0" w:line="253" w:lineRule="auto"/>
        <w:tabs>
          <w:tab w:leader="none" w:pos="689"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Notification and Determination of Additional Costs</w:t>
      </w:r>
      <w:r>
        <w:rPr>
          <w:rFonts w:ascii="Times New Roman" w:cs="Times New Roman" w:eastAsia="Times New Roman" w:hAnsi="Times New Roman"/>
          <w:sz w:val="18"/>
          <w:szCs w:val="18"/>
          <w:color w:val="auto"/>
        </w:rPr>
        <w:t>. Each of the Administrative Agent, each Lender, and each Participant, as the case may be, agrees to notify the Borrower of any event occurring after the Agreement Date entitling the Administrative Agent, such Lender or such Participant to compensation under any of the preceding subsections of this Section as promptly as practicable; provided, however, that the failure of the Administrative Agent, any Lender or any Participant to give such notice shall not release the Borrower from any of its obligations hereunder (and in the case of a Lender, to the Administrative Agent). The Administrative Agent, each Lender and each Participant, as the case may be, agrees to furnish to the Borrower a certificate setting forth the basis and amount of each request for compensation under this Section. Determinations by the Administrative Agent, such Lender, or such Participant, as the case may be, of the effect of any Regulatory Change shall be conclusive and binding for all purposes, absent manifest error and provided that such determinations are made on a reasonable basis and in good faith. Notwithstanding anything to the contrary contained in the preceding subsections of this Section 4.1., the Borrower shall not be required to compensate any Lender or any Participant for any such increased costs or reduced return incurred by such Lender or Participant more than one-hundred-eighty (180) days prior to such Lender’s or Participant’s written request to the Borrower for such compensation (except that if the event giving rise to the increased costs or reduced return is retroactive, then the one-hundred-eighty (180) day period referred to above shall be extended to include the period of retroactive effect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3171825</wp:posOffset>
            </wp:positionH>
            <wp:positionV relativeFrom="paragraph">
              <wp:posOffset>-4179570</wp:posOffset>
            </wp:positionV>
            <wp:extent cx="291465"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291465" cy="8255"/>
                    </a:xfrm>
                    <a:prstGeom prst="rect">
                      <a:avLst/>
                    </a:prstGeom>
                    <a:noFill/>
                  </pic:spPr>
                </pic:pic>
              </a:graphicData>
            </a:graphic>
          </wp:anchor>
        </w:drawing>
        <w:drawing>
          <wp:anchor simplePos="0" relativeHeight="251657728" behindDoc="1" locked="0" layoutInCell="0" allowOverlap="1">
            <wp:simplePos x="0" y="0"/>
            <wp:positionH relativeFrom="column">
              <wp:posOffset>3797300</wp:posOffset>
            </wp:positionH>
            <wp:positionV relativeFrom="paragraph">
              <wp:posOffset>-3905250</wp:posOffset>
            </wp:positionV>
            <wp:extent cx="21463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5511800</wp:posOffset>
            </wp:positionH>
            <wp:positionV relativeFrom="paragraph">
              <wp:posOffset>-3768090</wp:posOffset>
            </wp:positionV>
            <wp:extent cx="291465"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291465" cy="8255"/>
                    </a:xfrm>
                    <a:prstGeom prst="rect">
                      <a:avLst/>
                    </a:prstGeom>
                    <a:noFill/>
                  </pic:spPr>
                </pic:pic>
              </a:graphicData>
            </a:graphic>
          </wp:anchor>
        </w:drawing>
        <w:drawing>
          <wp:anchor simplePos="0" relativeHeight="251657728" behindDoc="1" locked="0" layoutInCell="0" allowOverlap="1">
            <wp:simplePos x="0" y="0"/>
            <wp:positionH relativeFrom="column">
              <wp:posOffset>1791335</wp:posOffset>
            </wp:positionH>
            <wp:positionV relativeFrom="paragraph">
              <wp:posOffset>-3630930</wp:posOffset>
            </wp:positionV>
            <wp:extent cx="994410"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994410" cy="8255"/>
                    </a:xfrm>
                    <a:prstGeom prst="rect">
                      <a:avLst/>
                    </a:prstGeom>
                    <a:noFill/>
                  </pic:spPr>
                </pic:pic>
              </a:graphicData>
            </a:graphic>
          </wp:anchor>
        </w:drawing>
        <w:drawing>
          <wp:anchor simplePos="0" relativeHeight="251657728" behindDoc="1" locked="0" layoutInCell="0" allowOverlap="1">
            <wp:simplePos x="0" y="0"/>
            <wp:positionH relativeFrom="column">
              <wp:posOffset>1885950</wp:posOffset>
            </wp:positionH>
            <wp:positionV relativeFrom="paragraph">
              <wp:posOffset>-2945130</wp:posOffset>
            </wp:positionV>
            <wp:extent cx="308610"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308610" cy="8255"/>
                    </a:xfrm>
                    <a:prstGeom prst="rect">
                      <a:avLst/>
                    </a:prstGeom>
                    <a:noFill/>
                  </pic:spPr>
                </pic:pic>
              </a:graphicData>
            </a:graphic>
          </wp:anchor>
        </w:drawing>
        <w:drawing>
          <wp:anchor simplePos="0" relativeHeight="251657728" behindDoc="1" locked="0" layoutInCell="0" allowOverlap="1">
            <wp:simplePos x="0" y="0"/>
            <wp:positionH relativeFrom="column">
              <wp:posOffset>6326505</wp:posOffset>
            </wp:positionH>
            <wp:positionV relativeFrom="paragraph">
              <wp:posOffset>-2670810</wp:posOffset>
            </wp:positionV>
            <wp:extent cx="291465"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291465" cy="8255"/>
                    </a:xfrm>
                    <a:prstGeom prst="rect">
                      <a:avLst/>
                    </a:prstGeom>
                    <a:noFill/>
                  </pic:spPr>
                </pic:pic>
              </a:graphicData>
            </a:graphic>
          </wp:anchor>
        </w:drawing>
        <w:drawing>
          <wp:anchor simplePos="0" relativeHeight="251657728" behindDoc="1" locked="0" layoutInCell="0" allowOverlap="1">
            <wp:simplePos x="0" y="0"/>
            <wp:positionH relativeFrom="column">
              <wp:posOffset>5966460</wp:posOffset>
            </wp:positionH>
            <wp:positionV relativeFrom="paragraph">
              <wp:posOffset>-2533650</wp:posOffset>
            </wp:positionV>
            <wp:extent cx="291465"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291465" cy="8255"/>
                    </a:xfrm>
                    <a:prstGeom prst="rect">
                      <a:avLst/>
                    </a:prstGeom>
                    <a:noFill/>
                  </pic:spPr>
                </pic:pic>
              </a:graphicData>
            </a:graphic>
          </wp:anchor>
        </w:drawing>
        <w:drawing>
          <wp:anchor simplePos="0" relativeHeight="251657728" behindDoc="1" locked="0" layoutInCell="0" allowOverlap="1">
            <wp:simplePos x="0" y="0"/>
            <wp:positionH relativeFrom="column">
              <wp:posOffset>342900</wp:posOffset>
            </wp:positionH>
            <wp:positionV relativeFrom="paragraph">
              <wp:posOffset>-2122170</wp:posOffset>
            </wp:positionV>
            <wp:extent cx="282575"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282575" cy="8255"/>
                    </a:xfrm>
                    <a:prstGeom prst="rect">
                      <a:avLst/>
                    </a:prstGeom>
                    <a:noFill/>
                  </pic:spPr>
                </pic:pic>
              </a:graphicData>
            </a:graphic>
          </wp:anchor>
        </w:drawing>
      </w:r>
    </w:p>
    <w:p>
      <w:pPr>
        <w:spacing w:after="0" w:line="27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4.2. Inability to Determine Interest Rates; Alternative Rate of Interest.</w:t>
      </w:r>
    </w:p>
    <w:p>
      <w:pPr>
        <w:spacing w:after="0" w:line="121" w:lineRule="exact"/>
        <w:rPr>
          <w:sz w:val="20"/>
          <w:szCs w:val="20"/>
          <w:color w:val="auto"/>
        </w:rPr>
      </w:pPr>
    </w:p>
    <w:p>
      <w:pPr>
        <w:ind w:left="4" w:right="440" w:firstLine="436"/>
        <w:spacing w:after="0" w:line="261" w:lineRule="auto"/>
        <w:tabs>
          <w:tab w:leader="none" w:pos="689"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FF0000"/>
          <w:strike w:val="1"/>
        </w:rPr>
        <w:t>Inability to Determine Rates</w:t>
      </w:r>
      <w:r>
        <w:rPr>
          <w:rFonts w:ascii="Times New Roman" w:cs="Times New Roman" w:eastAsia="Times New Roman" w:hAnsi="Times New Roman"/>
          <w:sz w:val="18"/>
          <w:szCs w:val="18"/>
          <w:color w:val="FF0000"/>
          <w:strike w:val="1"/>
        </w:rPr>
        <w:t>. If the Administrative Agent reasonably determines, or the Administrative Agent is advised by the Requisite</w:t>
      </w:r>
      <w:r>
        <w:rPr>
          <w:rFonts w:ascii="Times New Roman" w:cs="Times New Roman" w:eastAsia="Times New Roman" w:hAnsi="Times New Roman"/>
          <w:sz w:val="18"/>
          <w:szCs w:val="18"/>
          <w:u w:val="single" w:color="auto"/>
          <w:color w:val="FF0000"/>
          <w:strike w:val="1"/>
        </w:rPr>
        <w:t xml:space="preserve"> </w:t>
      </w:r>
      <w:r>
        <w:rPr>
          <w:rFonts w:ascii="Times New Roman" w:cs="Times New Roman" w:eastAsia="Times New Roman" w:hAnsi="Times New Roman"/>
          <w:sz w:val="18"/>
          <w:szCs w:val="18"/>
          <w:color w:val="FF0000"/>
          <w:strike w:val="1"/>
        </w:rPr>
        <w:t>Lenders, that for any reason</w:t>
      </w:r>
      <w:r>
        <w:rPr>
          <w:rFonts w:ascii="Times New Roman" w:cs="Times New Roman" w:eastAsia="Times New Roman" w:hAnsi="Times New Roman"/>
          <w:sz w:val="18"/>
          <w:szCs w:val="18"/>
          <w:u w:val="single" w:color="auto"/>
          <w:color w:val="0000FF"/>
          <w:strike w:val="1"/>
        </w:rPr>
        <w:t>Circumstances Affecting Benchmark Availability. Subject to clause (b) below,</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in connection with any request for a</w:t>
      </w:r>
      <w:r>
        <w:rPr>
          <w:rFonts w:ascii="Times New Roman" w:cs="Times New Roman" w:eastAsia="Times New Roman" w:hAnsi="Times New Roman"/>
          <w:sz w:val="18"/>
          <w:szCs w:val="18"/>
          <w:color w:val="FF0000"/>
          <w:strike w:val="1"/>
        </w:rPr>
        <w:t xml:space="preserve"> LIBOR</w:t>
      </w:r>
      <w:r>
        <w:rPr>
          <w:rFonts w:ascii="Times New Roman" w:cs="Times New Roman" w:eastAsia="Times New Roman" w:hAnsi="Times New Roman"/>
          <w:sz w:val="18"/>
          <w:szCs w:val="18"/>
          <w:u w:val="single" w:color="auto"/>
          <w:color w:val="0000FF"/>
          <w:strike w:val="1"/>
        </w:rPr>
        <w:t>SOFR</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Loan or a Conversion to or Continuation thereof or otherwise</w:t>
      </w:r>
      <w:r>
        <w:rPr>
          <w:rFonts w:ascii="Times New Roman" w:cs="Times New Roman" w:eastAsia="Times New Roman" w:hAnsi="Times New Roman"/>
          <w:sz w:val="18"/>
          <w:szCs w:val="18"/>
          <w:color w:val="FF0000"/>
          <w:strike w:val="1"/>
        </w:rPr>
        <w:t xml:space="preserve"> that (i) Dollar deposits are not being offered to banks in the London interbank market for the applicable amount and Interest Period of such LIBOR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1276985</wp:posOffset>
            </wp:positionH>
            <wp:positionV relativeFrom="paragraph">
              <wp:posOffset>-276860</wp:posOffset>
            </wp:positionV>
            <wp:extent cx="3574415"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3574415" cy="8255"/>
                    </a:xfrm>
                    <a:prstGeom prst="rect">
                      <a:avLst/>
                    </a:prstGeom>
                    <a:noFill/>
                  </pic:spPr>
                </pic:pic>
              </a:graphicData>
            </a:graphic>
          </wp:anchor>
        </w:drawing>
        <w:drawing>
          <wp:anchor simplePos="0" relativeHeight="251657728" behindDoc="1" locked="0" layoutInCell="0" allowOverlap="1">
            <wp:simplePos x="0" y="0"/>
            <wp:positionH relativeFrom="column">
              <wp:posOffset>342900</wp:posOffset>
            </wp:positionH>
            <wp:positionV relativeFrom="paragraph">
              <wp:posOffset>-139700</wp:posOffset>
            </wp:positionV>
            <wp:extent cx="282575"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282575" cy="8890"/>
                    </a:xfrm>
                    <a:prstGeom prst="rect">
                      <a:avLst/>
                    </a:prstGeom>
                    <a:noFill/>
                  </pic:spPr>
                </pic:pic>
              </a:graphicData>
            </a:graphic>
          </wp:anchor>
        </w:drawing>
        <w:drawing>
          <wp:anchor simplePos="0" relativeHeight="251657728" behindDoc="1" locked="0" layoutInCell="0" allowOverlap="1">
            <wp:simplePos x="0" y="0"/>
            <wp:positionH relativeFrom="column">
              <wp:posOffset>3465195</wp:posOffset>
            </wp:positionH>
            <wp:positionV relativeFrom="paragraph">
              <wp:posOffset>-225425</wp:posOffset>
            </wp:positionV>
            <wp:extent cx="312293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3122930" cy="8890"/>
                    </a:xfrm>
                    <a:prstGeom prst="rect">
                      <a:avLst/>
                    </a:prstGeom>
                    <a:noFill/>
                  </pic:spPr>
                </pic:pic>
              </a:graphicData>
            </a:graphic>
          </wp:anchor>
        </w:drawing>
      </w:r>
    </w:p>
    <w:p>
      <w:pPr>
        <w:spacing w:after="0" w:line="9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004"/>
          </w:cols>
          <w:pgMar w:left="436" w:top="270" w:right="459" w:bottom="1440" w:gutter="0" w:footer="0" w:header="0"/>
        </w:sectPr>
      </w:pPr>
    </w:p>
    <w:bookmarkStart w:id="230" w:name="page231"/>
    <w:bookmarkEnd w:id="230"/>
    <w:p>
      <w:pPr>
        <w:ind w:right="20"/>
        <w:spacing w:after="0" w:line="252" w:lineRule="auto"/>
        <w:rPr>
          <w:sz w:val="20"/>
          <w:szCs w:val="20"/>
          <w:color w:val="auto"/>
        </w:rPr>
      </w:pPr>
      <w:r>
        <w:rPr>
          <w:rFonts w:ascii="Times New Roman" w:cs="Times New Roman" w:eastAsia="Times New Roman" w:hAnsi="Times New Roman"/>
          <w:sz w:val="18"/>
          <w:szCs w:val="18"/>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Loan, (ii) adequate and reasonable</w:t>
      </w:r>
      <w:r>
        <w:rPr>
          <w:rFonts w:ascii="Times New Roman" w:cs="Times New Roman" w:eastAsia="Times New Roman" w:hAnsi="Times New Roman"/>
          <w:sz w:val="18"/>
          <w:szCs w:val="18"/>
          <w:u w:val="single" w:color="auto"/>
          <w:color w:val="0000FF"/>
          <w:strike w:val="1"/>
        </w:rPr>
        <w:t>, if for any reason (i) the Administrative Agent shall determine (which determination shall be conclusive and binding</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0000FF"/>
          <w:strike w:val="1"/>
        </w:rPr>
        <w:t>absent manifest error) that reasonable and adequate</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means do not exist for</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FF0000"/>
          <w:strike w:val="1"/>
        </w:rPr>
        <w:t>determining LIBOR for any requested Interest Period</w:t>
      </w:r>
      <w:r>
        <w:rPr>
          <w:rFonts w:ascii="Times New Roman" w:cs="Times New Roman" w:eastAsia="Times New Roman" w:hAnsi="Times New Roman"/>
          <w:sz w:val="18"/>
          <w:szCs w:val="18"/>
          <w:u w:val="single" w:color="auto"/>
          <w:color w:val="0000FF"/>
          <w:strike w:val="1"/>
        </w:rPr>
        <w:t>ascertaining Adjusted</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u w:val="single" w:color="auto"/>
          <w:color w:val="0000FF"/>
          <w:strike w:val="1"/>
        </w:rPr>
        <w:t>Term SOFR</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with respect to a proposed</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FF0000"/>
          <w:strike w:val="1"/>
        </w:rPr>
        <w:t>LIBOR</w:t>
      </w:r>
      <w:r>
        <w:rPr>
          <w:rFonts w:ascii="Times New Roman" w:cs="Times New Roman" w:eastAsia="Times New Roman" w:hAnsi="Times New Roman"/>
          <w:sz w:val="18"/>
          <w:szCs w:val="18"/>
          <w:u w:val="single" w:color="auto"/>
          <w:color w:val="0000FF"/>
          <w:strike w:val="1"/>
        </w:rPr>
        <w:t>SOFR</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Loan</w:t>
      </w:r>
      <w:r>
        <w:rPr>
          <w:rFonts w:ascii="Times New Roman" w:cs="Times New Roman" w:eastAsia="Times New Roman" w:hAnsi="Times New Roman"/>
          <w:sz w:val="18"/>
          <w:szCs w:val="18"/>
          <w:color w:val="FF0000"/>
          <w:strike w:val="1"/>
        </w:rPr>
        <w:t>, or (iii) LIBOR for any requested Interest Period with respect to a proposed LIBOR Loan</w:t>
      </w:r>
      <w:r>
        <w:rPr>
          <w:rFonts w:ascii="Times New Roman" w:cs="Times New Roman" w:eastAsia="Times New Roman" w:hAnsi="Times New Roman"/>
          <w:sz w:val="18"/>
          <w:szCs w:val="18"/>
          <w:color w:val="0000FF"/>
          <w:strike w:val="1"/>
        </w:rPr>
        <w:t xml:space="preserve"> on </w:t>
      </w:r>
      <w:r>
        <w:rPr>
          <w:rFonts w:ascii="Times New Roman" w:cs="Times New Roman" w:eastAsia="Times New Roman" w:hAnsi="Times New Roman"/>
          <w:sz w:val="18"/>
          <w:szCs w:val="18"/>
          <w:u w:val="single" w:color="auto"/>
          <w:color w:val="0000FF"/>
          <w:strike w:val="1"/>
        </w:rPr>
        <w:t>or prior to the first day of the applicable Interest Period or (ii) the Requisite Lenders shall determine (which determination shall be conclusive and binding absent manifest error) that Adjusted Term SOFR</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does not adequately and fairly reflect the cost to</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u w:val="single" w:color="auto"/>
          <w:color w:val="0000FF"/>
          <w:strike w:val="1"/>
        </w:rPr>
        <w:t>such Lenders of making or maintaining any</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u w:val="single" w:color="auto"/>
          <w:color w:val="0000FF"/>
          <w:strike w:val="1"/>
        </w:rPr>
        <w:t>such Loan during such Interest Period and, in the case of clause (ii),</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the Requisite Lenders</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FF0000"/>
          <w:strike w:val="1"/>
        </w:rPr>
        <w:t>of funding such Loan</w:t>
      </w:r>
      <w:r>
        <w:rPr>
          <w:rFonts w:ascii="Times New Roman" w:cs="Times New Roman" w:eastAsia="Times New Roman" w:hAnsi="Times New Roman"/>
          <w:sz w:val="18"/>
          <w:szCs w:val="18"/>
          <w:u w:val="single" w:color="auto"/>
          <w:color w:val="0000FF"/>
          <w:strike w:val="1"/>
        </w:rPr>
        <w:t>have provided notice of such</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u w:val="single" w:color="auto"/>
          <w:color w:val="0000FF"/>
          <w:strike w:val="1"/>
        </w:rPr>
        <w:t>determination to the Administrative Agent, then, in each case</w:t>
      </w:r>
      <w:r>
        <w:rPr>
          <w:rFonts w:ascii="Times New Roman" w:cs="Times New Roman" w:eastAsia="Times New Roman" w:hAnsi="Times New Roman"/>
          <w:sz w:val="18"/>
          <w:szCs w:val="18"/>
          <w:color w:val="000000"/>
          <w:strike w:val="1"/>
        </w:rPr>
        <w:t>, the Administrative Agent</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FF0000"/>
          <w:strike w:val="1"/>
        </w:rPr>
        <w:t>will</w:t>
      </w:r>
      <w:r>
        <w:rPr>
          <w:rFonts w:ascii="Times New Roman" w:cs="Times New Roman" w:eastAsia="Times New Roman" w:hAnsi="Times New Roman"/>
          <w:sz w:val="18"/>
          <w:szCs w:val="18"/>
          <w:u w:val="single" w:color="auto"/>
          <w:color w:val="0000FF"/>
          <w:strike w:val="1"/>
        </w:rPr>
        <w:t>shall</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promptly</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FF0000"/>
          <w:strike w:val="1"/>
        </w:rPr>
        <w:t>so notify</w:t>
      </w:r>
      <w:r>
        <w:rPr>
          <w:rFonts w:ascii="Times New Roman" w:cs="Times New Roman" w:eastAsia="Times New Roman" w:hAnsi="Times New Roman"/>
          <w:sz w:val="18"/>
          <w:szCs w:val="18"/>
          <w:u w:val="single" w:color="auto"/>
          <w:color w:val="0000FF"/>
          <w:strike w:val="1"/>
        </w:rPr>
        <w:t>give notice thereof to</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the Borrower</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FF0000"/>
          <w:strike w:val="1"/>
        </w:rPr>
        <w:t>and each Lender. Thereafter, the</w:t>
      </w:r>
      <w:r>
        <w:rPr>
          <w:rFonts w:ascii="Times New Roman" w:cs="Times New Roman" w:eastAsia="Times New Roman" w:hAnsi="Times New Roman"/>
          <w:sz w:val="18"/>
          <w:szCs w:val="18"/>
          <w:u w:val="single" w:color="auto"/>
          <w:color w:val="0000FF"/>
          <w:strike w:val="1"/>
        </w:rPr>
        <w:t>. Upon notice thereof by the Administrative Agent to the Borrower, any</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obligation of the Lenders to make</w:t>
      </w:r>
      <w:r>
        <w:rPr>
          <w:rFonts w:ascii="Times New Roman" w:cs="Times New Roman" w:eastAsia="Times New Roman" w:hAnsi="Times New Roman"/>
          <w:sz w:val="18"/>
          <w:szCs w:val="18"/>
          <w:color w:val="FF0000"/>
          <w:strike w:val="1"/>
        </w:rPr>
        <w:t xml:space="preserve"> or maintain LIBOR Loans and Base Rate Loans as to which the interest rate is determined by reference to LIBOR</w:t>
      </w:r>
      <w:r>
        <w:rPr>
          <w:rFonts w:ascii="Times New Roman" w:cs="Times New Roman" w:eastAsia="Times New Roman" w:hAnsi="Times New Roman"/>
          <w:sz w:val="18"/>
          <w:szCs w:val="18"/>
          <w:u w:val="single" w:color="auto"/>
          <w:color w:val="0000FF"/>
          <w:strike w:val="1"/>
        </w:rPr>
        <w:t>SOFR Loans, and any right of the Borrower to</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0000FF"/>
          <w:strike w:val="1"/>
        </w:rPr>
        <w:t>convert any Loan to or continue any Loan as a SOFR Loan,</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shall be suspended</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u w:val="single" w:color="auto"/>
          <w:color w:val="0000FF"/>
          <w:strike w:val="1"/>
        </w:rPr>
        <w:t>(to the extent of the affected SOFR Loans or the affected Interest</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u w:val="single" w:color="auto"/>
          <w:color w:val="0000FF"/>
          <w:strike w:val="1"/>
        </w:rPr>
        <w:t>Periods)</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until the Administrative Agent (</w:t>
      </w:r>
      <w:r>
        <w:rPr>
          <w:rFonts w:ascii="Times New Roman" w:cs="Times New Roman" w:eastAsia="Times New Roman" w:hAnsi="Times New Roman"/>
          <w:sz w:val="18"/>
          <w:szCs w:val="18"/>
          <w:color w:val="FF0000"/>
          <w:strike w:val="1"/>
        </w:rPr>
        <w:t>upon</w:t>
      </w:r>
      <w:r>
        <w:rPr>
          <w:rFonts w:ascii="Times New Roman" w:cs="Times New Roman" w:eastAsia="Times New Roman" w:hAnsi="Times New Roman"/>
          <w:sz w:val="18"/>
          <w:szCs w:val="18"/>
          <w:u w:val="single" w:color="auto"/>
          <w:color w:val="0000FF"/>
          <w:strike w:val="1"/>
        </w:rPr>
        <w:t>with respect to clause (ii), at</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the instruction of the Requisite Lenders) revokes such notice</w:t>
      </w:r>
      <w:r>
        <w:rPr>
          <w:rFonts w:ascii="Times New Roman" w:cs="Times New Roman" w:eastAsia="Times New Roman" w:hAnsi="Times New Roman"/>
          <w:sz w:val="18"/>
          <w:szCs w:val="18"/>
          <w:color w:val="FF0000"/>
          <w:strike w:val="1"/>
        </w:rPr>
        <w:t>, such revocation</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FF0000"/>
          <w:strike w:val="1"/>
        </w:rPr>
        <w:t>not to be unreasonably withheld or delayed</w:t>
      </w:r>
      <w:r>
        <w:rPr>
          <w:rFonts w:ascii="Times New Roman" w:cs="Times New Roman" w:eastAsia="Times New Roman" w:hAnsi="Times New Roman"/>
          <w:sz w:val="18"/>
          <w:szCs w:val="18"/>
          <w:color w:val="000000"/>
          <w:strike w:val="1"/>
        </w:rPr>
        <w:t>. Upon receipt of such notice,</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0000FF"/>
          <w:strike w:val="1"/>
        </w:rPr>
        <w:t>(A)</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the Borrower may revoke any pending request for</w:t>
      </w:r>
      <w:r>
        <w:rPr>
          <w:rFonts w:ascii="Times New Roman" w:cs="Times New Roman" w:eastAsia="Times New Roman" w:hAnsi="Times New Roman"/>
          <w:sz w:val="18"/>
          <w:szCs w:val="18"/>
          <w:color w:val="FF0000"/>
          <w:strike w:val="1"/>
        </w:rPr>
        <w:t xml:space="preserve"> the</w:t>
      </w:r>
      <w:r>
        <w:rPr>
          <w:rFonts w:ascii="Times New Roman" w:cs="Times New Roman" w:eastAsia="Times New Roman" w:hAnsi="Times New Roman"/>
          <w:sz w:val="18"/>
          <w:szCs w:val="18"/>
          <w:u w:val="single" w:color="auto"/>
          <w:color w:val="0000FF"/>
          <w:strike w:val="1"/>
        </w:rPr>
        <w:t>a</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borrowing of</w:t>
      </w:r>
      <w:r>
        <w:rPr>
          <w:rFonts w:ascii="Times New Roman" w:cs="Times New Roman" w:eastAsia="Times New Roman" w:hAnsi="Times New Roman"/>
          <w:sz w:val="18"/>
          <w:szCs w:val="18"/>
          <w:color w:val="FF0000"/>
          <w:strike w:val="1"/>
        </w:rPr>
        <w:t xml:space="preserve"> Loans</w:t>
      </w:r>
      <w:r>
        <w:rPr>
          <w:rFonts w:ascii="Times New Roman" w:cs="Times New Roman" w:eastAsia="Times New Roman" w:hAnsi="Times New Roman"/>
          <w:sz w:val="18"/>
          <w:szCs w:val="18"/>
          <w:color w:val="000000"/>
          <w:strike w:val="1"/>
        </w:rPr>
        <w:t>, Conversion to or Continuation of</w:t>
      </w:r>
      <w:r>
        <w:rPr>
          <w:rFonts w:ascii="Times New Roman" w:cs="Times New Roman" w:eastAsia="Times New Roman" w:hAnsi="Times New Roman"/>
          <w:sz w:val="18"/>
          <w:szCs w:val="18"/>
          <w:color w:val="FF0000"/>
          <w:strike w:val="1"/>
        </w:rPr>
        <w:t xml:space="preserve"> LIBOR</w:t>
      </w:r>
      <w:r>
        <w:rPr>
          <w:rFonts w:ascii="Times New Roman" w:cs="Times New Roman" w:eastAsia="Times New Roman" w:hAnsi="Times New Roman"/>
          <w:sz w:val="18"/>
          <w:szCs w:val="18"/>
          <w:u w:val="single" w:color="auto"/>
          <w:color w:val="0000FF"/>
          <w:strike w:val="1"/>
        </w:rPr>
        <w:t>SOFR Loans (to the extent of the affected SOFR</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Loans or</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FF"/>
          <w:strike w:val="1"/>
        </w:rPr>
        <w:t>the affected Interest Periods) or</w:t>
      </w:r>
      <w:r>
        <w:rPr>
          <w:rFonts w:ascii="Times New Roman" w:cs="Times New Roman" w:eastAsia="Times New Roman" w:hAnsi="Times New Roman"/>
          <w:sz w:val="18"/>
          <w:szCs w:val="18"/>
          <w:color w:val="000000"/>
          <w:strike w:val="1"/>
        </w:rPr>
        <w:t>, failing that,</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0000FF"/>
          <w:strike w:val="1"/>
        </w:rPr>
        <w:t>the Borrower</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will be deemed to have converted</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u w:val="single" w:color="auto"/>
          <w:color w:val="0000FF"/>
          <w:strike w:val="1"/>
        </w:rPr>
        <w:t>any</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such request into a request for</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FF0000"/>
          <w:strike w:val="1"/>
        </w:rPr>
        <w:t>the</w:t>
      </w:r>
      <w:r>
        <w:rPr>
          <w:rFonts w:ascii="Times New Roman" w:cs="Times New Roman" w:eastAsia="Times New Roman" w:hAnsi="Times New Roman"/>
          <w:sz w:val="18"/>
          <w:szCs w:val="18"/>
          <w:u w:val="single" w:color="auto"/>
          <w:color w:val="0000FF"/>
          <w:strike w:val="1"/>
        </w:rPr>
        <w:t>a</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borrowing of</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FF0000"/>
          <w:strike w:val="1"/>
        </w:rPr>
        <w:t>Loans that are</w:t>
      </w:r>
      <w:r>
        <w:rPr>
          <w:rFonts w:ascii="Times New Roman" w:cs="Times New Roman" w:eastAsia="Times New Roman" w:hAnsi="Times New Roman"/>
          <w:sz w:val="18"/>
          <w:szCs w:val="18"/>
          <w:u w:val="single" w:color="auto"/>
          <w:color w:val="0000FF"/>
          <w:strike w:val="1"/>
        </w:rPr>
        <w:t>or Conversion to</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Base Rate Loans</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FF0000"/>
          <w:strike w:val="1"/>
        </w:rPr>
        <w:t>(with the Base Rate determined other than by reference to the LIBOR Market Index Rate (as provided in the definition of Base Rate)) in</w:t>
      </w:r>
      <w:r>
        <w:rPr>
          <w:rFonts w:ascii="Times New Roman" w:cs="Times New Roman" w:eastAsia="Times New Roman" w:hAnsi="Times New Roman"/>
          <w:sz w:val="18"/>
          <w:szCs w:val="18"/>
          <w:u w:val="single" w:color="auto"/>
          <w:color w:val="0000FF"/>
          <w:strike w:val="1"/>
        </w:rPr>
        <w:t>in</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the amount</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specified therein</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000000"/>
          <w:strike w:val="1"/>
        </w:rPr>
        <w:t xml:space="preserve"> </w:t>
      </w:r>
      <w:r>
        <w:rPr>
          <w:rFonts w:ascii="Times New Roman" w:cs="Times New Roman" w:eastAsia="Times New Roman" w:hAnsi="Times New Roman"/>
          <w:sz w:val="18"/>
          <w:szCs w:val="18"/>
          <w:color w:val="0000FF"/>
          <w:strike w:val="1"/>
        </w:rPr>
        <w:t>and (B) any outstanding affected SOFR Loans will be deemed to have been converted into Base Rate Loans at the end of the</w:t>
      </w:r>
      <w:r>
        <w:rPr>
          <w:rFonts w:ascii="Times New Roman" w:cs="Times New Roman" w:eastAsia="Times New Roman" w:hAnsi="Times New Roman"/>
          <w:sz w:val="18"/>
          <w:szCs w:val="18"/>
          <w:color w:val="000000"/>
          <w:strike w:val="1"/>
        </w:rPr>
        <w:t xml:space="preserve"> </w:t>
      </w:r>
      <w:r>
        <w:rPr>
          <w:rFonts w:ascii="Times New Roman" w:cs="Times New Roman" w:eastAsia="Times New Roman" w:hAnsi="Times New Roman"/>
          <w:sz w:val="18"/>
          <w:szCs w:val="18"/>
          <w:u w:val="single" w:color="auto"/>
          <w:color w:val="0000FF"/>
          <w:strike w:val="1"/>
        </w:rPr>
        <w:t>applicable Interest Period. Upon any such prepayment or Conversion, the Borrower shall also pay accrued interest on the amount so prepaid or converted, together with any additional amounts required pursuant to Section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1574800</wp:posOffset>
            </wp:positionH>
            <wp:positionV relativeFrom="paragraph">
              <wp:posOffset>-2326005</wp:posOffset>
            </wp:positionV>
            <wp:extent cx="5340350"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534035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-2188845</wp:posOffset>
            </wp:positionV>
            <wp:extent cx="2348865"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2348865" cy="8890"/>
                    </a:xfrm>
                    <a:prstGeom prst="rect">
                      <a:avLst/>
                    </a:prstGeom>
                    <a:noFill/>
                  </pic:spPr>
                </pic:pic>
              </a:graphicData>
            </a:graphic>
          </wp:anchor>
        </w:drawing>
        <w:drawing>
          <wp:anchor simplePos="0" relativeHeight="251657728" behindDoc="1" locked="0" layoutInCell="0" allowOverlap="1">
            <wp:simplePos x="0" y="0"/>
            <wp:positionH relativeFrom="column">
              <wp:posOffset>5861050</wp:posOffset>
            </wp:positionH>
            <wp:positionV relativeFrom="paragraph">
              <wp:posOffset>-2188845</wp:posOffset>
            </wp:positionV>
            <wp:extent cx="99441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99441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-2051685</wp:posOffset>
            </wp:positionV>
            <wp:extent cx="557530"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557530" cy="8255"/>
                    </a:xfrm>
                    <a:prstGeom prst="rect">
                      <a:avLst/>
                    </a:prstGeom>
                    <a:noFill/>
                  </pic:spPr>
                </pic:pic>
              </a:graphicData>
            </a:graphic>
          </wp:anchor>
        </w:drawing>
        <w:drawing>
          <wp:anchor simplePos="0" relativeHeight="251657728" behindDoc="1" locked="0" layoutInCell="0" allowOverlap="1">
            <wp:simplePos x="0" y="0"/>
            <wp:positionH relativeFrom="column">
              <wp:posOffset>2148840</wp:posOffset>
            </wp:positionH>
            <wp:positionV relativeFrom="paragraph">
              <wp:posOffset>-2051685</wp:posOffset>
            </wp:positionV>
            <wp:extent cx="282575"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282575" cy="8255"/>
                    </a:xfrm>
                    <a:prstGeom prst="rect">
                      <a:avLst/>
                    </a:prstGeom>
                    <a:noFill/>
                  </pic:spPr>
                </pic:pic>
              </a:graphicData>
            </a:graphic>
          </wp:anchor>
        </w:drawing>
        <w:drawing>
          <wp:anchor simplePos="0" relativeHeight="251657728" behindDoc="1" locked="0" layoutInCell="0" allowOverlap="1">
            <wp:simplePos x="0" y="0"/>
            <wp:positionH relativeFrom="column">
              <wp:posOffset>6804025</wp:posOffset>
            </wp:positionH>
            <wp:positionV relativeFrom="paragraph">
              <wp:posOffset>-2051685</wp:posOffset>
            </wp:positionV>
            <wp:extent cx="145415"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6804660</wp:posOffset>
            </wp:positionH>
            <wp:positionV relativeFrom="paragraph">
              <wp:posOffset>-2085975</wp:posOffset>
            </wp:positionV>
            <wp:extent cx="142875"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4287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-1914525</wp:posOffset>
            </wp:positionV>
            <wp:extent cx="6669405"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666940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-1777365</wp:posOffset>
            </wp:positionV>
            <wp:extent cx="260604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2606040" cy="8255"/>
                    </a:xfrm>
                    <a:prstGeom prst="rect">
                      <a:avLst/>
                    </a:prstGeom>
                    <a:noFill/>
                  </pic:spPr>
                </pic:pic>
              </a:graphicData>
            </a:graphic>
          </wp:anchor>
        </w:drawing>
        <w:drawing>
          <wp:anchor simplePos="0" relativeHeight="251657728" behindDoc="1" locked="0" layoutInCell="0" allowOverlap="1">
            <wp:simplePos x="0" y="0"/>
            <wp:positionH relativeFrom="column">
              <wp:posOffset>4849495</wp:posOffset>
            </wp:positionH>
            <wp:positionV relativeFrom="paragraph">
              <wp:posOffset>-1777365</wp:posOffset>
            </wp:positionV>
            <wp:extent cx="1997075"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99707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-1640205</wp:posOffset>
            </wp:positionV>
            <wp:extent cx="3128645"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3128645" cy="8255"/>
                    </a:xfrm>
                    <a:prstGeom prst="rect">
                      <a:avLst/>
                    </a:prstGeom>
                    <a:noFill/>
                  </pic:spPr>
                </pic:pic>
              </a:graphicData>
            </a:graphic>
          </wp:anchor>
        </w:drawing>
        <w:drawing>
          <wp:anchor simplePos="0" relativeHeight="251657728" behindDoc="1" locked="0" layoutInCell="0" allowOverlap="1">
            <wp:simplePos x="0" y="0"/>
            <wp:positionH relativeFrom="column">
              <wp:posOffset>5132070</wp:posOffset>
            </wp:positionH>
            <wp:positionV relativeFrom="paragraph">
              <wp:posOffset>-1640205</wp:posOffset>
            </wp:positionV>
            <wp:extent cx="1320165"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32016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-1503045</wp:posOffset>
            </wp:positionV>
            <wp:extent cx="280289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2802890" cy="8255"/>
                    </a:xfrm>
                    <a:prstGeom prst="rect">
                      <a:avLst/>
                    </a:prstGeom>
                    <a:noFill/>
                  </pic:spPr>
                </pic:pic>
              </a:graphicData>
            </a:graphic>
          </wp:anchor>
        </w:drawing>
        <w:drawing>
          <wp:anchor simplePos="0" relativeHeight="251657728" behindDoc="1" locked="0" layoutInCell="0" allowOverlap="1">
            <wp:simplePos x="0" y="0"/>
            <wp:positionH relativeFrom="column">
              <wp:posOffset>4223385</wp:posOffset>
            </wp:positionH>
            <wp:positionV relativeFrom="paragraph">
              <wp:posOffset>-1503045</wp:posOffset>
            </wp:positionV>
            <wp:extent cx="222885"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5320665</wp:posOffset>
            </wp:positionH>
            <wp:positionV relativeFrom="paragraph">
              <wp:posOffset>-1503045</wp:posOffset>
            </wp:positionV>
            <wp:extent cx="977265"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977265" cy="8255"/>
                    </a:xfrm>
                    <a:prstGeom prst="rect">
                      <a:avLst/>
                    </a:prstGeom>
                    <a:noFill/>
                  </pic:spPr>
                </pic:pic>
              </a:graphicData>
            </a:graphic>
          </wp:anchor>
        </w:drawing>
        <w:drawing>
          <wp:anchor simplePos="0" relativeHeight="251657728" behindDoc="1" locked="0" layoutInCell="0" allowOverlap="1">
            <wp:simplePos x="0" y="0"/>
            <wp:positionH relativeFrom="column">
              <wp:posOffset>1471930</wp:posOffset>
            </wp:positionH>
            <wp:positionV relativeFrom="paragraph">
              <wp:posOffset>-1365885</wp:posOffset>
            </wp:positionV>
            <wp:extent cx="3274695"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3274695" cy="8890"/>
                    </a:xfrm>
                    <a:prstGeom prst="rect">
                      <a:avLst/>
                    </a:prstGeom>
                    <a:noFill/>
                  </pic:spPr>
                </pic:pic>
              </a:graphicData>
            </a:graphic>
          </wp:anchor>
        </w:drawing>
        <w:drawing>
          <wp:anchor simplePos="0" relativeHeight="251657728" behindDoc="1" locked="0" layoutInCell="0" allowOverlap="1">
            <wp:simplePos x="0" y="0"/>
            <wp:positionH relativeFrom="column">
              <wp:posOffset>4652010</wp:posOffset>
            </wp:positionH>
            <wp:positionV relativeFrom="paragraph">
              <wp:posOffset>-1228725</wp:posOffset>
            </wp:positionV>
            <wp:extent cx="2125980"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21259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-1091565</wp:posOffset>
            </wp:positionV>
            <wp:extent cx="6609080"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66090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-954405</wp:posOffset>
            </wp:positionV>
            <wp:extent cx="411480"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411480" cy="8255"/>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-954405</wp:posOffset>
            </wp:positionV>
            <wp:extent cx="1294765"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294765" cy="8255"/>
                    </a:xfrm>
                    <a:prstGeom prst="rect">
                      <a:avLst/>
                    </a:prstGeom>
                    <a:noFill/>
                  </pic:spPr>
                </pic:pic>
              </a:graphicData>
            </a:graphic>
          </wp:anchor>
        </w:drawing>
        <w:drawing>
          <wp:anchor simplePos="0" relativeHeight="251657728" behindDoc="1" locked="0" layoutInCell="0" allowOverlap="1">
            <wp:simplePos x="0" y="0"/>
            <wp:positionH relativeFrom="column">
              <wp:posOffset>3348990</wp:posOffset>
            </wp:positionH>
            <wp:positionV relativeFrom="paragraph">
              <wp:posOffset>-817245</wp:posOffset>
            </wp:positionV>
            <wp:extent cx="188595"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5981065</wp:posOffset>
            </wp:positionH>
            <wp:positionV relativeFrom="paragraph">
              <wp:posOffset>-817245</wp:posOffset>
            </wp:positionV>
            <wp:extent cx="51435"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-680085</wp:posOffset>
            </wp:positionV>
            <wp:extent cx="4131945"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4131945" cy="8890"/>
                    </a:xfrm>
                    <a:prstGeom prst="rect">
                      <a:avLst/>
                    </a:prstGeom>
                    <a:noFill/>
                  </pic:spPr>
                </pic:pic>
              </a:graphicData>
            </a:graphic>
          </wp:anchor>
        </w:drawing>
        <w:drawing>
          <wp:anchor simplePos="0" relativeHeight="251657728" behindDoc="1" locked="0" layoutInCell="0" allowOverlap="1">
            <wp:simplePos x="0" y="0"/>
            <wp:positionH relativeFrom="column">
              <wp:posOffset>4878705</wp:posOffset>
            </wp:positionH>
            <wp:positionV relativeFrom="paragraph">
              <wp:posOffset>-714375</wp:posOffset>
            </wp:positionV>
            <wp:extent cx="1466850"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46685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-542925</wp:posOffset>
            </wp:positionV>
            <wp:extent cx="634365"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634365" cy="8255"/>
                    </a:xfrm>
                    <a:prstGeom prst="rect">
                      <a:avLst/>
                    </a:prstGeom>
                    <a:noFill/>
                  </pic:spPr>
                </pic:pic>
              </a:graphicData>
            </a:graphic>
          </wp:anchor>
        </w:drawing>
        <w:drawing>
          <wp:anchor simplePos="0" relativeHeight="251657728" behindDoc="1" locked="0" layoutInCell="0" allowOverlap="1">
            <wp:simplePos x="0" y="0"/>
            <wp:positionH relativeFrom="column">
              <wp:posOffset>2200275</wp:posOffset>
            </wp:positionH>
            <wp:positionV relativeFrom="paragraph">
              <wp:posOffset>-542925</wp:posOffset>
            </wp:positionV>
            <wp:extent cx="188595"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3931920</wp:posOffset>
            </wp:positionH>
            <wp:positionV relativeFrom="paragraph">
              <wp:posOffset>-542925</wp:posOffset>
            </wp:positionV>
            <wp:extent cx="51435"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5286375</wp:posOffset>
            </wp:positionH>
            <wp:positionV relativeFrom="paragraph">
              <wp:posOffset>-542925</wp:posOffset>
            </wp:positionV>
            <wp:extent cx="771525"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71525" cy="825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-405765</wp:posOffset>
            </wp:positionV>
            <wp:extent cx="85725"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786130</wp:posOffset>
            </wp:positionH>
            <wp:positionV relativeFrom="paragraph">
              <wp:posOffset>-268605</wp:posOffset>
            </wp:positionV>
            <wp:extent cx="5726430"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5726430" cy="8255"/>
                    </a:xfrm>
                    <a:prstGeom prst="rect">
                      <a:avLst/>
                    </a:prstGeom>
                    <a:noFill/>
                  </pic:spPr>
                </pic:pic>
              </a:graphicData>
            </a:graphic>
          </wp:anchor>
        </w:drawing>
        <w:drawing>
          <wp:anchor simplePos="0" relativeHeight="251657728" behindDoc="1" locked="0" layoutInCell="0" allowOverlap="1">
            <wp:simplePos x="0" y="0"/>
            <wp:positionH relativeFrom="column">
              <wp:posOffset>784225</wp:posOffset>
            </wp:positionH>
            <wp:positionV relativeFrom="paragraph">
              <wp:posOffset>-302895</wp:posOffset>
            </wp:positionV>
            <wp:extent cx="5724525"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57245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-131445</wp:posOffset>
            </wp:positionV>
            <wp:extent cx="6523355"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65233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5080</wp:posOffset>
            </wp:positionV>
            <wp:extent cx="3728720"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3728720" cy="8255"/>
                    </a:xfrm>
                    <a:prstGeom prst="rect">
                      <a:avLst/>
                    </a:prstGeom>
                    <a:noFill/>
                  </pic:spPr>
                </pic:pic>
              </a:graphicData>
            </a:graphic>
          </wp:anchor>
        </w:drawing>
      </w:r>
    </w:p>
    <w:p>
      <w:pPr>
        <w:spacing w:after="0" w:line="64" w:lineRule="exact"/>
        <w:rPr>
          <w:sz w:val="20"/>
          <w:szCs w:val="20"/>
          <w:color w:val="auto"/>
        </w:rPr>
      </w:pPr>
    </w:p>
    <w:p>
      <w:pPr>
        <w:ind w:left="700" w:hanging="264"/>
        <w:spacing w:after="0"/>
        <w:tabs>
          <w:tab w:leader="none" w:pos="700" w:val="left"/>
        </w:tabs>
        <w:numPr>
          <w:ilvl w:val="0"/>
          <w:numId w:val="224"/>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FF0000"/>
          <w:strike w:val="1"/>
        </w:rPr>
        <w:t xml:space="preserve">(b) </w:t>
      </w:r>
      <w:r>
        <w:rPr>
          <w:rFonts w:ascii="Times New Roman" w:cs="Times New Roman" w:eastAsia="Times New Roman" w:hAnsi="Times New Roman"/>
          <w:sz w:val="18"/>
          <w:szCs w:val="18"/>
          <w:u w:val="single" w:color="auto"/>
          <w:color w:val="000000"/>
          <w:strike w:val="1"/>
        </w:rPr>
        <w:t>Benchmark Replacement</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0000FF"/>
          <w:strike w:val="1"/>
        </w:rPr>
        <w:t>Setting.</w:t>
      </w:r>
    </w:p>
    <w:p>
      <w:pPr>
        <w:spacing w:after="0" w:line="117" w:lineRule="exact"/>
        <w:rPr>
          <w:rFonts w:ascii="Times New Roman" w:cs="Times New Roman" w:eastAsia="Times New Roman" w:hAnsi="Times New Roman"/>
          <w:sz w:val="18"/>
          <w:szCs w:val="18"/>
          <w:u w:val="single" w:color="auto"/>
          <w:color w:val="0000FF"/>
        </w:rPr>
      </w:pPr>
    </w:p>
    <w:p>
      <w:pPr>
        <w:ind w:left="980" w:right="300" w:firstLine="408"/>
        <w:spacing w:after="0" w:line="261" w:lineRule="auto"/>
        <w:tabs>
          <w:tab w:leader="none" w:pos="1596" w:val="left"/>
        </w:tabs>
        <w:numPr>
          <w:ilvl w:val="2"/>
          <w:numId w:val="224"/>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Benchmark Replacement.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Notwithstanding anything to the contrary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contained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herein or in any other Loan Document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(and any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agreement executed in connection with a Derivatives Contract shall be deemed not to be a “Loan Document” for purposes of clauses</w:t>
      </w:r>
    </w:p>
    <w:p>
      <w:pPr>
        <w:ind w:left="980" w:firstLine="7"/>
        <w:spacing w:after="0" w:line="241" w:lineRule="auto"/>
        <w:tabs>
          <w:tab w:leader="none" w:pos="1235" w:val="left"/>
        </w:tabs>
        <w:numPr>
          <w:ilvl w:val="1"/>
          <w:numId w:val="224"/>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through (f) of this Section 4.2), if</w:t>
      </w:r>
      <w:r>
        <w:rPr>
          <w:rFonts w:ascii="Times New Roman" w:cs="Times New Roman" w:eastAsia="Times New Roman" w:hAnsi="Times New Roman"/>
          <w:sz w:val="18"/>
          <w:szCs w:val="18"/>
          <w:u w:val="single" w:color="auto"/>
          <w:color w:val="0000FF"/>
        </w:rPr>
        <w:t>, upon the occurrence of</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 Benchmark Transition Event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or an Early Opt-in Election, as applicable, and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its related Benchmark Replacement Date have occurred prior to the Reference Time in</w:t>
      </w:r>
      <w:r>
        <w:rPr>
          <w:rFonts w:ascii="Times New Roman" w:cs="Times New Roman" w:eastAsia="Times New Roman" w:hAnsi="Times New Roman"/>
          <w:sz w:val="18"/>
          <w:szCs w:val="18"/>
          <w:u w:val="single" w:color="auto"/>
          <w:color w:val="0000FF"/>
        </w:rPr>
        <w:t>with</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respect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of</w:t>
      </w:r>
      <w:r>
        <w:rPr>
          <w:rFonts w:ascii="Times New Roman" w:cs="Times New Roman" w:eastAsia="Times New Roman" w:hAnsi="Times New Roman"/>
          <w:sz w:val="18"/>
          <w:szCs w:val="18"/>
          <w:u w:val="single" w:color="auto"/>
          <w:color w:val="0000FF"/>
        </w:rPr>
        <w:t>to</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any</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setting of the then-current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Benchmark, </w:t>
      </w:r>
      <w:r>
        <w:rPr>
          <w:rFonts w:ascii="Times New Roman" w:cs="Times New Roman" w:eastAsia="Times New Roman" w:hAnsi="Times New Roman"/>
          <w:sz w:val="18"/>
          <w:szCs w:val="18"/>
          <w:color w:val="FF0000"/>
          <w:strike w:val="1"/>
        </w:rPr>
        <w:t>then (x) if</w:t>
      </w:r>
      <w:r>
        <w:rPr>
          <w:rFonts w:ascii="Times New Roman" w:cs="Times New Roman" w:eastAsia="Times New Roman" w:hAnsi="Times New Roman"/>
          <w:sz w:val="18"/>
          <w:szCs w:val="18"/>
          <w:u w:val="single" w:color="auto"/>
          <w:color w:val="0000FF"/>
        </w:rPr>
        <w:t>the Administrative Agent and the Borrower may amend this Agreement to replace such Benchmark with</w:t>
      </w:r>
      <w:r>
        <w:rPr>
          <w:rFonts w:ascii="Times New Roman" w:cs="Times New Roman" w:eastAsia="Times New Roman" w:hAnsi="Times New Roman"/>
          <w:sz w:val="18"/>
          <w:szCs w:val="18"/>
          <w:color w:val="000000"/>
        </w:rPr>
        <w:t xml:space="preserve"> a Benchmark Replacement </w:t>
      </w:r>
      <w:r>
        <w:rPr>
          <w:rFonts w:ascii="Times New Roman" w:cs="Times New Roman" w:eastAsia="Times New Roman" w:hAnsi="Times New Roman"/>
          <w:sz w:val="18"/>
          <w:szCs w:val="18"/>
          <w:color w:val="FF0000"/>
        </w:rPr>
        <w:t>is determined in accordance with clause (1) or (2) of the definition of “Benchmark Replacement” for such</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FF0000"/>
          <w:strike w:val="1"/>
        </w:rPr>
        <w:t>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(3) of the definition of “Benchmark Replacement” for such Benchmark Replacement Date, such Benchmark Replacement will replace such Benchmark for all purposes hereunder and under any Loan Document in respect of any Benchmark setting at or after</w:t>
      </w:r>
      <w:r>
        <w:rPr>
          <w:rFonts w:ascii="Times New Roman" w:cs="Times New Roman" w:eastAsia="Times New Roman" w:hAnsi="Times New Roman"/>
          <w:sz w:val="18"/>
          <w:szCs w:val="18"/>
          <w:u w:val="single" w:color="auto"/>
          <w:color w:val="0000FF"/>
          <w:strike w:val="1"/>
        </w:rPr>
        <w:t>. Any such amendment with respect to a Benchmark Transition Event will become effective at</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5:00 p.m. Eastern time on the fifth</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(5</w:t>
      </w:r>
      <w:r>
        <w:rPr>
          <w:rFonts w:ascii="Times New Roman" w:cs="Times New Roman" w:eastAsia="Times New Roman" w:hAnsi="Times New Roman"/>
          <w:sz w:val="26"/>
          <w:szCs w:val="26"/>
          <w:color w:val="000000"/>
          <w:strike w:val="1"/>
          <w:vertAlign w:val="superscript"/>
        </w:rPr>
        <w:t>th</w:t>
      </w:r>
      <w:r>
        <w:rPr>
          <w:rFonts w:ascii="Times New Roman" w:cs="Times New Roman" w:eastAsia="Times New Roman" w:hAnsi="Times New Roman"/>
          <w:sz w:val="18"/>
          <w:szCs w:val="18"/>
          <w:color w:val="000000"/>
          <w:strike w:val="1"/>
        </w:rPr>
        <w:t xml:space="preserve">) Business Day after </w:t>
      </w:r>
      <w:r>
        <w:rPr>
          <w:rFonts w:ascii="Times New Roman" w:cs="Times New Roman" w:eastAsia="Times New Roman" w:hAnsi="Times New Roman"/>
          <w:sz w:val="18"/>
          <w:szCs w:val="18"/>
          <w:u w:val="single" w:color="auto"/>
          <w:color w:val="0000FF"/>
          <w:strike w:val="1"/>
        </w:rPr>
        <w:t>(i)</w:t>
      </w:r>
      <w:r>
        <w:rPr>
          <w:rFonts w:ascii="Times New Roman" w:cs="Times New Roman" w:eastAsia="Times New Roman" w:hAnsi="Times New Roman"/>
          <w:sz w:val="18"/>
          <w:szCs w:val="18"/>
          <w:color w:val="000000"/>
          <w:strike w:val="1"/>
        </w:rPr>
        <w:t xml:space="preserve"> the </w:t>
      </w:r>
      <w:r>
        <w:rPr>
          <w:rFonts w:ascii="Times New Roman" w:cs="Times New Roman" w:eastAsia="Times New Roman" w:hAnsi="Times New Roman"/>
          <w:sz w:val="18"/>
          <w:szCs w:val="18"/>
          <w:color w:val="FF0000"/>
          <w:strike w:val="1"/>
        </w:rPr>
        <w:t>date notice of such Benchmark Replacement is provided to the Lenders without any amendment to, or</w:t>
      </w:r>
      <w:r>
        <w:rPr>
          <w:rFonts w:ascii="Times New Roman" w:cs="Times New Roman" w:eastAsia="Times New Roman" w:hAnsi="Times New Roman"/>
          <w:sz w:val="18"/>
          <w:szCs w:val="18"/>
          <w:color w:val="000000"/>
          <w:strike w:val="1"/>
        </w:rPr>
        <w:t xml:space="preserve"> </w:t>
      </w:r>
      <w:r>
        <w:rPr>
          <w:rFonts w:ascii="Times New Roman" w:cs="Times New Roman" w:eastAsia="Times New Roman" w:hAnsi="Times New Roman"/>
          <w:sz w:val="18"/>
          <w:szCs w:val="18"/>
          <w:color w:val="FF0000"/>
          <w:strike w:val="1"/>
        </w:rPr>
        <w:t>further action or consent of any other party to, this Agreement or any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-1976120</wp:posOffset>
            </wp:positionV>
            <wp:extent cx="154305"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1780540</wp:posOffset>
            </wp:positionH>
            <wp:positionV relativeFrom="paragraph">
              <wp:posOffset>-1976120</wp:posOffset>
            </wp:positionV>
            <wp:extent cx="351790"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351790" cy="8255"/>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-1770380</wp:posOffset>
            </wp:positionV>
            <wp:extent cx="1345565"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1345565" cy="8255"/>
                    </a:xfrm>
                    <a:prstGeom prst="rect">
                      <a:avLst/>
                    </a:prstGeom>
                    <a:noFill/>
                  </pic:spPr>
                </pic:pic>
              </a:graphicData>
            </a:graphic>
          </wp:anchor>
        </w:drawing>
        <w:drawing>
          <wp:anchor simplePos="0" relativeHeight="251657728" behindDoc="1" locked="0" layoutInCell="0" allowOverlap="1">
            <wp:simplePos x="0" y="0"/>
            <wp:positionH relativeFrom="column">
              <wp:posOffset>4137660</wp:posOffset>
            </wp:positionH>
            <wp:positionV relativeFrom="paragraph">
              <wp:posOffset>-1770380</wp:posOffset>
            </wp:positionV>
            <wp:extent cx="471805"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471805" cy="8255"/>
                    </a:xfrm>
                    <a:prstGeom prst="rect">
                      <a:avLst/>
                    </a:prstGeom>
                    <a:noFill/>
                  </pic:spPr>
                </pic:pic>
              </a:graphicData>
            </a:graphic>
          </wp:anchor>
        </w:drawing>
        <w:drawing>
          <wp:anchor simplePos="0" relativeHeight="251657728" behindDoc="1" locked="0" layoutInCell="0" allowOverlap="1">
            <wp:simplePos x="0" y="0"/>
            <wp:positionH relativeFrom="column">
              <wp:posOffset>2312035</wp:posOffset>
            </wp:positionH>
            <wp:positionV relativeFrom="paragraph">
              <wp:posOffset>-1496060</wp:posOffset>
            </wp:positionV>
            <wp:extent cx="1105535"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105535" cy="8255"/>
                    </a:xfrm>
                    <a:prstGeom prst="rect">
                      <a:avLst/>
                    </a:prstGeom>
                    <a:noFill/>
                  </pic:spPr>
                </pic:pic>
              </a:graphicData>
            </a:graphic>
          </wp:anchor>
        </w:drawing>
        <w:drawing>
          <wp:anchor simplePos="0" relativeHeight="251657728" behindDoc="1" locked="0" layoutInCell="0" allowOverlap="1">
            <wp:simplePos x="0" y="0"/>
            <wp:positionH relativeFrom="column">
              <wp:posOffset>4583430</wp:posOffset>
            </wp:positionH>
            <wp:positionV relativeFrom="paragraph">
              <wp:posOffset>-1358900</wp:posOffset>
            </wp:positionV>
            <wp:extent cx="196850"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96850" cy="8890"/>
                    </a:xfrm>
                    <a:prstGeom prst="rect">
                      <a:avLst/>
                    </a:prstGeom>
                    <a:noFill/>
                  </pic:spPr>
                </pic:pic>
              </a:graphicData>
            </a:graphic>
          </wp:anchor>
        </w:drawing>
        <w:drawing>
          <wp:anchor simplePos="0" relativeHeight="251657728" behindDoc="1" locked="0" layoutInCell="0" allowOverlap="1">
            <wp:simplePos x="0" y="0"/>
            <wp:positionH relativeFrom="column">
              <wp:posOffset>5260975</wp:posOffset>
            </wp:positionH>
            <wp:positionV relativeFrom="paragraph">
              <wp:posOffset>-1358900</wp:posOffset>
            </wp:positionV>
            <wp:extent cx="85725"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1668780</wp:posOffset>
            </wp:positionH>
            <wp:positionV relativeFrom="paragraph">
              <wp:posOffset>-1221740</wp:posOffset>
            </wp:positionV>
            <wp:extent cx="476631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4766310" cy="8890"/>
                    </a:xfrm>
                    <a:prstGeom prst="rect">
                      <a:avLst/>
                    </a:prstGeom>
                    <a:noFill/>
                  </pic:spPr>
                </pic:pic>
              </a:graphicData>
            </a:graphic>
          </wp:anchor>
        </w:drawing>
        <w:drawing>
          <wp:anchor simplePos="0" relativeHeight="251657728" behindDoc="1" locked="0" layoutInCell="0" allowOverlap="1">
            <wp:simplePos x="0" y="0"/>
            <wp:positionH relativeFrom="column">
              <wp:posOffset>1778635</wp:posOffset>
            </wp:positionH>
            <wp:positionV relativeFrom="paragraph">
              <wp:posOffset>-1170305</wp:posOffset>
            </wp:positionV>
            <wp:extent cx="4869815"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4869815" cy="8255"/>
                    </a:xfrm>
                    <a:prstGeom prst="rect">
                      <a:avLst/>
                    </a:prstGeom>
                    <a:noFill/>
                  </pic:spPr>
                </pic:pic>
              </a:graphicData>
            </a:graphic>
          </wp:anchor>
        </w:drawing>
        <w:drawing>
          <wp:anchor simplePos="0" relativeHeight="251657728" behindDoc="1" locked="0" layoutInCell="0" allowOverlap="1">
            <wp:simplePos x="0" y="0"/>
            <wp:positionH relativeFrom="column">
              <wp:posOffset>1068705</wp:posOffset>
            </wp:positionH>
            <wp:positionV relativeFrom="paragraph">
              <wp:posOffset>-261620</wp:posOffset>
            </wp:positionV>
            <wp:extent cx="4303395"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4303395" cy="8890"/>
                    </a:xfrm>
                    <a:prstGeom prst="rect">
                      <a:avLst/>
                    </a:prstGeom>
                    <a:noFill/>
                  </pic:spPr>
                </pic:pic>
              </a:graphicData>
            </a:graphic>
          </wp:anchor>
        </w:drawing>
        <w:drawing>
          <wp:anchor simplePos="0" relativeHeight="251657728" behindDoc="1" locked="0" layoutInCell="0" allowOverlap="1">
            <wp:simplePos x="0" y="0"/>
            <wp:positionH relativeFrom="column">
              <wp:posOffset>1746250</wp:posOffset>
            </wp:positionH>
            <wp:positionV relativeFrom="paragraph">
              <wp:posOffset>-124460</wp:posOffset>
            </wp:positionV>
            <wp:extent cx="137160"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000"/>
          </w:cols>
          <w:pgMar w:left="440" w:top="270" w:right="459" w:bottom="1440" w:gutter="0" w:footer="0" w:header="0"/>
        </w:sectPr>
      </w:pPr>
    </w:p>
    <w:bookmarkStart w:id="231" w:name="page232"/>
    <w:bookmarkEnd w:id="231"/>
    <w:p>
      <w:pPr>
        <w:ind w:right="40"/>
        <w:spacing w:after="0" w:line="258" w:lineRule="auto"/>
        <w:rPr>
          <w:sz w:val="20"/>
          <w:szCs w:val="20"/>
          <w:color w:val="auto"/>
        </w:rPr>
      </w:pPr>
      <w:r>
        <w:rPr>
          <w:rFonts w:ascii="Times New Roman" w:cs="Times New Roman" w:eastAsia="Times New Roman" w:hAnsi="Times New Roman"/>
          <w:sz w:val="18"/>
          <w:szCs w:val="18"/>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Loan Document</w:t>
      </w:r>
      <w:r>
        <w:rPr>
          <w:rFonts w:ascii="Times New Roman" w:cs="Times New Roman" w:eastAsia="Times New Roman" w:hAnsi="Times New Roman"/>
          <w:sz w:val="18"/>
          <w:szCs w:val="18"/>
          <w:u w:val="single" w:color="auto"/>
          <w:color w:val="0000FF"/>
          <w:strike w:val="1"/>
        </w:rPr>
        <w:t>Administrative Agent and the Borrower have agreed to the terms of such proposed amendment and (ii) the Administrative</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0000FF"/>
          <w:strike w:val="1"/>
        </w:rPr>
        <w:t>Agent has posted such proposed amendment to all Lenders and the Borrower</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so long as the Administrative Agent has not received, by</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 xml:space="preserve">such time, written notice of objection to such </w:t>
      </w:r>
      <w:r>
        <w:rPr>
          <w:rFonts w:ascii="Times New Roman" w:cs="Times New Roman" w:eastAsia="Times New Roman" w:hAnsi="Times New Roman"/>
          <w:sz w:val="18"/>
          <w:szCs w:val="18"/>
          <w:color w:val="FF0000"/>
          <w:strike w:val="1"/>
        </w:rPr>
        <w:t>Benchmark Replacement</w:t>
      </w:r>
      <w:r>
        <w:rPr>
          <w:rFonts w:ascii="Times New Roman" w:cs="Times New Roman" w:eastAsia="Times New Roman" w:hAnsi="Times New Roman"/>
          <w:sz w:val="18"/>
          <w:szCs w:val="18"/>
          <w:u w:val="single" w:color="auto"/>
          <w:color w:val="0000FF"/>
          <w:strike w:val="1"/>
        </w:rPr>
        <w:t>amendment</w:t>
      </w:r>
      <w:r>
        <w:rPr>
          <w:rFonts w:ascii="Times New Roman" w:cs="Times New Roman" w:eastAsia="Times New Roman" w:hAnsi="Times New Roman"/>
          <w:sz w:val="18"/>
          <w:szCs w:val="18"/>
          <w:color w:val="000000"/>
          <w:strike w:val="1"/>
        </w:rPr>
        <w:t xml:space="preserve"> from Lenders comprising the Requisite Lenders. </w:t>
      </w:r>
      <w:r>
        <w:rPr>
          <w:rFonts w:ascii="Times New Roman" w:cs="Times New Roman" w:eastAsia="Times New Roman" w:hAnsi="Times New Roman"/>
          <w:sz w:val="18"/>
          <w:szCs w:val="18"/>
          <w:u w:val="single" w:color="auto"/>
          <w:color w:val="0000FF"/>
          <w:strike w:val="1"/>
        </w:rPr>
        <w:t>No</w:t>
      </w:r>
      <w:r>
        <w:rPr>
          <w:rFonts w:ascii="Times New Roman" w:cs="Times New Roman" w:eastAsia="Times New Roman" w:hAnsi="Times New Roman"/>
          <w:sz w:val="18"/>
          <w:szCs w:val="18"/>
          <w:color w:val="000000"/>
          <w:strike w:val="1"/>
        </w:rPr>
        <w:t xml:space="preserve"> </w:t>
      </w:r>
      <w:r>
        <w:rPr>
          <w:rFonts w:ascii="Times New Roman" w:cs="Times New Roman" w:eastAsia="Times New Roman" w:hAnsi="Times New Roman"/>
          <w:sz w:val="18"/>
          <w:szCs w:val="18"/>
          <w:u w:val="single" w:color="auto"/>
          <w:color w:val="0000FF"/>
          <w:strike w:val="1"/>
        </w:rPr>
        <w:t>replacement of a Benchmark with a Benchmark Replacement pursuant to this Section 4.2.(b)(i). will occur prior to the applicable Benchmark Transition Start Date. No Derivatives Contract shall be deemed to be a “Loan Document” for purposes of this Section 4.2.(b).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746760</wp:posOffset>
            </wp:positionH>
            <wp:positionV relativeFrom="paragraph">
              <wp:posOffset>-548640</wp:posOffset>
            </wp:positionV>
            <wp:extent cx="5580380"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558038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-411480</wp:posOffset>
            </wp:positionV>
            <wp:extent cx="3522980"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3522980" cy="8890"/>
                    </a:xfrm>
                    <a:prstGeom prst="rect">
                      <a:avLst/>
                    </a:prstGeom>
                    <a:noFill/>
                  </pic:spPr>
                </pic:pic>
              </a:graphicData>
            </a:graphic>
          </wp:anchor>
        </w:drawing>
        <w:drawing>
          <wp:anchor simplePos="0" relativeHeight="251657728" behindDoc="1" locked="0" layoutInCell="0" allowOverlap="1">
            <wp:simplePos x="0" y="0"/>
            <wp:positionH relativeFrom="column">
              <wp:posOffset>3249930</wp:posOffset>
            </wp:positionH>
            <wp:positionV relativeFrom="paragraph">
              <wp:posOffset>-274320</wp:posOffset>
            </wp:positionV>
            <wp:extent cx="531495"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531495" cy="8255"/>
                    </a:xfrm>
                    <a:prstGeom prst="rect">
                      <a:avLst/>
                    </a:prstGeom>
                    <a:noFill/>
                  </pic:spPr>
                </pic:pic>
              </a:graphicData>
            </a:graphic>
          </wp:anchor>
        </w:drawing>
        <w:drawing>
          <wp:anchor simplePos="0" relativeHeight="251657728" behindDoc="1" locked="0" layoutInCell="0" allowOverlap="1">
            <wp:simplePos x="0" y="0"/>
            <wp:positionH relativeFrom="column">
              <wp:posOffset>6052820</wp:posOffset>
            </wp:positionH>
            <wp:positionV relativeFrom="paragraph">
              <wp:posOffset>-274320</wp:posOffset>
            </wp:positionV>
            <wp:extent cx="137160"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-137160</wp:posOffset>
            </wp:positionV>
            <wp:extent cx="5906135"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590613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0</wp:posOffset>
            </wp:positionV>
            <wp:extent cx="6300470"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6300470" cy="8255"/>
                    </a:xfrm>
                    <a:prstGeom prst="rect">
                      <a:avLst/>
                    </a:prstGeom>
                    <a:noFill/>
                  </pic:spPr>
                </pic:pic>
              </a:graphicData>
            </a:graphic>
          </wp:anchor>
        </w:drawing>
      </w:r>
    </w:p>
    <w:p>
      <w:pPr>
        <w:spacing w:after="0" w:line="55" w:lineRule="exact"/>
        <w:rPr>
          <w:sz w:val="20"/>
          <w:szCs w:val="20"/>
          <w:color w:val="auto"/>
        </w:rPr>
      </w:pPr>
    </w:p>
    <w:p>
      <w:pPr>
        <w:ind w:right="80" w:firstLine="408"/>
        <w:spacing w:after="0" w:line="258" w:lineRule="auto"/>
        <w:tabs>
          <w:tab w:leader="none" w:pos="666" w:val="left"/>
        </w:tabs>
        <w:numPr>
          <w:ilvl w:val="0"/>
          <w:numId w:val="225"/>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FF0000"/>
          <w:strike w:val="1"/>
        </w:rPr>
        <w:t>(c)</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00"/>
        </w:rPr>
        <w:t>Benchmark Replacement Conforming Changes</w:t>
      </w:r>
      <w:r>
        <w:rPr>
          <w:rFonts w:ascii="Times New Roman" w:cs="Times New Roman" w:eastAsia="Times New Roman" w:hAnsi="Times New Roman"/>
          <w:sz w:val="18"/>
          <w:szCs w:val="18"/>
          <w:color w:val="000000"/>
        </w:rPr>
        <w:t>. In connection with the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FF"/>
        </w:rPr>
        <w:t>use, administration, adoption or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implementation of a</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Benchmark Replacement, the Administrative Agent will have the right to make </w:t>
      </w:r>
      <w:r>
        <w:rPr>
          <w:rFonts w:ascii="Times New Roman" w:cs="Times New Roman" w:eastAsia="Times New Roman" w:hAnsi="Times New Roman"/>
          <w:sz w:val="18"/>
          <w:szCs w:val="18"/>
          <w:color w:val="FF0000"/>
          <w:strike w:val="1"/>
        </w:rPr>
        <w:t>Benchmark Replacement</w:t>
      </w:r>
      <w:r>
        <w:rPr>
          <w:rFonts w:ascii="Times New Roman" w:cs="Times New Roman" w:eastAsia="Times New Roman" w:hAnsi="Times New Roman"/>
          <w:sz w:val="18"/>
          <w:szCs w:val="18"/>
          <w:color w:val="000000"/>
        </w:rPr>
        <w:t xml:space="preserve"> Conforming Changes from time to time and, notwithstanding anything to the contrary herein or in any other Loan Document, any amendments implementing such </w:t>
      </w:r>
      <w:r>
        <w:rPr>
          <w:rFonts w:ascii="Times New Roman" w:cs="Times New Roman" w:eastAsia="Times New Roman" w:hAnsi="Times New Roman"/>
          <w:sz w:val="18"/>
          <w:szCs w:val="18"/>
          <w:color w:val="FF0000"/>
          <w:strike w:val="1"/>
        </w:rPr>
        <w:t>Benchmark Replacement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Conforming Changes will become effective without any further action or consent of any other party to this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Agreement or any other Loan Document.</w:t>
      </w:r>
    </w:p>
    <w:p>
      <w:pPr>
        <w:spacing w:after="0" w:line="75" w:lineRule="exact"/>
        <w:rPr>
          <w:rFonts w:ascii="Times New Roman" w:cs="Times New Roman" w:eastAsia="Times New Roman" w:hAnsi="Times New Roman"/>
          <w:sz w:val="18"/>
          <w:szCs w:val="18"/>
          <w:u w:val="single" w:color="auto"/>
          <w:color w:val="0000FF"/>
        </w:rPr>
      </w:pPr>
    </w:p>
    <w:p>
      <w:pPr>
        <w:ind w:firstLine="408"/>
        <w:spacing w:after="0" w:line="253" w:lineRule="auto"/>
        <w:tabs>
          <w:tab w:leader="none" w:pos="716" w:val="left"/>
        </w:tabs>
        <w:numPr>
          <w:ilvl w:val="0"/>
          <w:numId w:val="225"/>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FF0000"/>
          <w:strike w:val="1"/>
        </w:rPr>
        <w:t>(d)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00"/>
        </w:rPr>
        <w:t>Notices; Standards for Decisions and Determinations</w:t>
      </w:r>
      <w:r>
        <w:rPr>
          <w:rFonts w:ascii="Times New Roman" w:cs="Times New Roman" w:eastAsia="Times New Roman" w:hAnsi="Times New Roman"/>
          <w:sz w:val="18"/>
          <w:szCs w:val="18"/>
          <w:color w:val="000000"/>
        </w:rPr>
        <w:t>. The Administrative Agent will promptly notify the Borrower and the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Lenders of (i) </w:t>
      </w:r>
      <w:r>
        <w:rPr>
          <w:rFonts w:ascii="Times New Roman" w:cs="Times New Roman" w:eastAsia="Times New Roman" w:hAnsi="Times New Roman"/>
          <w:sz w:val="18"/>
          <w:szCs w:val="18"/>
          <w:color w:val="FF0000"/>
          <w:strike w:val="1"/>
        </w:rPr>
        <w:t>any occurrence of a Benchmark Transition Event, a Term SOFR Transition Event or an Early Opt-in Election, as applicable,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FF0000"/>
          <w:strike w:val="1"/>
        </w:rPr>
        <w:t>and its related Benchmark Replacement Date, (ii) the</w:t>
      </w:r>
      <w:r>
        <w:rPr>
          <w:rFonts w:ascii="Times New Roman" w:cs="Times New Roman" w:eastAsia="Times New Roman" w:hAnsi="Times New Roman"/>
          <w:sz w:val="18"/>
          <w:szCs w:val="18"/>
          <w:u w:val="single" w:color="auto"/>
          <w:color w:val="0000FF"/>
        </w:rPr>
        <w:t>the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implementation of any Benchmark Replacement</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FF"/>
        </w:rPr>
        <w:t>and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FF0000"/>
          <w:strike w:val="1"/>
        </w:rPr>
        <w:t>iii</w:t>
      </w:r>
      <w:r>
        <w:rPr>
          <w:rFonts w:ascii="Times New Roman" w:cs="Times New Roman" w:eastAsia="Times New Roman" w:hAnsi="Times New Roman"/>
          <w:sz w:val="18"/>
          <w:szCs w:val="18"/>
          <w:u w:val="single" w:color="auto"/>
          <w:color w:val="0000FF"/>
        </w:rPr>
        <w:t>ii</w:t>
      </w:r>
      <w:r>
        <w:rPr>
          <w:rFonts w:ascii="Times New Roman" w:cs="Times New Roman" w:eastAsia="Times New Roman" w:hAnsi="Times New Roman"/>
          <w:sz w:val="18"/>
          <w:szCs w:val="18"/>
          <w:color w:val="000000"/>
        </w:rPr>
        <w:t>) the effectiveness of</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any </w:t>
      </w:r>
      <w:r>
        <w:rPr>
          <w:rFonts w:ascii="Times New Roman" w:cs="Times New Roman" w:eastAsia="Times New Roman" w:hAnsi="Times New Roman"/>
          <w:sz w:val="18"/>
          <w:szCs w:val="18"/>
          <w:color w:val="FF0000"/>
          <w:strike w:val="1"/>
        </w:rPr>
        <w:t>Benchmark Replacement</w:t>
      </w:r>
      <w:r>
        <w:rPr>
          <w:rFonts w:ascii="Times New Roman" w:cs="Times New Roman" w:eastAsia="Times New Roman" w:hAnsi="Times New Roman"/>
          <w:sz w:val="18"/>
          <w:szCs w:val="18"/>
          <w:color w:val="000000"/>
        </w:rPr>
        <w:t xml:space="preserve"> Conforming Changes</w:t>
      </w:r>
      <w:r>
        <w:rPr>
          <w:rFonts w:ascii="Times New Roman" w:cs="Times New Roman" w:eastAsia="Times New Roman" w:hAnsi="Times New Roman"/>
          <w:sz w:val="18"/>
          <w:szCs w:val="18"/>
          <w:color w:val="FF0000"/>
          <w:strike w:val="1"/>
        </w:rPr>
        <w:t>, (iv)</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0000FF"/>
        </w:rPr>
        <w:t>in connection with the use, administration, adoption or implementation of a</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Benchmark Replacement. The Administrative Agent will promptly notify the Borrower and the Lenders of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the removal or reinstatement of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any tenor of a Benchmark pursuant to </w:t>
      </w:r>
      <w:r>
        <w:rPr>
          <w:rFonts w:ascii="Times New Roman" w:cs="Times New Roman" w:eastAsia="Times New Roman" w:hAnsi="Times New Roman"/>
          <w:sz w:val="18"/>
          <w:szCs w:val="18"/>
          <w:color w:val="FF0000"/>
          <w:strike w:val="1"/>
        </w:rPr>
        <w:t>paragraph (e) below and (v) the commencement or conclusion of any Benchmark Unavailability</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FF0000"/>
          <w:strike w:val="1"/>
        </w:rPr>
        <w:t>Period</w:t>
      </w:r>
      <w:r>
        <w:rPr>
          <w:rFonts w:ascii="Times New Roman" w:cs="Times New Roman" w:eastAsia="Times New Roman" w:hAnsi="Times New Roman"/>
          <w:sz w:val="18"/>
          <w:szCs w:val="18"/>
          <w:u w:val="single" w:color="auto"/>
          <w:color w:val="0000FF"/>
        </w:rPr>
        <w:t>Section 4.2.(b)(iv)</w:t>
      </w:r>
      <w:r>
        <w:rPr>
          <w:rFonts w:ascii="Times New Roman" w:cs="Times New Roman" w:eastAsia="Times New Roman" w:hAnsi="Times New Roman"/>
          <w:sz w:val="18"/>
          <w:szCs w:val="18"/>
          <w:color w:val="000000"/>
        </w:rPr>
        <w:t>. Any determination, decision or election that may be made by the Administrative Agent or, if applicable, any</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Lender (or group of Lenders) pursuant to </w:t>
      </w:r>
      <w:r>
        <w:rPr>
          <w:rFonts w:ascii="Times New Roman" w:cs="Times New Roman" w:eastAsia="Times New Roman" w:hAnsi="Times New Roman"/>
          <w:sz w:val="18"/>
          <w:szCs w:val="18"/>
          <w:color w:val="FF0000"/>
          <w:strike w:val="1"/>
        </w:rPr>
        <w:t>clauses (b) through (f) of</w:t>
      </w:r>
      <w:r>
        <w:rPr>
          <w:rFonts w:ascii="Times New Roman" w:cs="Times New Roman" w:eastAsia="Times New Roman" w:hAnsi="Times New Roman"/>
          <w:sz w:val="18"/>
          <w:szCs w:val="18"/>
          <w:color w:val="000000"/>
        </w:rPr>
        <w:t xml:space="preserve"> this </w:t>
      </w:r>
      <w:r>
        <w:rPr>
          <w:rFonts w:ascii="Times New Roman" w:cs="Times New Roman" w:eastAsia="Times New Roman" w:hAnsi="Times New Roman"/>
          <w:sz w:val="18"/>
          <w:szCs w:val="18"/>
          <w:u w:val="single" w:color="auto"/>
          <w:color w:val="000000"/>
        </w:rPr>
        <w:t>Section 4.2</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00"/>
        </w:rPr>
        <w:t xml:space="preserve">, including any determination with respect to a tenor, rate or adjustment or of the occurrence or non-occurrence of an event, circumstance or date and any decision to take or refrain from taking any action </w:t>
      </w:r>
      <w:r>
        <w:rPr>
          <w:rFonts w:ascii="Times New Roman" w:cs="Times New Roman" w:eastAsia="Times New Roman" w:hAnsi="Times New Roman"/>
          <w:sz w:val="18"/>
          <w:szCs w:val="18"/>
          <w:color w:val="FF0000"/>
        </w:rPr>
        <w:t>or any selection</w:t>
      </w:r>
      <w:r>
        <w:rPr>
          <w:rFonts w:ascii="Times New Roman" w:cs="Times New Roman" w:eastAsia="Times New Roman" w:hAnsi="Times New Roman"/>
          <w:sz w:val="18"/>
          <w:szCs w:val="18"/>
          <w:color w:val="000000"/>
        </w:rPr>
        <w:t xml:space="preserve">, will be conclusive and binding absent manifest error and may be made in its or their sole discretion and without consent from any other party to this Agreement or any other Loan Document, except, in each case, as expressly required pursuant to </w:t>
      </w:r>
      <w:r>
        <w:rPr>
          <w:rFonts w:ascii="Times New Roman" w:cs="Times New Roman" w:eastAsia="Times New Roman" w:hAnsi="Times New Roman"/>
          <w:sz w:val="18"/>
          <w:szCs w:val="18"/>
          <w:color w:val="FF0000"/>
          <w:strike w:val="1"/>
        </w:rPr>
        <w:t>clauses</w:t>
      </w:r>
      <w:r>
        <w:rPr>
          <w:rFonts w:ascii="Times New Roman" w:cs="Times New Roman" w:eastAsia="Times New Roman" w:hAnsi="Times New Roman"/>
          <w:sz w:val="18"/>
          <w:szCs w:val="18"/>
          <w:u w:val="single" w:color="auto"/>
          <w:color w:val="0000FF"/>
        </w:rPr>
        <w:t>clause</w:t>
      </w:r>
      <w:r>
        <w:rPr>
          <w:rFonts w:ascii="Times New Roman" w:cs="Times New Roman" w:eastAsia="Times New Roman" w:hAnsi="Times New Roman"/>
          <w:sz w:val="18"/>
          <w:szCs w:val="18"/>
          <w:color w:val="000000"/>
        </w:rPr>
        <w:t xml:space="preserve"> (b) </w:t>
      </w:r>
      <w:r>
        <w:rPr>
          <w:rFonts w:ascii="Times New Roman" w:cs="Times New Roman" w:eastAsia="Times New Roman" w:hAnsi="Times New Roman"/>
          <w:sz w:val="18"/>
          <w:szCs w:val="18"/>
          <w:color w:val="FF0000"/>
          <w:strike w:val="1"/>
        </w:rPr>
        <w:t>through (f)</w:t>
      </w:r>
      <w:r>
        <w:rPr>
          <w:rFonts w:ascii="Times New Roman" w:cs="Times New Roman" w:eastAsia="Times New Roman" w:hAnsi="Times New Roman"/>
          <w:sz w:val="18"/>
          <w:szCs w:val="18"/>
          <w:color w:val="000000"/>
        </w:rPr>
        <w:t xml:space="preserve"> of this </w:t>
      </w:r>
      <w:r>
        <w:rPr>
          <w:rFonts w:ascii="Times New Roman" w:cs="Times New Roman" w:eastAsia="Times New Roman" w:hAnsi="Times New Roman"/>
          <w:sz w:val="18"/>
          <w:szCs w:val="18"/>
          <w:u w:val="single" w:color="auto"/>
          <w:color w:val="000000"/>
        </w:rPr>
        <w:t>Section 4.2</w:t>
      </w:r>
      <w:r>
        <w:rPr>
          <w:rFonts w:ascii="Times New Roman" w:cs="Times New Roman" w:eastAsia="Times New Roman" w:hAnsi="Times New Roman"/>
          <w:sz w:val="18"/>
          <w:szCs w:val="18"/>
          <w:color w:val="000000"/>
        </w:rPr>
        <w:t xml:space="preserve"> (including in the definitions of defined terms used in such clauses).</w:t>
      </w:r>
    </w:p>
    <w:p>
      <w:pPr>
        <w:spacing w:after="0" w:line="81" w:lineRule="exact"/>
        <w:rPr>
          <w:rFonts w:ascii="Times New Roman" w:cs="Times New Roman" w:eastAsia="Times New Roman" w:hAnsi="Times New Roman"/>
          <w:sz w:val="18"/>
          <w:szCs w:val="18"/>
          <w:u w:val="single" w:color="auto"/>
          <w:color w:val="0000FF"/>
        </w:rPr>
      </w:pPr>
    </w:p>
    <w:p>
      <w:pPr>
        <w:ind w:right="60" w:firstLine="408"/>
        <w:spacing w:after="0" w:line="256" w:lineRule="auto"/>
        <w:tabs>
          <w:tab w:leader="none" w:pos="706" w:val="left"/>
        </w:tabs>
        <w:numPr>
          <w:ilvl w:val="0"/>
          <w:numId w:val="225"/>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Unavailability of Tenor of Benchmark. Notwithstanding anything to the contrary herein or in any other Loan Document, at any time (including in connection with the implementation of a Benchmark Replacement), (A) if any then-current Benchmark is a term rate (including the Term SOFR Reference Rate) and either (1) any tenor for such Benchmark is not displayed on a screen or other information service that publishes such rate from time to time as selected by the Administrative Agent in its reasonable discretion or (2) the regulatory supervisor for the administrator of such Benchmark has provided a public statement or publication of information announcing that any tenor for such Benchmark is not or will not be representative, then the Administrative Agent may modify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wp:posOffset>
            </wp:positionH>
            <wp:positionV relativeFrom="paragraph">
              <wp:posOffset>-3152140</wp:posOffset>
            </wp:positionV>
            <wp:extent cx="171450"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3850005</wp:posOffset>
            </wp:positionH>
            <wp:positionV relativeFrom="paragraph">
              <wp:posOffset>-3152140</wp:posOffset>
            </wp:positionV>
            <wp:extent cx="1482725"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482725" cy="8255"/>
                    </a:xfrm>
                    <a:prstGeom prst="rect">
                      <a:avLst/>
                    </a:prstGeom>
                    <a:noFill/>
                  </pic:spPr>
                </pic:pic>
              </a:graphicData>
            </a:graphic>
          </wp:anchor>
        </w:drawing>
        <w:drawing>
          <wp:anchor simplePos="0" relativeHeight="251657728" behindDoc="1" locked="0" layoutInCell="0" allowOverlap="1">
            <wp:simplePos x="0" y="0"/>
            <wp:positionH relativeFrom="column">
              <wp:posOffset>257810</wp:posOffset>
            </wp:positionH>
            <wp:positionV relativeFrom="paragraph">
              <wp:posOffset>-2397760</wp:posOffset>
            </wp:positionV>
            <wp:extent cx="197485"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197485" cy="8255"/>
                    </a:xfrm>
                    <a:prstGeom prst="rect">
                      <a:avLst/>
                    </a:prstGeom>
                    <a:noFill/>
                  </pic:spPr>
                </pic:pic>
              </a:graphicData>
            </a:graphic>
          </wp:anchor>
        </w:drawing>
        <w:drawing>
          <wp:anchor simplePos="0" relativeHeight="251657728" behindDoc="1" locked="0" layoutInCell="0" allowOverlap="1">
            <wp:simplePos x="0" y="0"/>
            <wp:positionH relativeFrom="column">
              <wp:posOffset>2435225</wp:posOffset>
            </wp:positionH>
            <wp:positionV relativeFrom="paragraph">
              <wp:posOffset>-2123440</wp:posOffset>
            </wp:positionV>
            <wp:extent cx="137160"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4844415</wp:posOffset>
            </wp:positionH>
            <wp:positionV relativeFrom="paragraph">
              <wp:posOffset>-2123440</wp:posOffset>
            </wp:positionV>
            <wp:extent cx="196850"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4845685</wp:posOffset>
            </wp:positionH>
            <wp:positionV relativeFrom="paragraph">
              <wp:posOffset>-2157730</wp:posOffset>
            </wp:positionV>
            <wp:extent cx="193675"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193675" cy="8255"/>
                    </a:xfrm>
                    <a:prstGeom prst="rect">
                      <a:avLst/>
                    </a:prstGeom>
                    <a:noFill/>
                  </pic:spPr>
                </pic:pic>
              </a:graphicData>
            </a:graphic>
          </wp:anchor>
        </w:drawing>
        <w:drawing>
          <wp:anchor simplePos="0" relativeHeight="251657728" behindDoc="1" locked="0" layoutInCell="0" allowOverlap="1">
            <wp:simplePos x="0" y="0"/>
            <wp:positionH relativeFrom="column">
              <wp:posOffset>5204460</wp:posOffset>
            </wp:positionH>
            <wp:positionV relativeFrom="paragraph">
              <wp:posOffset>-2123440</wp:posOffset>
            </wp:positionV>
            <wp:extent cx="59690"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2581275</wp:posOffset>
            </wp:positionH>
            <wp:positionV relativeFrom="paragraph">
              <wp:posOffset>-1986280</wp:posOffset>
            </wp:positionV>
            <wp:extent cx="3471545"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3471545" cy="8255"/>
                    </a:xfrm>
                    <a:prstGeom prst="rect">
                      <a:avLst/>
                    </a:prstGeom>
                    <a:noFill/>
                  </pic:spPr>
                </pic:pic>
              </a:graphicData>
            </a:graphic>
          </wp:anchor>
        </w:drawing>
        <w:drawing>
          <wp:anchor simplePos="0" relativeHeight="251657728" behindDoc="1" locked="0" layoutInCell="0" allowOverlap="1">
            <wp:simplePos x="0" y="0"/>
            <wp:positionH relativeFrom="column">
              <wp:posOffset>2580640</wp:posOffset>
            </wp:positionH>
            <wp:positionV relativeFrom="paragraph">
              <wp:posOffset>-2020570</wp:posOffset>
            </wp:positionV>
            <wp:extent cx="3474720"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347472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-1849120</wp:posOffset>
            </wp:positionV>
            <wp:extent cx="4886325"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4886325" cy="8255"/>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-1574800</wp:posOffset>
            </wp:positionV>
            <wp:extent cx="840105"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840105" cy="8255"/>
                    </a:xfrm>
                    <a:prstGeom prst="rect">
                      <a:avLst/>
                    </a:prstGeom>
                    <a:noFill/>
                  </pic:spPr>
                </pic:pic>
              </a:graphicData>
            </a:graphic>
          </wp:anchor>
        </w:drawing>
        <w:drawing>
          <wp:anchor simplePos="0" relativeHeight="251657728" behindDoc="1" locked="0" layoutInCell="0" allowOverlap="1">
            <wp:simplePos x="0" y="0"/>
            <wp:positionH relativeFrom="column">
              <wp:posOffset>3789680</wp:posOffset>
            </wp:positionH>
            <wp:positionV relativeFrom="paragraph">
              <wp:posOffset>-1437640</wp:posOffset>
            </wp:positionV>
            <wp:extent cx="25400"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477520</wp:posOffset>
            </wp:positionH>
            <wp:positionV relativeFrom="paragraph">
              <wp:posOffset>-1249045</wp:posOffset>
            </wp:positionV>
            <wp:extent cx="751840"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51840" cy="8255"/>
                    </a:xfrm>
                    <a:prstGeom prst="rect">
                      <a:avLst/>
                    </a:prstGeom>
                    <a:noFill/>
                  </pic:spPr>
                </pic:pic>
              </a:graphicData>
            </a:graphic>
          </wp:anchor>
        </w:drawing>
        <w:drawing>
          <wp:anchor simplePos="0" relativeHeight="251657728" behindDoc="1" locked="0" layoutInCell="0" allowOverlap="1">
            <wp:simplePos x="0" y="0"/>
            <wp:positionH relativeFrom="column">
              <wp:posOffset>455295</wp:posOffset>
            </wp:positionH>
            <wp:positionV relativeFrom="paragraph">
              <wp:posOffset>-889000</wp:posOffset>
            </wp:positionV>
            <wp:extent cx="282575"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282575" cy="8255"/>
                    </a:xfrm>
                    <a:prstGeom prst="rect">
                      <a:avLst/>
                    </a:prstGeom>
                    <a:noFill/>
                  </pic:spPr>
                </pic:pic>
              </a:graphicData>
            </a:graphic>
          </wp:anchor>
        </w:drawing>
        <w:drawing>
          <wp:anchor simplePos="0" relativeHeight="251657728" behindDoc="1" locked="0" layoutInCell="0" allowOverlap="1">
            <wp:simplePos x="0" y="0"/>
            <wp:positionH relativeFrom="column">
              <wp:posOffset>257810</wp:posOffset>
            </wp:positionH>
            <wp:positionV relativeFrom="paragraph">
              <wp:posOffset>-683260</wp:posOffset>
            </wp:positionV>
            <wp:extent cx="6000750"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600075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-546100</wp:posOffset>
            </wp:positionV>
            <wp:extent cx="6189345"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618934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-408940</wp:posOffset>
            </wp:positionV>
            <wp:extent cx="6292215"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-271780</wp:posOffset>
            </wp:positionV>
            <wp:extent cx="6309360"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6309360"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-134620</wp:posOffset>
            </wp:positionV>
            <wp:extent cx="6155055"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615505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1905</wp:posOffset>
            </wp:positionV>
            <wp:extent cx="4980305"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4980305" cy="8255"/>
                    </a:xfrm>
                    <a:prstGeom prst="rect">
                      <a:avLst/>
                    </a:prstGeom>
                    <a:noFill/>
                  </pic:spPr>
                </pic:pic>
              </a:graphicData>
            </a:graphic>
          </wp:anchor>
        </w:drawing>
      </w:r>
    </w:p>
    <w:p>
      <w:pPr>
        <w:spacing w:after="0" w:line="100"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0000"/>
          </w:cols>
          <w:pgMar w:left="1420" w:top="270" w:right="479" w:bottom="1440" w:gutter="0" w:footer="0" w:header="0"/>
        </w:sectPr>
      </w:pPr>
    </w:p>
    <w:bookmarkStart w:id="232" w:name="page233"/>
    <w:bookmarkEnd w:id="232"/>
    <w:p>
      <w:pPr>
        <w:ind w:left="980" w:right="20"/>
        <w:spacing w:after="0" w:line="256" w:lineRule="auto"/>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definition of “Interest Period” (or any similar or analogous definition) for any Benchmark settings at or after such time to remove such unavailable or non-representative tenor and (B) if a tenor that was removed pursuant to clause (A) above either (1) is subsequently displayed on a screen or information service for a Benchmark (including a Benchmark Replacement) or (2) is not, or is no longer, subject to an announcement that it is not or will not be representative for a Benchmark (including a Benchmark Replacement), then the Administrative Agent may modify the definition of “Interest Period” (or any similar or analogous definition) for all Benchmark settings at or after such time to reinstate such previously removed tenor.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-683260</wp:posOffset>
            </wp:positionV>
            <wp:extent cx="6155055"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6155055" cy="8255"/>
                    </a:xfrm>
                    <a:prstGeom prst="rect">
                      <a:avLst/>
                    </a:prstGeom>
                    <a:noFill/>
                  </pic:spPr>
                </pic:pic>
              </a:graphicData>
            </a:graphic>
          </wp:anchor>
        </w:drawing>
        <w:drawing>
          <wp:anchor simplePos="0" relativeHeight="251657728" behindDoc="1" locked="0" layoutInCell="0" allowOverlap="1">
            <wp:simplePos x="0" y="0"/>
            <wp:positionH relativeFrom="column">
              <wp:posOffset>622935</wp:posOffset>
            </wp:positionH>
            <wp:positionV relativeFrom="paragraph">
              <wp:posOffset>-546100</wp:posOffset>
            </wp:positionV>
            <wp:extent cx="5966460"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596646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wp:posOffset>
            </wp:positionH>
            <wp:positionV relativeFrom="paragraph">
              <wp:posOffset>-408940</wp:posOffset>
            </wp:positionV>
            <wp:extent cx="6283325"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6283325" cy="8255"/>
                    </a:xfrm>
                    <a:prstGeom prst="rect">
                      <a:avLst/>
                    </a:prstGeom>
                    <a:noFill/>
                  </pic:spPr>
                </pic:pic>
              </a:graphicData>
            </a:graphic>
          </wp:anchor>
        </w:drawing>
        <w:drawing>
          <wp:anchor simplePos="0" relativeHeight="251657728" behindDoc="1" locked="0" layoutInCell="0" allowOverlap="1">
            <wp:simplePos x="0" y="0"/>
            <wp:positionH relativeFrom="column">
              <wp:posOffset>622935</wp:posOffset>
            </wp:positionH>
            <wp:positionV relativeFrom="paragraph">
              <wp:posOffset>-271780</wp:posOffset>
            </wp:positionV>
            <wp:extent cx="5820410"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5820410" cy="8255"/>
                    </a:xfrm>
                    <a:prstGeom prst="rect">
                      <a:avLst/>
                    </a:prstGeom>
                    <a:noFill/>
                  </pic:spPr>
                </pic:pic>
              </a:graphicData>
            </a:graphic>
          </wp:anchor>
        </w:drawing>
        <w:drawing>
          <wp:anchor simplePos="0" relativeHeight="251657728" behindDoc="1" locked="0" layoutInCell="0" allowOverlap="1">
            <wp:simplePos x="0" y="0"/>
            <wp:positionH relativeFrom="column">
              <wp:posOffset>622935</wp:posOffset>
            </wp:positionH>
            <wp:positionV relativeFrom="paragraph">
              <wp:posOffset>-134620</wp:posOffset>
            </wp:positionV>
            <wp:extent cx="6317615"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6317615" cy="8255"/>
                    </a:xfrm>
                    <a:prstGeom prst="rect">
                      <a:avLst/>
                    </a:prstGeom>
                    <a:noFill/>
                  </pic:spPr>
                </pic:pic>
              </a:graphicData>
            </a:graphic>
          </wp:anchor>
        </w:drawing>
        <w:drawing>
          <wp:anchor simplePos="0" relativeHeight="251657728" behindDoc="1" locked="0" layoutInCell="0" allowOverlap="1">
            <wp:simplePos x="0" y="0"/>
            <wp:positionH relativeFrom="column">
              <wp:posOffset>622935</wp:posOffset>
            </wp:positionH>
            <wp:positionV relativeFrom="paragraph">
              <wp:posOffset>1905</wp:posOffset>
            </wp:positionV>
            <wp:extent cx="2802890"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2802890" cy="8255"/>
                    </a:xfrm>
                    <a:prstGeom prst="rect">
                      <a:avLst/>
                    </a:prstGeom>
                    <a:noFill/>
                  </pic:spPr>
                </pic:pic>
              </a:graphicData>
            </a:graphic>
          </wp:anchor>
        </w:drawing>
      </w:r>
    </w:p>
    <w:p>
      <w:pPr>
        <w:spacing w:after="0" w:line="59" w:lineRule="exact"/>
        <w:rPr>
          <w:sz w:val="20"/>
          <w:szCs w:val="20"/>
          <w:color w:val="auto"/>
        </w:rPr>
      </w:pPr>
    </w:p>
    <w:p>
      <w:pPr>
        <w:ind w:left="980" w:firstLine="408"/>
        <w:spacing w:after="0" w:line="253" w:lineRule="auto"/>
        <w:tabs>
          <w:tab w:leader="none" w:pos="1635" w:val="left"/>
        </w:tabs>
        <w:numPr>
          <w:ilvl w:val="1"/>
          <w:numId w:val="226"/>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FF0000"/>
          <w:strike w:val="1"/>
        </w:rPr>
        <w:t>(e)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00"/>
        </w:rPr>
        <w:t>Benchmark Unavailability Period</w:t>
      </w:r>
      <w:r>
        <w:rPr>
          <w:rFonts w:ascii="Times New Roman" w:cs="Times New Roman" w:eastAsia="Times New Roman" w:hAnsi="Times New Roman"/>
          <w:sz w:val="18"/>
          <w:szCs w:val="18"/>
          <w:color w:val="000000"/>
        </w:rPr>
        <w:t>. Upon the Borrower’s receipt of notice of the commencement of a Benchmark</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Unavailability Period</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with respect to a given Benchmark, (A)</w:t>
      </w:r>
      <w:r>
        <w:rPr>
          <w:rFonts w:ascii="Times New Roman" w:cs="Times New Roman" w:eastAsia="Times New Roman" w:hAnsi="Times New Roman"/>
          <w:sz w:val="18"/>
          <w:szCs w:val="18"/>
          <w:color w:val="000000"/>
        </w:rPr>
        <w:t xml:space="preserve"> the Borrower may revoke any </w:t>
      </w:r>
      <w:r>
        <w:rPr>
          <w:rFonts w:ascii="Times New Roman" w:cs="Times New Roman" w:eastAsia="Times New Roman" w:hAnsi="Times New Roman"/>
          <w:sz w:val="18"/>
          <w:szCs w:val="18"/>
          <w:u w:val="single" w:color="auto"/>
          <w:color w:val="0000FF"/>
        </w:rPr>
        <w:t>pending</w:t>
      </w:r>
      <w:r>
        <w:rPr>
          <w:rFonts w:ascii="Times New Roman" w:cs="Times New Roman" w:eastAsia="Times New Roman" w:hAnsi="Times New Roman"/>
          <w:sz w:val="18"/>
          <w:szCs w:val="18"/>
          <w:color w:val="000000"/>
        </w:rPr>
        <w:t xml:space="preserve"> request for a </w:t>
      </w:r>
      <w:r>
        <w:rPr>
          <w:rFonts w:ascii="Times New Roman" w:cs="Times New Roman" w:eastAsia="Times New Roman" w:hAnsi="Times New Roman"/>
          <w:sz w:val="18"/>
          <w:szCs w:val="18"/>
          <w:color w:val="FF0000"/>
          <w:strike w:val="1"/>
        </w:rPr>
        <w:t>Loan bearing interest</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FF0000"/>
          <w:strike w:val="1"/>
        </w:rPr>
        <w:t>based on USD LIBOR, conversion to or continuation of Loans bearing interest based on USD LIBOR</w:t>
      </w:r>
      <w:r>
        <w:rPr>
          <w:rFonts w:ascii="Times New Roman" w:cs="Times New Roman" w:eastAsia="Times New Roman" w:hAnsi="Times New Roman"/>
          <w:sz w:val="18"/>
          <w:szCs w:val="18"/>
          <w:u w:val="single" w:color="auto"/>
          <w:color w:val="0000FF"/>
          <w:strike w:val="1"/>
        </w:rPr>
        <w:t>borrowing of Revolving Loans,</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0000FF"/>
          <w:strike w:val="1"/>
        </w:rPr>
        <w:t>Conversion to, or a Continuation of any affected SOFR Loans</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to be made, converted or continued during any Benchmark Unavailability</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 xml:space="preserve">Period and, failing that, the Borrower will be deemed to have converted any such request into a request for a </w:t>
      </w:r>
      <w:r>
        <w:rPr>
          <w:rFonts w:ascii="Times New Roman" w:cs="Times New Roman" w:eastAsia="Times New Roman" w:hAnsi="Times New Roman"/>
          <w:sz w:val="18"/>
          <w:szCs w:val="18"/>
          <w:color w:val="FF0000"/>
          <w:strike w:val="1"/>
        </w:rPr>
        <w:t>Loan of or conversion to</w:t>
      </w:r>
      <w:r>
        <w:rPr>
          <w:rFonts w:ascii="Times New Roman" w:cs="Times New Roman" w:eastAsia="Times New Roman" w:hAnsi="Times New Roman"/>
          <w:sz w:val="18"/>
          <w:szCs w:val="18"/>
          <w:color w:val="000000"/>
          <w:strike w:val="1"/>
        </w:rPr>
        <w:t xml:space="preserve"> </w:t>
      </w:r>
      <w:r>
        <w:rPr>
          <w:rFonts w:ascii="Times New Roman" w:cs="Times New Roman" w:eastAsia="Times New Roman" w:hAnsi="Times New Roman"/>
          <w:sz w:val="18"/>
          <w:szCs w:val="18"/>
          <w:color w:val="FF0000"/>
          <w:strike w:val="1"/>
        </w:rPr>
        <w:t>Loans bearing interest at a rate based on the Base Rate</w:t>
      </w:r>
      <w:r>
        <w:rPr>
          <w:rFonts w:ascii="Times New Roman" w:cs="Times New Roman" w:eastAsia="Times New Roman" w:hAnsi="Times New Roman"/>
          <w:sz w:val="18"/>
          <w:szCs w:val="18"/>
          <w:u w:val="single" w:color="auto"/>
          <w:color w:val="0000FF"/>
          <w:strike w:val="1"/>
        </w:rPr>
        <w:t>borrowing of Revolving Loans of or Conversion to Base Rate Loans and (B) any</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0000FF"/>
          <w:strike w:val="1"/>
        </w:rPr>
        <w:t>outstanding affected SOFR Loans will be deemed to have been converted to Base Rate Loans at the end of the applicable Interest Period</w:t>
      </w:r>
      <w:r>
        <w:rPr>
          <w:rFonts w:ascii="Times New Roman" w:cs="Times New Roman" w:eastAsia="Times New Roman" w:hAnsi="Times New Roman"/>
          <w:sz w:val="18"/>
          <w:szCs w:val="18"/>
          <w:color w:val="000000"/>
          <w:strike w:val="1"/>
        </w:rPr>
        <w:t>.</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 xml:space="preserve">During any Benchmark Unavailability Period </w:t>
      </w:r>
      <w:r>
        <w:rPr>
          <w:rFonts w:ascii="Times New Roman" w:cs="Times New Roman" w:eastAsia="Times New Roman" w:hAnsi="Times New Roman"/>
          <w:sz w:val="18"/>
          <w:szCs w:val="18"/>
          <w:u w:val="single" w:color="auto"/>
          <w:color w:val="0000FF"/>
          <w:strike w:val="1"/>
        </w:rPr>
        <w:t>with respect to any Benchmark</w:t>
      </w:r>
      <w:r>
        <w:rPr>
          <w:rFonts w:ascii="Times New Roman" w:cs="Times New Roman" w:eastAsia="Times New Roman" w:hAnsi="Times New Roman"/>
          <w:sz w:val="18"/>
          <w:szCs w:val="18"/>
          <w:color w:val="000000"/>
          <w:strike w:val="1"/>
        </w:rPr>
        <w:t xml:space="preserve"> or at any time that a tenor for </w:t>
      </w:r>
      <w:r>
        <w:rPr>
          <w:rFonts w:ascii="Times New Roman" w:cs="Times New Roman" w:eastAsia="Times New Roman" w:hAnsi="Times New Roman"/>
          <w:sz w:val="18"/>
          <w:szCs w:val="18"/>
          <w:color w:val="FF0000"/>
          <w:strike w:val="1"/>
        </w:rPr>
        <w:t>the</w:t>
      </w:r>
      <w:r>
        <w:rPr>
          <w:rFonts w:ascii="Times New Roman" w:cs="Times New Roman" w:eastAsia="Times New Roman" w:hAnsi="Times New Roman"/>
          <w:sz w:val="18"/>
          <w:szCs w:val="18"/>
          <w:u w:val="single" w:color="auto"/>
          <w:color w:val="0000FF"/>
          <w:strike w:val="1"/>
        </w:rPr>
        <w:t>any</w:t>
      </w:r>
      <w:r>
        <w:rPr>
          <w:rFonts w:ascii="Times New Roman" w:cs="Times New Roman" w:eastAsia="Times New Roman" w:hAnsi="Times New Roman"/>
          <w:sz w:val="18"/>
          <w:szCs w:val="18"/>
          <w:color w:val="000000"/>
          <w:strike w:val="1"/>
        </w:rPr>
        <w:t xml:space="preserve"> then-current Benchmark is not an Available Tenor, the component of </w:t>
      </w:r>
      <w:r>
        <w:rPr>
          <w:rFonts w:ascii="Times New Roman" w:cs="Times New Roman" w:eastAsia="Times New Roman" w:hAnsi="Times New Roman"/>
          <w:sz w:val="18"/>
          <w:szCs w:val="18"/>
          <w:color w:val="FF0000"/>
          <w:strike w:val="1"/>
        </w:rPr>
        <w:t>the</w:t>
      </w:r>
      <w:r>
        <w:rPr>
          <w:rFonts w:ascii="Times New Roman" w:cs="Times New Roman" w:eastAsia="Times New Roman" w:hAnsi="Times New Roman"/>
          <w:sz w:val="18"/>
          <w:szCs w:val="18"/>
          <w:color w:val="000000"/>
          <w:strike w:val="1"/>
        </w:rPr>
        <w:t xml:space="preserve"> Base Rate based upon the then-current Benchmark </w:t>
      </w:r>
      <w:r>
        <w:rPr>
          <w:rFonts w:ascii="Times New Roman" w:cs="Times New Roman" w:eastAsia="Times New Roman" w:hAnsi="Times New Roman"/>
          <w:sz w:val="18"/>
          <w:szCs w:val="18"/>
          <w:u w:val="single" w:color="auto"/>
          <w:color w:val="0000FF"/>
          <w:strike w:val="1"/>
        </w:rPr>
        <w:t>that is the subject of such</w:t>
      </w:r>
      <w:r>
        <w:rPr>
          <w:rFonts w:ascii="Times New Roman" w:cs="Times New Roman" w:eastAsia="Times New Roman" w:hAnsi="Times New Roman"/>
          <w:sz w:val="18"/>
          <w:szCs w:val="18"/>
          <w:color w:val="000000"/>
          <w:strike w:val="1"/>
        </w:rPr>
        <w:t xml:space="preserve"> </w:t>
      </w:r>
      <w:r>
        <w:rPr>
          <w:rFonts w:ascii="Times New Roman" w:cs="Times New Roman" w:eastAsia="Times New Roman" w:hAnsi="Times New Roman"/>
          <w:sz w:val="18"/>
          <w:szCs w:val="18"/>
          <w:u w:val="single" w:color="auto"/>
          <w:color w:val="0000FF"/>
          <w:strike w:val="1"/>
        </w:rPr>
        <w:t>Benchmark Unavailability Period</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or such tenor for such Benchmark, as applicable, will not be used in any determination of</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FF0000"/>
          <w:strike w:val="1"/>
        </w:rPr>
        <w:t>the</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Base Rate.</w:t>
      </w:r>
    </w:p>
    <w:p>
      <w:pPr>
        <w:spacing w:after="0" w:line="194" w:lineRule="exact"/>
        <w:rPr>
          <w:rFonts w:ascii="Times New Roman" w:cs="Times New Roman" w:eastAsia="Times New Roman" w:hAnsi="Times New Roman"/>
          <w:sz w:val="18"/>
          <w:szCs w:val="18"/>
          <w:u w:val="single" w:color="auto"/>
          <w:color w:val="0000FF"/>
        </w:rPr>
      </w:pPr>
    </w:p>
    <w:p>
      <w:pPr>
        <w:ind w:firstLine="436"/>
        <w:spacing w:after="0" w:line="254" w:lineRule="auto"/>
        <w:tabs>
          <w:tab w:leader="none" w:pos="665" w:val="left"/>
        </w:tabs>
        <w:numPr>
          <w:ilvl w:val="0"/>
          <w:numId w:val="227"/>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u w:val="single" w:color="auto"/>
          <w:color w:val="FF0000"/>
          <w:strike w:val="1"/>
        </w:rPr>
        <w:t>Secondary Term SOFR Conversion</w:t>
      </w:r>
      <w:r>
        <w:rPr>
          <w:rFonts w:ascii="Times New Roman" w:cs="Times New Roman" w:eastAsia="Times New Roman" w:hAnsi="Times New Roman"/>
          <w:sz w:val="18"/>
          <w:szCs w:val="18"/>
          <w:color w:val="FF0000"/>
          <w:strike w:val="1"/>
        </w:rPr>
        <w:t>. Notwithstanding anything to the contrary herein or in any other Loan Document and subject to the proviso</w:t>
      </w:r>
      <w:r>
        <w:rPr>
          <w:rFonts w:ascii="Times New Roman" w:cs="Times New Roman" w:eastAsia="Times New Roman" w:hAnsi="Times New Roman"/>
          <w:sz w:val="18"/>
          <w:szCs w:val="18"/>
          <w:u w:val="single" w:color="auto"/>
          <w:color w:val="FF0000"/>
          <w:strike w:val="1"/>
        </w:rPr>
        <w:t xml:space="preserve"> </w:t>
      </w:r>
      <w:r>
        <w:rPr>
          <w:rFonts w:ascii="Times New Roman" w:cs="Times New Roman" w:eastAsia="Times New Roman" w:hAnsi="Times New Roman"/>
          <w:sz w:val="18"/>
          <w:szCs w:val="18"/>
          <w:color w:val="FF0000"/>
          <w:strike w:val="1"/>
        </w:rPr>
        <w:t>below in this paragraph, if a Term SOFR Transition Event and its related Benchmark Replacement Date have occurred prior to the Reference Time in respect of any setting of the then-current Benchmark, then (i) the applicable Benchmark Replacement will replace the then-current Benchmark for all purposes hereunder or under any Loan Document in respect of such Benchmark setting (the “</w:t>
      </w:r>
      <w:r>
        <w:rPr>
          <w:rFonts w:ascii="Times New Roman" w:cs="Times New Roman" w:eastAsia="Times New Roman" w:hAnsi="Times New Roman"/>
          <w:sz w:val="18"/>
          <w:szCs w:val="18"/>
          <w:b w:val="1"/>
          <w:bCs w:val="1"/>
          <w:color w:val="FF0000"/>
          <w:strike w:val="1"/>
        </w:rPr>
        <w:t>Secondary Term SOFR Conversion Date</w:t>
      </w:r>
      <w:r>
        <w:rPr>
          <w:rFonts w:ascii="Times New Roman" w:cs="Times New Roman" w:eastAsia="Times New Roman" w:hAnsi="Times New Roman"/>
          <w:sz w:val="18"/>
          <w:szCs w:val="18"/>
          <w:color w:val="FF0000"/>
          <w:strike w:val="1"/>
        </w:rPr>
        <w:t xml:space="preserve">”) and subsequent Benchmark settings, without any amendment to, or further action or consent of any other party to, this Agreement or any other Loan Document; and (ii) Loans outstanding on the Secondary Term SOFR Conversion Date bearing interest based on the then-current Benchmark shall be deemed to have been converted to Loans bearing interest at the Benchmark Replacement with a tenor approximately the same length as the interest payment period of the then-current Benchmark; </w:t>
      </w:r>
      <w:r>
        <w:rPr>
          <w:rFonts w:ascii="Times New Roman" w:cs="Times New Roman" w:eastAsia="Times New Roman" w:hAnsi="Times New Roman"/>
          <w:sz w:val="18"/>
          <w:szCs w:val="18"/>
          <w:u w:val="single" w:color="auto"/>
          <w:color w:val="FF0000"/>
          <w:strike w:val="1"/>
        </w:rPr>
        <w:t>provided</w:t>
      </w:r>
      <w:r>
        <w:rPr>
          <w:rFonts w:ascii="Times New Roman" w:cs="Times New Roman" w:eastAsia="Times New Roman" w:hAnsi="Times New Roman"/>
          <w:sz w:val="18"/>
          <w:szCs w:val="18"/>
          <w:color w:val="FF0000"/>
          <w:strike w:val="1"/>
        </w:rPr>
        <w:t xml:space="preserve"> that, this paragraph (f) shall not be effective unless the Administrative Agent has delivered to the Lenders and the Borrower a Term SOFR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-2602865</wp:posOffset>
            </wp:positionV>
            <wp:extent cx="162560"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1634490</wp:posOffset>
            </wp:positionH>
            <wp:positionV relativeFrom="paragraph">
              <wp:posOffset>-2465705</wp:posOffset>
            </wp:positionV>
            <wp:extent cx="1834515"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1834515" cy="8255"/>
                    </a:xfrm>
                    <a:prstGeom prst="rect">
                      <a:avLst/>
                    </a:prstGeom>
                    <a:noFill/>
                  </pic:spPr>
                </pic:pic>
              </a:graphicData>
            </a:graphic>
          </wp:anchor>
        </w:drawing>
        <w:drawing>
          <wp:anchor simplePos="0" relativeHeight="251657728" behindDoc="1" locked="0" layoutInCell="0" allowOverlap="1">
            <wp:simplePos x="0" y="0"/>
            <wp:positionH relativeFrom="column">
              <wp:posOffset>4892040</wp:posOffset>
            </wp:positionH>
            <wp:positionV relativeFrom="paragraph">
              <wp:posOffset>-2465705</wp:posOffset>
            </wp:positionV>
            <wp:extent cx="394335"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394335" cy="8255"/>
                    </a:xfrm>
                    <a:prstGeom prst="rect">
                      <a:avLst/>
                    </a:prstGeom>
                    <a:noFill/>
                  </pic:spPr>
                </pic:pic>
              </a:graphicData>
            </a:graphic>
          </wp:anchor>
        </w:drawing>
        <w:drawing>
          <wp:anchor simplePos="0" relativeHeight="251657728" behindDoc="1" locked="0" layoutInCell="0" allowOverlap="1">
            <wp:simplePos x="0" y="0"/>
            <wp:positionH relativeFrom="column">
              <wp:posOffset>5286375</wp:posOffset>
            </wp:positionH>
            <wp:positionV relativeFrom="paragraph">
              <wp:posOffset>-2328545</wp:posOffset>
            </wp:positionV>
            <wp:extent cx="1440180"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1440180" cy="8255"/>
                    </a:xfrm>
                    <a:prstGeom prst="rect">
                      <a:avLst/>
                    </a:prstGeom>
                    <a:noFill/>
                  </pic:spPr>
                </pic:pic>
              </a:graphicData>
            </a:graphic>
          </wp:anchor>
        </w:drawing>
        <w:drawing>
          <wp:anchor simplePos="0" relativeHeight="251657728" behindDoc="1" locked="0" layoutInCell="0" allowOverlap="1">
            <wp:simplePos x="0" y="0"/>
            <wp:positionH relativeFrom="column">
              <wp:posOffset>622935</wp:posOffset>
            </wp:positionH>
            <wp:positionV relativeFrom="paragraph">
              <wp:posOffset>-2191385</wp:posOffset>
            </wp:positionV>
            <wp:extent cx="2837180"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2837180" cy="8890"/>
                    </a:xfrm>
                    <a:prstGeom prst="rect">
                      <a:avLst/>
                    </a:prstGeom>
                    <a:noFill/>
                  </pic:spPr>
                </pic:pic>
              </a:graphicData>
            </a:graphic>
          </wp:anchor>
        </w:drawing>
        <w:drawing>
          <wp:anchor simplePos="0" relativeHeight="251657728" behindDoc="1" locked="0" layoutInCell="0" allowOverlap="1">
            <wp:simplePos x="0" y="0"/>
            <wp:positionH relativeFrom="column">
              <wp:posOffset>3117850</wp:posOffset>
            </wp:positionH>
            <wp:positionV relativeFrom="paragraph">
              <wp:posOffset>-1917065</wp:posOffset>
            </wp:positionV>
            <wp:extent cx="3703320"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3703320" cy="8255"/>
                    </a:xfrm>
                    <a:prstGeom prst="rect">
                      <a:avLst/>
                    </a:prstGeom>
                    <a:noFill/>
                  </pic:spPr>
                </pic:pic>
              </a:graphicData>
            </a:graphic>
          </wp:anchor>
        </w:drawing>
        <w:drawing>
          <wp:anchor simplePos="0" relativeHeight="251657728" behindDoc="1" locked="0" layoutInCell="0" allowOverlap="1">
            <wp:simplePos x="0" y="0"/>
            <wp:positionH relativeFrom="column">
              <wp:posOffset>622935</wp:posOffset>
            </wp:positionH>
            <wp:positionV relativeFrom="paragraph">
              <wp:posOffset>-1779905</wp:posOffset>
            </wp:positionV>
            <wp:extent cx="6240780"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6240780" cy="8255"/>
                    </a:xfrm>
                    <a:prstGeom prst="rect">
                      <a:avLst/>
                    </a:prstGeom>
                    <a:noFill/>
                  </pic:spPr>
                </pic:pic>
              </a:graphicData>
            </a:graphic>
          </wp:anchor>
        </w:drawing>
        <w:drawing>
          <wp:anchor simplePos="0" relativeHeight="251657728" behindDoc="1" locked="0" layoutInCell="0" allowOverlap="1">
            <wp:simplePos x="0" y="0"/>
            <wp:positionH relativeFrom="column">
              <wp:posOffset>2740660</wp:posOffset>
            </wp:positionH>
            <wp:positionV relativeFrom="paragraph">
              <wp:posOffset>-1642745</wp:posOffset>
            </wp:positionV>
            <wp:extent cx="1448435"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1448435" cy="8255"/>
                    </a:xfrm>
                    <a:prstGeom prst="rect">
                      <a:avLst/>
                    </a:prstGeom>
                    <a:noFill/>
                  </pic:spPr>
                </pic:pic>
              </a:graphicData>
            </a:graphic>
          </wp:anchor>
        </w:drawing>
        <w:drawing>
          <wp:anchor simplePos="0" relativeHeight="251657728" behindDoc="1" locked="0" layoutInCell="0" allowOverlap="1">
            <wp:simplePos x="0" y="0"/>
            <wp:positionH relativeFrom="column">
              <wp:posOffset>5689600</wp:posOffset>
            </wp:positionH>
            <wp:positionV relativeFrom="paragraph">
              <wp:posOffset>-1642745</wp:posOffset>
            </wp:positionV>
            <wp:extent cx="163195"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5723890</wp:posOffset>
            </wp:positionH>
            <wp:positionV relativeFrom="paragraph">
              <wp:posOffset>-1505585</wp:posOffset>
            </wp:positionV>
            <wp:extent cx="1157605"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157605" cy="8890"/>
                    </a:xfrm>
                    <a:prstGeom prst="rect">
                      <a:avLst/>
                    </a:prstGeom>
                    <a:noFill/>
                  </pic:spPr>
                </pic:pic>
              </a:graphicData>
            </a:graphic>
          </wp:anchor>
        </w:drawing>
        <w:drawing>
          <wp:anchor simplePos="0" relativeHeight="251657728" behindDoc="1" locked="0" layoutInCell="0" allowOverlap="1">
            <wp:simplePos x="0" y="0"/>
            <wp:positionH relativeFrom="column">
              <wp:posOffset>622935</wp:posOffset>
            </wp:positionH>
            <wp:positionV relativeFrom="paragraph">
              <wp:posOffset>-1368425</wp:posOffset>
            </wp:positionV>
            <wp:extent cx="1568450"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4.3. Illegality.</w:t>
      </w:r>
    </w:p>
    <w:p>
      <w:pPr>
        <w:spacing w:after="0" w:line="121"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Notwithstanding any other provision of this Agreement, if any Lender shall reasonably determine (which determination shall be conclusive and binding) that it is unlawful for such Lender to honor its obligation to Convert to, Continue or maintain </w:t>
      </w:r>
      <w:r>
        <w:rPr>
          <w:rFonts w:ascii="Times New Roman" w:cs="Times New Roman" w:eastAsia="Times New Roman" w:hAnsi="Times New Roman"/>
          <w:sz w:val="18"/>
          <w:szCs w:val="18"/>
          <w:color w:val="FF0000"/>
          <w:strike w:val="1"/>
        </w:rPr>
        <w:t>LIBOR</w:t>
      </w:r>
      <w:r>
        <w:rPr>
          <w:rFonts w:ascii="Times New Roman" w:cs="Times New Roman" w:eastAsia="Times New Roman" w:hAnsi="Times New Roman"/>
          <w:sz w:val="18"/>
          <w:szCs w:val="18"/>
          <w:u w:val="single" w:color="auto"/>
          <w:color w:val="0000FF"/>
        </w:rPr>
        <w:t>SOFR</w:t>
      </w:r>
      <w:r>
        <w:rPr>
          <w:rFonts w:ascii="Times New Roman" w:cs="Times New Roman" w:eastAsia="Times New Roman" w:hAnsi="Times New Roman"/>
          <w:sz w:val="18"/>
          <w:szCs w:val="18"/>
          <w:color w:val="auto"/>
        </w:rPr>
        <w:t xml:space="preserve"> Loans hereunder, then such Lender shall promptly notify the Borrower thereof (with a copy of such notice to the Administrative Agent) and such Lender’s obligation to maintain or Continue, or to Convert Loans of any other Type into, </w:t>
      </w:r>
      <w:r>
        <w:rPr>
          <w:rFonts w:ascii="Times New Roman" w:cs="Times New Roman" w:eastAsia="Times New Roman" w:hAnsi="Times New Roman"/>
          <w:sz w:val="18"/>
          <w:szCs w:val="18"/>
          <w:color w:val="FF0000"/>
          <w:strike w:val="1"/>
        </w:rPr>
        <w:t>LIBOR</w:t>
      </w:r>
      <w:r>
        <w:rPr>
          <w:rFonts w:ascii="Times New Roman" w:cs="Times New Roman" w:eastAsia="Times New Roman" w:hAnsi="Times New Roman"/>
          <w:sz w:val="18"/>
          <w:szCs w:val="18"/>
          <w:u w:val="single" w:color="auto"/>
          <w:color w:val="0000FF"/>
        </w:rPr>
        <w:t>SOFR</w:t>
      </w:r>
      <w:r>
        <w:rPr>
          <w:rFonts w:ascii="Times New Roman" w:cs="Times New Roman" w:eastAsia="Times New Roman" w:hAnsi="Times New Roman"/>
          <w:sz w:val="18"/>
          <w:szCs w:val="18"/>
          <w:color w:val="auto"/>
        </w:rPr>
        <w:t xml:space="preserve"> Loans shall be suspended until such time as such Lender may again maintain </w:t>
      </w:r>
      <w:r>
        <w:rPr>
          <w:rFonts w:ascii="Times New Roman" w:cs="Times New Roman" w:eastAsia="Times New Roman" w:hAnsi="Times New Roman"/>
          <w:sz w:val="18"/>
          <w:szCs w:val="18"/>
          <w:color w:val="FF0000"/>
          <w:strike w:val="1"/>
        </w:rPr>
        <w:t>LIBOR</w:t>
      </w:r>
      <w:r>
        <w:rPr>
          <w:rFonts w:ascii="Times New Roman" w:cs="Times New Roman" w:eastAsia="Times New Roman" w:hAnsi="Times New Roman"/>
          <w:sz w:val="18"/>
          <w:szCs w:val="18"/>
          <w:u w:val="single" w:color="auto"/>
          <w:color w:val="0000FF"/>
        </w:rPr>
        <w:t>SOFR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Loans (in which case the provisions of Section 4.5. shall be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5038090</wp:posOffset>
            </wp:positionH>
            <wp:positionV relativeFrom="paragraph">
              <wp:posOffset>-411480</wp:posOffset>
            </wp:positionV>
            <wp:extent cx="291465"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291465" cy="8890"/>
                    </a:xfrm>
                    <a:prstGeom prst="rect">
                      <a:avLst/>
                    </a:prstGeom>
                    <a:noFill/>
                  </pic:spPr>
                </pic:pic>
              </a:graphicData>
            </a:graphic>
          </wp:anchor>
        </w:drawing>
        <w:drawing>
          <wp:anchor simplePos="0" relativeHeight="251657728" behindDoc="1" locked="0" layoutInCell="0" allowOverlap="1">
            <wp:simplePos x="0" y="0"/>
            <wp:positionH relativeFrom="column">
              <wp:posOffset>2834640</wp:posOffset>
            </wp:positionH>
            <wp:positionV relativeFrom="paragraph">
              <wp:posOffset>-137160</wp:posOffset>
            </wp:positionV>
            <wp:extent cx="282575"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282575" cy="8890"/>
                    </a:xfrm>
                    <a:prstGeom prst="rect">
                      <a:avLst/>
                    </a:prstGeom>
                    <a:noFill/>
                  </pic:spPr>
                </pic:pic>
              </a:graphicData>
            </a:graphic>
          </wp:anchor>
        </w:drawing>
        <w:drawing>
          <wp:anchor simplePos="0" relativeHeight="251657728" behindDoc="1" locked="0" layoutInCell="0" allowOverlap="1">
            <wp:simplePos x="0" y="0"/>
            <wp:positionH relativeFrom="column">
              <wp:posOffset>340360</wp:posOffset>
            </wp:positionH>
            <wp:positionV relativeFrom="paragraph">
              <wp:posOffset>0</wp:posOffset>
            </wp:positionV>
            <wp:extent cx="282575"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282575" cy="8255"/>
                    </a:xfrm>
                    <a:prstGeom prst="rect">
                      <a:avLst/>
                    </a:prstGeom>
                    <a:noFill/>
                  </pic:spPr>
                </pic:pic>
              </a:graphicData>
            </a:graphic>
          </wp:anchor>
        </w:drawing>
      </w:r>
    </w:p>
    <w:p>
      <w:pPr>
        <w:spacing w:after="0" w:line="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0960"/>
          </w:cols>
          <w:pgMar w:left="440" w:top="270" w:right="49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4.4. Compensation.</w:t>
      </w:r>
    </w:p>
    <w:p>
      <w:pPr>
        <w:spacing w:after="0" w:line="121"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The Borrower shall pay to the Administrative Agent for the account of each Lender, upon the request of the Administrative Agent, such amount or amounts as the Administrative Agent shall determine in its reasonable discretion shall be sufficient to compensate such Lender for any loss, cost or expense attributable to:</w:t>
      </w:r>
    </w:p>
    <w:p>
      <w:pPr>
        <w:spacing w:after="0" w:line="68" w:lineRule="exact"/>
        <w:rPr>
          <w:sz w:val="20"/>
          <w:szCs w:val="20"/>
          <w:color w:val="auto"/>
        </w:rPr>
      </w:pPr>
    </w:p>
    <w:p>
      <w:pPr>
        <w:ind w:left="440" w:right="140" w:firstLine="419"/>
        <w:spacing w:after="0" w:line="312" w:lineRule="auto"/>
        <w:tabs>
          <w:tab w:leader="none" w:pos="1108" w:val="left"/>
        </w:tabs>
        <w:numPr>
          <w:ilvl w:val="0"/>
          <w:numId w:val="2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payment or prepayment (whether mandatory or optional) of a </w:t>
      </w:r>
      <w:r>
        <w:rPr>
          <w:rFonts w:ascii="Times New Roman" w:cs="Times New Roman" w:eastAsia="Times New Roman" w:hAnsi="Times New Roman"/>
          <w:sz w:val="17"/>
          <w:szCs w:val="17"/>
          <w:color w:val="FF0000"/>
          <w:strike w:val="1"/>
        </w:rPr>
        <w:t>LIBOR</w:t>
      </w:r>
      <w:r>
        <w:rPr>
          <w:rFonts w:ascii="Times New Roman" w:cs="Times New Roman" w:eastAsia="Times New Roman" w:hAnsi="Times New Roman"/>
          <w:sz w:val="17"/>
          <w:szCs w:val="17"/>
          <w:u w:val="single" w:color="auto"/>
          <w:color w:val="0000FF"/>
        </w:rPr>
        <w:t>SOFR</w:t>
      </w:r>
      <w:r>
        <w:rPr>
          <w:rFonts w:ascii="Times New Roman" w:cs="Times New Roman" w:eastAsia="Times New Roman" w:hAnsi="Times New Roman"/>
          <w:sz w:val="17"/>
          <w:szCs w:val="17"/>
          <w:color w:val="auto"/>
        </w:rPr>
        <w:t xml:space="preserve"> Loan, or Conversion of a </w:t>
      </w:r>
      <w:r>
        <w:rPr>
          <w:rFonts w:ascii="Times New Roman" w:cs="Times New Roman" w:eastAsia="Times New Roman" w:hAnsi="Times New Roman"/>
          <w:sz w:val="17"/>
          <w:szCs w:val="17"/>
          <w:color w:val="FF0000"/>
          <w:strike w:val="1"/>
        </w:rPr>
        <w:t>LIBOR</w:t>
      </w:r>
      <w:r>
        <w:rPr>
          <w:rFonts w:ascii="Times New Roman" w:cs="Times New Roman" w:eastAsia="Times New Roman" w:hAnsi="Times New Roman"/>
          <w:sz w:val="17"/>
          <w:szCs w:val="17"/>
          <w:u w:val="single" w:color="auto"/>
          <w:color w:val="0000FF"/>
        </w:rPr>
        <w:t>SOFR</w:t>
      </w:r>
      <w:r>
        <w:rPr>
          <w:rFonts w:ascii="Times New Roman" w:cs="Times New Roman" w:eastAsia="Times New Roman" w:hAnsi="Times New Roman"/>
          <w:sz w:val="17"/>
          <w:szCs w:val="17"/>
          <w:color w:val="auto"/>
        </w:rPr>
        <w:t xml:space="preserve"> Loan, made by such Lender for any reason (including, without limitation, acceleration) on a date other than the last day of the Interest Period for such Loan; or</w:t>
      </w:r>
    </w:p>
    <w:p>
      <w:pPr>
        <w:spacing w:after="0" w:line="31" w:lineRule="exact"/>
        <w:rPr>
          <w:rFonts w:ascii="Times New Roman" w:cs="Times New Roman" w:eastAsia="Times New Roman" w:hAnsi="Times New Roman"/>
          <w:sz w:val="17"/>
          <w:szCs w:val="17"/>
          <w:color w:val="auto"/>
        </w:rPr>
      </w:pPr>
    </w:p>
    <w:p>
      <w:pPr>
        <w:ind w:left="440" w:right="260" w:firstLine="419"/>
        <w:spacing w:after="0" w:line="266" w:lineRule="auto"/>
        <w:tabs>
          <w:tab w:leader="none" w:pos="1118"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failure by the Borrower for any reason (including, without limitation, the failure of any of the applicable conditions precedent specified in Section 5.2. to be satisfied) to borrow a </w:t>
      </w:r>
      <w:r>
        <w:rPr>
          <w:rFonts w:ascii="Times New Roman" w:cs="Times New Roman" w:eastAsia="Times New Roman" w:hAnsi="Times New Roman"/>
          <w:sz w:val="18"/>
          <w:szCs w:val="18"/>
          <w:color w:val="FF0000"/>
          <w:strike w:val="1"/>
        </w:rPr>
        <w:t>LIBOR</w:t>
      </w:r>
      <w:r>
        <w:rPr>
          <w:rFonts w:ascii="Times New Roman" w:cs="Times New Roman" w:eastAsia="Times New Roman" w:hAnsi="Times New Roman"/>
          <w:sz w:val="18"/>
          <w:szCs w:val="18"/>
          <w:u w:val="single" w:color="auto"/>
          <w:color w:val="0000FF"/>
        </w:rPr>
        <w:t>SOFR</w:t>
      </w:r>
      <w:r>
        <w:rPr>
          <w:rFonts w:ascii="Times New Roman" w:cs="Times New Roman" w:eastAsia="Times New Roman" w:hAnsi="Times New Roman"/>
          <w:sz w:val="18"/>
          <w:szCs w:val="18"/>
          <w:color w:val="auto"/>
        </w:rPr>
        <w:t xml:space="preserve"> Loan from such Lender on the date for such borrowing, or to Convert a Base Rate Loan into a </w:t>
      </w:r>
      <w:r>
        <w:rPr>
          <w:rFonts w:ascii="Times New Roman" w:cs="Times New Roman" w:eastAsia="Times New Roman" w:hAnsi="Times New Roman"/>
          <w:sz w:val="18"/>
          <w:szCs w:val="18"/>
          <w:color w:val="FF0000"/>
          <w:strike w:val="1"/>
        </w:rPr>
        <w:t>LIBOR</w:t>
      </w:r>
      <w:r>
        <w:rPr>
          <w:rFonts w:ascii="Times New Roman" w:cs="Times New Roman" w:eastAsia="Times New Roman" w:hAnsi="Times New Roman"/>
          <w:sz w:val="18"/>
          <w:szCs w:val="18"/>
          <w:u w:val="single" w:color="auto"/>
          <w:color w:val="0000FF"/>
        </w:rPr>
        <w:t>SOFR</w:t>
      </w:r>
      <w:r>
        <w:rPr>
          <w:rFonts w:ascii="Times New Roman" w:cs="Times New Roman" w:eastAsia="Times New Roman" w:hAnsi="Times New Roman"/>
          <w:sz w:val="18"/>
          <w:szCs w:val="18"/>
          <w:color w:val="auto"/>
        </w:rPr>
        <w:t xml:space="preserve"> Loan or Continue a </w:t>
      </w:r>
      <w:r>
        <w:rPr>
          <w:rFonts w:ascii="Times New Roman" w:cs="Times New Roman" w:eastAsia="Times New Roman" w:hAnsi="Times New Roman"/>
          <w:sz w:val="18"/>
          <w:szCs w:val="18"/>
          <w:color w:val="FF0000"/>
          <w:strike w:val="1"/>
        </w:rPr>
        <w:t>LIBOR</w:t>
      </w:r>
      <w:r>
        <w:rPr>
          <w:rFonts w:ascii="Times New Roman" w:cs="Times New Roman" w:eastAsia="Times New Roman" w:hAnsi="Times New Roman"/>
          <w:sz w:val="18"/>
          <w:szCs w:val="18"/>
          <w:u w:val="single" w:color="auto"/>
          <w:color w:val="0000FF"/>
        </w:rPr>
        <w:t>SOFR</w:t>
      </w:r>
      <w:r>
        <w:rPr>
          <w:rFonts w:ascii="Times New Roman" w:cs="Times New Roman" w:eastAsia="Times New Roman" w:hAnsi="Times New Roman"/>
          <w:sz w:val="18"/>
          <w:szCs w:val="18"/>
          <w:color w:val="auto"/>
        </w:rPr>
        <w:t xml:space="preserve"> Loan on the requested date of such Conversion or Continuation.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4069080</wp:posOffset>
            </wp:positionH>
            <wp:positionV relativeFrom="paragraph">
              <wp:posOffset>-621665</wp:posOffset>
            </wp:positionV>
            <wp:extent cx="282575"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282575" cy="8255"/>
                    </a:xfrm>
                    <a:prstGeom prst="rect">
                      <a:avLst/>
                    </a:prstGeom>
                    <a:noFill/>
                  </pic:spPr>
                </pic:pic>
              </a:graphicData>
            </a:graphic>
          </wp:anchor>
        </w:drawing>
        <w:drawing>
          <wp:anchor simplePos="0" relativeHeight="251657728" behindDoc="1" locked="0" layoutInCell="0" allowOverlap="1">
            <wp:simplePos x="0" y="0"/>
            <wp:positionH relativeFrom="column">
              <wp:posOffset>5903595</wp:posOffset>
            </wp:positionH>
            <wp:positionV relativeFrom="paragraph">
              <wp:posOffset>-621665</wp:posOffset>
            </wp:positionV>
            <wp:extent cx="282575"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282575" cy="8255"/>
                    </a:xfrm>
                    <a:prstGeom prst="rect">
                      <a:avLst/>
                    </a:prstGeom>
                    <a:noFill/>
                  </pic:spPr>
                </pic:pic>
              </a:graphicData>
            </a:graphic>
          </wp:anchor>
        </w:drawing>
        <w:drawing>
          <wp:anchor simplePos="0" relativeHeight="251657728" behindDoc="1" locked="0" layoutInCell="0" allowOverlap="1">
            <wp:simplePos x="0" y="0"/>
            <wp:positionH relativeFrom="column">
              <wp:posOffset>3006090</wp:posOffset>
            </wp:positionH>
            <wp:positionV relativeFrom="paragraph">
              <wp:posOffset>-141605</wp:posOffset>
            </wp:positionV>
            <wp:extent cx="282575"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282575" cy="8890"/>
                    </a:xfrm>
                    <a:prstGeom prst="rect">
                      <a:avLst/>
                    </a:prstGeom>
                    <a:noFill/>
                  </pic:spPr>
                </pic:pic>
              </a:graphicData>
            </a:graphic>
          </wp:anchor>
        </w:drawing>
        <w:drawing>
          <wp:anchor simplePos="0" relativeHeight="251657728" behindDoc="1" locked="0" layoutInCell="0" allowOverlap="1">
            <wp:simplePos x="0" y="0"/>
            <wp:positionH relativeFrom="column">
              <wp:posOffset>1403350</wp:posOffset>
            </wp:positionH>
            <wp:positionV relativeFrom="paragraph">
              <wp:posOffset>-4445</wp:posOffset>
            </wp:positionV>
            <wp:extent cx="291465"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291465" cy="8890"/>
                    </a:xfrm>
                    <a:prstGeom prst="rect">
                      <a:avLst/>
                    </a:prstGeom>
                    <a:noFill/>
                  </pic:spPr>
                </pic:pic>
              </a:graphicData>
            </a:graphic>
          </wp:anchor>
        </w:drawing>
        <w:drawing>
          <wp:anchor simplePos="0" relativeHeight="251657728" behindDoc="1" locked="0" layoutInCell="0" allowOverlap="1">
            <wp:simplePos x="0" y="0"/>
            <wp:positionH relativeFrom="column">
              <wp:posOffset>2980690</wp:posOffset>
            </wp:positionH>
            <wp:positionV relativeFrom="paragraph">
              <wp:posOffset>-4445</wp:posOffset>
            </wp:positionV>
            <wp:extent cx="282575"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282575" cy="8890"/>
                    </a:xfrm>
                    <a:prstGeom prst="rect">
                      <a:avLst/>
                    </a:prstGeom>
                    <a:noFill/>
                  </pic:spPr>
                </pic:pic>
              </a:graphicData>
            </a:graphic>
          </wp:anchor>
        </w:drawing>
      </w:r>
    </w:p>
    <w:p>
      <w:pPr>
        <w:spacing w:after="0" w:line="156"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Upon the Borrower’s request, the Administrative Agent shall provide the Borrower with a statement setting forth the basis for requesting such compensation and the method for determining the amount thereof. Any such statement shall be conclusive absent manifest error provided that such determination is made on a reasonable basis and in good faith.</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4.5. Treatment of Affected Loans.</w:t>
      </w:r>
    </w:p>
    <w:p>
      <w:pPr>
        <w:spacing w:after="0" w:line="121"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If the obligation of any Lender to Continue, or to Convert Base Rate Loans into, </w:t>
      </w:r>
      <w:r>
        <w:rPr>
          <w:rFonts w:ascii="Times New Roman" w:cs="Times New Roman" w:eastAsia="Times New Roman" w:hAnsi="Times New Roman"/>
          <w:sz w:val="18"/>
          <w:szCs w:val="18"/>
          <w:color w:val="FF0000"/>
          <w:strike w:val="1"/>
        </w:rPr>
        <w:t>LIBOR</w:t>
      </w:r>
      <w:r>
        <w:rPr>
          <w:rFonts w:ascii="Times New Roman" w:cs="Times New Roman" w:eastAsia="Times New Roman" w:hAnsi="Times New Roman"/>
          <w:sz w:val="18"/>
          <w:szCs w:val="18"/>
          <w:u w:val="single" w:color="auto"/>
          <w:color w:val="0000FF"/>
        </w:rPr>
        <w:t>SOFR</w:t>
      </w:r>
      <w:r>
        <w:rPr>
          <w:rFonts w:ascii="Times New Roman" w:cs="Times New Roman" w:eastAsia="Times New Roman" w:hAnsi="Times New Roman"/>
          <w:sz w:val="18"/>
          <w:szCs w:val="18"/>
          <w:color w:val="auto"/>
        </w:rPr>
        <w:t xml:space="preserve"> Loans shall be suspended pursuant to Section 4.1. (c), Section 4.2. or Section 4.3. then such Lender’s </w:t>
      </w:r>
      <w:r>
        <w:rPr>
          <w:rFonts w:ascii="Times New Roman" w:cs="Times New Roman" w:eastAsia="Times New Roman" w:hAnsi="Times New Roman"/>
          <w:sz w:val="18"/>
          <w:szCs w:val="18"/>
          <w:color w:val="FF0000"/>
          <w:strike w:val="1"/>
        </w:rPr>
        <w:t>LIBOR</w:t>
      </w:r>
      <w:r>
        <w:rPr>
          <w:rFonts w:ascii="Times New Roman" w:cs="Times New Roman" w:eastAsia="Times New Roman" w:hAnsi="Times New Roman"/>
          <w:sz w:val="18"/>
          <w:szCs w:val="18"/>
          <w:u w:val="single" w:color="auto"/>
          <w:color w:val="0000FF"/>
        </w:rPr>
        <w:t>SOFR</w:t>
      </w:r>
      <w:r>
        <w:rPr>
          <w:rFonts w:ascii="Times New Roman" w:cs="Times New Roman" w:eastAsia="Times New Roman" w:hAnsi="Times New Roman"/>
          <w:sz w:val="18"/>
          <w:szCs w:val="18"/>
          <w:color w:val="auto"/>
        </w:rPr>
        <w:t xml:space="preserve"> Loans shall be automatically Converted into Base Rate Loans on the last day(s) of the then current Interest Period(s) for </w:t>
      </w:r>
      <w:r>
        <w:rPr>
          <w:rFonts w:ascii="Times New Roman" w:cs="Times New Roman" w:eastAsia="Times New Roman" w:hAnsi="Times New Roman"/>
          <w:sz w:val="18"/>
          <w:szCs w:val="18"/>
          <w:color w:val="FF0000"/>
          <w:strike w:val="1"/>
        </w:rPr>
        <w:t>LIBOR</w:t>
      </w:r>
      <w:r>
        <w:rPr>
          <w:rFonts w:ascii="Times New Roman" w:cs="Times New Roman" w:eastAsia="Times New Roman" w:hAnsi="Times New Roman"/>
          <w:sz w:val="18"/>
          <w:szCs w:val="18"/>
          <w:u w:val="single" w:color="auto"/>
          <w:color w:val="0000FF"/>
        </w:rPr>
        <w:t>SOFR</w:t>
      </w:r>
      <w:r>
        <w:rPr>
          <w:rFonts w:ascii="Times New Roman" w:cs="Times New Roman" w:eastAsia="Times New Roman" w:hAnsi="Times New Roman"/>
          <w:sz w:val="18"/>
          <w:szCs w:val="18"/>
          <w:color w:val="auto"/>
        </w:rPr>
        <w:t xml:space="preserve"> Loans (or, in the case of a Conversion required by Section 4.1.(c), Section 4.2., or Section 4.3. on such earlier date as such Lender may specify to the Borrower with a copy to the Administrative Agent) and, unless and until such Lender gives notice as provided below that the circumstances specified in Section 4.1., Section 4.2. or Section 4.3. that gave rise to such Conversion no longer exist: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4318000</wp:posOffset>
            </wp:positionH>
            <wp:positionV relativeFrom="paragraph">
              <wp:posOffset>-548640</wp:posOffset>
            </wp:positionV>
            <wp:extent cx="282575"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282575" cy="8255"/>
                    </a:xfrm>
                    <a:prstGeom prst="rect">
                      <a:avLst/>
                    </a:prstGeom>
                    <a:noFill/>
                  </pic:spPr>
                </pic:pic>
              </a:graphicData>
            </a:graphic>
          </wp:anchor>
        </w:drawing>
        <w:drawing>
          <wp:anchor simplePos="0" relativeHeight="251657728" behindDoc="1" locked="0" layoutInCell="0" allowOverlap="1">
            <wp:simplePos x="0" y="0"/>
            <wp:positionH relativeFrom="column">
              <wp:posOffset>2689225</wp:posOffset>
            </wp:positionH>
            <wp:positionV relativeFrom="paragraph">
              <wp:posOffset>-411480</wp:posOffset>
            </wp:positionV>
            <wp:extent cx="282575"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282575" cy="8255"/>
                    </a:xfrm>
                    <a:prstGeom prst="rect">
                      <a:avLst/>
                    </a:prstGeom>
                    <a:noFill/>
                  </pic:spPr>
                </pic:pic>
              </a:graphicData>
            </a:graphic>
          </wp:anchor>
        </w:drawing>
        <w:drawing>
          <wp:anchor simplePos="0" relativeHeight="251657728" behindDoc="1" locked="0" layoutInCell="0" allowOverlap="1">
            <wp:simplePos x="0" y="0"/>
            <wp:positionH relativeFrom="column">
              <wp:posOffset>1900555</wp:posOffset>
            </wp:positionH>
            <wp:positionV relativeFrom="paragraph">
              <wp:posOffset>-274320</wp:posOffset>
            </wp:positionV>
            <wp:extent cx="282575"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282575" cy="8255"/>
                    </a:xfrm>
                    <a:prstGeom prst="rect">
                      <a:avLst/>
                    </a:prstGeom>
                    <a:noFill/>
                  </pic:spPr>
                </pic:pic>
              </a:graphicData>
            </a:graphic>
          </wp:anchor>
        </w:drawing>
      </w:r>
    </w:p>
    <w:p>
      <w:pPr>
        <w:spacing w:after="0" w:line="55" w:lineRule="exact"/>
        <w:rPr>
          <w:sz w:val="20"/>
          <w:szCs w:val="20"/>
          <w:color w:val="auto"/>
        </w:rPr>
      </w:pPr>
    </w:p>
    <w:p>
      <w:pPr>
        <w:ind w:left="440" w:right="420" w:firstLine="419"/>
        <w:spacing w:after="0" w:line="282" w:lineRule="auto"/>
        <w:tabs>
          <w:tab w:leader="none" w:pos="1078"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that such Lender’s </w:t>
      </w:r>
      <w:r>
        <w:rPr>
          <w:rFonts w:ascii="Times New Roman" w:cs="Times New Roman" w:eastAsia="Times New Roman" w:hAnsi="Times New Roman"/>
          <w:sz w:val="18"/>
          <w:szCs w:val="18"/>
          <w:color w:val="FF0000"/>
          <w:strike w:val="1"/>
        </w:rPr>
        <w:t>LIBOR</w:t>
      </w:r>
      <w:r>
        <w:rPr>
          <w:rFonts w:ascii="Times New Roman" w:cs="Times New Roman" w:eastAsia="Times New Roman" w:hAnsi="Times New Roman"/>
          <w:sz w:val="18"/>
          <w:szCs w:val="18"/>
          <w:u w:val="single" w:color="auto"/>
          <w:color w:val="0000FF"/>
        </w:rPr>
        <w:t>SOFR</w:t>
      </w:r>
      <w:r>
        <w:rPr>
          <w:rFonts w:ascii="Times New Roman" w:cs="Times New Roman" w:eastAsia="Times New Roman" w:hAnsi="Times New Roman"/>
          <w:sz w:val="18"/>
          <w:szCs w:val="18"/>
          <w:color w:val="auto"/>
        </w:rPr>
        <w:t xml:space="preserve"> Loans have been so Converted, all payments and prepayments of principal that would otherwise be applied to such Lender’s </w:t>
      </w:r>
      <w:r>
        <w:rPr>
          <w:rFonts w:ascii="Times New Roman" w:cs="Times New Roman" w:eastAsia="Times New Roman" w:hAnsi="Times New Roman"/>
          <w:sz w:val="18"/>
          <w:szCs w:val="18"/>
          <w:color w:val="FF0000"/>
          <w:strike w:val="1"/>
        </w:rPr>
        <w:t>LIBOR</w:t>
      </w:r>
      <w:r>
        <w:rPr>
          <w:rFonts w:ascii="Times New Roman" w:cs="Times New Roman" w:eastAsia="Times New Roman" w:hAnsi="Times New Roman"/>
          <w:sz w:val="18"/>
          <w:szCs w:val="18"/>
          <w:u w:val="single" w:color="auto"/>
          <w:color w:val="0000FF"/>
        </w:rPr>
        <w:t>SOFR</w:t>
      </w:r>
      <w:r>
        <w:rPr>
          <w:rFonts w:ascii="Times New Roman" w:cs="Times New Roman" w:eastAsia="Times New Roman" w:hAnsi="Times New Roman"/>
          <w:sz w:val="18"/>
          <w:szCs w:val="18"/>
          <w:color w:val="auto"/>
        </w:rPr>
        <w:t xml:space="preserve"> Loans shall be applied instead to its Base Rate Loans; and</w:t>
      </w:r>
    </w:p>
    <w:p>
      <w:pPr>
        <w:spacing w:after="0" w:line="53" w:lineRule="exact"/>
        <w:rPr>
          <w:rFonts w:ascii="Times New Roman" w:cs="Times New Roman" w:eastAsia="Times New Roman" w:hAnsi="Times New Roman"/>
          <w:sz w:val="18"/>
          <w:szCs w:val="18"/>
          <w:color w:val="auto"/>
        </w:rPr>
      </w:pPr>
    </w:p>
    <w:p>
      <w:pPr>
        <w:ind w:left="440" w:firstLine="419"/>
        <w:spacing w:after="0" w:line="266" w:lineRule="auto"/>
        <w:tabs>
          <w:tab w:leader="none" w:pos="1128"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portion of such Lender’s Loan that would otherwise be Continued by such Lender as a </w:t>
      </w:r>
      <w:r>
        <w:rPr>
          <w:rFonts w:ascii="Times New Roman" w:cs="Times New Roman" w:eastAsia="Times New Roman" w:hAnsi="Times New Roman"/>
          <w:sz w:val="18"/>
          <w:szCs w:val="18"/>
          <w:color w:val="FF0000"/>
          <w:strike w:val="1"/>
        </w:rPr>
        <w:t>LIBOR</w:t>
      </w:r>
      <w:r>
        <w:rPr>
          <w:rFonts w:ascii="Times New Roman" w:cs="Times New Roman" w:eastAsia="Times New Roman" w:hAnsi="Times New Roman"/>
          <w:sz w:val="18"/>
          <w:szCs w:val="18"/>
          <w:u w:val="single" w:color="auto"/>
          <w:color w:val="0000FF"/>
        </w:rPr>
        <w:t>SOFR</w:t>
      </w:r>
      <w:r>
        <w:rPr>
          <w:rFonts w:ascii="Times New Roman" w:cs="Times New Roman" w:eastAsia="Times New Roman" w:hAnsi="Times New Roman"/>
          <w:sz w:val="18"/>
          <w:szCs w:val="18"/>
          <w:color w:val="auto"/>
        </w:rPr>
        <w:t xml:space="preserve"> Loan shall be Continued instead as a Base Rate Loan, and any Base Rate Loan of such Lender that would otherwise be Converted into a </w:t>
      </w:r>
      <w:r>
        <w:rPr>
          <w:rFonts w:ascii="Times New Roman" w:cs="Times New Roman" w:eastAsia="Times New Roman" w:hAnsi="Times New Roman"/>
          <w:sz w:val="18"/>
          <w:szCs w:val="18"/>
          <w:color w:val="FF0000"/>
          <w:strike w:val="1"/>
        </w:rPr>
        <w:t>LIBOR</w:t>
      </w:r>
      <w:r>
        <w:rPr>
          <w:rFonts w:ascii="Times New Roman" w:cs="Times New Roman" w:eastAsia="Times New Roman" w:hAnsi="Times New Roman"/>
          <w:sz w:val="18"/>
          <w:szCs w:val="18"/>
          <w:u w:val="single" w:color="auto"/>
          <w:color w:val="0000FF"/>
        </w:rPr>
        <w:t>SOFR</w:t>
      </w:r>
      <w:r>
        <w:rPr>
          <w:rFonts w:ascii="Times New Roman" w:cs="Times New Roman" w:eastAsia="Times New Roman" w:hAnsi="Times New Roman"/>
          <w:sz w:val="18"/>
          <w:szCs w:val="18"/>
          <w:color w:val="auto"/>
        </w:rPr>
        <w:t xml:space="preserve"> Loan shall remain as a Base Rate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2491740</wp:posOffset>
            </wp:positionH>
            <wp:positionV relativeFrom="paragraph">
              <wp:posOffset>-621665</wp:posOffset>
            </wp:positionV>
            <wp:extent cx="282575"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282575" cy="8890"/>
                    </a:xfrm>
                    <a:prstGeom prst="rect">
                      <a:avLst/>
                    </a:prstGeom>
                    <a:noFill/>
                  </pic:spPr>
                </pic:pic>
              </a:graphicData>
            </a:graphic>
          </wp:anchor>
        </w:drawing>
        <w:drawing>
          <wp:anchor simplePos="0" relativeHeight="251657728" behindDoc="1" locked="0" layoutInCell="0" allowOverlap="1">
            <wp:simplePos x="0" y="0"/>
            <wp:positionH relativeFrom="column">
              <wp:posOffset>2380615</wp:posOffset>
            </wp:positionH>
            <wp:positionV relativeFrom="paragraph">
              <wp:posOffset>-484505</wp:posOffset>
            </wp:positionV>
            <wp:extent cx="282575"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282575" cy="8255"/>
                    </a:xfrm>
                    <a:prstGeom prst="rect">
                      <a:avLst/>
                    </a:prstGeom>
                    <a:noFill/>
                  </pic:spPr>
                </pic:pic>
              </a:graphicData>
            </a:graphic>
          </wp:anchor>
        </w:drawing>
        <w:drawing>
          <wp:anchor simplePos="0" relativeHeight="251657728" behindDoc="1" locked="0" layoutInCell="0" allowOverlap="1">
            <wp:simplePos x="0" y="0"/>
            <wp:positionH relativeFrom="column">
              <wp:posOffset>5226685</wp:posOffset>
            </wp:positionH>
            <wp:positionV relativeFrom="paragraph">
              <wp:posOffset>-278765</wp:posOffset>
            </wp:positionV>
            <wp:extent cx="291465" cy="88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291465" cy="8890"/>
                    </a:xfrm>
                    <a:prstGeom prst="rect">
                      <a:avLst/>
                    </a:prstGeom>
                    <a:noFill/>
                  </pic:spPr>
                </pic:pic>
              </a:graphicData>
            </a:graphic>
          </wp:anchor>
        </w:drawing>
        <w:drawing>
          <wp:anchor simplePos="0" relativeHeight="251657728" behindDoc="1" locked="0" layoutInCell="0" allowOverlap="1">
            <wp:simplePos x="0" y="0"/>
            <wp:positionH relativeFrom="column">
              <wp:posOffset>5723890</wp:posOffset>
            </wp:positionH>
            <wp:positionV relativeFrom="paragraph">
              <wp:posOffset>-141605</wp:posOffset>
            </wp:positionV>
            <wp:extent cx="282575"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282575" cy="8255"/>
                    </a:xfrm>
                    <a:prstGeom prst="rect">
                      <a:avLst/>
                    </a:prstGeom>
                    <a:noFill/>
                  </pic:spPr>
                </pic:pic>
              </a:graphicData>
            </a:graphic>
          </wp:anchor>
        </w:drawing>
      </w:r>
    </w:p>
    <w:p>
      <w:pPr>
        <w:spacing w:after="0" w:line="156"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 xml:space="preserve">If such Lender gives notice to the Borrower (with a copy to the Administrative Agent) that the circumstances specified in Section 4.1.(c) or 4.3. that gave rise to the Conversion of such Lender’s </w:t>
      </w:r>
      <w:r>
        <w:rPr>
          <w:rFonts w:ascii="Times New Roman" w:cs="Times New Roman" w:eastAsia="Times New Roman" w:hAnsi="Times New Roman"/>
          <w:sz w:val="18"/>
          <w:szCs w:val="18"/>
          <w:color w:val="FF0000"/>
          <w:strike w:val="1"/>
        </w:rPr>
        <w:t>LIBOR</w:t>
      </w:r>
      <w:r>
        <w:rPr>
          <w:rFonts w:ascii="Times New Roman" w:cs="Times New Roman" w:eastAsia="Times New Roman" w:hAnsi="Times New Roman"/>
          <w:sz w:val="18"/>
          <w:szCs w:val="18"/>
          <w:u w:val="single" w:color="auto"/>
          <w:color w:val="0000FF"/>
        </w:rPr>
        <w:t>SOFR</w:t>
      </w:r>
      <w:r>
        <w:rPr>
          <w:rFonts w:ascii="Times New Roman" w:cs="Times New Roman" w:eastAsia="Times New Roman" w:hAnsi="Times New Roman"/>
          <w:sz w:val="18"/>
          <w:szCs w:val="18"/>
          <w:color w:val="auto"/>
        </w:rPr>
        <w:t xml:space="preserve"> Loans pursuant to this Section no longer exist (which such Lender agrees to do promptly upon such circumstances ceasing to exist) at a time when </w:t>
      </w:r>
      <w:r>
        <w:rPr>
          <w:rFonts w:ascii="Times New Roman" w:cs="Times New Roman" w:eastAsia="Times New Roman" w:hAnsi="Times New Roman"/>
          <w:sz w:val="18"/>
          <w:szCs w:val="18"/>
          <w:color w:val="FF0000"/>
          <w:strike w:val="1"/>
        </w:rPr>
        <w:t>LIBOR</w:t>
      </w:r>
      <w:r>
        <w:rPr>
          <w:rFonts w:ascii="Times New Roman" w:cs="Times New Roman" w:eastAsia="Times New Roman" w:hAnsi="Times New Roman"/>
          <w:sz w:val="18"/>
          <w:szCs w:val="18"/>
          <w:u w:val="single" w:color="auto"/>
          <w:color w:val="0000FF"/>
        </w:rPr>
        <w:t>SOFR</w:t>
      </w:r>
      <w:r>
        <w:rPr>
          <w:rFonts w:ascii="Times New Roman" w:cs="Times New Roman" w:eastAsia="Times New Roman" w:hAnsi="Times New Roman"/>
          <w:sz w:val="18"/>
          <w:szCs w:val="18"/>
          <w:color w:val="auto"/>
        </w:rPr>
        <w:t xml:space="preserve"> Loans made by other Lenders are outstanding, then such Lender’s Base Rate Loans shall be automatically Converted, on the first day(s) of the next succeeding Interest Period(s) for such outstanding </w:t>
      </w:r>
      <w:r>
        <w:rPr>
          <w:rFonts w:ascii="Times New Roman" w:cs="Times New Roman" w:eastAsia="Times New Roman" w:hAnsi="Times New Roman"/>
          <w:sz w:val="18"/>
          <w:szCs w:val="18"/>
          <w:color w:val="FF0000"/>
          <w:strike w:val="1"/>
        </w:rPr>
        <w:t>LIBOR</w:t>
      </w:r>
      <w:r>
        <w:rPr>
          <w:rFonts w:ascii="Times New Roman" w:cs="Times New Roman" w:eastAsia="Times New Roman" w:hAnsi="Times New Roman"/>
          <w:sz w:val="18"/>
          <w:szCs w:val="18"/>
          <w:u w:val="single" w:color="auto"/>
          <w:color w:val="0000FF"/>
        </w:rPr>
        <w:t>SOFR</w:t>
      </w:r>
      <w:r>
        <w:rPr>
          <w:rFonts w:ascii="Times New Roman" w:cs="Times New Roman" w:eastAsia="Times New Roman" w:hAnsi="Times New Roman"/>
          <w:sz w:val="18"/>
          <w:szCs w:val="18"/>
          <w:color w:val="auto"/>
        </w:rPr>
        <w:t xml:space="preserve"> Loans, to the extent necessary so that, after giving effect thereto, all Loans held by the Lenders holding </w:t>
      </w:r>
      <w:r>
        <w:rPr>
          <w:rFonts w:ascii="Times New Roman" w:cs="Times New Roman" w:eastAsia="Times New Roman" w:hAnsi="Times New Roman"/>
          <w:sz w:val="18"/>
          <w:szCs w:val="18"/>
          <w:color w:val="FF0000"/>
          <w:strike w:val="1"/>
        </w:rPr>
        <w:t>LIBOR</w:t>
      </w:r>
      <w:r>
        <w:rPr>
          <w:rFonts w:ascii="Times New Roman" w:cs="Times New Roman" w:eastAsia="Times New Roman" w:hAnsi="Times New Roman"/>
          <w:sz w:val="18"/>
          <w:szCs w:val="18"/>
          <w:u w:val="single" w:color="auto"/>
          <w:color w:val="0000FF"/>
        </w:rPr>
        <w:t>SOFR</w:t>
      </w:r>
      <w:r>
        <w:rPr>
          <w:rFonts w:ascii="Times New Roman" w:cs="Times New Roman" w:eastAsia="Times New Roman" w:hAnsi="Times New Roman"/>
          <w:sz w:val="18"/>
          <w:szCs w:val="18"/>
          <w:color w:val="auto"/>
        </w:rPr>
        <w:t xml:space="preserve"> Loans and by such Lender are held pro rata (as to principal amounts, Types and Interest Periods) in accordance with the respective unpaid principal amount of the Loan held by such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2414905</wp:posOffset>
            </wp:positionH>
            <wp:positionV relativeFrom="paragraph">
              <wp:posOffset>-546100</wp:posOffset>
            </wp:positionV>
            <wp:extent cx="282575"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282575" cy="8255"/>
                    </a:xfrm>
                    <a:prstGeom prst="rect">
                      <a:avLst/>
                    </a:prstGeom>
                    <a:noFill/>
                  </pic:spPr>
                </pic:pic>
              </a:graphicData>
            </a:graphic>
          </wp:anchor>
        </w:drawing>
        <w:drawing>
          <wp:anchor simplePos="0" relativeHeight="251657728" behindDoc="1" locked="0" layoutInCell="0" allowOverlap="1">
            <wp:simplePos x="0" y="0"/>
            <wp:positionH relativeFrom="column">
              <wp:posOffset>2980690</wp:posOffset>
            </wp:positionH>
            <wp:positionV relativeFrom="paragraph">
              <wp:posOffset>-408940</wp:posOffset>
            </wp:positionV>
            <wp:extent cx="282575"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282575" cy="8255"/>
                    </a:xfrm>
                    <a:prstGeom prst="rect">
                      <a:avLst/>
                    </a:prstGeom>
                    <a:noFill/>
                  </pic:spPr>
                </pic:pic>
              </a:graphicData>
            </a:graphic>
          </wp:anchor>
        </w:drawing>
        <w:drawing>
          <wp:anchor simplePos="0" relativeHeight="251657728" behindDoc="1" locked="0" layoutInCell="0" allowOverlap="1">
            <wp:simplePos x="0" y="0"/>
            <wp:positionH relativeFrom="column">
              <wp:posOffset>5886450</wp:posOffset>
            </wp:positionH>
            <wp:positionV relativeFrom="paragraph">
              <wp:posOffset>-271780</wp:posOffset>
            </wp:positionV>
            <wp:extent cx="283210"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283210" cy="8890"/>
                    </a:xfrm>
                    <a:prstGeom prst="rect">
                      <a:avLst/>
                    </a:prstGeom>
                    <a:noFill/>
                  </pic:spPr>
                </pic:pic>
              </a:graphicData>
            </a:graphic>
          </wp:anchor>
        </w:drawing>
        <w:drawing>
          <wp:anchor simplePos="0" relativeHeight="251657728" behindDoc="1" locked="0" layoutInCell="0" allowOverlap="1">
            <wp:simplePos x="0" y="0"/>
            <wp:positionH relativeFrom="column">
              <wp:posOffset>4463415</wp:posOffset>
            </wp:positionH>
            <wp:positionV relativeFrom="paragraph">
              <wp:posOffset>-134620</wp:posOffset>
            </wp:positionV>
            <wp:extent cx="283210" cy="82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283210" cy="8255"/>
                    </a:xfrm>
                    <a:prstGeom prst="rect">
                      <a:avLst/>
                    </a:prstGeom>
                    <a:noFill/>
                  </pic:spPr>
                </pic:pic>
              </a:graphicData>
            </a:graphic>
          </wp:anchor>
        </w:drawing>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000"/>
          </w:cols>
          <w:pgMar w:left="440" w:top="266" w:right="45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4.6. Affected Lenders.</w:t>
      </w:r>
    </w:p>
    <w:p>
      <w:pPr>
        <w:spacing w:after="0" w:line="121"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If (a) a Lender requests compensation pursuant to Section 3.10. or 4.1., and the Requisite Lenders are not also doing the same, or (b) the obligation of any Lender to Continue, or to Convert Base Rate Loans into, </w:t>
      </w:r>
      <w:r>
        <w:rPr>
          <w:rFonts w:ascii="Times New Roman" w:cs="Times New Roman" w:eastAsia="Times New Roman" w:hAnsi="Times New Roman"/>
          <w:sz w:val="18"/>
          <w:szCs w:val="18"/>
          <w:color w:val="FF0000"/>
          <w:strike w:val="1"/>
        </w:rPr>
        <w:t>LIBOR</w:t>
      </w:r>
      <w:r>
        <w:rPr>
          <w:rFonts w:ascii="Times New Roman" w:cs="Times New Roman" w:eastAsia="Times New Roman" w:hAnsi="Times New Roman"/>
          <w:sz w:val="18"/>
          <w:szCs w:val="18"/>
          <w:u w:val="single" w:color="auto"/>
          <w:color w:val="0000FF"/>
        </w:rPr>
        <w:t>SOFR</w:t>
      </w:r>
      <w:r>
        <w:rPr>
          <w:rFonts w:ascii="Times New Roman" w:cs="Times New Roman" w:eastAsia="Times New Roman" w:hAnsi="Times New Roman"/>
          <w:sz w:val="18"/>
          <w:szCs w:val="18"/>
          <w:color w:val="auto"/>
        </w:rPr>
        <w:t xml:space="preserve"> Loans shall be suspended pursuant to Section 4.1.(b) or 4.3. but the obligation of the Requisite Lenders shall not have been suspended under such Sections, or (c) a Lender does not vote in favor of any amendment, modification or waiver to this Agreement or any other Loan Document which, pursuant to Section 12.7., requires the vote of such Lender, and the Requisite Lenders shall have voted in favor of such amendment, modification or waiver or (d) a Lender becomes a Defaulting Lender, then, so long as there does not then exist any Event of Default, the Borrower may demand that such Lender (the “</w:t>
      </w:r>
      <w:r>
        <w:rPr>
          <w:rFonts w:ascii="Times New Roman" w:cs="Times New Roman" w:eastAsia="Times New Roman" w:hAnsi="Times New Roman"/>
          <w:sz w:val="18"/>
          <w:szCs w:val="18"/>
          <w:b w:val="1"/>
          <w:bCs w:val="1"/>
          <w:color w:val="auto"/>
        </w:rPr>
        <w:t>Affected Lender</w:t>
      </w:r>
      <w:r>
        <w:rPr>
          <w:rFonts w:ascii="Times New Roman" w:cs="Times New Roman" w:eastAsia="Times New Roman" w:hAnsi="Times New Roman"/>
          <w:sz w:val="18"/>
          <w:szCs w:val="18"/>
          <w:color w:val="auto"/>
        </w:rPr>
        <w:t>”), and upon such demand the Affected Lender shall promptly, assign its Loan to an Eligible Assignee subject to and in accordance with the provisions of Section 12.6.(b) for a purchase price equal to (x) the aggregate principal balance of all Loans then owing to the Affected Lender, plus (y) any accrued but unpaid interest thereon and accrued but unpaid fees owing to the Affected Lender, or any other amount as may be mutually agreed upon by such Affected Lender and Eligible Assignee. Each of the Administrative Agent and the Affected Lender shall reasonably cooperate in effectuating the replacement of such Affected Lender under this Section, but at no time shall the Administrative Agent, such Affected Lender nor any other Lender nor any Titled Agent be obligated in any way whatsoever to initiate any such replacement or to assist in finding an Eligible Assignee. The exercise by the Borrower of its rights under this Section shall be at the Borrower’s sole cost and expense and at no cost or expense to the Administrative Agent, the Affected Lender or any of the other Lenders. The terms of this Section 4.6. shall not in any way limit the Borrower’s obligation to pay to any Affected Lender compensation owing to such Affected Lender pursuant to this Agreement (including, without limitation, pursuant to Sections 3.10., 4.1. or 4.4.) with respect to any period up to the date of replacement.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3760470</wp:posOffset>
            </wp:positionH>
            <wp:positionV relativeFrom="paragraph">
              <wp:posOffset>-1912620</wp:posOffset>
            </wp:positionV>
            <wp:extent cx="291465"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4.7. Change of Lending Office.</w:t>
      </w:r>
    </w:p>
    <w:p>
      <w:pPr>
        <w:spacing w:after="0" w:line="121" w:lineRule="exact"/>
        <w:rPr>
          <w:sz w:val="20"/>
          <w:szCs w:val="20"/>
          <w:color w:val="auto"/>
        </w:rPr>
      </w:pPr>
    </w:p>
    <w:p>
      <w:pPr>
        <w:ind w:right="160" w:firstLine="440"/>
        <w:spacing w:after="0" w:line="258" w:lineRule="auto"/>
        <w:rPr>
          <w:sz w:val="20"/>
          <w:szCs w:val="20"/>
          <w:color w:val="auto"/>
        </w:rPr>
      </w:pPr>
      <w:r>
        <w:rPr>
          <w:rFonts w:ascii="Times New Roman" w:cs="Times New Roman" w:eastAsia="Times New Roman" w:hAnsi="Times New Roman"/>
          <w:sz w:val="18"/>
          <w:szCs w:val="18"/>
          <w:color w:val="auto"/>
        </w:rPr>
        <w:t>Each Lender agrees that it will use reasonable efforts (consistent with its internal policy and legal and regulatory restrictions) to designate an alternate Lending Office with respect to any of its Loans affected by the matters or circumstances described in Sections 3.10., 4.1. or 4.3. to reduce the liability of the Borrower or avoid the results provided thereunder, so long as such designation is not disadvantageous to such Lender as determined by such Lender in its sole discretion, except that such Lender shall have no obligation to designate a Lending Office located in the United States of America.</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4.8. Assumptions Concerning Funding of </w:t>
      </w:r>
      <w:r>
        <w:rPr>
          <w:rFonts w:ascii="Times New Roman" w:cs="Times New Roman" w:eastAsia="Times New Roman" w:hAnsi="Times New Roman"/>
          <w:sz w:val="18"/>
          <w:szCs w:val="18"/>
          <w:b w:val="1"/>
          <w:bCs w:val="1"/>
          <w:color w:val="FF0000"/>
          <w:strike w:val="1"/>
        </w:rPr>
        <w:t>LIBOR</w:t>
      </w:r>
      <w:r>
        <w:rPr>
          <w:rFonts w:ascii="Times New Roman" w:cs="Times New Roman" w:eastAsia="Times New Roman" w:hAnsi="Times New Roman"/>
          <w:sz w:val="18"/>
          <w:szCs w:val="18"/>
          <w:b w:val="1"/>
          <w:bCs w:val="1"/>
          <w:u w:val="single" w:color="auto"/>
          <w:color w:val="0000FF"/>
        </w:rPr>
        <w:t>SOFR</w:t>
      </w:r>
      <w:r>
        <w:rPr>
          <w:rFonts w:ascii="Times New Roman" w:cs="Times New Roman" w:eastAsia="Times New Roman" w:hAnsi="Times New Roman"/>
          <w:sz w:val="18"/>
          <w:szCs w:val="18"/>
          <w:b w:val="1"/>
          <w:bCs w:val="1"/>
          <w:color w:val="auto"/>
        </w:rPr>
        <w:t xml:space="preserv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2774950</wp:posOffset>
            </wp:positionH>
            <wp:positionV relativeFrom="paragraph">
              <wp:posOffset>28575</wp:posOffset>
            </wp:positionV>
            <wp:extent cx="300355"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300355" cy="8255"/>
                    </a:xfrm>
                    <a:prstGeom prst="rect">
                      <a:avLst/>
                    </a:prstGeom>
                    <a:noFill/>
                  </pic:spPr>
                </pic:pic>
              </a:graphicData>
            </a:graphic>
          </wp:anchor>
        </w:drawing>
      </w:r>
    </w:p>
    <w:p>
      <w:pPr>
        <w:spacing w:after="0" w:line="101" w:lineRule="exact"/>
        <w:rPr>
          <w:sz w:val="20"/>
          <w:szCs w:val="20"/>
          <w:color w:val="auto"/>
        </w:rPr>
      </w:pPr>
    </w:p>
    <w:p>
      <w:pPr>
        <w:ind w:right="1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Calculation of all amounts payable to a Lender under this Article shall be made as though such Lender had actually funded </w:t>
      </w:r>
      <w:r>
        <w:rPr>
          <w:rFonts w:ascii="Times New Roman" w:cs="Times New Roman" w:eastAsia="Times New Roman" w:hAnsi="Times New Roman"/>
          <w:sz w:val="18"/>
          <w:szCs w:val="18"/>
          <w:color w:val="FF0000"/>
          <w:strike w:val="1"/>
        </w:rPr>
        <w:t>LIBOR</w:t>
      </w:r>
      <w:r>
        <w:rPr>
          <w:rFonts w:ascii="Times New Roman" w:cs="Times New Roman" w:eastAsia="Times New Roman" w:hAnsi="Times New Roman"/>
          <w:sz w:val="18"/>
          <w:szCs w:val="18"/>
          <w:u w:val="single" w:color="auto"/>
          <w:color w:val="0000FF"/>
        </w:rPr>
        <w:t>SOFR</w:t>
      </w:r>
      <w:r>
        <w:rPr>
          <w:rFonts w:ascii="Times New Roman" w:cs="Times New Roman" w:eastAsia="Times New Roman" w:hAnsi="Times New Roman"/>
          <w:sz w:val="18"/>
          <w:szCs w:val="18"/>
          <w:color w:val="auto"/>
        </w:rPr>
        <w:t xml:space="preserve"> Loans through the purchase of deposits in the relevant market bearing interest at the rate applicable to such </w:t>
      </w:r>
      <w:r>
        <w:rPr>
          <w:rFonts w:ascii="Times New Roman" w:cs="Times New Roman" w:eastAsia="Times New Roman" w:hAnsi="Times New Roman"/>
          <w:sz w:val="18"/>
          <w:szCs w:val="18"/>
          <w:color w:val="FF0000"/>
          <w:strike w:val="1"/>
        </w:rPr>
        <w:t>LIBOR</w:t>
      </w:r>
      <w:r>
        <w:rPr>
          <w:rFonts w:ascii="Times New Roman" w:cs="Times New Roman" w:eastAsia="Times New Roman" w:hAnsi="Times New Roman"/>
          <w:sz w:val="18"/>
          <w:szCs w:val="18"/>
          <w:u w:val="single" w:color="auto"/>
          <w:color w:val="0000FF"/>
        </w:rPr>
        <w:t>SOFR</w:t>
      </w:r>
      <w:r>
        <w:rPr>
          <w:rFonts w:ascii="Times New Roman" w:cs="Times New Roman" w:eastAsia="Times New Roman" w:hAnsi="Times New Roman"/>
          <w:sz w:val="18"/>
          <w:szCs w:val="18"/>
          <w:color w:val="auto"/>
        </w:rPr>
        <w:t xml:space="preserve"> Loans in an amount equal to the amount of the </w:t>
      </w:r>
      <w:r>
        <w:rPr>
          <w:rFonts w:ascii="Times New Roman" w:cs="Times New Roman" w:eastAsia="Times New Roman" w:hAnsi="Times New Roman"/>
          <w:sz w:val="18"/>
          <w:szCs w:val="18"/>
          <w:color w:val="FF0000"/>
          <w:strike w:val="1"/>
        </w:rPr>
        <w:t>LIBOR</w:t>
      </w:r>
      <w:r>
        <w:rPr>
          <w:rFonts w:ascii="Times New Roman" w:cs="Times New Roman" w:eastAsia="Times New Roman" w:hAnsi="Times New Roman"/>
          <w:sz w:val="18"/>
          <w:szCs w:val="18"/>
          <w:u w:val="single" w:color="auto"/>
          <w:color w:val="0000FF"/>
        </w:rPr>
        <w:t>SOFR</w:t>
      </w:r>
      <w:r>
        <w:rPr>
          <w:rFonts w:ascii="Times New Roman" w:cs="Times New Roman" w:eastAsia="Times New Roman" w:hAnsi="Times New Roman"/>
          <w:sz w:val="18"/>
          <w:szCs w:val="18"/>
          <w:color w:val="auto"/>
        </w:rPr>
        <w:t xml:space="preserve"> Loans and having a maturity comparable to the relevant Interest Period; provided, however, that each Lender may fund each of its </w:t>
      </w:r>
      <w:r>
        <w:rPr>
          <w:rFonts w:ascii="Times New Roman" w:cs="Times New Roman" w:eastAsia="Times New Roman" w:hAnsi="Times New Roman"/>
          <w:sz w:val="18"/>
          <w:szCs w:val="18"/>
          <w:color w:val="FF0000"/>
          <w:strike w:val="1"/>
        </w:rPr>
        <w:t>LIBOR</w:t>
      </w:r>
      <w:r>
        <w:rPr>
          <w:rFonts w:ascii="Times New Roman" w:cs="Times New Roman" w:eastAsia="Times New Roman" w:hAnsi="Times New Roman"/>
          <w:sz w:val="18"/>
          <w:szCs w:val="18"/>
          <w:u w:val="single" w:color="auto"/>
          <w:color w:val="0000FF"/>
        </w:rPr>
        <w:t>SOFR</w:t>
      </w:r>
      <w:r>
        <w:rPr>
          <w:rFonts w:ascii="Times New Roman" w:cs="Times New Roman" w:eastAsia="Times New Roman" w:hAnsi="Times New Roman"/>
          <w:sz w:val="18"/>
          <w:szCs w:val="18"/>
          <w:color w:val="auto"/>
        </w:rPr>
        <w:t xml:space="preserve"> Loans in any manner it sees fit and the foregoing assumption shall be used only for calculation of amounts payable under this Article.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6263640</wp:posOffset>
            </wp:positionH>
            <wp:positionV relativeFrom="paragraph">
              <wp:posOffset>-548640</wp:posOffset>
            </wp:positionV>
            <wp:extent cx="283210" cy="82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283210" cy="8255"/>
                    </a:xfrm>
                    <a:prstGeom prst="rect">
                      <a:avLst/>
                    </a:prstGeom>
                    <a:noFill/>
                  </pic:spPr>
                </pic:pic>
              </a:graphicData>
            </a:graphic>
          </wp:anchor>
        </w:drawing>
        <w:drawing>
          <wp:anchor simplePos="0" relativeHeight="251657728" behindDoc="1" locked="0" layoutInCell="0" allowOverlap="1">
            <wp:simplePos x="0" y="0"/>
            <wp:positionH relativeFrom="column">
              <wp:posOffset>4952365</wp:posOffset>
            </wp:positionH>
            <wp:positionV relativeFrom="paragraph">
              <wp:posOffset>-411480</wp:posOffset>
            </wp:positionV>
            <wp:extent cx="282575" cy="88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282575" cy="8890"/>
                    </a:xfrm>
                    <a:prstGeom prst="rect">
                      <a:avLst/>
                    </a:prstGeom>
                    <a:noFill/>
                  </pic:spPr>
                </pic:pic>
              </a:graphicData>
            </a:graphic>
          </wp:anchor>
        </w:drawing>
        <w:drawing>
          <wp:anchor simplePos="0" relativeHeight="251657728" behindDoc="1" locked="0" layoutInCell="0" allowOverlap="1">
            <wp:simplePos x="0" y="0"/>
            <wp:positionH relativeFrom="column">
              <wp:posOffset>1000125</wp:posOffset>
            </wp:positionH>
            <wp:positionV relativeFrom="paragraph">
              <wp:posOffset>-274320</wp:posOffset>
            </wp:positionV>
            <wp:extent cx="291465"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291465" cy="8255"/>
                    </a:xfrm>
                    <a:prstGeom prst="rect">
                      <a:avLst/>
                    </a:prstGeom>
                    <a:noFill/>
                  </pic:spPr>
                </pic:pic>
              </a:graphicData>
            </a:graphic>
          </wp:anchor>
        </w:drawing>
        <w:drawing>
          <wp:anchor simplePos="0" relativeHeight="251657728" behindDoc="1" locked="0" layoutInCell="0" allowOverlap="1">
            <wp:simplePos x="0" y="0"/>
            <wp:positionH relativeFrom="column">
              <wp:posOffset>837565</wp:posOffset>
            </wp:positionH>
            <wp:positionV relativeFrom="paragraph">
              <wp:posOffset>-137160</wp:posOffset>
            </wp:positionV>
            <wp:extent cx="283210"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283210" cy="8255"/>
                    </a:xfrm>
                    <a:prstGeom prst="rect">
                      <a:avLst/>
                    </a:prstGeom>
                    <a:noFill/>
                  </pic:spPr>
                </pic:pic>
              </a:graphicData>
            </a:graphic>
          </wp:anchor>
        </w:drawing>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 Conditions Precedent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5.1. Initial Conditions Precedent.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obligation of the Lenders to make the Loans is subject to the satisfaction or waiver of the following conditions precedent:</w:t>
      </w:r>
    </w:p>
    <w:p>
      <w:pPr>
        <w:spacing w:after="0" w:line="225" w:lineRule="exact"/>
        <w:rPr>
          <w:sz w:val="20"/>
          <w:szCs w:val="20"/>
          <w:color w:val="auto"/>
        </w:rPr>
      </w:pPr>
    </w:p>
    <w:p>
      <w:pPr>
        <w:ind w:left="680" w:hanging="244"/>
        <w:spacing w:after="0"/>
        <w:tabs>
          <w:tab w:leader="none" w:pos="68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each of the following, in form and substance satisfactory to the Administrative Agent:</w:t>
      </w:r>
    </w:p>
    <w:p>
      <w:pPr>
        <w:spacing w:after="0" w:line="117"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counterparts of this Agreement executed by each of the parties hereto;</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000"/>
          </w:cols>
          <w:pgMar w:left="440" w:top="266" w:right="459" w:bottom="1440" w:gutter="0" w:footer="0" w:header="0"/>
        </w:sectPr>
      </w:pPr>
    </w:p>
    <w:bookmarkStart w:id="235" w:name="page236"/>
    <w:bookmarkEnd w:id="235"/>
    <w:p>
      <w:pPr>
        <w:ind w:left="680" w:hanging="261"/>
        <w:spacing w:after="0"/>
        <w:tabs>
          <w:tab w:leader="none" w:pos="68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Notes executed by the Borrower, payable to each applicable Lender and complying with the terms of Section 2.11.(a);</w:t>
      </w:r>
    </w:p>
    <w:p>
      <w:pPr>
        <w:spacing w:after="0" w:line="117" w:lineRule="exact"/>
        <w:rPr>
          <w:rFonts w:ascii="Times New Roman" w:cs="Times New Roman" w:eastAsia="Times New Roman" w:hAnsi="Times New Roman"/>
          <w:sz w:val="18"/>
          <w:szCs w:val="18"/>
          <w:color w:val="auto"/>
        </w:rPr>
      </w:pPr>
    </w:p>
    <w:p>
      <w:pPr>
        <w:ind w:left="740" w:hanging="321"/>
        <w:spacing w:after="0"/>
        <w:tabs>
          <w:tab w:leader="none" w:pos="74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Guaranty executed by each of the Guarantors, if applicable, initially to be a party thereto;</w:t>
      </w:r>
    </w:p>
    <w:p>
      <w:pPr>
        <w:spacing w:after="0" w:line="117" w:lineRule="exact"/>
        <w:rPr>
          <w:rFonts w:ascii="Times New Roman" w:cs="Times New Roman" w:eastAsia="Times New Roman" w:hAnsi="Times New Roman"/>
          <w:sz w:val="18"/>
          <w:szCs w:val="18"/>
          <w:color w:val="auto"/>
        </w:rPr>
      </w:pPr>
    </w:p>
    <w:p>
      <w:pPr>
        <w:ind w:right="1060" w:firstLine="419"/>
        <w:spacing w:after="0" w:line="282" w:lineRule="auto"/>
        <w:tabs>
          <w:tab w:leader="none" w:pos="728"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of Pillsbury Winthrop Shaw Pittman LLP, counsel to the Borrower and the other Loan Parties, addressed to the Administrative Agent and the Lenders and covering the matters set forth in Exhibit H;</w:t>
      </w:r>
    </w:p>
    <w:p>
      <w:pPr>
        <w:spacing w:after="0" w:line="53" w:lineRule="exact"/>
        <w:rPr>
          <w:rFonts w:ascii="Times New Roman" w:cs="Times New Roman" w:eastAsia="Times New Roman" w:hAnsi="Times New Roman"/>
          <w:sz w:val="18"/>
          <w:szCs w:val="18"/>
          <w:color w:val="auto"/>
        </w:rPr>
      </w:pPr>
    </w:p>
    <w:p>
      <w:pPr>
        <w:ind w:right="180" w:firstLine="419"/>
        <w:spacing w:after="0" w:line="266" w:lineRule="auto"/>
        <w:tabs>
          <w:tab w:leader="none" w:pos="678"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 or articles of incorporation or formation, articles of organization, certificate of limited partnership, declaration of trust or other comparable organizational instrument (if any) of each Loan Party certified as of a recent date by the Secretary of State of the state of formation of such Loan Party;</w:t>
      </w:r>
    </w:p>
    <w:p>
      <w:pPr>
        <w:spacing w:after="0" w:line="67" w:lineRule="exact"/>
        <w:rPr>
          <w:rFonts w:ascii="Times New Roman" w:cs="Times New Roman" w:eastAsia="Times New Roman" w:hAnsi="Times New Roman"/>
          <w:sz w:val="18"/>
          <w:szCs w:val="18"/>
          <w:color w:val="auto"/>
        </w:rPr>
      </w:pPr>
    </w:p>
    <w:p>
      <w:pPr>
        <w:ind w:right="220" w:firstLine="419"/>
        <w:spacing w:after="0" w:line="281" w:lineRule="auto"/>
        <w:tabs>
          <w:tab w:leader="none" w:pos="728" w:val="left"/>
        </w:tabs>
        <w:numPr>
          <w:ilvl w:val="0"/>
          <w:numId w:val="2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certificate of good standing (or certificate of similar meaning) with respect to each Loan Party issued as of a recent date by the Secretary of State of the state of formation of each such Loan Party and certificates of qualification to transact business or other comparable certificates issued as of a recent date by each Secretary of State (and any state department of taxation, as applicable) of each state in which such Loan Party is required to be so qualified and where failure to be so qualified could reasonably be expected to have a Material Adverse Effect;</w:t>
      </w:r>
    </w:p>
    <w:p>
      <w:pPr>
        <w:spacing w:after="0" w:line="56" w:lineRule="exact"/>
        <w:rPr>
          <w:rFonts w:ascii="Times New Roman" w:cs="Times New Roman" w:eastAsia="Times New Roman" w:hAnsi="Times New Roman"/>
          <w:sz w:val="17"/>
          <w:szCs w:val="17"/>
          <w:color w:val="auto"/>
        </w:rPr>
      </w:pPr>
    </w:p>
    <w:p>
      <w:pPr>
        <w:ind w:right="120" w:firstLine="419"/>
        <w:spacing w:after="0" w:line="261" w:lineRule="auto"/>
        <w:tabs>
          <w:tab w:leader="none" w:pos="778"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incumbency signed by the Secretary or Assistant Secretary (or other individual performing similar functions) of each Loan Party with respect to each of the officers of such Loan Party authorized to execute and deliver the Loan Documents to which such Loan Party is a party, and in the case of the Borrower, authorized to execute and deliver on behalf of the Borrower the Notice of Borrowing, Notices of Conversion and Notices of Continuation;</w:t>
      </w:r>
    </w:p>
    <w:p>
      <w:pPr>
        <w:spacing w:after="0" w:line="71" w:lineRule="exact"/>
        <w:rPr>
          <w:rFonts w:ascii="Times New Roman" w:cs="Times New Roman" w:eastAsia="Times New Roman" w:hAnsi="Times New Roman"/>
          <w:sz w:val="18"/>
          <w:szCs w:val="18"/>
          <w:color w:val="auto"/>
        </w:rPr>
      </w:pPr>
    </w:p>
    <w:p>
      <w:pPr>
        <w:ind w:firstLine="419"/>
        <w:spacing w:after="0" w:line="281" w:lineRule="auto"/>
        <w:tabs>
          <w:tab w:leader="none" w:pos="828" w:val="left"/>
        </w:tabs>
        <w:numPr>
          <w:ilvl w:val="0"/>
          <w:numId w:val="2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copies certified by the Secretary or Assistant Secretary (or other individual performing similar functions) of each Loan Party of (A) the by-laws of such Loan Party, if a corporation, the operating agreement, if a limited liability company, the partnership agreement, if a limited or general partnership, or other comparable document in the case of any other form of legal entity and (B) all corporate, partnership, member or other necessary action taken by such Loan Party to authorize the execution, delivery and performance of the Loan Documents to which it is a party;</w:t>
      </w:r>
    </w:p>
    <w:p>
      <w:pPr>
        <w:spacing w:after="0" w:line="56" w:lineRule="exact"/>
        <w:rPr>
          <w:rFonts w:ascii="Times New Roman" w:cs="Times New Roman" w:eastAsia="Times New Roman" w:hAnsi="Times New Roman"/>
          <w:sz w:val="17"/>
          <w:szCs w:val="17"/>
          <w:color w:val="auto"/>
        </w:rPr>
      </w:pPr>
    </w:p>
    <w:p>
      <w:pPr>
        <w:ind w:left="720" w:hanging="301"/>
        <w:spacing w:after="0"/>
        <w:tabs>
          <w:tab w:leader="none" w:pos="72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Compliance Certificate calculated on a pro forma basis for the Borrower’s fiscal quarter ending March 31, 2020;</w:t>
      </w:r>
    </w:p>
    <w:p>
      <w:pPr>
        <w:spacing w:after="0" w:line="117"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Disbursement Instruction Agreement effective as of the Agreement Date;</w:t>
      </w:r>
    </w:p>
    <w:p>
      <w:pPr>
        <w:spacing w:after="0" w:line="117" w:lineRule="exact"/>
        <w:rPr>
          <w:rFonts w:ascii="Times New Roman" w:cs="Times New Roman" w:eastAsia="Times New Roman" w:hAnsi="Times New Roman"/>
          <w:sz w:val="18"/>
          <w:szCs w:val="18"/>
          <w:color w:val="auto"/>
        </w:rPr>
      </w:pPr>
    </w:p>
    <w:p>
      <w:pPr>
        <w:ind w:right="260" w:firstLine="419"/>
        <w:spacing w:after="0" w:line="282" w:lineRule="auto"/>
        <w:tabs>
          <w:tab w:leader="none" w:pos="728"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Revolver First Amendment shall have closed, all signatures thereto shall have been released and such Revolver First Amendment shall be effective;</w:t>
      </w:r>
    </w:p>
    <w:p>
      <w:pPr>
        <w:spacing w:after="0" w:line="53" w:lineRule="exact"/>
        <w:rPr>
          <w:rFonts w:ascii="Times New Roman" w:cs="Times New Roman" w:eastAsia="Times New Roman" w:hAnsi="Times New Roman"/>
          <w:sz w:val="18"/>
          <w:szCs w:val="18"/>
          <w:color w:val="auto"/>
        </w:rPr>
      </w:pPr>
    </w:p>
    <w:p>
      <w:pPr>
        <w:ind w:firstLine="419"/>
        <w:spacing w:after="0" w:line="266" w:lineRule="auto"/>
        <w:tabs>
          <w:tab w:leader="none" w:pos="778"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that the Fees, if any, then due and payable under Section 3.5., together with all other fees, expenses and reimbursement amounts due and payable to the Administrative Agent and the Arrangers, including without limitation, the reasonable fees and expenses of counsel to the Administrative Agent, have been paid;</w:t>
      </w:r>
    </w:p>
    <w:p>
      <w:pPr>
        <w:spacing w:after="0" w:line="67" w:lineRule="exact"/>
        <w:rPr>
          <w:rFonts w:ascii="Times New Roman" w:cs="Times New Roman" w:eastAsia="Times New Roman" w:hAnsi="Times New Roman"/>
          <w:sz w:val="18"/>
          <w:szCs w:val="18"/>
          <w:color w:val="auto"/>
        </w:rPr>
      </w:pPr>
    </w:p>
    <w:p>
      <w:pPr>
        <w:ind w:left="820" w:hanging="401"/>
        <w:spacing w:after="0"/>
        <w:tabs>
          <w:tab w:leader="none" w:pos="82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Notice of Borrowing executed by the Borrower; and</w:t>
      </w:r>
    </w:p>
    <w:p>
      <w:pPr>
        <w:spacing w:after="0" w:line="15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0560"/>
          </w:cols>
          <w:pgMar w:left="880" w:top="270" w:right="459" w:bottom="1440" w:gutter="0" w:footer="0" w:header="0"/>
        </w:sectPr>
      </w:pPr>
    </w:p>
    <w:bookmarkStart w:id="236" w:name="page237"/>
    <w:bookmarkEnd w:id="236"/>
    <w:p>
      <w:pPr>
        <w:ind w:left="444" w:right="60" w:firstLine="419"/>
        <w:spacing w:after="0" w:line="282" w:lineRule="auto"/>
        <w:tabs>
          <w:tab w:leader="none" w:pos="1262" w:val="left"/>
        </w:tabs>
        <w:numPr>
          <w:ilvl w:val="1"/>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other documents, agreements and instruments as the Administrative Agent, or any Lender through the Administrative Agent, may reasonably request.</w:t>
      </w:r>
    </w:p>
    <w:p>
      <w:pPr>
        <w:spacing w:after="0" w:line="53"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good faith judgment of the Administrative Agent:</w:t>
      </w:r>
    </w:p>
    <w:p>
      <w:pPr>
        <w:spacing w:after="0" w:line="117" w:lineRule="exact"/>
        <w:rPr>
          <w:rFonts w:ascii="Times New Roman" w:cs="Times New Roman" w:eastAsia="Times New Roman" w:hAnsi="Times New Roman"/>
          <w:sz w:val="18"/>
          <w:szCs w:val="18"/>
          <w:color w:val="auto"/>
        </w:rPr>
      </w:pPr>
    </w:p>
    <w:p>
      <w:pPr>
        <w:ind w:left="444" w:right="20" w:firstLine="419"/>
        <w:spacing w:after="0" w:line="261" w:lineRule="auto"/>
        <w:tabs>
          <w:tab w:leader="none" w:pos="1082"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not have occurred or become known to the Administrative Agent or any of the Lenders any event, condition, situation or status since the date of the information contained in the financial and business projections, budgets, pro forma data and forecasts concerning the Borrower and its Subsidiaries delivered to the Administrative Agent and the Lenders prior to the Agreement Date that has had or could reasonably be expected to result in a Material Adverse Effect;</w:t>
      </w:r>
    </w:p>
    <w:p>
      <w:pPr>
        <w:spacing w:after="0" w:line="71" w:lineRule="exact"/>
        <w:rPr>
          <w:rFonts w:ascii="Times New Roman" w:cs="Times New Roman" w:eastAsia="Times New Roman" w:hAnsi="Times New Roman"/>
          <w:sz w:val="18"/>
          <w:szCs w:val="18"/>
          <w:color w:val="auto"/>
        </w:rPr>
      </w:pPr>
    </w:p>
    <w:p>
      <w:pPr>
        <w:ind w:left="444" w:right="60" w:firstLine="419"/>
        <w:spacing w:after="0" w:line="261" w:lineRule="auto"/>
        <w:tabs>
          <w:tab w:leader="none" w:pos="1132"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litigation, action, suit, investigation or other arbitral, administrative or judicial proceeding shall be pending or threatened which could reasonably be expected to (A) result in a Material Adverse Effect or (B) restrain or enjoin, impose materially burdensome conditions on, or otherwise materially and adversely affect, the ability of the Borrower or any other Loan Party to fulfill its obligations under the Loan Documents to which it is a party;</w:t>
      </w:r>
    </w:p>
    <w:p>
      <w:pPr>
        <w:spacing w:after="0" w:line="71" w:lineRule="exact"/>
        <w:rPr>
          <w:rFonts w:ascii="Times New Roman" w:cs="Times New Roman" w:eastAsia="Times New Roman" w:hAnsi="Times New Roman"/>
          <w:sz w:val="18"/>
          <w:szCs w:val="18"/>
          <w:color w:val="auto"/>
        </w:rPr>
      </w:pPr>
    </w:p>
    <w:p>
      <w:pPr>
        <w:ind w:left="444" w:firstLine="419"/>
        <w:spacing w:after="0" w:line="255" w:lineRule="auto"/>
        <w:tabs>
          <w:tab w:leader="none" w:pos="1182"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and its Subsidiaries shall have received all approvals, consents and waivers, and shall have made or given all necessary filings and notices as shall be required to consummate the transactions contemplated hereby without the occurrence of any default under, conflict with or violation of (A) any Applicable Law or (B) any agreement, document or instrument to which any Loan Party is a party or by which any of them or their respective properties is bound, except for such approvals, consents, waivers, filings and notices the receipt, making or giving of which could not reasonably be likely to (A) have a Material Adverse Effect, or (B) restrain or enjoin impose materially burdensome conditions on, or otherwise materially and adversely affect the ability of the Borrower or any other Loan Party to fulfill its obligations under the Loan Documents to which it is a party;</w:t>
      </w:r>
    </w:p>
    <w:p>
      <w:pPr>
        <w:spacing w:after="0" w:line="80" w:lineRule="exact"/>
        <w:rPr>
          <w:rFonts w:ascii="Times New Roman" w:cs="Times New Roman" w:eastAsia="Times New Roman" w:hAnsi="Times New Roman"/>
          <w:sz w:val="18"/>
          <w:szCs w:val="18"/>
          <w:color w:val="auto"/>
        </w:rPr>
      </w:pPr>
    </w:p>
    <w:p>
      <w:pPr>
        <w:ind w:left="444" w:right="180" w:firstLine="419"/>
        <w:spacing w:after="0" w:line="266" w:lineRule="auto"/>
        <w:tabs>
          <w:tab w:leader="none" w:pos="1172"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and each other Loan Party shall have provided to the Administrative Agent and the Lenders the documentation and other information requested by the Administrative Agent in order to comply with the requirements of any Anti-Money Laundering Laws, including, without limitation, the PATRIOT Act and any applicable “know your customer” rules and regulations;</w:t>
      </w:r>
    </w:p>
    <w:p>
      <w:pPr>
        <w:spacing w:after="0" w:line="67" w:lineRule="exact"/>
        <w:rPr>
          <w:rFonts w:ascii="Times New Roman" w:cs="Times New Roman" w:eastAsia="Times New Roman" w:hAnsi="Times New Roman"/>
          <w:sz w:val="18"/>
          <w:szCs w:val="18"/>
          <w:color w:val="auto"/>
        </w:rPr>
      </w:pPr>
    </w:p>
    <w:p>
      <w:pPr>
        <w:ind w:left="444" w:right="60" w:firstLine="419"/>
        <w:spacing w:after="0" w:line="266" w:lineRule="auto"/>
        <w:tabs>
          <w:tab w:leader="none" w:pos="1122"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Loan Party or Subsidiary thereof that qualifies as a “legal entity customer” under the Beneficial Ownership Regulation shall have delivered to the Administrative Agent, and any Lender requesting the same, a Beneficial Ownership Certification in relation to such Loan Party or such Subsidiary, in each case at least five Business Days prior to the Agreement Date; and</w:t>
      </w:r>
    </w:p>
    <w:p>
      <w:pPr>
        <w:spacing w:after="0" w:line="67" w:lineRule="exact"/>
        <w:rPr>
          <w:rFonts w:ascii="Times New Roman" w:cs="Times New Roman" w:eastAsia="Times New Roman" w:hAnsi="Times New Roman"/>
          <w:sz w:val="18"/>
          <w:szCs w:val="18"/>
          <w:color w:val="auto"/>
        </w:rPr>
      </w:pPr>
    </w:p>
    <w:p>
      <w:pPr>
        <w:ind w:left="444" w:right="200" w:firstLine="419"/>
        <w:spacing w:after="0" w:line="282" w:lineRule="auto"/>
        <w:tabs>
          <w:tab w:leader="none" w:pos="1172"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not have occurred or exist any other material disruption of financial or capital markets that could reasonably be expected to materially and adversely affect the transactions contemplated by the Loan Documents.</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5.2. Conditions Precedent to All Loans.</w:t>
      </w:r>
    </w:p>
    <w:p>
      <w:pPr>
        <w:spacing w:after="0" w:line="121" w:lineRule="exact"/>
        <w:rPr>
          <w:sz w:val="20"/>
          <w:szCs w:val="20"/>
          <w:color w:val="auto"/>
        </w:rPr>
      </w:pPr>
    </w:p>
    <w:p>
      <w:pPr>
        <w:ind w:left="4" w:right="100" w:firstLine="440"/>
        <w:spacing w:after="0" w:line="258" w:lineRule="auto"/>
        <w:rPr>
          <w:sz w:val="20"/>
          <w:szCs w:val="20"/>
          <w:color w:val="auto"/>
        </w:rPr>
      </w:pPr>
      <w:r>
        <w:rPr>
          <w:rFonts w:ascii="Times New Roman" w:cs="Times New Roman" w:eastAsia="Times New Roman" w:hAnsi="Times New Roman"/>
          <w:sz w:val="18"/>
          <w:szCs w:val="18"/>
          <w:color w:val="auto"/>
        </w:rPr>
        <w:t>The obligations of Lenders to make the Loans are subject to the further conditions precedent that: (a) no Default or Event of Default shall exist as of the date of the making of the Loans or would exist immediately after giving effect thereto; (b) the representations and warranties made or deemed made by the Borrower and each other Loan Party in the Loan Documents to which any of them is a party, shall be true and correct in all material respects (except in the case of a representation or warranty qualified by materiality, in which case such representation or warranty shall be true and correct in all respects) on and as of the date of the making of the Loans with the same force and effect as if made on and as of such date</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024"/>
          </w:cols>
          <w:pgMar w:left="436" w:top="270" w:right="439" w:bottom="1440" w:gutter="0" w:footer="0" w:header="0"/>
        </w:sectPr>
      </w:pPr>
    </w:p>
    <w:bookmarkStart w:id="237" w:name="page238"/>
    <w:bookmarkEnd w:id="237"/>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except to the extent that such representations and warranties expressly relate solely to an earlier date (in which case such representations and warranties shall have been true and correct in all material respects (except in the case of a representation or warranty qualified by materiality, in which case such representation or warranty shall be true and correct in all respects) on and as of such earlier date) and except for changes in factual circumstances not prohibited hereunder; and (c) </w:t>
      </w:r>
      <w:r>
        <w:rPr>
          <w:rFonts w:ascii="Times New Roman" w:cs="Times New Roman" w:eastAsia="Times New Roman" w:hAnsi="Times New Roman"/>
          <w:sz w:val="18"/>
          <w:szCs w:val="18"/>
          <w:color w:val="FF0000"/>
          <w:strike w:val="1"/>
        </w:rPr>
        <w:t>with respect to Loans made available under Section 2.16., the Administrative Agent shall have received a timely Notice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Borrowing for such Loans</w:t>
      </w:r>
      <w:r>
        <w:rPr>
          <w:rFonts w:ascii="Times New Roman" w:cs="Times New Roman" w:eastAsia="Times New Roman" w:hAnsi="Times New Roman"/>
          <w:sz w:val="18"/>
          <w:szCs w:val="18"/>
          <w:u w:val="single" w:color="auto"/>
          <w:color w:val="0000FF"/>
        </w:rPr>
        <w:t>[intentionally omitted]</w:t>
      </w:r>
      <w:r>
        <w:rPr>
          <w:rFonts w:ascii="Times New Roman" w:cs="Times New Roman" w:eastAsia="Times New Roman" w:hAnsi="Times New Roman"/>
          <w:sz w:val="18"/>
          <w:szCs w:val="18"/>
          <w:color w:val="000000"/>
        </w:rPr>
        <w:t>. Each Credit Event shall constitute a certification by the Borrower to the effect set forth in the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preceding sentence (both as of the date of the giving of notice relating to such Credit Event and, unless the Borrower otherwise notifies the Administrative Agent prior to the date of such Credit Event, as of the date of the occurrence of such Credit Event). In addition, the Borrower shall be deemed to have represented to the Administrative Agent and the Lenders at the time any Loan is made that all conditions to the making of such Loan contained in this Article V. have been satisfied. Unless set forth in writing to the contrary, the making of a Loan by a Lender shall constitute a certification by such Lender to the Administrative Agent and the other Lenders that the conditions precedent for the Loans set forth in Section 5.1. that have not previously been waived by the Lenders in accordance with the terms of this Agreement have been satisfied.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1197610</wp:posOffset>
            </wp:positionH>
            <wp:positionV relativeFrom="paragraph">
              <wp:posOffset>-817245</wp:posOffset>
            </wp:positionV>
            <wp:extent cx="1036955"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pacing w:after="0" w:line="3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VI. Representations and Warranties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6.1. Representations and Warranties.</w:t>
      </w:r>
    </w:p>
    <w:p>
      <w:pPr>
        <w:spacing w:after="0" w:line="121" w:lineRule="exact"/>
        <w:rPr>
          <w:sz w:val="20"/>
          <w:szCs w:val="20"/>
          <w:color w:val="auto"/>
        </w:rPr>
      </w:pPr>
    </w:p>
    <w:p>
      <w:pPr>
        <w:ind w:right="560" w:firstLine="440"/>
        <w:spacing w:after="0" w:line="282" w:lineRule="auto"/>
        <w:rPr>
          <w:sz w:val="20"/>
          <w:szCs w:val="20"/>
          <w:color w:val="auto"/>
        </w:rPr>
      </w:pPr>
      <w:r>
        <w:rPr>
          <w:rFonts w:ascii="Times New Roman" w:cs="Times New Roman" w:eastAsia="Times New Roman" w:hAnsi="Times New Roman"/>
          <w:sz w:val="18"/>
          <w:szCs w:val="18"/>
          <w:color w:val="auto"/>
        </w:rPr>
        <w:t>In order to induce the Administrative Agent and each Lender to enter into this Agreement and to make Loans, the Borrower represents and warrants to the Administrative Agent and each Lender as follows:</w:t>
      </w:r>
    </w:p>
    <w:p>
      <w:pPr>
        <w:spacing w:after="0" w:line="162" w:lineRule="exact"/>
        <w:rPr>
          <w:sz w:val="20"/>
          <w:szCs w:val="20"/>
          <w:color w:val="auto"/>
        </w:rPr>
      </w:pPr>
    </w:p>
    <w:p>
      <w:pPr>
        <w:ind w:firstLine="436"/>
        <w:spacing w:after="0" w:line="253" w:lineRule="auto"/>
        <w:tabs>
          <w:tab w:leader="none" w:pos="685"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Power; Qualification</w:t>
      </w:r>
      <w:r>
        <w:rPr>
          <w:rFonts w:ascii="Times New Roman" w:cs="Times New Roman" w:eastAsia="Times New Roman" w:hAnsi="Times New Roman"/>
          <w:sz w:val="18"/>
          <w:szCs w:val="18"/>
          <w:color w:val="auto"/>
        </w:rPr>
        <w:t>. Each of the Borrower, the other Loan Parties and the other Subsidiaries is a corporation, partnership or other legal entity, duly organized or formed, validly existing and in good standing under the jurisdiction of its incorporation or formation, has the power and authority to own or lease its respective properties and to carry on its respective business as now being and hereafter proposed to be conducted and is duly qualified and is in good standing as a foreign corporation, partnership or other legal entity, and authorized to do business, in each jurisdiction in which the character of its properties or the nature of its business requires such qualification or authorization and where the failure to be so qualified or authorized could reasonably be expected to have, in each instance, a Material Adverse Effect. The Parent is a real estate investment trust, duly organized or formed, validly existing and in good standing under the laws of the State of Maryland, has the power and authority to own or lease its assets and to carry on its business as now being and hereafter proposed to be conducted and is duly qualified and is in good standing, and authorized to do business, in each jurisdiction in which the character of its assets or the nature of its business requires such qualification or authorization and where the failure to be so qualified or authorized could reasonably be expected to have a Material Adverse Effect.</w:t>
      </w:r>
    </w:p>
    <w:p>
      <w:pPr>
        <w:spacing w:after="0" w:line="194" w:lineRule="exact"/>
        <w:rPr>
          <w:rFonts w:ascii="Times New Roman" w:cs="Times New Roman" w:eastAsia="Times New Roman" w:hAnsi="Times New Roman"/>
          <w:sz w:val="18"/>
          <w:szCs w:val="18"/>
          <w:color w:val="auto"/>
        </w:rPr>
      </w:pPr>
    </w:p>
    <w:p>
      <w:pPr>
        <w:ind w:right="80" w:firstLine="436"/>
        <w:spacing w:after="0" w:line="253" w:lineRule="auto"/>
        <w:tabs>
          <w:tab w:leader="none" w:pos="695"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Ownership Structure</w:t>
      </w:r>
      <w:r>
        <w:rPr>
          <w:rFonts w:ascii="Times New Roman" w:cs="Times New Roman" w:eastAsia="Times New Roman" w:hAnsi="Times New Roman"/>
          <w:sz w:val="18"/>
          <w:szCs w:val="18"/>
          <w:color w:val="auto"/>
        </w:rPr>
        <w:t xml:space="preserve">. Part I of Schedule 6.1.(b) is, as of the </w:t>
      </w:r>
      <w:r>
        <w:rPr>
          <w:rFonts w:ascii="Times New Roman" w:cs="Times New Roman" w:eastAsia="Times New Roman" w:hAnsi="Times New Roman"/>
          <w:sz w:val="18"/>
          <w:szCs w:val="18"/>
          <w:color w:val="FF0000"/>
          <w:strike w:val="1"/>
        </w:rPr>
        <w:t>Second</w:t>
      </w:r>
      <w:r>
        <w:rPr>
          <w:rFonts w:ascii="Times New Roman" w:cs="Times New Roman" w:eastAsia="Times New Roman" w:hAnsi="Times New Roman"/>
          <w:sz w:val="18"/>
          <w:szCs w:val="18"/>
          <w:u w:val="single" w:color="auto"/>
          <w:color w:val="0000FF"/>
        </w:rPr>
        <w:t>Third</w:t>
      </w:r>
      <w:r>
        <w:rPr>
          <w:rFonts w:ascii="Times New Roman" w:cs="Times New Roman" w:eastAsia="Times New Roman" w:hAnsi="Times New Roman"/>
          <w:sz w:val="18"/>
          <w:szCs w:val="18"/>
          <w:color w:val="auto"/>
        </w:rPr>
        <w:t xml:space="preserve"> Amendment Date, a complete and correct list of all Subsidiaries of the Parent, the General Partner and the Borrower setting forth for each such Subsidiary, (i) the jurisdiction of organization of such Subsidiary, (ii) each Person holding any Equity Interest in such Subsidiary, (iii) the nature of the Equity Interests held by each such Person, (iv) the percentage of ownership of such Subsidiary represented by such Equity Interests and (v) in the case of Subsidiaries of the Borrower, whether such Subsidiary is a Material Subsidiary and/or an Excluded Subsidiary and whether such Subsidiary owns a Non-Controlled Property (and, if so, which one(s)). As of the </w:t>
      </w:r>
      <w:r>
        <w:rPr>
          <w:rFonts w:ascii="Times New Roman" w:cs="Times New Roman" w:eastAsia="Times New Roman" w:hAnsi="Times New Roman"/>
          <w:sz w:val="18"/>
          <w:szCs w:val="18"/>
          <w:color w:val="FF0000"/>
          <w:strike w:val="1"/>
        </w:rPr>
        <w:t>Second</w:t>
      </w:r>
      <w:r>
        <w:rPr>
          <w:rFonts w:ascii="Times New Roman" w:cs="Times New Roman" w:eastAsia="Times New Roman" w:hAnsi="Times New Roman"/>
          <w:sz w:val="18"/>
          <w:szCs w:val="18"/>
          <w:u w:val="single" w:color="auto"/>
          <w:color w:val="0000FF"/>
        </w:rPr>
        <w:t>Third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Amendment Date, except as disclosed in such Schedule, (A) each of the Parent, the General Partner and the Borrower and its respective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Subsidiaries owns, free and clear of all Liens (other than Permitted Liens), and has the unencumbered right to vote, all outstanding Equity Interests in each Person shown to be held by it on such Schedule, (B) all of the issued and outstanding capital stock of each such Person organized as a corporation is validly issued, fully paid and nonassessable and (C) there are no outstanding subscriptions, options, warrants, commitments, preemptive rights or agreements of any kind (including, without limitation, any stockholders’ or voting trust agreements) for the issuance,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-1227455</wp:posOffset>
            </wp:positionV>
            <wp:extent cx="257175" cy="82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257175" cy="8255"/>
                    </a:xfrm>
                    <a:prstGeom prst="rect">
                      <a:avLst/>
                    </a:prstGeom>
                    <a:noFill/>
                  </pic:spPr>
                </pic:pic>
              </a:graphicData>
            </a:graphic>
          </wp:anchor>
        </w:drawing>
        <w:drawing>
          <wp:anchor simplePos="0" relativeHeight="251657728" behindDoc="1" locked="0" layoutInCell="0" allowOverlap="1">
            <wp:simplePos x="0" y="0"/>
            <wp:positionH relativeFrom="column">
              <wp:posOffset>331470</wp:posOffset>
            </wp:positionH>
            <wp:positionV relativeFrom="paragraph">
              <wp:posOffset>-541655</wp:posOffset>
            </wp:positionV>
            <wp:extent cx="257175" cy="88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257175" cy="8890"/>
                    </a:xfrm>
                    <a:prstGeom prst="rect">
                      <a:avLst/>
                    </a:prstGeom>
                    <a:noFill/>
                  </pic:spPr>
                </pic:pic>
              </a:graphicData>
            </a:graphic>
          </wp:anchor>
        </w:drawing>
      </w:r>
    </w:p>
    <w:p>
      <w:pPr>
        <w:spacing w:after="0" w:line="1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0980"/>
          </w:cols>
          <w:pgMar w:left="440" w:top="270" w:right="479" w:bottom="1440" w:gutter="0" w:footer="0" w:header="0"/>
        </w:sectPr>
      </w:pPr>
    </w:p>
    <w:bookmarkStart w:id="238" w:name="page239"/>
    <w:bookmarkEnd w:id="238"/>
    <w:p>
      <w:pPr>
        <w:ind w:right="1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registration or voting of, or outstanding securities convertible into, any additional shares of capital stock of any class, or partnership or other ownership interests of any type in, any such Person. As of the </w:t>
      </w:r>
      <w:r>
        <w:rPr>
          <w:rFonts w:ascii="Times New Roman" w:cs="Times New Roman" w:eastAsia="Times New Roman" w:hAnsi="Times New Roman"/>
          <w:sz w:val="18"/>
          <w:szCs w:val="18"/>
          <w:color w:val="FF0000"/>
          <w:strike w:val="1"/>
        </w:rPr>
        <w:t>Second</w:t>
      </w:r>
      <w:r>
        <w:rPr>
          <w:rFonts w:ascii="Times New Roman" w:cs="Times New Roman" w:eastAsia="Times New Roman" w:hAnsi="Times New Roman"/>
          <w:sz w:val="18"/>
          <w:szCs w:val="18"/>
          <w:u w:val="single" w:color="auto"/>
          <w:color w:val="0000FF"/>
        </w:rPr>
        <w:t>Third</w:t>
      </w:r>
      <w:r>
        <w:rPr>
          <w:rFonts w:ascii="Times New Roman" w:cs="Times New Roman" w:eastAsia="Times New Roman" w:hAnsi="Times New Roman"/>
          <w:sz w:val="18"/>
          <w:szCs w:val="18"/>
          <w:color w:val="auto"/>
        </w:rPr>
        <w:t xml:space="preserve"> Amendment Date, Part II of Schedule 6.1.(b) correctly sets forth all Unconsolidated Affiliates of the Parent, the General Partner and the Borrower, including the correct legal name of such Person, the type of legal entity which each such Person is, and all Equity Interests in such Person held directly or indirectly by the Parent, the General Partner and the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2680335</wp:posOffset>
            </wp:positionH>
            <wp:positionV relativeFrom="paragraph">
              <wp:posOffset>-276860</wp:posOffset>
            </wp:positionV>
            <wp:extent cx="248285"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248285" cy="8255"/>
                    </a:xfrm>
                    <a:prstGeom prst="rect">
                      <a:avLst/>
                    </a:prstGeom>
                    <a:noFill/>
                  </pic:spPr>
                </pic:pic>
              </a:graphicData>
            </a:graphic>
          </wp:anchor>
        </w:drawing>
      </w:r>
    </w:p>
    <w:p>
      <w:pPr>
        <w:spacing w:after="0" w:line="160" w:lineRule="exact"/>
        <w:rPr>
          <w:sz w:val="20"/>
          <w:szCs w:val="20"/>
          <w:color w:val="auto"/>
        </w:rPr>
      </w:pPr>
    </w:p>
    <w:p>
      <w:pPr>
        <w:ind w:firstLine="436"/>
        <w:spacing w:after="0" w:line="254" w:lineRule="auto"/>
        <w:tabs>
          <w:tab w:leader="none" w:pos="685"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of Loan Documents and Borrowings</w:t>
      </w:r>
      <w:r>
        <w:rPr>
          <w:rFonts w:ascii="Times New Roman" w:cs="Times New Roman" w:eastAsia="Times New Roman" w:hAnsi="Times New Roman"/>
          <w:sz w:val="18"/>
          <w:szCs w:val="18"/>
          <w:color w:val="auto"/>
        </w:rPr>
        <w:t>. The Borrower has the right and power, and has taken all necessary action to authorize it, to borrow and obtain other extensions of credit hereunder. The Borrower and each other Loan Party has the right and power, and has taken all necessary action to authorize it, to execute, deliver and perform each of the Loan Documents and the Fee Letter to which it is a party in accordance with their respective terms and to consummate the transactions contemplated hereby and thereby. The Loan Documents and the Fee Letter to which the Borrower or any other Loan Party is a party have been duly executed and delivered by the duly authorized officers of such Person and each is a legal, valid and binding obligation of such Person enforceable against such Person in accordance with its respective terms, except as the same may be limited by bankruptcy, insolvency, and other similar laws affecting the rights of creditors generally and the availability of equitable remedies for the enforcement of certain obligations (other than the payment of principal) contained herein or therein and as may be limited by equitable principles generally.</w:t>
      </w:r>
    </w:p>
    <w:p>
      <w:pPr>
        <w:spacing w:after="0" w:line="191" w:lineRule="exact"/>
        <w:rPr>
          <w:rFonts w:ascii="Times New Roman" w:cs="Times New Roman" w:eastAsia="Times New Roman" w:hAnsi="Times New Roman"/>
          <w:sz w:val="18"/>
          <w:szCs w:val="18"/>
          <w:color w:val="auto"/>
        </w:rPr>
      </w:pPr>
    </w:p>
    <w:p>
      <w:pPr>
        <w:ind w:right="60" w:firstLine="436"/>
        <w:spacing w:after="0" w:line="255" w:lineRule="auto"/>
        <w:tabs>
          <w:tab w:leader="none" w:pos="695"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of Loan Documents with Laws</w:t>
      </w:r>
      <w:r>
        <w:rPr>
          <w:rFonts w:ascii="Times New Roman" w:cs="Times New Roman" w:eastAsia="Times New Roman" w:hAnsi="Times New Roman"/>
          <w:sz w:val="18"/>
          <w:szCs w:val="18"/>
          <w:color w:val="auto"/>
        </w:rPr>
        <w:t>. The execution, delivery and performance of this Agreement, the other Loan Documents to which any Loan Party is a party and of the Fee Letter in accordance with their respective terms and the borrowings and other extensions of credit hereunder do not: (i) require any Governmental Approval or violate any Applicable Law (including all Environmental Laws) relating to the Borrower or any other Loan Party; (ii) conflict with, result in a breach of or constitute a default under the organizational documents of any Loan Party, or any indenture, agreement or other instrument to which the Borrower or any other Loan Party is a party or by which it or any of its respective properties may be bound; or (iii) result in or require the creation or imposition of any Lien upon or with respect to any property now owned or hereafter acquired by any Loan Party other than in favor of the Administrative Agent for its benefit and the benefit of the Lenders.</w:t>
      </w:r>
    </w:p>
    <w:p>
      <w:pPr>
        <w:spacing w:after="0" w:line="188" w:lineRule="exact"/>
        <w:rPr>
          <w:rFonts w:ascii="Times New Roman" w:cs="Times New Roman" w:eastAsia="Times New Roman" w:hAnsi="Times New Roman"/>
          <w:sz w:val="18"/>
          <w:szCs w:val="18"/>
          <w:color w:val="auto"/>
        </w:rPr>
      </w:pPr>
    </w:p>
    <w:p>
      <w:pPr>
        <w:ind w:right="80" w:firstLine="436"/>
        <w:spacing w:after="0" w:line="261" w:lineRule="auto"/>
        <w:tabs>
          <w:tab w:leader="none" w:pos="685"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Law; Governmental Approvals</w:t>
      </w:r>
      <w:r>
        <w:rPr>
          <w:rFonts w:ascii="Times New Roman" w:cs="Times New Roman" w:eastAsia="Times New Roman" w:hAnsi="Times New Roman"/>
          <w:sz w:val="18"/>
          <w:szCs w:val="18"/>
          <w:color w:val="auto"/>
        </w:rPr>
        <w:t>. Each of the Parent, the General Partner, the Borrower, the other Loan Parties and the other Subsidiaries is in compliance with each Governmental Approval applicable to it and all other Applicable Laws (including, without limitation, Environmental Laws) relating to it except for noncompliances which, and Governmental Approvals the failure to possess which, could not, individually or in the aggregate, reasonably be expected to cause a Default or Event of Default or have a Material Adverse Effect.</w:t>
      </w:r>
    </w:p>
    <w:p>
      <w:pPr>
        <w:spacing w:after="0" w:line="179" w:lineRule="exact"/>
        <w:rPr>
          <w:rFonts w:ascii="Times New Roman" w:cs="Times New Roman" w:eastAsia="Times New Roman" w:hAnsi="Times New Roman"/>
          <w:sz w:val="18"/>
          <w:szCs w:val="18"/>
          <w:color w:val="auto"/>
        </w:rPr>
      </w:pPr>
    </w:p>
    <w:p>
      <w:pPr>
        <w:ind w:right="140" w:firstLine="436"/>
        <w:spacing w:after="0" w:line="261" w:lineRule="auto"/>
        <w:tabs>
          <w:tab w:leader="none" w:pos="665"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to Properties; Liens</w:t>
      </w:r>
      <w:r>
        <w:rPr>
          <w:rFonts w:ascii="Times New Roman" w:cs="Times New Roman" w:eastAsia="Times New Roman" w:hAnsi="Times New Roman"/>
          <w:sz w:val="18"/>
          <w:szCs w:val="18"/>
          <w:color w:val="auto"/>
        </w:rPr>
        <w:t>. Part I of Schedule 6.1.(f) is, as of the Agreement Date, a complete and correct listing of all real estate assets of the Borrower, each other Loan Party and each other Subsidiary. Each of the Borrower, each other Loan Party and each other Subsidiary has good, marketable and legal title to, or a valid leasehold interest in, its respective assets. As of the Agreement Date, there are no Liens against the assets of the Borrower, the Loan Parties or any Subsidiary other than Permitted Liens.</w:t>
      </w:r>
    </w:p>
    <w:p>
      <w:pPr>
        <w:spacing w:after="0" w:line="179" w:lineRule="exact"/>
        <w:rPr>
          <w:rFonts w:ascii="Times New Roman" w:cs="Times New Roman" w:eastAsia="Times New Roman" w:hAnsi="Times New Roman"/>
          <w:sz w:val="18"/>
          <w:szCs w:val="18"/>
          <w:color w:val="auto"/>
        </w:rPr>
      </w:pPr>
    </w:p>
    <w:p>
      <w:pPr>
        <w:ind w:right="80" w:firstLine="436"/>
        <w:spacing w:after="0" w:line="258" w:lineRule="auto"/>
        <w:tabs>
          <w:tab w:leader="none" w:pos="695"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Existing Indebtedness</w:t>
      </w:r>
      <w:r>
        <w:rPr>
          <w:rFonts w:ascii="Times New Roman" w:cs="Times New Roman" w:eastAsia="Times New Roman" w:hAnsi="Times New Roman"/>
          <w:sz w:val="18"/>
          <w:szCs w:val="18"/>
          <w:color w:val="auto"/>
        </w:rPr>
        <w:t xml:space="preserve">. Schedule 6.1.(g) is, as of </w:t>
      </w:r>
      <w:r>
        <w:rPr>
          <w:rFonts w:ascii="Times New Roman" w:cs="Times New Roman" w:eastAsia="Times New Roman" w:hAnsi="Times New Roman"/>
          <w:sz w:val="18"/>
          <w:szCs w:val="18"/>
          <w:color w:val="FF0000"/>
          <w:strike w:val="1"/>
        </w:rPr>
        <w:t>March 31</w:t>
      </w:r>
      <w:r>
        <w:rPr>
          <w:rFonts w:ascii="Times New Roman" w:cs="Times New Roman" w:eastAsia="Times New Roman" w:hAnsi="Times New Roman"/>
          <w:sz w:val="18"/>
          <w:szCs w:val="18"/>
          <w:u w:val="single" w:color="auto"/>
          <w:color w:val="0000FF"/>
        </w:rPr>
        <w:t>June 30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2020</w:t>
      </w:r>
      <w:r>
        <w:rPr>
          <w:rFonts w:ascii="Times New Roman" w:cs="Times New Roman" w:eastAsia="Times New Roman" w:hAnsi="Times New Roman"/>
          <w:sz w:val="18"/>
          <w:szCs w:val="18"/>
          <w:u w:val="single" w:color="auto"/>
          <w:color w:val="0000FF"/>
        </w:rPr>
        <w:t>2022</w:t>
      </w:r>
      <w:r>
        <w:rPr>
          <w:rFonts w:ascii="Times New Roman" w:cs="Times New Roman" w:eastAsia="Times New Roman" w:hAnsi="Times New Roman"/>
          <w:sz w:val="18"/>
          <w:szCs w:val="18"/>
          <w:color w:val="auto"/>
        </w:rPr>
        <w:t xml:space="preserve"> , a complete and correct listing of all Indebtedness (including all Guarantees but excluding dividends payable, accounts payable and Off-Balance Sheet Obligations) of each of the Borrower, the other Loan Parties and the other Subsidiaries having an outstanding principal balance in excess of $1,000,000, and if such Indebtedness is secured by any Lien. Except as set forth on such Schedule, from </w:t>
      </w:r>
      <w:r>
        <w:rPr>
          <w:rFonts w:ascii="Times New Roman" w:cs="Times New Roman" w:eastAsia="Times New Roman" w:hAnsi="Times New Roman"/>
          <w:sz w:val="18"/>
          <w:szCs w:val="18"/>
          <w:color w:val="FF0000"/>
          <w:strike w:val="1"/>
        </w:rPr>
        <w:t>March 31, 2020,</w:t>
      </w:r>
      <w:r>
        <w:rPr>
          <w:rFonts w:ascii="Times New Roman" w:cs="Times New Roman" w:eastAsia="Times New Roman" w:hAnsi="Times New Roman"/>
          <w:sz w:val="18"/>
          <w:szCs w:val="18"/>
          <w:u w:val="single" w:color="auto"/>
          <w:color w:val="0000FF"/>
        </w:rPr>
        <w:t>June 30, 2022</w:t>
      </w:r>
      <w:r>
        <w:rPr>
          <w:rFonts w:ascii="Times New Roman" w:cs="Times New Roman" w:eastAsia="Times New Roman" w:hAnsi="Times New Roman"/>
          <w:sz w:val="18"/>
          <w:szCs w:val="18"/>
          <w:color w:val="auto"/>
        </w:rPr>
        <w:t xml:space="preserve"> through the </w:t>
      </w:r>
      <w:r>
        <w:rPr>
          <w:rFonts w:ascii="Times New Roman" w:cs="Times New Roman" w:eastAsia="Times New Roman" w:hAnsi="Times New Roman"/>
          <w:sz w:val="18"/>
          <w:szCs w:val="18"/>
          <w:color w:val="FF0000"/>
          <w:strike w:val="1"/>
        </w:rPr>
        <w:t>Agreement</w:t>
      </w:r>
      <w:r>
        <w:rPr>
          <w:rFonts w:ascii="Times New Roman" w:cs="Times New Roman" w:eastAsia="Times New Roman" w:hAnsi="Times New Roman"/>
          <w:sz w:val="18"/>
          <w:szCs w:val="18"/>
          <w:u w:val="single" w:color="auto"/>
          <w:color w:val="0000FF"/>
        </w:rPr>
        <w:t>Third Amendment</w:t>
      </w:r>
      <w:r>
        <w:rPr>
          <w:rFonts w:ascii="Times New Roman" w:cs="Times New Roman" w:eastAsia="Times New Roman" w:hAnsi="Times New Roman"/>
          <w:sz w:val="18"/>
          <w:szCs w:val="18"/>
          <w:color w:val="auto"/>
        </w:rPr>
        <w:t xml:space="preserve"> Date</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 xml:space="preserve"> neither the Borrower nor any of its Subsidiaries has incurred any Indebtedness having an outstanding principal balance in excess of $1,000,000 in the aggregate.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3100705</wp:posOffset>
            </wp:positionH>
            <wp:positionV relativeFrom="paragraph">
              <wp:posOffset>-548640</wp:posOffset>
            </wp:positionV>
            <wp:extent cx="351790" cy="88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351790" cy="8890"/>
                    </a:xfrm>
                    <a:prstGeom prst="rect">
                      <a:avLst/>
                    </a:prstGeom>
                    <a:noFill/>
                  </pic:spPr>
                </pic:pic>
              </a:graphicData>
            </a:graphic>
          </wp:anchor>
        </w:drawing>
        <w:drawing>
          <wp:anchor simplePos="0" relativeHeight="251657728" behindDoc="1" locked="0" layoutInCell="0" allowOverlap="1">
            <wp:simplePos x="0" y="0"/>
            <wp:positionH relativeFrom="column">
              <wp:posOffset>3743325</wp:posOffset>
            </wp:positionH>
            <wp:positionV relativeFrom="paragraph">
              <wp:posOffset>-548640</wp:posOffset>
            </wp:positionV>
            <wp:extent cx="222885" cy="88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2114550</wp:posOffset>
            </wp:positionH>
            <wp:positionV relativeFrom="paragraph">
              <wp:posOffset>-137160</wp:posOffset>
            </wp:positionV>
            <wp:extent cx="634365"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634365" cy="8890"/>
                    </a:xfrm>
                    <a:prstGeom prst="rect">
                      <a:avLst/>
                    </a:prstGeom>
                    <a:noFill/>
                  </pic:spPr>
                </pic:pic>
              </a:graphicData>
            </a:graphic>
          </wp:anchor>
        </w:drawing>
        <w:drawing>
          <wp:anchor simplePos="0" relativeHeight="251657728" behindDoc="1" locked="0" layoutInCell="0" allowOverlap="1">
            <wp:simplePos x="0" y="0"/>
            <wp:positionH relativeFrom="column">
              <wp:posOffset>3837940</wp:posOffset>
            </wp:positionH>
            <wp:positionV relativeFrom="paragraph">
              <wp:posOffset>-137160</wp:posOffset>
            </wp:positionV>
            <wp:extent cx="848995" cy="88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848995" cy="8890"/>
                    </a:xfrm>
                    <a:prstGeom prst="rect">
                      <a:avLst/>
                    </a:prstGeom>
                    <a:noFill/>
                  </pic:spPr>
                </pic:pic>
              </a:graphicData>
            </a:graphic>
          </wp:anchor>
        </w:drawing>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000"/>
          </w:cols>
          <w:pgMar w:left="440" w:top="270" w:right="459" w:bottom="1440" w:gutter="0" w:footer="0" w:header="0"/>
        </w:sectPr>
      </w:pPr>
    </w:p>
    <w:bookmarkStart w:id="239" w:name="page240"/>
    <w:bookmarkEnd w:id="239"/>
    <w:p>
      <w:pPr>
        <w:ind w:left="700" w:hanging="264"/>
        <w:spacing w:after="0"/>
        <w:tabs>
          <w:tab w:leader="none" w:pos="70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Affected Financial Institution</w:t>
      </w:r>
      <w:r>
        <w:rPr>
          <w:rFonts w:ascii="Times New Roman" w:cs="Times New Roman" w:eastAsia="Times New Roman" w:hAnsi="Times New Roman"/>
          <w:sz w:val="18"/>
          <w:szCs w:val="18"/>
          <w:color w:val="auto"/>
        </w:rPr>
        <w:t>. None of the Parent, the General Partner or any Loan Party is an Affected Financial Institution.</w:t>
      </w:r>
    </w:p>
    <w:p>
      <w:pPr>
        <w:spacing w:after="0" w:line="225" w:lineRule="exact"/>
        <w:rPr>
          <w:rFonts w:ascii="Times New Roman" w:cs="Times New Roman" w:eastAsia="Times New Roman" w:hAnsi="Times New Roman"/>
          <w:sz w:val="18"/>
          <w:szCs w:val="18"/>
          <w:color w:val="auto"/>
        </w:rPr>
      </w:pPr>
    </w:p>
    <w:p>
      <w:pPr>
        <w:ind w:right="60" w:firstLine="436"/>
        <w:spacing w:after="0" w:line="255" w:lineRule="auto"/>
        <w:tabs>
          <w:tab w:leader="none" w:pos="655"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Except as set forth on Schedule 6.1.(i), there are no actions, suits or proceedings pending (nor, to the knowledge of any Loan Party, are there any actions, suits or proceedings threatened) against or in any other way relating adversely to or affecting the Parent, the General Partner, the Borrower, any other Loan Party, any other Subsidiary or any of their respective property in any court or before any arbitrator of any kind or before or by any other Governmental Authority which, (i) could reasonably be expected to have a Material Adverse Effect or (ii) in any manner draws into question the validity or enforceability of any Loan Document or the Fee Letter. There are no strikes, slow downs, work stoppages or walkouts or other labor disputes in progress or threatened relating to the Borrower, any Subsidiary or any other Loan Party which could reasonably be expected to have a Material Adverse Effect.</w:t>
      </w:r>
    </w:p>
    <w:p>
      <w:pPr>
        <w:spacing w:after="0" w:line="188" w:lineRule="exact"/>
        <w:rPr>
          <w:rFonts w:ascii="Times New Roman" w:cs="Times New Roman" w:eastAsia="Times New Roman" w:hAnsi="Times New Roman"/>
          <w:sz w:val="18"/>
          <w:szCs w:val="18"/>
          <w:color w:val="auto"/>
        </w:rPr>
      </w:pPr>
    </w:p>
    <w:p>
      <w:pPr>
        <w:ind w:right="80" w:firstLine="436"/>
        <w:spacing w:after="0" w:line="255" w:lineRule="auto"/>
        <w:tabs>
          <w:tab w:leader="none" w:pos="655"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xml:space="preserve">. All federal, state and other tax returns of the Parent, the General Partner, the Borrower, each other Loan Party and each other Subsidiary required by Applicable Law to be filed have been duly filed, and all federal, state and other taxes, assessments and other governmental charges or levies upon, the Parent, the General Partner, each Loan Party, each other Subsidiary and their respective properties, income, profits and assets which are due and payable have been paid, except any such nonpayment or non-filing which is at the time permitted under Section 7.6. As of the </w:t>
      </w:r>
      <w:r>
        <w:rPr>
          <w:rFonts w:ascii="Times New Roman" w:cs="Times New Roman" w:eastAsia="Times New Roman" w:hAnsi="Times New Roman"/>
          <w:sz w:val="18"/>
          <w:szCs w:val="18"/>
          <w:color w:val="FF0000"/>
          <w:strike w:val="1"/>
        </w:rPr>
        <w:t>Second</w:t>
      </w:r>
      <w:r>
        <w:rPr>
          <w:rFonts w:ascii="Times New Roman" w:cs="Times New Roman" w:eastAsia="Times New Roman" w:hAnsi="Times New Roman"/>
          <w:sz w:val="18"/>
          <w:szCs w:val="18"/>
          <w:u w:val="single" w:color="auto"/>
          <w:color w:val="0000FF"/>
        </w:rPr>
        <w:t>Third</w:t>
      </w:r>
      <w:r>
        <w:rPr>
          <w:rFonts w:ascii="Times New Roman" w:cs="Times New Roman" w:eastAsia="Times New Roman" w:hAnsi="Times New Roman"/>
          <w:sz w:val="18"/>
          <w:szCs w:val="18"/>
          <w:color w:val="auto"/>
        </w:rPr>
        <w:t xml:space="preserve"> Amendment Date, none of the United States income tax returns of the Borrower, any other Loan Party or any other Subsidiary is under audit. All charges, accruals and reserves on the books of the Borrower, the other Loan Parties and the other Subsidiaries in respect of any taxes or other governmental charges are in accordance with GAAP.</w:t>
      </w:r>
    </w:p>
    <w:p>
      <w:pPr>
        <w:spacing w:after="0" w:line="188" w:lineRule="exact"/>
        <w:rPr>
          <w:rFonts w:ascii="Times New Roman" w:cs="Times New Roman" w:eastAsia="Times New Roman" w:hAnsi="Times New Roman"/>
          <w:sz w:val="18"/>
          <w:szCs w:val="18"/>
          <w:color w:val="auto"/>
        </w:rPr>
      </w:pPr>
    </w:p>
    <w:p>
      <w:pPr>
        <w:ind w:right="160" w:firstLine="436"/>
        <w:spacing w:after="0" w:line="255" w:lineRule="auto"/>
        <w:tabs>
          <w:tab w:leader="none" w:pos="695"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xml:space="preserve">. The Borrower has furnished to each Lender copies of (i) the audited consolidated balance sheet of the Borrower and its consolidated Subsidiaries for the fiscal years ended December 31, </w:t>
      </w:r>
      <w:r>
        <w:rPr>
          <w:rFonts w:ascii="Times New Roman" w:cs="Times New Roman" w:eastAsia="Times New Roman" w:hAnsi="Times New Roman"/>
          <w:sz w:val="18"/>
          <w:szCs w:val="18"/>
          <w:color w:val="FF0000"/>
          <w:strike w:val="1"/>
        </w:rPr>
        <w:t>2018</w:t>
      </w:r>
      <w:r>
        <w:rPr>
          <w:rFonts w:ascii="Times New Roman" w:cs="Times New Roman" w:eastAsia="Times New Roman" w:hAnsi="Times New Roman"/>
          <w:sz w:val="18"/>
          <w:szCs w:val="18"/>
          <w:u w:val="single" w:color="auto"/>
          <w:color w:val="0000FF"/>
        </w:rPr>
        <w:t>2020</w:t>
      </w:r>
      <w:r>
        <w:rPr>
          <w:rFonts w:ascii="Times New Roman" w:cs="Times New Roman" w:eastAsia="Times New Roman" w:hAnsi="Times New Roman"/>
          <w:sz w:val="18"/>
          <w:szCs w:val="18"/>
          <w:color w:val="auto"/>
        </w:rPr>
        <w:t xml:space="preserve"> and December 31, </w:t>
      </w:r>
      <w:r>
        <w:rPr>
          <w:rFonts w:ascii="Times New Roman" w:cs="Times New Roman" w:eastAsia="Times New Roman" w:hAnsi="Times New Roman"/>
          <w:sz w:val="18"/>
          <w:szCs w:val="18"/>
          <w:color w:val="FF0000"/>
          <w:strike w:val="1"/>
        </w:rPr>
        <w:t>2019</w:t>
      </w:r>
      <w:r>
        <w:rPr>
          <w:rFonts w:ascii="Times New Roman" w:cs="Times New Roman" w:eastAsia="Times New Roman" w:hAnsi="Times New Roman"/>
          <w:sz w:val="18"/>
          <w:szCs w:val="18"/>
          <w:u w:val="single" w:color="auto"/>
          <w:color w:val="0000FF"/>
        </w:rPr>
        <w:t>2021</w:t>
      </w:r>
      <w:r>
        <w:rPr>
          <w:rFonts w:ascii="Times New Roman" w:cs="Times New Roman" w:eastAsia="Times New Roman" w:hAnsi="Times New Roman"/>
          <w:sz w:val="18"/>
          <w:szCs w:val="18"/>
          <w:color w:val="auto"/>
        </w:rPr>
        <w:t xml:space="preserve">, and the related audited consolidated statements of operations, shareholders’ equity and cash flow for the fiscal years ended on such dates, with the opinion thereon of Grant Thornton LLP, and (ii) the unaudited consolidated balance sheet of the Borrower and its consolidated Subsidiaries for the fiscal quarter ended </w:t>
      </w:r>
      <w:r>
        <w:rPr>
          <w:rFonts w:ascii="Times New Roman" w:cs="Times New Roman" w:eastAsia="Times New Roman" w:hAnsi="Times New Roman"/>
          <w:sz w:val="18"/>
          <w:szCs w:val="18"/>
          <w:color w:val="FF0000"/>
          <w:strike w:val="1"/>
        </w:rPr>
        <w:t>March 31</w:t>
      </w:r>
      <w:r>
        <w:rPr>
          <w:rFonts w:ascii="Times New Roman" w:cs="Times New Roman" w:eastAsia="Times New Roman" w:hAnsi="Times New Roman"/>
          <w:sz w:val="18"/>
          <w:szCs w:val="18"/>
          <w:u w:val="single" w:color="auto"/>
          <w:color w:val="0000FF"/>
        </w:rPr>
        <w:t>June 30</w:t>
      </w:r>
      <w:r>
        <w:rPr>
          <w:rFonts w:ascii="Times New Roman" w:cs="Times New Roman" w:eastAsia="Times New Roman" w:hAnsi="Times New Roman"/>
          <w:sz w:val="18"/>
          <w:szCs w:val="18"/>
          <w:color w:val="auto"/>
        </w:rPr>
        <w:t>,</w:t>
      </w:r>
    </w:p>
    <w:p>
      <w:pPr>
        <w:spacing w:after="0" w:line="2" w:lineRule="exact"/>
        <w:rPr>
          <w:rFonts w:ascii="Times New Roman" w:cs="Times New Roman" w:eastAsia="Times New Roman" w:hAnsi="Times New Roman"/>
          <w:sz w:val="18"/>
          <w:szCs w:val="18"/>
          <w:color w:val="auto"/>
        </w:rPr>
      </w:pPr>
    </w:p>
    <w:p>
      <w:pPr>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FF0000"/>
          <w:strike w:val="1"/>
        </w:rPr>
        <w:t>2020</w:t>
      </w:r>
      <w:r>
        <w:rPr>
          <w:rFonts w:ascii="Times New Roman" w:cs="Times New Roman" w:eastAsia="Times New Roman" w:hAnsi="Times New Roman"/>
          <w:sz w:val="18"/>
          <w:szCs w:val="18"/>
          <w:u w:val="single" w:color="auto"/>
          <w:color w:val="0000FF"/>
        </w:rPr>
        <w:t>2022</w:t>
      </w:r>
      <w:r>
        <w:rPr>
          <w:rFonts w:ascii="Times New Roman" w:cs="Times New Roman" w:eastAsia="Times New Roman" w:hAnsi="Times New Roman"/>
          <w:sz w:val="18"/>
          <w:szCs w:val="18"/>
          <w:color w:val="000000"/>
        </w:rPr>
        <w:t>, and the related unaudited consolidated statements of operations, shareholders’ equity and cash flow of the Borrower and its consolidated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Subsidiaries for the one fiscal quarter period ended on such date. Such financial statements (including in each case related schedules and notes) are complete and present fairly, in accordance with GAAP consistently applied throughout the periods involved, the consolidated financial position of the Borrower and its consolidated Subsidiaries as at their respective dates and the results of operations and the cash flow for such periods (subject, as to interim statements, to changes resulting from normal year-end audit adjustments). Neither the Borrower nor any of its Subsidiaries has on the Agreement Date any material contingent liabilities, liabilities, liabilities for taxes, unusual or long-term commitments or unrealized or forward anticipated losses from any unfavorable commitments that would be required to be set forth in its financial statements or notes thereto, except as referred to or reflected or provided for in said financial statements.</w:t>
      </w:r>
    </w:p>
    <w:p>
      <w:pPr>
        <w:spacing w:after="0" w:line="193" w:lineRule="exact"/>
        <w:rPr>
          <w:rFonts w:ascii="Times New Roman" w:cs="Times New Roman" w:eastAsia="Times New Roman" w:hAnsi="Times New Roman"/>
          <w:sz w:val="18"/>
          <w:szCs w:val="18"/>
          <w:color w:val="auto"/>
        </w:rPr>
      </w:pPr>
    </w:p>
    <w:p>
      <w:pPr>
        <w:ind w:right="740" w:firstLine="436"/>
        <w:spacing w:after="0" w:line="312" w:lineRule="auto"/>
        <w:tabs>
          <w:tab w:leader="none" w:pos="655" w:val="left"/>
        </w:tabs>
        <w:numPr>
          <w:ilvl w:val="0"/>
          <w:numId w:val="2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Material Adverse Change</w:t>
      </w:r>
      <w:r>
        <w:rPr>
          <w:rFonts w:ascii="Times New Roman" w:cs="Times New Roman" w:eastAsia="Times New Roman" w:hAnsi="Times New Roman"/>
          <w:sz w:val="17"/>
          <w:szCs w:val="17"/>
          <w:color w:val="auto"/>
        </w:rPr>
        <w:t xml:space="preserve">. Since December 31, </w:t>
      </w:r>
      <w:r>
        <w:rPr>
          <w:rFonts w:ascii="Times New Roman" w:cs="Times New Roman" w:eastAsia="Times New Roman" w:hAnsi="Times New Roman"/>
          <w:sz w:val="17"/>
          <w:szCs w:val="17"/>
          <w:color w:val="FF0000"/>
          <w:strike w:val="1"/>
        </w:rPr>
        <w:t>2019</w:t>
      </w:r>
      <w:r>
        <w:rPr>
          <w:rFonts w:ascii="Times New Roman" w:cs="Times New Roman" w:eastAsia="Times New Roman" w:hAnsi="Times New Roman"/>
          <w:sz w:val="17"/>
          <w:szCs w:val="17"/>
          <w:u w:val="single" w:color="auto"/>
          <w:color w:val="0000FF"/>
        </w:rPr>
        <w:t>2021</w:t>
      </w:r>
      <w:r>
        <w:rPr>
          <w:rFonts w:ascii="Times New Roman" w:cs="Times New Roman" w:eastAsia="Times New Roman" w:hAnsi="Times New Roman"/>
          <w:sz w:val="17"/>
          <w:szCs w:val="17"/>
          <w:color w:val="auto"/>
        </w:rPr>
        <w:t>, there has been no event, change, circumstance or occurrence that could reasonably be expected to have a Material Adverse Effect. Each of the Borrower, the other Loan Parties and the other Subsidiaries is Solvent.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6315075</wp:posOffset>
            </wp:positionH>
            <wp:positionV relativeFrom="paragraph">
              <wp:posOffset>-2633345</wp:posOffset>
            </wp:positionV>
            <wp:extent cx="248285"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248285" cy="8255"/>
                    </a:xfrm>
                    <a:prstGeom prst="rect">
                      <a:avLst/>
                    </a:prstGeom>
                    <a:noFill/>
                  </pic:spPr>
                </pic:pic>
              </a:graphicData>
            </a:graphic>
          </wp:anchor>
        </w:drawing>
        <w:drawing>
          <wp:anchor simplePos="0" relativeHeight="251657728" behindDoc="1" locked="0" layoutInCell="0" allowOverlap="1">
            <wp:simplePos x="0" y="0"/>
            <wp:positionH relativeFrom="column">
              <wp:posOffset>3263265</wp:posOffset>
            </wp:positionH>
            <wp:positionV relativeFrom="paragraph">
              <wp:posOffset>-1810385</wp:posOffset>
            </wp:positionV>
            <wp:extent cx="231775"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231775" cy="8255"/>
                    </a:xfrm>
                    <a:prstGeom prst="rect">
                      <a:avLst/>
                    </a:prstGeom>
                    <a:noFill/>
                  </pic:spPr>
                </pic:pic>
              </a:graphicData>
            </a:graphic>
          </wp:anchor>
        </w:drawing>
        <w:drawing>
          <wp:anchor simplePos="0" relativeHeight="251657728" behindDoc="1" locked="0" layoutInCell="0" allowOverlap="1">
            <wp:simplePos x="0" y="0"/>
            <wp:positionH relativeFrom="column">
              <wp:posOffset>4617720</wp:posOffset>
            </wp:positionH>
            <wp:positionV relativeFrom="paragraph">
              <wp:posOffset>-1810385</wp:posOffset>
            </wp:positionV>
            <wp:extent cx="222885"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6238240</wp:posOffset>
            </wp:positionH>
            <wp:positionV relativeFrom="paragraph">
              <wp:posOffset>-1536065</wp:posOffset>
            </wp:positionV>
            <wp:extent cx="351155"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351155" cy="8255"/>
                    </a:xfrm>
                    <a:prstGeom prst="rect">
                      <a:avLst/>
                    </a:prstGeom>
                    <a:noFill/>
                  </pic:spPr>
                </pic:pic>
              </a:graphicData>
            </a:graphic>
          </wp:anchor>
        </w:drawing>
        <w:drawing>
          <wp:anchor simplePos="0" relativeHeight="251657728" behindDoc="1" locked="0" layoutInCell="0" allowOverlap="1">
            <wp:simplePos x="0" y="0"/>
            <wp:positionH relativeFrom="column">
              <wp:posOffset>228600</wp:posOffset>
            </wp:positionH>
            <wp:positionV relativeFrom="paragraph">
              <wp:posOffset>-1398905</wp:posOffset>
            </wp:positionV>
            <wp:extent cx="222885"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2988945</wp:posOffset>
            </wp:positionH>
            <wp:positionV relativeFrom="paragraph">
              <wp:posOffset>-164465</wp:posOffset>
            </wp:positionV>
            <wp:extent cx="231775" cy="88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231775" cy="8890"/>
                    </a:xfrm>
                    <a:prstGeom prst="rect">
                      <a:avLst/>
                    </a:prstGeom>
                    <a:noFill/>
                  </pic:spPr>
                </pic:pic>
              </a:graphicData>
            </a:graphic>
          </wp:anchor>
        </w:drawing>
      </w: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020"/>
          </w:cols>
          <w:pgMar w:left="440" w:top="270" w:right="439" w:bottom="1440" w:gutter="0" w:footer="0" w:header="0"/>
        </w:sectPr>
      </w:pPr>
    </w:p>
    <w:bookmarkStart w:id="240" w:name="page241"/>
    <w:bookmarkEnd w:id="240"/>
    <w:p>
      <w:pPr>
        <w:ind w:left="720" w:hanging="304"/>
        <w:spacing w:after="0"/>
        <w:tabs>
          <w:tab w:leader="none" w:pos="72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ERISA</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20" w:right="20" w:firstLine="419"/>
        <w:spacing w:after="0" w:line="253" w:lineRule="auto"/>
        <w:tabs>
          <w:tab w:leader="none" w:pos="1058"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Benefit Arrangement is in compliance with the applicable provisions of ERISA, the Internal Revenue Code and other Applicable Laws except for noncompliance that would not be expected to result in the occurrence of a Material Adverse Effect. Except with respect to Multiemployer Plans, each Qualified Plan (A) has received a favorable determination from the Internal Revenue Service applicable to such Qualified Plan’s current remedial amendment cycle (as defined in Revenue Procedure 2007-44 or “2007-44” for short), (B) has timely filed for a favorable determination letter from the Internal Revenue Service during its staggered remedial amendment cycle (as defined in 2007-44) and such application is currently being processed by the Internal Revenue Service, (C) had filed for a determination letter prior to its “GUST remedial amendment period” (as defined in 2007-44) and received such determination letter and the staggered remedial amendment cycle first following the GUST remedial amendment period for such Qualified Plan has not yet expired, or (D) is maintained under a prototype plan and may rely upon a favorable opinion letter issued by the Internal Revenue Service with respect to such prototype plan. To the best knowledge of the Borrower, nothing has occurred which could reasonably be expected to cause the loss of its reliance on each Qualified Plan’s favorable determination letter or opinion letter.</w:t>
      </w:r>
    </w:p>
    <w:p>
      <w:pPr>
        <w:spacing w:after="0" w:line="83" w:lineRule="exact"/>
        <w:rPr>
          <w:rFonts w:ascii="Times New Roman" w:cs="Times New Roman" w:eastAsia="Times New Roman" w:hAnsi="Times New Roman"/>
          <w:sz w:val="18"/>
          <w:szCs w:val="18"/>
          <w:color w:val="auto"/>
        </w:rPr>
      </w:pPr>
    </w:p>
    <w:p>
      <w:pPr>
        <w:ind w:left="420" w:right="80" w:firstLine="419"/>
        <w:spacing w:after="0" w:line="282" w:lineRule="auto"/>
        <w:tabs>
          <w:tab w:leader="none" w:pos="1108"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most recent valuation date, the “benefit obligation” of all Plans does not exceed the “fair market value of plan assets” for such Plans by more than $10,000,000 all as determined by and with such terms defined in accordance with FASB ASC 715.</w:t>
      </w:r>
    </w:p>
    <w:p>
      <w:pPr>
        <w:spacing w:after="0" w:line="53" w:lineRule="exact"/>
        <w:rPr>
          <w:rFonts w:ascii="Times New Roman" w:cs="Times New Roman" w:eastAsia="Times New Roman" w:hAnsi="Times New Roman"/>
          <w:sz w:val="18"/>
          <w:szCs w:val="18"/>
          <w:color w:val="auto"/>
        </w:rPr>
      </w:pPr>
    </w:p>
    <w:p>
      <w:pPr>
        <w:ind w:left="420" w:firstLine="419"/>
        <w:spacing w:after="0" w:line="255" w:lineRule="auto"/>
        <w:tabs>
          <w:tab w:leader="none" w:pos="1158"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could not reasonably be expected, individually or in the aggregate, to have a Material Adverse Effect: (i) no ERISA Event has occurred or is expected to occur; (ii) there are no pending, or to the best knowledge of the Borrower, threatened, claims, actions or lawsuits or other action by any Governmental Authority, plan participant or beneficiary with respect to a Benefit Arrangement; (iii) there are no violations of the fiduciary responsibility rules with respect to any Benefit Arrangement; and (iv) no member of the ERISA Group has engaged in a non-exempt “prohibited transaction,” as defined in Section 406 of ERISA and Section 4975 of the Internal Revenue Code, in connection with any Plan, that would subject any member of the ERISA Group to a tax on prohibited transactions imposed by Section 502(i) of ERISA or Section 4975 of the Internal Revenue Code.</w:t>
      </w:r>
    </w:p>
    <w:p>
      <w:pPr>
        <w:spacing w:after="0" w:line="188" w:lineRule="exact"/>
        <w:rPr>
          <w:rFonts w:ascii="Times New Roman" w:cs="Times New Roman" w:eastAsia="Times New Roman" w:hAnsi="Times New Roman"/>
          <w:sz w:val="18"/>
          <w:szCs w:val="18"/>
          <w:color w:val="auto"/>
        </w:rPr>
      </w:pPr>
    </w:p>
    <w:p>
      <w:pPr>
        <w:ind w:left="-20" w:right="20" w:firstLine="436"/>
        <w:spacing w:after="0" w:line="256" w:lineRule="auto"/>
        <w:tabs>
          <w:tab w:leader="none" w:pos="675"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Default</w:t>
      </w:r>
      <w:r>
        <w:rPr>
          <w:rFonts w:ascii="Times New Roman" w:cs="Times New Roman" w:eastAsia="Times New Roman" w:hAnsi="Times New Roman"/>
          <w:sz w:val="18"/>
          <w:szCs w:val="18"/>
          <w:color w:val="auto"/>
        </w:rPr>
        <w:t>. None of the Loan Parties or any of the other Subsidiaries is in default under its certificate or articles of incorporation or formation, bylaws, partnership agreement or other similar organizational documents, and no event has occurred, which has not been remedied, cured or waived: (i) which constitutes a Default or an Event of Default; or (ii) which constitutes, or which with the passage of time, the giving of notice, or both, would constitute, a default or event of default by, any Loan Party or any other Subsidiary under any agreement (other than this Agreement) or judgment, decree or order to which any such Person is a party or by which any such Person or any of its respective properties may be bound where such default or event of default could, individually or in the aggregate, reasonably be expected to have a Material Adverse Effect.</w:t>
      </w:r>
    </w:p>
    <w:p>
      <w:pPr>
        <w:spacing w:after="0" w:line="187" w:lineRule="exact"/>
        <w:rPr>
          <w:rFonts w:ascii="Times New Roman" w:cs="Times New Roman" w:eastAsia="Times New Roman" w:hAnsi="Times New Roman"/>
          <w:sz w:val="18"/>
          <w:szCs w:val="18"/>
          <w:color w:val="auto"/>
        </w:rPr>
      </w:pPr>
    </w:p>
    <w:p>
      <w:pPr>
        <w:ind w:left="-20" w:right="40" w:firstLine="436"/>
        <w:spacing w:after="0" w:line="254" w:lineRule="auto"/>
        <w:tabs>
          <w:tab w:leader="none" w:pos="675"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Each of the Borrower, each other Loan Party and the other Subsidiaries: (i) has obtained all Governmental Approvals which are required under Environmental Laws, and each such Governmental Approval is in full force and effect, and (ii) is in compliance with all terms and conditions of such Governmental Approvals, where with respect to each of the immediately preceding clauses (i) and (ii) the failure to obtain or to comply with could reasonably be expected to have a Material Adverse Effect. Except for any of the following matters that could not reasonably be expected to have a Material Adverse Effect, no Loan Party is aware of, and has not received notice of, any past, present, or future, events, conditions, circumstances, activities, practices, incidents, occurrences, actions, or plans which, with respect to any Loan Party or any other Subsidiary, their respective businesses, operations or with respect to the Properties, may: (x) interfere with or prevent compliance or continued compliance with Environmental Laws or (y) give rise to any common-law or legal liability or otherwise form the basis of</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0960"/>
          </w:cols>
          <w:pgMar w:left="460" w:top="270" w:right="479" w:bottom="1440" w:gutter="0" w:footer="0" w:header="0"/>
        </w:sectPr>
      </w:pPr>
    </w:p>
    <w:bookmarkStart w:id="241" w:name="page242"/>
    <w:bookmarkEnd w:id="241"/>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claim, action, demand, suit, proceeding, hearing, study, or investigation based on or related to the manufacture, generation, processing, distribution, use, treatment, storage, disposal, transport, removal, clean up or handling, or the emission, discharge, release or threatened release into the environmental of any pollutant, contaminant, chemical, or industrial, toxic, other Hazardous Material. There is no civil, criminal, or administrative action, suit, demand, claim, hearing, notice, or demand letter, notice of violation, investigation, or proceeding pending or, to the Borrower’s knowledge after due inquiry, threatened, against the Borrower, any other Loan Party or any other Subsidiary relating in any way to Environmental Laws which, reasonably could be expected to have a Material Adverse Effect. None of the Properties is listed on or proposed for listing on the National Priority List promulgated pursuant to the Comprehensive Environmental Response, Compensation and Liability Act of 1980 and its implementing regulations, or any state or local priority list promulgated pursuant to any analogous state or local law to the extent any such listing could reasonably be expected to have a Material Adverse Effect. To the Borrower’s knowledge, no Hazardous Materials generated at or transported from the Properties are or have been transported to, or disposed of at, any location that is listed or proposed for listing on the National Priority List or any analogous state or local priority list, or any other location that is or has been the subject of a clean-up, removal or remedial action pursuant to any Environmental Law, except to the extent that such transportation or disposal could not reasonably be expected to result in a Material Adverse Effect.</w:t>
      </w:r>
    </w:p>
    <w:p>
      <w:pPr>
        <w:spacing w:after="0" w:line="190" w:lineRule="exact"/>
        <w:rPr>
          <w:sz w:val="20"/>
          <w:szCs w:val="20"/>
          <w:color w:val="auto"/>
        </w:rPr>
      </w:pPr>
    </w:p>
    <w:p>
      <w:pPr>
        <w:ind w:right="120" w:firstLine="436"/>
        <w:spacing w:after="0" w:line="281" w:lineRule="auto"/>
        <w:tabs>
          <w:tab w:leader="none" w:pos="695" w:val="left"/>
        </w:tabs>
        <w:numPr>
          <w:ilvl w:val="0"/>
          <w:numId w:val="2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Investment Company</w:t>
      </w:r>
      <w:r>
        <w:rPr>
          <w:rFonts w:ascii="Times New Roman" w:cs="Times New Roman" w:eastAsia="Times New Roman" w:hAnsi="Times New Roman"/>
          <w:sz w:val="17"/>
          <w:szCs w:val="17"/>
          <w:color w:val="auto"/>
        </w:rPr>
        <w:t>. None of the Parent, the General Partner, the Borrower, any other Loan Party or any other Subsidiary is (i) an “investment company” or a company “controlled” by an “investment company” within the meaning of the Investment Company Act of 1940, as amended, or (ii) subject to any other Applicable Law which purports to regulate or restrict its ability to borrow money or obtain other extensions of credit or to consummate the transactions contemplated by this Agreement or to perform its obligations under any Loan Document to which it is a party.</w:t>
      </w:r>
    </w:p>
    <w:p>
      <w:pPr>
        <w:spacing w:after="0" w:line="164" w:lineRule="exact"/>
        <w:rPr>
          <w:rFonts w:ascii="Times New Roman" w:cs="Times New Roman" w:eastAsia="Times New Roman" w:hAnsi="Times New Roman"/>
          <w:sz w:val="17"/>
          <w:szCs w:val="17"/>
          <w:color w:val="auto"/>
        </w:rPr>
      </w:pPr>
    </w:p>
    <w:p>
      <w:pPr>
        <w:jc w:val="both"/>
        <w:ind w:right="80" w:firstLine="436"/>
        <w:spacing w:after="0" w:line="266" w:lineRule="auto"/>
        <w:tabs>
          <w:tab w:leader="none" w:pos="695"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Margin Stock</w:t>
      </w:r>
      <w:r>
        <w:rPr>
          <w:rFonts w:ascii="Times New Roman" w:cs="Times New Roman" w:eastAsia="Times New Roman" w:hAnsi="Times New Roman"/>
          <w:sz w:val="18"/>
          <w:szCs w:val="18"/>
          <w:color w:val="auto"/>
        </w:rPr>
        <w:t xml:space="preserve">. None of the Borrower, any other Loan Party or any other Subsidiary is engaged principally, or as one of its important activities, in the business of extending credit for the purpose, whether immediate, incidental or ultimate, of buying or carrying “margin stock” within the meaning of Regulation U of the </w:t>
      </w:r>
      <w:r>
        <w:rPr>
          <w:rFonts w:ascii="Times New Roman" w:cs="Times New Roman" w:eastAsia="Times New Roman" w:hAnsi="Times New Roman"/>
          <w:sz w:val="18"/>
          <w:szCs w:val="18"/>
          <w:color w:val="FF0000"/>
          <w:strike w:val="1"/>
        </w:rPr>
        <w:t>Board of Governors of the Federal Reserve System</w:t>
      </w:r>
      <w:r>
        <w:rPr>
          <w:rFonts w:ascii="Times New Roman" w:cs="Times New Roman" w:eastAsia="Times New Roman" w:hAnsi="Times New Roman"/>
          <w:sz w:val="18"/>
          <w:szCs w:val="18"/>
          <w:u w:val="single" w:color="auto"/>
          <w:color w:val="0000FF"/>
        </w:rPr>
        <w:t>FRB</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right="80" w:firstLine="436"/>
        <w:spacing w:after="0" w:line="282" w:lineRule="auto"/>
        <w:tabs>
          <w:tab w:leader="none" w:pos="665"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Affiliate Transactions</w:t>
      </w:r>
      <w:r>
        <w:rPr>
          <w:rFonts w:ascii="Times New Roman" w:cs="Times New Roman" w:eastAsia="Times New Roman" w:hAnsi="Times New Roman"/>
          <w:sz w:val="18"/>
          <w:szCs w:val="18"/>
          <w:color w:val="auto"/>
        </w:rPr>
        <w:t>. Except as permitted by Section 9.9., none of the Borrower, any other Loan Party or any other Subsidiary is a party to or bound by any agreement or arrangement with any Affiliate.</w:t>
      </w:r>
    </w:p>
    <w:p>
      <w:pPr>
        <w:spacing w:after="0" w:line="161" w:lineRule="exact"/>
        <w:rPr>
          <w:rFonts w:ascii="Times New Roman" w:cs="Times New Roman" w:eastAsia="Times New Roman" w:hAnsi="Times New Roman"/>
          <w:sz w:val="18"/>
          <w:szCs w:val="18"/>
          <w:color w:val="auto"/>
        </w:rPr>
      </w:pPr>
    </w:p>
    <w:p>
      <w:pPr>
        <w:ind w:right="140" w:firstLine="436"/>
        <w:spacing w:after="0" w:line="253" w:lineRule="auto"/>
        <w:tabs>
          <w:tab w:leader="none" w:pos="675"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Each of the Borrower, each other Loan Party and each other Subsidiary owns or has the right to use, under valid license agreements or otherwise, all material patents, licenses, franchises, trademarks, trademark rights, trade names, trade name rights, trade secrets and copyrights (collectively, “</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necessary to the conduct of its businesses as now conducted and as contemplated by the Loan Documents, without known conflict with any patent, license, franchise, trademark, trademark rights, trade secret, trade name, copyright, or other proprietary right of any other Person, which conflict could reasonably be expected to have a Material Adverse Effect. The Borrower, each other Loan Party and each other Subsidiary have taken all such steps as they deem reasonably necessary to protect their respective rights under and with respect to such Intellectual Property. No material claim has been asserted by any Person with respect to the use of any Intellectual Property by the Borrower, any other Loan Party or any other Subsidiary, or challenging or questioning the validity or effectiveness of any Intellectual Property. The use of such Intellectual Property by the Borrower, its Subsidiaries and the other Loan Parties, does not infringe on the rights of any Person, subject to such claims and infringements as do not, in the aggregate, give rise to any liabilities on the part of the Borrower, any other Loan Party or any other Subsidiary that could reasonably be expected to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3392170</wp:posOffset>
            </wp:positionH>
            <wp:positionV relativeFrom="paragraph">
              <wp:posOffset>-2051685</wp:posOffset>
            </wp:positionV>
            <wp:extent cx="214630" cy="825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214630" cy="8255"/>
                    </a:xfrm>
                    <a:prstGeom prst="rect">
                      <a:avLst/>
                    </a:prstGeom>
                    <a:noFill/>
                  </pic:spPr>
                </pic:pic>
              </a:graphicData>
            </a:graphic>
          </wp:anchor>
        </w:drawing>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000"/>
          </w:cols>
          <w:pgMar w:left="440" w:top="270" w:right="459" w:bottom="1440" w:gutter="0" w:footer="0" w:header="0"/>
        </w:sectPr>
      </w:pPr>
    </w:p>
    <w:bookmarkStart w:id="242" w:name="page243"/>
    <w:bookmarkEnd w:id="242"/>
    <w:p>
      <w:pPr>
        <w:ind w:right="60" w:firstLine="436"/>
        <w:spacing w:after="0" w:line="258" w:lineRule="auto"/>
        <w:tabs>
          <w:tab w:leader="none" w:pos="655"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Business</w:t>
      </w:r>
      <w:r>
        <w:rPr>
          <w:rFonts w:ascii="Times New Roman" w:cs="Times New Roman" w:eastAsia="Times New Roman" w:hAnsi="Times New Roman"/>
          <w:sz w:val="18"/>
          <w:szCs w:val="18"/>
          <w:color w:val="auto"/>
        </w:rPr>
        <w:t>. The Borrower, the other Loan Parties and the other Subsidiaries are (i) primarily engaged in the business of acquiring, owning, redeveloping, developing and managing Retail Properties and Mixed-Use Projects (including components of such Mixed-Use Projects that are Office Properties and Multifamily Properties) together with other business activities reasonably related or incidental thereto and (ii) secondarily engaged in the business of acquiring, owning, redeveloping, developing and managing Office Properties, Multifamily Properties and Hotel Properties, together with other business activities reasonably related or incidental thereto.</w:t>
      </w:r>
    </w:p>
    <w:p>
      <w:pPr>
        <w:spacing w:after="0" w:line="183" w:lineRule="exact"/>
        <w:rPr>
          <w:rFonts w:ascii="Times New Roman" w:cs="Times New Roman" w:eastAsia="Times New Roman" w:hAnsi="Times New Roman"/>
          <w:sz w:val="18"/>
          <w:szCs w:val="18"/>
          <w:color w:val="auto"/>
        </w:rPr>
      </w:pPr>
    </w:p>
    <w:p>
      <w:pPr>
        <w:jc w:val="both"/>
        <w:ind w:right="120" w:firstLine="436"/>
        <w:spacing w:after="0" w:line="266" w:lineRule="auto"/>
        <w:tabs>
          <w:tab w:leader="none" w:pos="695"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Broker’s Fees</w:t>
      </w:r>
      <w:r>
        <w:rPr>
          <w:rFonts w:ascii="Times New Roman" w:cs="Times New Roman" w:eastAsia="Times New Roman" w:hAnsi="Times New Roman"/>
          <w:sz w:val="18"/>
          <w:szCs w:val="18"/>
          <w:color w:val="auto"/>
        </w:rPr>
        <w:t>. No broker’s or finder’s fee, commission or similar compensation will be payable with respect to the transactions contemplated hereby. No other similar fees or commissions will be payable by any Loan Party for any other services rendered to the Borrower, any other Loan Party or any other Subsidiary ancillary to the transactions contemplated hereby.</w:t>
      </w:r>
    </w:p>
    <w:p>
      <w:pPr>
        <w:spacing w:after="0" w:line="175" w:lineRule="exact"/>
        <w:rPr>
          <w:rFonts w:ascii="Times New Roman" w:cs="Times New Roman" w:eastAsia="Times New Roman" w:hAnsi="Times New Roman"/>
          <w:sz w:val="18"/>
          <w:szCs w:val="18"/>
          <w:color w:val="auto"/>
        </w:rPr>
      </w:pPr>
    </w:p>
    <w:p>
      <w:pPr>
        <w:ind w:right="20" w:firstLine="436"/>
        <w:spacing w:after="0" w:line="252" w:lineRule="auto"/>
        <w:tabs>
          <w:tab w:leader="none" w:pos="695"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Accuracy and Completeness of Information</w:t>
      </w:r>
      <w:r>
        <w:rPr>
          <w:rFonts w:ascii="Times New Roman" w:cs="Times New Roman" w:eastAsia="Times New Roman" w:hAnsi="Times New Roman"/>
          <w:sz w:val="18"/>
          <w:szCs w:val="18"/>
          <w:color w:val="auto"/>
        </w:rPr>
        <w:t>. None of the written information, reports or other papers or data (excluding financial projections and other forward looking statements), taken as a whole as of the date of delivery thereof, furnished to the Administrative Agent or any Lender by, on behalf of, or at the direction of, the Borrower, any Subsidiary or any other Loan Party in connection with or relating in any way to this Agreement, contained any untrue statement of a fact material to the creditworthiness of the Borrower, any Subsidiary or any other Loan Party or omitted to state a material fact necessary in order to make such statements contained therein, in light of the circumstances under which they were made, not misleading. All financial statements furnished to the Administrative Agent or any Lender by, on behalf of, or at the direction of, the Borrower, any Subsidiary or any other Loan Party in connection with or relating in any way to this Agreement, present fairly, in accordance with GAAP consistently applied throughout the periods involved, the financial position of the Persons involved as at the date thereof and the results of operations for such periods (subject, as to interim statements, to changes resulting from normal year end audit adjustments and absence of full footnote disclosure). All financial projections and other forward looking statements prepared by or on behalf of the Borrower, any Subsidiary or any other Loan Party that have been or may hereafter be made available to the Administrative Agent or any Lender were or will be prepared in good faith based on reasonable assumptions. As of the Effective Date, no fact is known to the Borrower which has had, or may in the future have (so far as the Borrower can reasonably foresee), a Material Adverse Effect which has not been set forth in the financial statements referred to in Section 6.1.(k) or in such information, reports or other papers or data or otherwise disclosed in writing to the Administrative Agent and the Lenders. As of the Agreement Date, all of the information included in the Beneficial Ownership Certification is true and correct.</w:t>
      </w:r>
    </w:p>
    <w:p>
      <w:pPr>
        <w:spacing w:after="0" w:line="195" w:lineRule="exact"/>
        <w:rPr>
          <w:rFonts w:ascii="Times New Roman" w:cs="Times New Roman" w:eastAsia="Times New Roman" w:hAnsi="Times New Roman"/>
          <w:sz w:val="18"/>
          <w:szCs w:val="18"/>
          <w:color w:val="auto"/>
        </w:rPr>
      </w:pPr>
    </w:p>
    <w:p>
      <w:pPr>
        <w:ind w:firstLine="436"/>
        <w:spacing w:after="0" w:line="258" w:lineRule="auto"/>
        <w:tabs>
          <w:tab w:leader="none" w:pos="735"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 Plan Assets; No Prohibited Transactions</w:t>
      </w:r>
      <w:r>
        <w:rPr>
          <w:rFonts w:ascii="Times New Roman" w:cs="Times New Roman" w:eastAsia="Times New Roman" w:hAnsi="Times New Roman"/>
          <w:sz w:val="18"/>
          <w:szCs w:val="18"/>
          <w:color w:val="auto"/>
        </w:rPr>
        <w:t>. None of the assets of the Borrower, any other Loan Party or any other Subsidiary constitutes “plan assets” within the meaning of ERISA, the Internal Revenue Code and the respective regulations promulgated thereunder. Assuming that no Lender funds any amount payable by it hereunder with “plan assets,” as that term is defined in 29 C.F.R. 2510.3-101, the execution, delivery and performance of this Agreement and the other Loan Documents, and the extensions of credit and repayment of amounts hereunder, do not and will not constitute “prohibited transactions” under ERISA or the Internal Revenue Code.</w:t>
      </w:r>
    </w:p>
    <w:p>
      <w:pPr>
        <w:spacing w:after="0" w:line="7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Anti-Corruption Laws; Anti-Money Laundering Laws and Sanctions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980" w:right="160" w:firstLine="408"/>
        <w:spacing w:after="0" w:line="261" w:lineRule="auto"/>
        <w:tabs>
          <w:tab w:leader="none" w:pos="1596"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(i) the Parent, the General Partner, the Borrower, any of their respective Subsidiaries, any of their respective directors, officers, or, to the knowledge of the Borrower or such Subsidiary, any of their respective employees or Affiliates, or (ii) any agent or representative of the Borrower or any Subsidiary that will act in any capacity in connection with or benefit from this Agreement, (A) is a Sanctioned Person or currently the express subject or express target of any Sanctions, (B) is controlled by or is acting 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000"/>
          </w:cols>
          <w:pgMar w:left="440" w:top="270" w:right="459" w:bottom="1440" w:gutter="0" w:footer="0" w:header="0"/>
        </w:sectPr>
      </w:pPr>
    </w:p>
    <w:bookmarkStart w:id="243" w:name="page244"/>
    <w:bookmarkEnd w:id="243"/>
    <w:p>
      <w:pPr>
        <w:ind w:left="980" w:right="1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behalf of a Sanctioned Person, (C) has its assets located in a Sanctioned Country, (D) is under administrative, civil or criminal investigation for an alleged violation of, or received notice from or made a voluntary disclosure to any governmental entity regarding a possible violation of, Anti-Corruption Laws, Anti-Money Laundering Laws or Sanctions by a governmental authority that enforces Sanctions or any Anti-Corruption Laws or Anti-Money Laundering Laws, or (E) directly or indirectly derives revenues from investments in, or transactions with, Sanctioned Persons.</w:t>
      </w:r>
    </w:p>
    <w:p>
      <w:pPr>
        <w:spacing w:after="0" w:line="75" w:lineRule="exact"/>
        <w:rPr>
          <w:sz w:val="20"/>
          <w:szCs w:val="20"/>
          <w:color w:val="auto"/>
        </w:rPr>
      </w:pPr>
    </w:p>
    <w:p>
      <w:pPr>
        <w:ind w:left="980" w:right="160" w:firstLine="408"/>
        <w:spacing w:after="0" w:line="266" w:lineRule="auto"/>
        <w:tabs>
          <w:tab w:leader="none" w:pos="1646" w:val="left"/>
        </w:tabs>
        <w:numPr>
          <w:ilvl w:val="1"/>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Parent, the General Partner, the Borrower and their respective Subsidiaries has implemented and maintains in effect policies and procedures designed to ensure compliance by such Person and their respective directors, officers, employees, agents and Affiliates with all Anti-Corruption Laws, Anti-Money Laundering Laws and applicable Sanctions.</w:t>
      </w:r>
    </w:p>
    <w:p>
      <w:pPr>
        <w:spacing w:after="0" w:line="67"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1"/>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Parent, the General Partner, the Borrower and their respective Subsidiaries, each director, officer, and to the</w:t>
      </w:r>
    </w:p>
    <w:p>
      <w:pPr>
        <w:spacing w:after="0" w:line="27" w:lineRule="exact"/>
        <w:rPr>
          <w:rFonts w:ascii="Times New Roman" w:cs="Times New Roman" w:eastAsia="Times New Roman" w:hAnsi="Times New Roman"/>
          <w:sz w:val="18"/>
          <w:szCs w:val="18"/>
          <w:color w:val="auto"/>
        </w:rPr>
      </w:pPr>
    </w:p>
    <w:p>
      <w:pPr>
        <w:ind w:left="9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knowledge of Borrower, employee, agent and Affiliate of the Parent, the General Partner, the Borrower and their respective Subsidiaries, is in compliance with all Anti-Corruption Laws, Anti-Money Laundering Laws in all material respects and applicable Sanctions.</w:t>
      </w:r>
    </w:p>
    <w:p>
      <w:pPr>
        <w:spacing w:after="0" w:line="73" w:lineRule="exact"/>
        <w:rPr>
          <w:rFonts w:ascii="Times New Roman" w:cs="Times New Roman" w:eastAsia="Times New Roman" w:hAnsi="Times New Roman"/>
          <w:sz w:val="18"/>
          <w:szCs w:val="18"/>
          <w:color w:val="auto"/>
        </w:rPr>
      </w:pPr>
    </w:p>
    <w:p>
      <w:pPr>
        <w:ind w:left="980" w:right="360" w:firstLine="408"/>
        <w:spacing w:after="0" w:line="282" w:lineRule="auto"/>
        <w:tabs>
          <w:tab w:leader="none" w:pos="1686" w:val="left"/>
        </w:tabs>
        <w:numPr>
          <w:ilvl w:val="1"/>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proceeds of any Loan have been used, directly or indirectly, by the Borrower, any of its Subsidiaries or any of its or their respective directors, officers, employees and agents in violation of Section 9.13.(c).</w:t>
      </w:r>
    </w:p>
    <w:p>
      <w:pPr>
        <w:spacing w:after="0" w:line="161" w:lineRule="exact"/>
        <w:rPr>
          <w:rFonts w:ascii="Times New Roman" w:cs="Times New Roman" w:eastAsia="Times New Roman" w:hAnsi="Times New Roman"/>
          <w:sz w:val="18"/>
          <w:szCs w:val="18"/>
          <w:color w:val="auto"/>
        </w:rPr>
      </w:pPr>
    </w:p>
    <w:p>
      <w:pPr>
        <w:ind w:right="560" w:firstLine="436"/>
        <w:spacing w:after="0" w:line="282" w:lineRule="auto"/>
        <w:tabs>
          <w:tab w:leader="none" w:pos="695"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REIT Status</w:t>
      </w:r>
      <w:r>
        <w:rPr>
          <w:rFonts w:ascii="Times New Roman" w:cs="Times New Roman" w:eastAsia="Times New Roman" w:hAnsi="Times New Roman"/>
          <w:sz w:val="18"/>
          <w:szCs w:val="18"/>
          <w:color w:val="auto"/>
        </w:rPr>
        <w:t>. The Parent qualifies as, and has elected to be treated as, a REIT and is in compliance with all requirements and conditions imposed under the Internal Revenue Code to allow the Parent to maintain its status as a REIT.</w:t>
      </w:r>
    </w:p>
    <w:p>
      <w:pPr>
        <w:spacing w:after="0" w:line="161" w:lineRule="exact"/>
        <w:rPr>
          <w:rFonts w:ascii="Times New Roman" w:cs="Times New Roman" w:eastAsia="Times New Roman" w:hAnsi="Times New Roman"/>
          <w:sz w:val="18"/>
          <w:szCs w:val="18"/>
          <w:color w:val="auto"/>
        </w:rPr>
      </w:pPr>
    </w:p>
    <w:p>
      <w:pPr>
        <w:jc w:val="both"/>
        <w:ind w:right="120" w:firstLine="436"/>
        <w:spacing w:after="0" w:line="266" w:lineRule="auto"/>
        <w:tabs>
          <w:tab w:leader="none" w:pos="685"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Unencumbered Assets</w:t>
      </w:r>
      <w:r>
        <w:rPr>
          <w:rFonts w:ascii="Times New Roman" w:cs="Times New Roman" w:eastAsia="Times New Roman" w:hAnsi="Times New Roman"/>
          <w:sz w:val="18"/>
          <w:szCs w:val="18"/>
          <w:color w:val="auto"/>
        </w:rPr>
        <w:t>. As of the Agreement Date, Schedule 6.1.(z) is a correct and complete list of each Wholly Owned Property, Controlled Property and Non-Controlled Property included as of the Agreement Date in the calculation of Unencumbered Asset Value. Except as set forth on such Schedule, each of the Properties included by the Borrower in calculations of Unencumbered Asset Value is an Eligible Property.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6.2. Survival of Representations and Warranties, Etc.</w:t>
      </w:r>
    </w:p>
    <w:p>
      <w:pPr>
        <w:spacing w:after="0" w:line="121"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All statements contained in any certificate, financial statement or other instrument delivered by or on behalf of any Loan Party or any other Subsidiary to the Administrative Agent or any Lender pursuant to or in connection with this Agreement or any of the other Loan Documents (including, but not limited to, any such statement made in or in connection with any amendment thereto or any statement contained in any certificate, financial statement or other instrument delivered by or on behalf of any Loan Party prior to the Agreement Date and delivered to the Administrative Agent or any Lender in connection with the underwriting or closing the transactions contemplated hereby) shall constitute representations and warranties made by the Borrower under this Agreement. All representations and warranties made under this Agreement and the other Loan Documents shall be deemed to be made at and as of the Agreement Date, the Effective Date, the date on which any extension of the Maturity Date is effectuated pursuant to Section 2.13.</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the date on which any Additional Loans are effected pursuant to Section 2.16.</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and at and as of the date of the occurrence of each Credit Event, except to</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the extent that such representations and warranties expressly relate solely to an earlier date (in which case such representations and warranties shall have been true and correct in all material respects (except in the case of a representation or warranty qualified by materiality, in which case such representation or warranty shall be true and correct in all respects) on and as of such earlier date) and except for changes in factual circumstances not prohibited hereunder. All such representations and warranties shall survive the effectiveness of this Agreement, the execution and delivery of the Loan Documents and the making of the Loans.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000"/>
          </w:cols>
          <w:pgMar w:left="440" w:top="270" w:right="459" w:bottom="1440" w:gutter="0" w:footer="0" w:header="0"/>
        </w:sectPr>
      </w:pPr>
    </w:p>
    <w:bookmarkStart w:id="244" w:name="page245"/>
    <w:bookmarkEnd w:id="244"/>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VII. Affirmative Covenants</w:t>
      </w:r>
    </w:p>
    <w:p>
      <w:pPr>
        <w:spacing w:after="0" w:line="229" w:lineRule="exact"/>
        <w:rPr>
          <w:sz w:val="20"/>
          <w:szCs w:val="20"/>
          <w:color w:val="auto"/>
        </w:rPr>
      </w:pPr>
    </w:p>
    <w:p>
      <w:pPr>
        <w:ind w:left="4" w:right="720" w:firstLine="440"/>
        <w:spacing w:after="0" w:line="282" w:lineRule="auto"/>
        <w:rPr>
          <w:sz w:val="20"/>
          <w:szCs w:val="20"/>
          <w:color w:val="auto"/>
        </w:rPr>
      </w:pPr>
      <w:r>
        <w:rPr>
          <w:rFonts w:ascii="Times New Roman" w:cs="Times New Roman" w:eastAsia="Times New Roman" w:hAnsi="Times New Roman"/>
          <w:sz w:val="18"/>
          <w:szCs w:val="18"/>
          <w:color w:val="auto"/>
        </w:rPr>
        <w:t>For so long as this Agreement is in effect, unless the Requisite Lenders (or, if required pursuant to Section 12.7., all of the Lenders) shall otherwise consent in the manner provided for in Section 12.7., the Borrower shall comply with the following covenants:</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7.1. Preservation of Existence and Similar Matters.</w:t>
      </w:r>
    </w:p>
    <w:p>
      <w:pPr>
        <w:spacing w:after="0" w:line="121"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Except as otherwise permitted under Section 9.5., the Borrower shall, and shall cause each other Loan Party and each other Subsidiary to, preserve and maintain its respective existence, rights, franchises, licenses and privileges in the jurisdiction of its incorporation or formation and qualify and remain qualified and authorized to do business in each jurisdiction in which the character of its properties or the nature of its business requires such qualification and authorization and where the failure to be so authorized and qualified could reasonably be expected to have a Material Adverse Effect. The Parent shall preserve and maintain its existence, rights, franchises, licenses and privileges in the jurisdiction of its incorporation or formation and qualify and remain qualified and authorized to do business in each jurisdiction in which the character of its properties or the nature of its business requires such qualification and authorization and where the failure to be so authorized and qualified could reasonably be expected to have a Material Adverse Effect.</w:t>
      </w:r>
    </w:p>
    <w:p>
      <w:pPr>
        <w:spacing w:after="0" w:line="29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7.2. Compliance with Applicable Law and Material Contracts.</w:t>
      </w:r>
    </w:p>
    <w:p>
      <w:pPr>
        <w:spacing w:after="0" w:line="121" w:lineRule="exact"/>
        <w:rPr>
          <w:sz w:val="20"/>
          <w:szCs w:val="20"/>
          <w:color w:val="auto"/>
        </w:rPr>
      </w:pPr>
    </w:p>
    <w:p>
      <w:pPr>
        <w:ind w:left="4" w:right="120" w:firstLine="440"/>
        <w:spacing w:after="0" w:line="258" w:lineRule="auto"/>
        <w:rPr>
          <w:sz w:val="20"/>
          <w:szCs w:val="20"/>
          <w:color w:val="auto"/>
        </w:rPr>
      </w:pPr>
      <w:r>
        <w:rPr>
          <w:rFonts w:ascii="Times New Roman" w:cs="Times New Roman" w:eastAsia="Times New Roman" w:hAnsi="Times New Roman"/>
          <w:sz w:val="18"/>
          <w:szCs w:val="18"/>
          <w:color w:val="auto"/>
        </w:rPr>
        <w:t>The Borrower shall, and shall cause each other Loan Party and each other Subsidiary to, comply with (a) all Applicable Laws, including the obtaining of all Governmental Approvals, the failure with which to comply could reasonably be expected to have a Material Adverse Effect, and (b) all terms and conditions of all contracts and other written agreements to which it is a party if any such non-compliance could reasonably be expected to have a Material Adverse Effect. The Parent shall, comply with all Applicable Laws, including the obtaining of all Governmental Approvals, the failure with which to comply could reasonably be expected to have a Material Adverse Effect,</w:t>
      </w:r>
    </w:p>
    <w:p>
      <w:pPr>
        <w:spacing w:after="0" w:line="2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7.3. Maintenance of Property.</w:t>
      </w:r>
    </w:p>
    <w:p>
      <w:pPr>
        <w:spacing w:after="0" w:line="121" w:lineRule="exact"/>
        <w:rPr>
          <w:sz w:val="20"/>
          <w:szCs w:val="20"/>
          <w:color w:val="auto"/>
        </w:rPr>
      </w:pPr>
    </w:p>
    <w:p>
      <w:pPr>
        <w:ind w:left="4" w:right="20" w:firstLine="440"/>
        <w:spacing w:after="0" w:line="272" w:lineRule="auto"/>
        <w:rPr>
          <w:sz w:val="20"/>
          <w:szCs w:val="20"/>
          <w:color w:val="auto"/>
        </w:rPr>
      </w:pPr>
      <w:r>
        <w:rPr>
          <w:rFonts w:ascii="Times New Roman" w:cs="Times New Roman" w:eastAsia="Times New Roman" w:hAnsi="Times New Roman"/>
          <w:sz w:val="17"/>
          <w:szCs w:val="17"/>
          <w:color w:val="auto"/>
        </w:rPr>
        <w:t>In addition to the requirements of any of the other Loan Documents, the Borrower shall, and shall cause each other Loan Party and each other Subsidiary to, (a) protect and preserve all of its respective material properties, including, but not limited to, all Intellectual Property necessary to the conduct of its respective business, and maintain in good repair, working order and condition all tangible properties, ordinary wear and tear excepted, and</w:t>
      </w:r>
    </w:p>
    <w:p>
      <w:pPr>
        <w:spacing w:after="0" w:line="2" w:lineRule="exact"/>
        <w:rPr>
          <w:sz w:val="20"/>
          <w:szCs w:val="20"/>
          <w:color w:val="auto"/>
        </w:rPr>
      </w:pPr>
    </w:p>
    <w:p>
      <w:pPr>
        <w:ind w:left="4" w:right="160" w:hanging="4"/>
        <w:spacing w:after="0" w:line="260" w:lineRule="auto"/>
        <w:tabs>
          <w:tab w:leader="none" w:pos="259"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time to time make or cause to be made all needed and appropriate repairs, renewals, replacements and additions to such properties, so that the business carried on in connection therewith may be properly and advantageously conducted at all times.</w:t>
      </w:r>
    </w:p>
    <w:p>
      <w:pPr>
        <w:spacing w:after="0" w:line="28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7.4. Conduct of Business.</w:t>
      </w:r>
    </w:p>
    <w:p>
      <w:pPr>
        <w:spacing w:after="0" w:line="121" w:lineRule="exact"/>
        <w:rPr>
          <w:sz w:val="20"/>
          <w:szCs w:val="20"/>
          <w:color w:val="auto"/>
        </w:rPr>
      </w:pPr>
    </w:p>
    <w:p>
      <w:pPr>
        <w:ind w:left="4" w:right="680" w:firstLine="440"/>
        <w:spacing w:after="0" w:line="282" w:lineRule="auto"/>
        <w:rPr>
          <w:sz w:val="20"/>
          <w:szCs w:val="20"/>
          <w:color w:val="auto"/>
        </w:rPr>
      </w:pPr>
      <w:r>
        <w:rPr>
          <w:rFonts w:ascii="Times New Roman" w:cs="Times New Roman" w:eastAsia="Times New Roman" w:hAnsi="Times New Roman"/>
          <w:sz w:val="18"/>
          <w:szCs w:val="18"/>
          <w:color w:val="auto"/>
        </w:rPr>
        <w:t>The Borrower shall, and shall cause each other Loan Party and each other Subsidiary to, carry on its respective businesses as described in Section 6.1.(t).</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7.5. Insurance.</w:t>
      </w:r>
    </w:p>
    <w:p>
      <w:pPr>
        <w:spacing w:after="0" w:line="121" w:lineRule="exact"/>
        <w:rPr>
          <w:sz w:val="20"/>
          <w:szCs w:val="20"/>
          <w:color w:val="auto"/>
        </w:rPr>
      </w:pPr>
    </w:p>
    <w:p>
      <w:pPr>
        <w:ind w:left="4" w:right="20" w:firstLine="440"/>
        <w:spacing w:after="0" w:line="256" w:lineRule="auto"/>
        <w:rPr>
          <w:sz w:val="20"/>
          <w:szCs w:val="20"/>
          <w:color w:val="auto"/>
        </w:rPr>
      </w:pPr>
      <w:r>
        <w:rPr>
          <w:rFonts w:ascii="Times New Roman" w:cs="Times New Roman" w:eastAsia="Times New Roman" w:hAnsi="Times New Roman"/>
          <w:sz w:val="18"/>
          <w:szCs w:val="18"/>
          <w:color w:val="auto"/>
        </w:rPr>
        <w:t>In addition to the requirements of any of the other Loan Documents, the Borrower shall, and shall cause each other Loan Party and each other Subsidiary to, maintain insurance (on a replacement cost basis) with financially sound and reputable insurance companies against such risks and in such amounts as is customarily maintained by Persons engaged in similar businesses or as may be required by Applicable Law. The Borrower shall from time to time deliver to the Administrative Agent upon request a detailed list, together with copies of all policies of the insurance then in effect, stating the names of the insurance companies, the amounts and rates of the insurance, the dates of the expiration thereof and the properties and risks covered thereby.</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004"/>
          </w:cols>
          <w:pgMar w:left="436" w:top="266" w:right="459" w:bottom="1440" w:gutter="0" w:footer="0" w:header="0"/>
        </w:sectPr>
      </w:pPr>
    </w:p>
    <w:bookmarkStart w:id="245" w:name="page246"/>
    <w:bookmarkEnd w:id="245"/>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7.6. Payment of Taxes and Claims.</w:t>
      </w:r>
    </w:p>
    <w:p>
      <w:pPr>
        <w:spacing w:after="0" w:line="121"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The Borrower shall, and shall cause each other Loan Party and each other Subsidiary to, pay and discharge when due (a) all taxes, assessments and governmental charges or levies imposed upon it or upon its income or profits or upon any properties belonging to it, and (b) all lawful claims of materialmen, mechanics, carriers, warehousemen and landlords for labor, materials, supplies and rentals which, if unpaid, might become a Lien on any properties of such Person; provided, however, that this Section shall not require the payment or discharge of any such tax, assessment, charge, levy or claim which is being contested in good faith by appropriate proceedings which operate to suspend the collection thereof and for which adequate reserves have been established on the books of such Person in accordance with GAAP. The Parent shall pay and discharge when due all taxes, assessments and governmental charges or levies imposed upon it or upon its income or profits or upon any properties belonging to it; provided, however, that this Section shall not require the payment or discharge of any such tax, assessment, charge, levy or claim which is being contested in good faith by appropriate proceedings which operate to suspend the collection thereof and for which adequate reserves have been established on the books of the Parent in accordance with GAAP.</w:t>
      </w:r>
    </w:p>
    <w:p>
      <w:pPr>
        <w:spacing w:after="0" w:line="29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7.7. Books and Records; Inspections.</w:t>
      </w:r>
    </w:p>
    <w:p>
      <w:pPr>
        <w:spacing w:after="0" w:line="121" w:lineRule="exact"/>
        <w:rPr>
          <w:sz w:val="20"/>
          <w:szCs w:val="20"/>
          <w:color w:val="auto"/>
        </w:rPr>
      </w:pPr>
    </w:p>
    <w:p>
      <w:pPr>
        <w:ind w:left="4" w:right="20" w:firstLine="440"/>
        <w:spacing w:after="0" w:line="253" w:lineRule="auto"/>
        <w:rPr>
          <w:sz w:val="20"/>
          <w:szCs w:val="20"/>
          <w:color w:val="auto"/>
        </w:rPr>
      </w:pPr>
      <w:r>
        <w:rPr>
          <w:rFonts w:ascii="Times New Roman" w:cs="Times New Roman" w:eastAsia="Times New Roman" w:hAnsi="Times New Roman"/>
          <w:sz w:val="18"/>
          <w:szCs w:val="18"/>
          <w:color w:val="auto"/>
        </w:rPr>
        <w:t>The Borrower shall, and shall cause each other Loan Party and each other Subsidiary to, maintain books and records pertaining to its respective business operations in such detail, form and scope as is consistent with good business practice and in accordance with GAAP. The Borrower shall, and shall cause each other Loan Party and each other Subsidiary to, permit representatives or agents of any Lender or the Administrative Agent, from time to time after reasonable prior notice if no Event of Default shall be in existence, as often as may be reasonably requested, but only during normal business hours and at the expense of such Lender or the Administrative Agent (unless an Event of Default shall exist, in which case the exercise by the Administrative Agent of its rights under this Section shall be at the expense of the Borrower), as the case may be, to: (a) visit and inspect all properties of the Borrower or such Subsidiary or other Loan Party to the extent any such right to visit or inspect is within the control of such Person; (b) inspect and make extracts from their respective books and records, including but not limited to management letters prepared by independent accountants; and</w:t>
      </w:r>
    </w:p>
    <w:p>
      <w:pPr>
        <w:spacing w:after="0" w:line="1" w:lineRule="exact"/>
        <w:rPr>
          <w:sz w:val="20"/>
          <w:szCs w:val="20"/>
          <w:color w:val="auto"/>
        </w:rPr>
      </w:pPr>
    </w:p>
    <w:p>
      <w:pPr>
        <w:ind w:left="4" w:right="80" w:hanging="4"/>
        <w:spacing w:after="0" w:line="253" w:lineRule="auto"/>
        <w:tabs>
          <w:tab w:leader="none" w:pos="249"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 with its officers, and its independent accountants (in the presence of an officer of the Borrower so long as no Event of Default has occurred and is continuing), its business, properties, condition (financial or otherwise), results of operations and performance. If requested by the Administrative Agent, the Borrower shall execute an authorization letter addressed to its accountants authorizing the Administrative Agent or any Lender to discuss the financial affairs of the Borrower and any other Loan Party or any other Subsidiary with its accountants which, so long as no Event of Default has occurred and is continuing, shall be in the presence of an officer of the Borrower.</w:t>
      </w:r>
    </w:p>
    <w:p>
      <w:pPr>
        <w:spacing w:after="0" w:line="29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7.8. Use of Proceeds.</w:t>
      </w:r>
    </w:p>
    <w:p>
      <w:pPr>
        <w:spacing w:after="0" w:line="121" w:lineRule="exact"/>
        <w:rPr>
          <w:sz w:val="20"/>
          <w:szCs w:val="20"/>
          <w:color w:val="auto"/>
        </w:rPr>
      </w:pPr>
    </w:p>
    <w:p>
      <w:pPr>
        <w:ind w:left="4" w:right="320" w:firstLine="440"/>
        <w:spacing w:after="0" w:line="282" w:lineRule="auto"/>
        <w:rPr>
          <w:sz w:val="20"/>
          <w:szCs w:val="20"/>
          <w:color w:val="auto"/>
        </w:rPr>
      </w:pPr>
      <w:r>
        <w:rPr>
          <w:rFonts w:ascii="Times New Roman" w:cs="Times New Roman" w:eastAsia="Times New Roman" w:hAnsi="Times New Roman"/>
          <w:sz w:val="18"/>
          <w:szCs w:val="18"/>
          <w:color w:val="auto"/>
        </w:rPr>
        <w:t>The Borrower will use the proceeds of Loans only to (i) provide for the general working capital needs of the Borrower and its Subsidiaries and (ii) for other general corporate purposes of the Borrower and its Subsidiaries.</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7.9. Environmental Matters.</w:t>
      </w:r>
    </w:p>
    <w:p>
      <w:pPr>
        <w:spacing w:after="0" w:line="121" w:lineRule="exact"/>
        <w:rPr>
          <w:sz w:val="20"/>
          <w:szCs w:val="20"/>
          <w:color w:val="auto"/>
        </w:rPr>
      </w:pPr>
    </w:p>
    <w:p>
      <w:pPr>
        <w:ind w:left="4" w:right="60" w:firstLine="440"/>
        <w:spacing w:after="0" w:line="258" w:lineRule="auto"/>
        <w:rPr>
          <w:sz w:val="20"/>
          <w:szCs w:val="20"/>
          <w:color w:val="auto"/>
        </w:rPr>
      </w:pPr>
      <w:r>
        <w:rPr>
          <w:rFonts w:ascii="Times New Roman" w:cs="Times New Roman" w:eastAsia="Times New Roman" w:hAnsi="Times New Roman"/>
          <w:sz w:val="18"/>
          <w:szCs w:val="18"/>
          <w:color w:val="auto"/>
        </w:rPr>
        <w:t>The Borrower shall, and shall cause each other Loan Party and each other Subsidiary to, comply with all Environmental Laws the failure with which to comply could reasonably be expected to have a Material Adverse Effect. The Borrower shall use, and shall cause each other Loan Party and each other Subsidiary to use, commercially reasonable efforts (which shall include, for purposes of this Section, including customary provisions in lease agreements with tenants as to such compliance) to cause all other Persons occupying, using or present on the Properties to comply, with all Environmental Laws the failure</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024"/>
          </w:cols>
          <w:pgMar w:left="436" w:top="266" w:right="439" w:bottom="1440" w:gutter="0" w:footer="0" w:header="0"/>
        </w:sectPr>
      </w:pPr>
    </w:p>
    <w:bookmarkStart w:id="246" w:name="page247"/>
    <w:bookmarkEnd w:id="246"/>
    <w:p>
      <w:pPr>
        <w:ind w:right="1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which to comply could reasonably be expected to have a Material Adverse Effect. The Borrower shall, and shall cause each other Loan Party and each other Subsidiary to take promptly all actions reasonably necessary to prevent the imposition of any Liens on any of their respective properties arising out of or related to any Environmental Laws. Nothing in this Section shall impose any obligation or liability whatsoever on the Administrative Agent or any Lender.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7.10. Further Assurances.</w:t>
      </w:r>
    </w:p>
    <w:p>
      <w:pPr>
        <w:spacing w:after="0" w:line="121"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At the Borrower’s cost and expense and upon request of the Administrative Agent, the Borrower shall, and shall cause each other Loan Party and each other Subsidiary to, duly execute and deliver or cause to be duly executed and delivered, to the Administrative Agent such further instruments, documents and certificates, and do and cause to be done such further acts that may be reasonably necessary or advisable in the reasonable opinion of the Administrative Agent to carry out more effectively the provisions and purposes of this Agreement and the other Loan Documents.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7.11. Compliance with Anti-Corruption Laws; Beneficial Ownership Regulation, Anti-Money Laundering Laws and Sanctions.</w:t>
      </w:r>
    </w:p>
    <w:p>
      <w:pPr>
        <w:spacing w:after="0" w:line="121"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The Parent, the General Partner and the Borrower will (a) maintain in effect and enforce policies and procedures designed to ensure compliance by the Parent, the General Partner, the Borrower, their respective Subsidiaries and their respective directors, officers, employees and agents with all Anti-Corruption Laws, Anti-Money Laundering Laws and applicable Sanctions, (b) notify the Administrative Agent and each Lender that previously received a Beneficial Ownership Certification of any change in the information provided in the Beneficial Ownership Certification that would result in a change to the list of beneficial owners identified therein and (c) promptly upon the reasonable request of the Administrative Agent or any Lender, provide the Administrative Agent or such Lender, as the case may be, any information or documentation reasonably requested by it for purposes of complying with the Beneficial Ownership Regulation.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7.12. REIT Status.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Parent shall at all times maintain its status as, and election to be treated as, a REIT under the Internal Revenue Code.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7.13. Exchange Listing.</w:t>
      </w:r>
    </w:p>
    <w:p>
      <w:pPr>
        <w:spacing w:after="0" w:line="121" w:lineRule="exact"/>
        <w:rPr>
          <w:sz w:val="20"/>
          <w:szCs w:val="20"/>
          <w:color w:val="auto"/>
        </w:rPr>
      </w:pPr>
    </w:p>
    <w:p>
      <w:pPr>
        <w:jc w:val="both"/>
        <w:ind w:right="360" w:firstLine="440"/>
        <w:spacing w:after="0" w:line="266" w:lineRule="auto"/>
        <w:rPr>
          <w:sz w:val="20"/>
          <w:szCs w:val="20"/>
          <w:color w:val="auto"/>
        </w:rPr>
      </w:pPr>
      <w:r>
        <w:rPr>
          <w:rFonts w:ascii="Times New Roman" w:cs="Times New Roman" w:eastAsia="Times New Roman" w:hAnsi="Times New Roman"/>
          <w:sz w:val="18"/>
          <w:szCs w:val="18"/>
          <w:color w:val="auto"/>
        </w:rPr>
        <w:t>The Parent shall maintain at least one class of common shares of the Parent having trading privileges on the New York Stock Exchange or the NYSE American or other national exchange which is subject to price quotations on The NASDAQ Stock Market’s National Market System (or any successor exchanges or quotation systems thereto).</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7.14. Guarantors.</w:t>
      </w:r>
    </w:p>
    <w:p>
      <w:pPr>
        <w:spacing w:after="0" w:line="121" w:lineRule="exact"/>
        <w:rPr>
          <w:sz w:val="20"/>
          <w:szCs w:val="20"/>
          <w:color w:val="auto"/>
        </w:rPr>
      </w:pPr>
    </w:p>
    <w:p>
      <w:pPr>
        <w:ind w:right="20" w:firstLine="436"/>
        <w:spacing w:after="0" w:line="258" w:lineRule="auto"/>
        <w:tabs>
          <w:tab w:leader="none" w:pos="685"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10 Business Days of the date on which any of the following conditions first applies to any Subsidiary (other than a Subsidiary owning a Non-Controlled Property) that is not already a Guarantor, the Borrower shall deliver to the Administrative Agent each of the following in form and substance satisfactory to the Administrative Agent: (i) an Accession Agreement executed by such Subsidiary (or if the Guaranty is not then in existence, a Guaranty executed by such Subsidiary) and (ii) the items that would have been delivered under subsections (iv) through (viii) of Section 5.1.(a) if such Subsidiary had been required to become a Guarantor on the Agreement Date:</w:t>
      </w:r>
    </w:p>
    <w:p>
      <w:pPr>
        <w:spacing w:after="0" w:line="75" w:lineRule="exact"/>
        <w:rPr>
          <w:rFonts w:ascii="Times New Roman" w:cs="Times New Roman" w:eastAsia="Times New Roman" w:hAnsi="Times New Roman"/>
          <w:sz w:val="18"/>
          <w:szCs w:val="18"/>
          <w:color w:val="auto"/>
        </w:rPr>
      </w:pPr>
    </w:p>
    <w:p>
      <w:pPr>
        <w:ind w:left="440" w:right="280" w:firstLine="419"/>
        <w:spacing w:after="0" w:line="282" w:lineRule="auto"/>
        <w:tabs>
          <w:tab w:leader="none" w:pos="1118"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Subsidiary Guarantees, or otherwise becomes obligated in respect of, any Indebtedness of the Borrower or any Subsidiary of the Borrower; or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000"/>
          </w:cols>
          <w:pgMar w:left="440" w:top="270" w:right="459" w:bottom="1440" w:gutter="0" w:footer="0" w:header="0"/>
        </w:sectPr>
      </w:pPr>
    </w:p>
    <w:bookmarkStart w:id="247" w:name="page248"/>
    <w:bookmarkEnd w:id="247"/>
    <w:p>
      <w:pPr>
        <w:ind w:left="440" w:right="500" w:firstLine="419"/>
        <w:spacing w:after="0" w:line="282" w:lineRule="auto"/>
        <w:tabs>
          <w:tab w:leader="none" w:pos="1118" w:val="left"/>
        </w:tabs>
        <w:numPr>
          <w:ilvl w:val="1"/>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Subsidiary (A) owns any asset the value of which is included in the determination of Unencumbered Asset Value and (B) has incurred, acquired or suffered to exist any Recourse Indebtedness.</w:t>
      </w:r>
    </w:p>
    <w:p>
      <w:pPr>
        <w:spacing w:after="0" w:line="161" w:lineRule="exact"/>
        <w:rPr>
          <w:rFonts w:ascii="Times New Roman" w:cs="Times New Roman" w:eastAsia="Times New Roman" w:hAnsi="Times New Roman"/>
          <w:sz w:val="18"/>
          <w:szCs w:val="18"/>
          <w:color w:val="auto"/>
        </w:rPr>
      </w:pPr>
    </w:p>
    <w:p>
      <w:pPr>
        <w:ind w:right="420" w:firstLine="436"/>
        <w:spacing w:after="0" w:line="261" w:lineRule="auto"/>
        <w:tabs>
          <w:tab w:leader="none" w:pos="692"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10 Business Days of the date on which any of the following conditions first applies to either the Parent or the General Partner, the Borrower shall deliver to the Administrative Agent each of the following in form and substance satisfactory to the Administrative Agent: (i) the Parent/General Partner Guaranty executed by such Person and (ii) the items that would have been delivered under subsections (iv) through (viii) of Section 5.1.(a) if such Person had been required to become a Guarantor on the Agreement Date:</w:t>
      </w:r>
    </w:p>
    <w:p>
      <w:pPr>
        <w:spacing w:after="0" w:line="71" w:lineRule="exact"/>
        <w:rPr>
          <w:rFonts w:ascii="Times New Roman" w:cs="Times New Roman" w:eastAsia="Times New Roman" w:hAnsi="Times New Roman"/>
          <w:sz w:val="18"/>
          <w:szCs w:val="18"/>
          <w:color w:val="auto"/>
        </w:rPr>
      </w:pPr>
    </w:p>
    <w:p>
      <w:pPr>
        <w:ind w:left="980" w:right="100" w:firstLine="408"/>
        <w:spacing w:after="0" w:line="282" w:lineRule="auto"/>
        <w:tabs>
          <w:tab w:leader="none" w:pos="1636" w:val="left"/>
        </w:tabs>
        <w:numPr>
          <w:ilvl w:val="2"/>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or General Partner, as the case may be, Guarantees, or otherwise becomes obligated in respect of, any Indebtedness of the Borrower or any Subsidiary of the Borrower; or</w:t>
      </w:r>
    </w:p>
    <w:p>
      <w:pPr>
        <w:spacing w:after="0" w:line="53"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2"/>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or General Partner, as the case may be, fails to satisfy the requirements of Section 9.14 hereto.</w:t>
      </w:r>
    </w:p>
    <w:p>
      <w:pPr>
        <w:spacing w:after="0" w:line="225" w:lineRule="exact"/>
        <w:rPr>
          <w:rFonts w:ascii="Times New Roman" w:cs="Times New Roman" w:eastAsia="Times New Roman" w:hAnsi="Times New Roman"/>
          <w:sz w:val="18"/>
          <w:szCs w:val="18"/>
          <w:color w:val="auto"/>
        </w:rPr>
      </w:pPr>
    </w:p>
    <w:p>
      <w:pPr>
        <w:ind w:right="20" w:firstLine="436"/>
        <w:spacing w:after="0" w:line="254" w:lineRule="auto"/>
        <w:tabs>
          <w:tab w:leader="none" w:pos="685"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request in writing that the Administrative Agent release, and upon receipt of such request the Administrative Agent shall release, a Subsidiary of the Borrower that is a Guarantor from the Guaranty so long as: (i) such Guarantor is not required to be a party to the Guaranty under the immediately preceding subsection (a); (ii) no Default or Event of Default shall then be in existence or would occur as a result of such release, including without limitation, a Default or Event of Default resulting from a violation of any of the covenants contained in Section 9.1.; and (iii) the Administrative Agent shall have received such written request at least ten (10) Business Days (or such shorter period as may be acceptable to the Administrative Agent) prior to the requested date of release. Delivery by the Borrower to the Administrative Agent of any such request shall constitute a representation by the Borrower that the matters set forth in the preceding sentence (both as of the date of the giving of such request and as of the date of the effectiveness of such request) are true and correct with respect to such request.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 Information</w:t>
      </w:r>
    </w:p>
    <w:p>
      <w:pPr>
        <w:spacing w:after="0" w:line="229" w:lineRule="exact"/>
        <w:rPr>
          <w:sz w:val="20"/>
          <w:szCs w:val="20"/>
          <w:color w:val="auto"/>
        </w:rPr>
      </w:pPr>
    </w:p>
    <w:p>
      <w:pPr>
        <w:ind w:firstLine="440"/>
        <w:spacing w:after="0" w:line="312" w:lineRule="auto"/>
        <w:rPr>
          <w:sz w:val="20"/>
          <w:szCs w:val="20"/>
          <w:color w:val="auto"/>
        </w:rPr>
      </w:pPr>
      <w:r>
        <w:rPr>
          <w:rFonts w:ascii="Times New Roman" w:cs="Times New Roman" w:eastAsia="Times New Roman" w:hAnsi="Times New Roman"/>
          <w:sz w:val="17"/>
          <w:szCs w:val="17"/>
          <w:color w:val="auto"/>
        </w:rPr>
        <w:t>For so long as this Agreement is in effect, unless the Requisite Lenders (or, if required pursuant to Section 12.7., all of the Lenders) shall otherwise consent in the manner set forth in Section 12.7., the Borrower shall furnish to the Administrative Agent for distribution to each of the Lenders: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8.1. Quarterly Financial Statements.</w:t>
      </w:r>
    </w:p>
    <w:p>
      <w:pPr>
        <w:spacing w:after="0" w:line="12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As soon as available and in any event within five (5) days after the same is required to be filed with the Securities and Exchange Commission (but in no event later than 50 days after the end of each of the first, second and third fiscal quarters of the Borrower commencing with the fiscal quarter of the Borrower ended June 30, 2020), the unaudited consolidated balance sheet of the Borrower and its Subsidiaries as at the end of such period and the related unaudited consolidated statements of operations, shareholders’ equity and cash flows of the Borrower and its Subsidiaries for such period, setting forth in each case in comparative form the figures as of the end of and for the corresponding periods of the previous fiscal year, all of which shall, to the extent applicable, be in the form required by the Securities Exchange Act and certified by the chief financial officer or chief accounting officer of the Borrower, in his or her opinion, to present fairly, in accordance with GAAP and in all material respects, the consolidated financial position of the Borrower and its Subsidiaries as at the date thereof and the results of operations for such period (subject to normal year-end audit adjustments).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000"/>
          </w:cols>
          <w:pgMar w:left="440" w:top="270" w:right="459" w:bottom="1440" w:gutter="0" w:footer="0" w:header="0"/>
        </w:sectPr>
      </w:pPr>
    </w:p>
    <w:bookmarkStart w:id="248" w:name="page249"/>
    <w:bookmarkEnd w:id="248"/>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8.2. Year-End Statements.</w:t>
      </w:r>
    </w:p>
    <w:p>
      <w:pPr>
        <w:spacing w:after="0" w:line="121" w:lineRule="exact"/>
        <w:rPr>
          <w:sz w:val="20"/>
          <w:szCs w:val="20"/>
          <w:color w:val="auto"/>
        </w:rPr>
      </w:pPr>
    </w:p>
    <w:p>
      <w:pPr>
        <w:ind w:left="4" w:right="20" w:firstLine="440"/>
        <w:spacing w:after="0" w:line="253" w:lineRule="auto"/>
        <w:rPr>
          <w:sz w:val="20"/>
          <w:szCs w:val="20"/>
          <w:color w:val="auto"/>
        </w:rPr>
      </w:pPr>
      <w:r>
        <w:rPr>
          <w:rFonts w:ascii="Times New Roman" w:cs="Times New Roman" w:eastAsia="Times New Roman" w:hAnsi="Times New Roman"/>
          <w:sz w:val="18"/>
          <w:szCs w:val="18"/>
          <w:color w:val="auto"/>
        </w:rPr>
        <w:t>As soon as available and in any event within five (5) days after the same is required to be filed with the Securities and Exchange Commission (but in no event later than 95 days after the end of each fiscal year of the Borrower), the audited consolidated balance sheet of the Borrower and its Subsidiaries as at the end of such fiscal year and the related audited consolidated statements of operations, shareholders’ equity and cash flows of the Borrower and its Subsidiaries for such fiscal year, setting forth in comparative form the figures as at the end of and for the previous fiscal year, all of which shall, to the extent applicable, be in the form required by the Securities Exchange Act and (a) certified by the chief accounting officer or chief financial officer of the Borrower, in his or her opinion, to present fairly, in accordance with GAAP, the consolidated financial position of the Borrower and its Subsidiaries as at the date thereof and the result of operations for such period and (b) accompanied by the report thereon of Grant Thornton LLP or any other independent certified public accountants of recognized national standing acceptable to the Administrative Agent, whose report shall be unqualified and who shall have authorized the Borrower to deliver such financial statements and report thereon to the Administrative Agent and the Lenders pursuant to this Agreement.</w:t>
      </w:r>
    </w:p>
    <w:p>
      <w:pPr>
        <w:spacing w:after="0" w:line="29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8.3. Compliance Certificate.</w:t>
      </w:r>
    </w:p>
    <w:p>
      <w:pPr>
        <w:spacing w:after="0" w:line="121" w:lineRule="exact"/>
        <w:rPr>
          <w:sz w:val="20"/>
          <w:szCs w:val="20"/>
          <w:color w:val="auto"/>
        </w:rPr>
      </w:pPr>
    </w:p>
    <w:p>
      <w:pPr>
        <w:ind w:left="4" w:firstLine="440"/>
        <w:spacing w:after="0" w:line="251" w:lineRule="auto"/>
        <w:rPr>
          <w:sz w:val="20"/>
          <w:szCs w:val="20"/>
          <w:color w:val="auto"/>
        </w:rPr>
      </w:pPr>
      <w:r>
        <w:rPr>
          <w:rFonts w:ascii="Times New Roman" w:cs="Times New Roman" w:eastAsia="Times New Roman" w:hAnsi="Times New Roman"/>
          <w:sz w:val="18"/>
          <w:szCs w:val="18"/>
          <w:color w:val="auto"/>
        </w:rPr>
        <w:t>At the time the financial statements are furnished pursuant to Sections 8.1. and 8.2. and, if (i) the Requisite Lenders provide notice to the Administrative Agent and the Borrower that they reasonably believe that an Event of Default specified in Section 10.1.(a), 10.1.(e) or 10.1.(f) or a Default under Section 10.1.(f) may occur, or if (ii) a casualty or condemnation of a Property secured by Material Indebtedness requiring payment in excess of $125,000,000 as a result of such casualty or condemnation occurs, then within 5 Business Days of the Administrative Agent’s request with respect to any other fiscal period, a certificate substantially in the form of Exhibit I (a “</w:t>
      </w:r>
      <w:r>
        <w:rPr>
          <w:rFonts w:ascii="Times New Roman" w:cs="Times New Roman" w:eastAsia="Times New Roman" w:hAnsi="Times New Roman"/>
          <w:sz w:val="18"/>
          <w:szCs w:val="18"/>
          <w:b w:val="1"/>
          <w:bCs w:val="1"/>
          <w:color w:val="auto"/>
        </w:rPr>
        <w:t>Compliance Certificate</w:t>
      </w:r>
      <w:r>
        <w:rPr>
          <w:rFonts w:ascii="Times New Roman" w:cs="Times New Roman" w:eastAsia="Times New Roman" w:hAnsi="Times New Roman"/>
          <w:sz w:val="18"/>
          <w:szCs w:val="18"/>
          <w:color w:val="auto"/>
        </w:rPr>
        <w:t>”) executed on behalf of the Borrower by the chief accounting officer or the chief financial officer of the Borrower (a) setting forth in reasonable detail as of the end of such quarterly accounting period or fiscal year or such other fiscal period, as the case may be, the calculations required to establish whether the Borrower was in compliance with the covenants contained in Section 9.1.; and (b) stating that, to the best of his or her knowledge, information, and belief after due inquiry, no Default or Event of Default exists, or, if such is not the case, specifying such Default or Event of Default and its nature, when it occurred and the steps being taken by the Borrower with respect to such event, condition or failure. Together with each Compliance Certificate delivered in connection with quarterly or annual financial statements, the Borrower shall deliver a report, in form and detail reasonably satisfactory to the Administrative Agent, setting forth (i) a statement of Funds From Operations for the fiscal period then ending; (ii) a list of each Wholly Owned Property, Controlled Property and Non-Controlled Property included in the calculation of Unencumbered Asset Value, such list to identify any Property that has ceased to be included in the calculation of Unencumbered Asset Value since the previous such list delivered to the Administrative Agent; and</w:t>
      </w:r>
    </w:p>
    <w:p>
      <w:pPr>
        <w:spacing w:after="0" w:line="12" w:lineRule="exact"/>
        <w:rPr>
          <w:sz w:val="20"/>
          <w:szCs w:val="20"/>
          <w:color w:val="auto"/>
        </w:rPr>
      </w:pPr>
    </w:p>
    <w:p>
      <w:pPr>
        <w:jc w:val="both"/>
        <w:ind w:left="4" w:right="400" w:hanging="4"/>
        <w:spacing w:after="0" w:line="255" w:lineRule="auto"/>
        <w:tabs>
          <w:tab w:leader="none" w:pos="319"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listing of all Properties acquired by the Borrower or any Subsidiary since the delivery of the previous such list, including their Net Operating Income, the purchase price for such Property and indicating whether such Property is collateral for any Secured Indebtedness of the owner of such Property.</w:t>
      </w:r>
    </w:p>
    <w:p>
      <w:pPr>
        <w:spacing w:after="0" w:line="29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8.4. Other Information.</w:t>
      </w:r>
    </w:p>
    <w:p>
      <w:pPr>
        <w:spacing w:after="0" w:line="121" w:lineRule="exact"/>
        <w:rPr>
          <w:sz w:val="20"/>
          <w:szCs w:val="20"/>
          <w:color w:val="auto"/>
        </w:rPr>
      </w:pPr>
    </w:p>
    <w:p>
      <w:pPr>
        <w:ind w:left="4" w:right="280" w:firstLine="436"/>
        <w:spacing w:after="0" w:line="282" w:lineRule="auto"/>
        <w:tabs>
          <w:tab w:leader="none" w:pos="689"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upon receipt thereof, copies of all management reports, if any, submitted to the Borrower or its partners by its independent public accountants;</w:t>
      </w:r>
    </w:p>
    <w:p>
      <w:pPr>
        <w:spacing w:after="0" w:line="161" w:lineRule="exact"/>
        <w:rPr>
          <w:rFonts w:ascii="Times New Roman" w:cs="Times New Roman" w:eastAsia="Times New Roman" w:hAnsi="Times New Roman"/>
          <w:sz w:val="18"/>
          <w:szCs w:val="18"/>
          <w:color w:val="auto"/>
        </w:rPr>
      </w:pPr>
    </w:p>
    <w:p>
      <w:pPr>
        <w:ind w:left="4" w:right="20" w:firstLine="436"/>
        <w:spacing w:after="0" w:line="261" w:lineRule="auto"/>
        <w:tabs>
          <w:tab w:leader="none" w:pos="699"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five (5) Business Days of the filing thereof, copies of all registration statements (excluding the exhibits thereto (unless requested by the Administrative Agent) and any registration statements on Form S-8 or its equivalent), reports on Forms 10-K, 10-Q and 8-K (or their equivalents) and all other periodic reports which the Parent or any Loan Party or any other Subsidiary shall file with the Securities and Exchange Commission (or any Governmental Authority substituted therefor) or any national securities exchange;</w:t>
      </w:r>
    </w:p>
    <w:p>
      <w:pPr>
        <w:spacing w:after="0" w:line="11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0984"/>
          </w:cols>
          <w:pgMar w:left="436" w:top="266" w:right="479" w:bottom="1440" w:gutter="0" w:footer="0" w:header="0"/>
        </w:sectPr>
      </w:pPr>
    </w:p>
    <w:bookmarkStart w:id="249" w:name="page250"/>
    <w:bookmarkEnd w:id="249"/>
    <w:p>
      <w:pPr>
        <w:ind w:left="4" w:right="120" w:firstLine="436"/>
        <w:spacing w:after="0" w:line="266" w:lineRule="auto"/>
        <w:tabs>
          <w:tab w:leader="none" w:pos="689"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Promptly upon the mailing thereof to the shareholders of the Parent or the Borrower generally, copies of all financial statements, reports and proxy statements so mailed and promptly upon the issuance thereof copies of all press releases issued by the Parent, the General Partner, the Borrower, any Subsidiary or any other Loan Party;</w:t>
      </w:r>
    </w:p>
    <w:p>
      <w:pPr>
        <w:spacing w:after="0" w:line="175" w:lineRule="exact"/>
        <w:rPr>
          <w:rFonts w:ascii="Times New Roman" w:cs="Times New Roman" w:eastAsia="Times New Roman" w:hAnsi="Times New Roman"/>
          <w:sz w:val="18"/>
          <w:szCs w:val="18"/>
          <w:color w:val="auto"/>
        </w:rPr>
      </w:pPr>
    </w:p>
    <w:p>
      <w:pPr>
        <w:ind w:left="4" w:firstLine="436"/>
        <w:spacing w:after="0" w:line="256" w:lineRule="auto"/>
        <w:tabs>
          <w:tab w:leader="none" w:pos="699"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later than the last day of February of each year, projected consolidated financial statements of Borrower and its consolidated Subsidiaries, for the next fiscal year set forth on a quarterly basis, to include projected statements of income and loss and statements of cash flow. Such projected consolidated financial statements shall represent the reasonable best estimate by the Borrower of the future financial performance of the Borrower and its Subsidiaries for the periods set forth therein and have been prepared on the basis of assumptions set forth therein, which the Borrower believes are fair and reasonable as of the date of preparation in light of current and reasonably foreseeable business conditions (it being understood that actual results may differ from those set forth in such projected financial statements);</w:t>
      </w:r>
    </w:p>
    <w:p>
      <w:pPr>
        <w:spacing w:after="0" w:line="187" w:lineRule="exact"/>
        <w:rPr>
          <w:rFonts w:ascii="Times New Roman" w:cs="Times New Roman" w:eastAsia="Times New Roman" w:hAnsi="Times New Roman"/>
          <w:sz w:val="18"/>
          <w:szCs w:val="18"/>
          <w:color w:val="auto"/>
        </w:rPr>
      </w:pPr>
    </w:p>
    <w:p>
      <w:pPr>
        <w:ind w:left="4" w:right="140" w:firstLine="436"/>
        <w:spacing w:after="0" w:line="266" w:lineRule="auto"/>
        <w:tabs>
          <w:tab w:leader="none" w:pos="689"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ERISA Event shall occur that individually, or together with any other ERISA Event that has occurred, could reasonably be expected to have a Material Adverse Effect, a certificate of the chief executive officer or chief financial officer of the Borrower setting forth details as to such occurrence and the action, if any, which the Borrower or applicable member of the ERISA Group is required or proposes to take;</w:t>
      </w:r>
    </w:p>
    <w:p>
      <w:pPr>
        <w:spacing w:after="0" w:line="175" w:lineRule="exact"/>
        <w:rPr>
          <w:rFonts w:ascii="Times New Roman" w:cs="Times New Roman" w:eastAsia="Times New Roman" w:hAnsi="Times New Roman"/>
          <w:sz w:val="18"/>
          <w:szCs w:val="18"/>
          <w:color w:val="auto"/>
        </w:rPr>
      </w:pPr>
    </w:p>
    <w:p>
      <w:pPr>
        <w:ind w:left="4" w:right="40" w:firstLine="436"/>
        <w:spacing w:after="0" w:line="258" w:lineRule="auto"/>
        <w:tabs>
          <w:tab w:leader="none" w:pos="669"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the Parent, the General Partner, any Loan Party or any other Subsidiary is aware of the same, prompt notice of the commencement of any proceeding or investigation by or before any Governmental Authority and any action or proceeding in any court or other tribunal or before any arbitrator against or in any other way relating adversely to, or adversely affecting, the Parent, the General Partner, any Loan Party or any other Subsidiary or any of their respective properties, assets or businesses which could reasonably be expected to have a Material Adverse Effect, and prompt notice of the receipt of notice that any United States income tax returns of any Loan Party or any other Subsidiary are being audited;</w:t>
      </w:r>
    </w:p>
    <w:p>
      <w:pPr>
        <w:spacing w:after="0" w:line="183"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any amendment to the agreement of limited partnership or other organizational documents of the Borrower within fifteen</w:t>
      </w:r>
    </w:p>
    <w:p>
      <w:pPr>
        <w:spacing w:after="0" w:line="27" w:lineRule="exact"/>
        <w:rPr>
          <w:rFonts w:ascii="Times New Roman" w:cs="Times New Roman" w:eastAsia="Times New Roman" w:hAnsi="Times New Roman"/>
          <w:sz w:val="18"/>
          <w:szCs w:val="18"/>
          <w:color w:val="auto"/>
        </w:rPr>
      </w:pPr>
    </w:p>
    <w:p>
      <w:pPr>
        <w:ind w:left="4" w:right="160" w:hanging="4"/>
        <w:spacing w:after="0" w:line="260" w:lineRule="auto"/>
        <w:tabs>
          <w:tab w:leader="none" w:pos="349"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after the effectiveness thereof, other than an amendment to such agreement of limited partnership to reflect issuances of additional interests in the Borrower as authorized by such agreement;</w:t>
      </w:r>
    </w:p>
    <w:p>
      <w:pPr>
        <w:spacing w:after="0" w:line="181" w:lineRule="exact"/>
        <w:rPr>
          <w:rFonts w:ascii="Times New Roman" w:cs="Times New Roman" w:eastAsia="Times New Roman" w:hAnsi="Times New Roman"/>
          <w:sz w:val="18"/>
          <w:szCs w:val="18"/>
          <w:color w:val="auto"/>
        </w:rPr>
      </w:pPr>
    </w:p>
    <w:p>
      <w:pPr>
        <w:jc w:val="both"/>
        <w:ind w:left="4" w:right="60" w:firstLine="436"/>
        <w:spacing w:after="0" w:line="266" w:lineRule="auto"/>
        <w:tabs>
          <w:tab w:leader="none" w:pos="699" w:val="left"/>
        </w:tabs>
        <w:numPr>
          <w:ilvl w:val="1"/>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 notice of (i) any change in the chief executive officer, chief financial officer or chief operating officer of the Borrower, any Subsidiary or any other Loan Party, or (ii) any change in the business, assets, liabilities, financial condition or results of operations of the Borrower, any Subsidiary or any other Loan Party which has had, or could reasonably be expected to have, a Material Adverse Effect;</w:t>
      </w:r>
    </w:p>
    <w:p>
      <w:pPr>
        <w:spacing w:after="0" w:line="175" w:lineRule="exact"/>
        <w:rPr>
          <w:rFonts w:ascii="Times New Roman" w:cs="Times New Roman" w:eastAsia="Times New Roman" w:hAnsi="Times New Roman"/>
          <w:sz w:val="18"/>
          <w:szCs w:val="18"/>
          <w:color w:val="auto"/>
        </w:rPr>
      </w:pPr>
    </w:p>
    <w:p>
      <w:pPr>
        <w:ind w:left="4" w:firstLine="436"/>
        <w:spacing w:after="0" w:line="261" w:lineRule="auto"/>
        <w:tabs>
          <w:tab w:leader="none" w:pos="659" w:val="left"/>
        </w:tabs>
        <w:numPr>
          <w:ilvl w:val="1"/>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upon a Responsible Officer of the Borrower obtaining knowledge thereof, prompt notice of the occurrence of any Default or Event of Default or any event which constitutes or which with the passage of time, the giving of notice, or otherwise, would constitute a default or event of default by any Loan Party or any other Subsidiary under any Material Contract to which any such Person is a party or by which any such Person or any of its respective properties may be bound;</w:t>
      </w:r>
    </w:p>
    <w:p>
      <w:pPr>
        <w:spacing w:after="0" w:line="179" w:lineRule="exact"/>
        <w:rPr>
          <w:rFonts w:ascii="Times New Roman" w:cs="Times New Roman" w:eastAsia="Times New Roman" w:hAnsi="Times New Roman"/>
          <w:sz w:val="18"/>
          <w:szCs w:val="18"/>
          <w:color w:val="auto"/>
        </w:rPr>
      </w:pPr>
    </w:p>
    <w:p>
      <w:pPr>
        <w:ind w:left="4" w:right="40" w:firstLine="436"/>
        <w:spacing w:after="0" w:line="282" w:lineRule="auto"/>
        <w:tabs>
          <w:tab w:leader="none" w:pos="659" w:val="left"/>
        </w:tabs>
        <w:numPr>
          <w:ilvl w:val="1"/>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 notice of any order, judgment or decree not covered by insurance in excess of $25,000,000 having been entered against any Loan Party or any other Subsidiary or any of their respective properties or assets;</w:t>
      </w:r>
    </w:p>
    <w:p>
      <w:pPr>
        <w:spacing w:after="0" w:line="9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0984"/>
          </w:cols>
          <w:pgMar w:left="436" w:top="270" w:right="479" w:bottom="1440" w:gutter="0" w:footer="0" w:header="0"/>
        </w:sectPr>
      </w:pPr>
    </w:p>
    <w:bookmarkStart w:id="250" w:name="page251"/>
    <w:bookmarkEnd w:id="250"/>
    <w:p>
      <w:pPr>
        <w:jc w:val="both"/>
        <w:ind w:left="-60" w:right="520" w:firstLine="436"/>
        <w:spacing w:after="0" w:line="312" w:lineRule="auto"/>
        <w:tabs>
          <w:tab w:leader="none" w:pos="635" w:val="left"/>
        </w:tabs>
        <w:numPr>
          <w:ilvl w:val="0"/>
          <w:numId w:val="2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Prompt notice if the Borrower, any Subsidiary or any other Loan Party shall receive any notification from any Governmental Authority alleging a violation of any Applicable Law or any inquiry which, in either case, could reasonably be expected to have a Material Adverse Effect</w:t>
      </w:r>
    </w:p>
    <w:p>
      <w:pPr>
        <w:spacing w:after="0" w:line="139" w:lineRule="exact"/>
        <w:rPr>
          <w:rFonts w:ascii="Times New Roman" w:cs="Times New Roman" w:eastAsia="Times New Roman" w:hAnsi="Times New Roman"/>
          <w:sz w:val="17"/>
          <w:szCs w:val="17"/>
          <w:color w:val="auto"/>
        </w:rPr>
      </w:pPr>
    </w:p>
    <w:p>
      <w:pPr>
        <w:ind w:left="-60" w:firstLine="436"/>
        <w:spacing w:after="0" w:line="258" w:lineRule="auto"/>
        <w:tabs>
          <w:tab w:leader="none" w:pos="595"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Parent does not provide the balance sheet of the Parent and its Subsidiaries and the related consolidated statements of operations, shareholders’ equity and cash flows for any quarterly or annual period on Form 10-K or 10-Q filed with the Securities and Exchange Commission, the Borrower shall deliver such information to the Administrative Agent for distribution to the Lenders as soon as available and in any event no later than 50 days after the end of each of the first, second and third fiscal quarters of the Parent and 90 days after the end of each fiscal year of the Parent;</w:t>
      </w:r>
    </w:p>
    <w:p>
      <w:pPr>
        <w:spacing w:after="0" w:line="183" w:lineRule="exact"/>
        <w:rPr>
          <w:rFonts w:ascii="Times New Roman" w:cs="Times New Roman" w:eastAsia="Times New Roman" w:hAnsi="Times New Roman"/>
          <w:sz w:val="18"/>
          <w:szCs w:val="18"/>
          <w:color w:val="auto"/>
        </w:rPr>
      </w:pPr>
    </w:p>
    <w:p>
      <w:pPr>
        <w:ind w:left="-60" w:right="360" w:firstLine="436"/>
        <w:spacing w:after="0" w:line="282" w:lineRule="auto"/>
        <w:tabs>
          <w:tab w:leader="none" w:pos="685"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upon the request of the Administrative Agent, evidence of the Borrower’s calculation of the Ownership Share with respect to a Subsidiary or an Unconsolidated Affiliate, such evidence to be in form and detail satisfactory to the Administrative Agent;</w:t>
      </w:r>
    </w:p>
    <w:p>
      <w:pPr>
        <w:spacing w:after="0" w:line="161" w:lineRule="exact"/>
        <w:rPr>
          <w:rFonts w:ascii="Times New Roman" w:cs="Times New Roman" w:eastAsia="Times New Roman" w:hAnsi="Times New Roman"/>
          <w:sz w:val="18"/>
          <w:szCs w:val="18"/>
          <w:color w:val="auto"/>
        </w:rPr>
      </w:pPr>
    </w:p>
    <w:p>
      <w:pPr>
        <w:ind w:left="-60" w:right="180" w:firstLine="436"/>
        <w:spacing w:after="0" w:line="282" w:lineRule="auto"/>
        <w:tabs>
          <w:tab w:leader="none" w:pos="635"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upon any change in the Borrower’s Credit Rating, a certificate stating that the Borrower’s Credit Rating has changed and the new Credit Rating that is in effect;</w:t>
      </w:r>
    </w:p>
    <w:p>
      <w:pPr>
        <w:spacing w:after="0" w:line="161" w:lineRule="exact"/>
        <w:rPr>
          <w:rFonts w:ascii="Times New Roman" w:cs="Times New Roman" w:eastAsia="Times New Roman" w:hAnsi="Times New Roman"/>
          <w:sz w:val="18"/>
          <w:szCs w:val="18"/>
          <w:color w:val="auto"/>
        </w:rPr>
      </w:pPr>
    </w:p>
    <w:p>
      <w:pPr>
        <w:ind w:left="-60" w:right="320" w:firstLine="436"/>
        <w:spacing w:after="0" w:line="266" w:lineRule="auto"/>
        <w:tabs>
          <w:tab w:leader="none" w:pos="635"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upon the request therefor, such other information and documentation required under applicable “know your customer” rules and regulations, the PATRIOT Act or any applicable Anti-Money Laundering Laws, in each case as from time to time reasonably requested by the Administrative Agent or any Lender;</w:t>
      </w:r>
    </w:p>
    <w:p>
      <w:pPr>
        <w:spacing w:after="0" w:line="175" w:lineRule="exact"/>
        <w:rPr>
          <w:rFonts w:ascii="Times New Roman" w:cs="Times New Roman" w:eastAsia="Times New Roman" w:hAnsi="Times New Roman"/>
          <w:sz w:val="18"/>
          <w:szCs w:val="18"/>
          <w:color w:val="auto"/>
        </w:rPr>
      </w:pPr>
    </w:p>
    <w:p>
      <w:pPr>
        <w:ind w:left="-60" w:right="180" w:firstLine="436"/>
        <w:spacing w:after="0" w:line="282" w:lineRule="auto"/>
        <w:tabs>
          <w:tab w:leader="none" w:pos="635"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 notice of the sale, transfer or other disposition of any material assets of the Borrower, any Subsidiary or any other Loan Party to any Person other than the Borrower, any Subsidiary or any other Loan Party;</w:t>
      </w:r>
    </w:p>
    <w:p>
      <w:pPr>
        <w:spacing w:after="0" w:line="161" w:lineRule="exact"/>
        <w:rPr>
          <w:rFonts w:ascii="Times New Roman" w:cs="Times New Roman" w:eastAsia="Times New Roman" w:hAnsi="Times New Roman"/>
          <w:sz w:val="18"/>
          <w:szCs w:val="18"/>
          <w:color w:val="auto"/>
        </w:rPr>
      </w:pPr>
    </w:p>
    <w:p>
      <w:pPr>
        <w:ind w:left="-60" w:right="80" w:firstLine="436"/>
        <w:spacing w:after="0" w:line="254" w:lineRule="auto"/>
        <w:tabs>
          <w:tab w:leader="none" w:pos="635"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 written notice, meaning within ten (10) Business Days after the Borrower obtains knowledge thereof, of the occurrence of any of the following: (i) the Borrower, any Loan Party or any other Subsidiary shall receive written notice that any violation of Environmental Law has or may have been committed or is about to be committed; (ii) the Borrower, any Loan Party or any other Subsidiary shall receive written notice that any administrative or judicial complaint, or order has been filed or is about to be filed against any such Person alleging any violation of any Environmental Law or requiring the Borrower, any Loan Party or any other Subsidiary to take any action in connection with the release or threatened release of Hazardous Materials; or (iii) the Borrower, any Loan Party or any other Subsidiary shall receive any notice from a Governmental Authority or private party alleging that any such Person may be liable or responsible for any costs associated with a response to, or remediation or cleanup of, a release of Hazardous Materials or any damages caused thereby; and the matters covered by such notice(s) under the foregoing clauses (i) through (iii) above, whether individually or in the aggregate, could reasonably be expected to have a Material Adverse Effect;</w:t>
      </w:r>
    </w:p>
    <w:p>
      <w:pPr>
        <w:spacing w:after="0" w:line="188" w:lineRule="exact"/>
        <w:rPr>
          <w:rFonts w:ascii="Times New Roman" w:cs="Times New Roman" w:eastAsia="Times New Roman" w:hAnsi="Times New Roman"/>
          <w:sz w:val="18"/>
          <w:szCs w:val="18"/>
          <w:color w:val="auto"/>
        </w:rPr>
      </w:pPr>
    </w:p>
    <w:p>
      <w:pPr>
        <w:ind w:left="-60" w:right="240" w:firstLine="436"/>
        <w:spacing w:after="0" w:line="282" w:lineRule="auto"/>
        <w:tabs>
          <w:tab w:leader="none" w:pos="605"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upon the request of the Administrative Agent, the Derivatives Termination Value in respect of any Specified Derivatives Contract from time to time outstanding;</w:t>
      </w:r>
    </w:p>
    <w:p>
      <w:pPr>
        <w:spacing w:after="0" w:line="161" w:lineRule="exact"/>
        <w:rPr>
          <w:rFonts w:ascii="Times New Roman" w:cs="Times New Roman" w:eastAsia="Times New Roman" w:hAnsi="Times New Roman"/>
          <w:sz w:val="18"/>
          <w:szCs w:val="18"/>
          <w:color w:val="auto"/>
        </w:rPr>
      </w:pPr>
    </w:p>
    <w:p>
      <w:pPr>
        <w:ind w:left="-60" w:firstLine="436"/>
        <w:spacing w:after="0" w:line="266" w:lineRule="auto"/>
        <w:tabs>
          <w:tab w:leader="none" w:pos="615"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time to time and promptly upon each request, such data, certificates, reports, statements, opinions of counsel, documents or further information regarding the business, assets, liabilities, financial condition or results of operations of the Parent, the General Partner, the Borrower, any of their respective Subsidiaries, or any other Loan Party as the Administrative Agent or any Lender may reasonably request; and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0880"/>
          </w:cols>
          <w:pgMar w:left="500" w:top="270" w:right="519" w:bottom="1440" w:gutter="0" w:footer="0" w:header="0"/>
        </w:sectPr>
      </w:pPr>
    </w:p>
    <w:bookmarkStart w:id="251" w:name="page252"/>
    <w:bookmarkEnd w:id="251"/>
    <w:p>
      <w:pPr>
        <w:ind w:firstLine="436"/>
        <w:spacing w:after="0" w:line="266" w:lineRule="auto"/>
        <w:tabs>
          <w:tab w:leader="none" w:pos="655"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Promptly, upon any change in the tax identification number of the Borrower, and in any event within ten (10) Business Days of a Responsible Officer of the Borrower obtaining knowledge thereof, evidence of such new tax identification number issued by the appropriate Governmental Authority in form and substance satisfactory to the Administrative Agent.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8.5. Electronic Delivery of Certain Information.</w:t>
      </w:r>
    </w:p>
    <w:p>
      <w:pPr>
        <w:spacing w:after="0" w:line="121" w:lineRule="exact"/>
        <w:rPr>
          <w:sz w:val="20"/>
          <w:szCs w:val="20"/>
          <w:color w:val="auto"/>
        </w:rPr>
      </w:pPr>
    </w:p>
    <w:p>
      <w:pPr>
        <w:ind w:firstLine="436"/>
        <w:spacing w:after="0" w:line="251" w:lineRule="auto"/>
        <w:tabs>
          <w:tab w:leader="none" w:pos="685"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Documents required to be delivered pursuant to the Loan Documents shall be delivered by electronic communication and delivery, including, the Internet, e-mail or intranet websites to which the Administrative Agent and each Lender have access (including a commercial, third-party website or a website sponsored or hosted by the Administrative Agent or the Borrower) provided that the foregoing shall not apply to (i) notices to any Lender pursuant to Article II. and (ii) any Lender that has notified the Administrative Agent and the Borrower that it cannot or does not want to receive electronic communications. The Administrative Agent or the Borrower may, in its discretion, agree to accept notices and other communications to it hereunder by electronic delivery pursuant to procedures approved by it for all or particular notices or communications. Documents or notices delivered electronically shall be deemed to have been delivered on the date and time on which the Administrative Agent or the Borrower posts such documents or the documents become available on a commercial website and the Borrower notifies the Administrative Agent of said posting by causing an e-mail notification to be sent to an e-mail address specified from time to time by the Administrative Agent and provides a link thereto; provided if such notice or other communication is not sent or posted during the normal business hours of the recipient, said posting date and time shall be deemed to have commenced as of 12:00 p.m. noon Eastern time on the opening of business on the next business day for the recipient. Notwithstanding anything contained herein, in every instance the Borrower shall be required to provide paper copies of the certificate required by Section 8.3. to the Administrative Agent and shall deliver paper copies of any documents to the Administrative Agent or to any Lender that requests such paper copies until a written request to cease delivering paper copies is given by the Administrative Agent or such Lender. Except for the certificates required by</w:t>
      </w:r>
    </w:p>
    <w:p>
      <w:pPr>
        <w:spacing w:after="0" w:line="11" w:lineRule="exact"/>
        <w:rPr>
          <w:rFonts w:ascii="Times New Roman" w:cs="Times New Roman" w:eastAsia="Times New Roman" w:hAnsi="Times New Roman"/>
          <w:sz w:val="18"/>
          <w:szCs w:val="18"/>
          <w:color w:val="auto"/>
        </w:rPr>
      </w:pPr>
    </w:p>
    <w:p>
      <w:pPr>
        <w:ind w:right="3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8.3., the Administrative Agent shall have no obligation to request the delivery of or to maintain paper copies of the documents delivered electronically, and in any event shall have no responsibility to monitor compliance by the Borrower with any such request for delivery. Each Lender shall be solely responsible for requesting delivery to it of paper copies and maintaining its paper or electronic documents.</w:t>
      </w:r>
    </w:p>
    <w:p>
      <w:pPr>
        <w:spacing w:after="0" w:line="185" w:lineRule="exact"/>
        <w:rPr>
          <w:rFonts w:ascii="Times New Roman" w:cs="Times New Roman" w:eastAsia="Times New Roman" w:hAnsi="Times New Roman"/>
          <w:sz w:val="18"/>
          <w:szCs w:val="18"/>
          <w:color w:val="auto"/>
        </w:rPr>
      </w:pPr>
    </w:p>
    <w:p>
      <w:pPr>
        <w:ind w:right="500" w:firstLine="436"/>
        <w:spacing w:after="0" w:line="282" w:lineRule="auto"/>
        <w:tabs>
          <w:tab w:leader="none" w:pos="695"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Documents required to be delivered pursuant to Article II. may be delivered electronically to a website provided for such purpose by the Administrative Agent pursuant to the procedures provided to the Borrower by the Administrative Agent.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8.6. Public/Private Information.</w:t>
      </w:r>
    </w:p>
    <w:p>
      <w:pPr>
        <w:spacing w:after="0" w:line="121"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The Borrower will cooperate with the Administrative Agent in connection with the publication of certain materials and/or information provided by or on behalf of the Borrower to the Administrative Agent and the Lenders (collectively, “</w:t>
      </w:r>
      <w:r>
        <w:rPr>
          <w:rFonts w:ascii="Times New Roman" w:cs="Times New Roman" w:eastAsia="Times New Roman" w:hAnsi="Times New Roman"/>
          <w:sz w:val="18"/>
          <w:szCs w:val="18"/>
          <w:b w:val="1"/>
          <w:bCs w:val="1"/>
          <w:color w:val="auto"/>
        </w:rPr>
        <w:t>Information Materials</w:t>
      </w:r>
      <w:r>
        <w:rPr>
          <w:rFonts w:ascii="Times New Roman" w:cs="Times New Roman" w:eastAsia="Times New Roman" w:hAnsi="Times New Roman"/>
          <w:sz w:val="18"/>
          <w:szCs w:val="18"/>
          <w:color w:val="auto"/>
        </w:rPr>
        <w:t>”) pursuant to this Article and the Borrower will designate Information Materials (a) that are either available to the public or not material with respect to the Borrower and its Subsidiaries or any of their respective securities for purposes of United States federal and state securities laws, as “Public Information” and (b) that are not Public Information as “Private Information”. The Administrative Agent and the Borrower acknowledge and agree that the Borrower is obligated to file reports under the Securities Exchange Act. All Information Materials filed with or furnished to the Securities and Exchange Commission by, or on behalf of, the Borrower pursuant to the Securities Exchange Act or filed by, or on behalf of, the Borrower with the Securities and Exchange Commission pursuant to the Securities Act, distributed by, or on behalf of, the Borrower by press release through a widely disseminated news or wire service, or otherwise expressly designated by the Borrower as Public Information are hereby designated as Public Information and all other Information Materials are hereby designated as Private Information.</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000"/>
          </w:cols>
          <w:pgMar w:left="440" w:top="270" w:right="459"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8.7. USA Patriot Act Notice; Compliance.</w:t>
      </w:r>
    </w:p>
    <w:p>
      <w:pPr>
        <w:spacing w:after="0" w:line="121"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The Administrative Agent and each Lender hereby notifies the Borrower that pursuant to the requirements of the PATRIOT Act or any other Anti-Money Laundering Laws, each of them is required to obtain, verify and record information that identifies each Loan Party, which information includes the name and address of each Loan Party and other information that will allow such Lender to identify each Loan Party in accordance with the PATRIOT Act or such Anti-Money Laundering Laws.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 Negative Covenants</w:t>
      </w:r>
    </w:p>
    <w:p>
      <w:pPr>
        <w:spacing w:after="0" w:line="229" w:lineRule="exact"/>
        <w:rPr>
          <w:sz w:val="20"/>
          <w:szCs w:val="20"/>
          <w:color w:val="auto"/>
        </w:rPr>
      </w:pPr>
    </w:p>
    <w:p>
      <w:pPr>
        <w:ind w:right="720" w:firstLine="440"/>
        <w:spacing w:after="0" w:line="282" w:lineRule="auto"/>
        <w:rPr>
          <w:sz w:val="20"/>
          <w:szCs w:val="20"/>
          <w:color w:val="auto"/>
        </w:rPr>
      </w:pPr>
      <w:r>
        <w:rPr>
          <w:rFonts w:ascii="Times New Roman" w:cs="Times New Roman" w:eastAsia="Times New Roman" w:hAnsi="Times New Roman"/>
          <w:sz w:val="18"/>
          <w:szCs w:val="18"/>
          <w:color w:val="auto"/>
        </w:rPr>
        <w:t>For so long as this Agreement is in effect, unless the Requisite Lenders (or, if required pursuant to Section 12.7., all of the Lenders) shall otherwise consent in the manner set forth in Section 12.7., the Borrower shall comply with the following covenants: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9.1. Financial Covenants.</w:t>
      </w:r>
    </w:p>
    <w:p>
      <w:pPr>
        <w:spacing w:after="0" w:line="121" w:lineRule="exact"/>
        <w:rPr>
          <w:sz w:val="20"/>
          <w:szCs w:val="20"/>
          <w:color w:val="auto"/>
        </w:rPr>
      </w:pPr>
    </w:p>
    <w:p>
      <w:pPr>
        <w:ind w:left="680" w:hanging="244"/>
        <w:spacing w:after="0"/>
        <w:tabs>
          <w:tab w:leader="none" w:pos="68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Omitted]</w:t>
      </w:r>
    </w:p>
    <w:p>
      <w:pPr>
        <w:spacing w:after="0" w:line="225" w:lineRule="exact"/>
        <w:rPr>
          <w:rFonts w:ascii="Times New Roman" w:cs="Times New Roman" w:eastAsia="Times New Roman" w:hAnsi="Times New Roman"/>
          <w:sz w:val="18"/>
          <w:szCs w:val="18"/>
          <w:color w:val="auto"/>
        </w:rPr>
      </w:pPr>
    </w:p>
    <w:p>
      <w:pPr>
        <w:ind w:firstLine="436"/>
        <w:spacing w:after="0" w:line="255" w:lineRule="auto"/>
        <w:tabs>
          <w:tab w:leader="none" w:pos="695"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Maximum Leverage Ratio</w:t>
      </w:r>
      <w:r>
        <w:rPr>
          <w:rFonts w:ascii="Times New Roman" w:cs="Times New Roman" w:eastAsia="Times New Roman" w:hAnsi="Times New Roman"/>
          <w:sz w:val="18"/>
          <w:szCs w:val="18"/>
          <w:color w:val="auto"/>
        </w:rPr>
        <w:t xml:space="preserve">. The Borrower shall not permit the ratio of (i) Total Indebtedness to (ii) Total Asset Value to exceed 0.60 to 1.00 at any time;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if such ratio is greater than 0.60 to 1.00 but is not greater than 0.65 to 1.00, then the Borrower shall be deemed to be in compliance with this Section 9.1.(b) so long as (a) the Borrower completed a Material Acquisition which resulted in such ratio (after giving effect to such Material Acquisition) exceeding 0.60 to 1.00 at any time during the fiscal quarter in which such Material Acquisition took place and for any subsequent consecutive fiscal quarters, (b) the Borrower has not maintained compliance with this Section 9.1.(b) in reliance on this proviso for more than four fiscal quarters (whether or not consecutive) during the term of this Agreement and (c) such ratio (after giving effect to such Material Acquisition) is not greater than 0.65 to 1.00 at any time.</w:t>
      </w:r>
    </w:p>
    <w:p>
      <w:pPr>
        <w:spacing w:after="0" w:line="188" w:lineRule="exact"/>
        <w:rPr>
          <w:rFonts w:ascii="Times New Roman" w:cs="Times New Roman" w:eastAsia="Times New Roman" w:hAnsi="Times New Roman"/>
          <w:sz w:val="18"/>
          <w:szCs w:val="18"/>
          <w:color w:val="auto"/>
        </w:rPr>
      </w:pPr>
    </w:p>
    <w:p>
      <w:pPr>
        <w:ind w:right="240" w:firstLine="436"/>
        <w:spacing w:after="0" w:line="282" w:lineRule="auto"/>
        <w:tabs>
          <w:tab w:leader="none" w:pos="685"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Minimum Fixed Charge Coverage Ratio</w:t>
      </w:r>
      <w:r>
        <w:rPr>
          <w:rFonts w:ascii="Times New Roman" w:cs="Times New Roman" w:eastAsia="Times New Roman" w:hAnsi="Times New Roman"/>
          <w:sz w:val="18"/>
          <w:szCs w:val="18"/>
          <w:color w:val="auto"/>
        </w:rPr>
        <w:t>. The Borrower shall not permit the ratio of (i) Adjusted EBITDA for the period of four consecutive fiscal quarters most recently ended to (ii) Fixed Charges for such period, to be less than 1.50 to 1.00 as of the last day of such period.</w:t>
      </w:r>
    </w:p>
    <w:p>
      <w:pPr>
        <w:spacing w:after="0" w:line="161" w:lineRule="exact"/>
        <w:rPr>
          <w:rFonts w:ascii="Times New Roman" w:cs="Times New Roman" w:eastAsia="Times New Roman" w:hAnsi="Times New Roman"/>
          <w:sz w:val="18"/>
          <w:szCs w:val="18"/>
          <w:color w:val="auto"/>
        </w:rPr>
      </w:pPr>
    </w:p>
    <w:p>
      <w:pPr>
        <w:ind w:right="860" w:firstLine="436"/>
        <w:spacing w:after="0" w:line="282" w:lineRule="auto"/>
        <w:tabs>
          <w:tab w:leader="none" w:pos="695"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Maximum Secured Indebtedness Ratio</w:t>
      </w:r>
      <w:r>
        <w:rPr>
          <w:rFonts w:ascii="Times New Roman" w:cs="Times New Roman" w:eastAsia="Times New Roman" w:hAnsi="Times New Roman"/>
          <w:sz w:val="18"/>
          <w:szCs w:val="18"/>
          <w:color w:val="auto"/>
        </w:rPr>
        <w:t>. The Borrower shall not permit the ratio of (i) Secured Indebtedness of the Borrower and its Subsidiaries determined on a consolidated basis to (ii) Total Asset Value to exceed 0.35 to 1.00 at any time.</w:t>
      </w:r>
    </w:p>
    <w:p>
      <w:pPr>
        <w:spacing w:after="0" w:line="161" w:lineRule="exact"/>
        <w:rPr>
          <w:rFonts w:ascii="Times New Roman" w:cs="Times New Roman" w:eastAsia="Times New Roman" w:hAnsi="Times New Roman"/>
          <w:sz w:val="18"/>
          <w:szCs w:val="18"/>
          <w:color w:val="auto"/>
        </w:rPr>
      </w:pPr>
    </w:p>
    <w:p>
      <w:pPr>
        <w:ind w:right="20" w:firstLine="436"/>
        <w:spacing w:after="0" w:line="254" w:lineRule="auto"/>
        <w:tabs>
          <w:tab w:leader="none" w:pos="685"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Maximum Unencumbered Leverage Ratio</w:t>
      </w:r>
      <w:r>
        <w:rPr>
          <w:rFonts w:ascii="Times New Roman" w:cs="Times New Roman" w:eastAsia="Times New Roman" w:hAnsi="Times New Roman"/>
          <w:sz w:val="18"/>
          <w:szCs w:val="18"/>
          <w:color w:val="auto"/>
        </w:rPr>
        <w:t xml:space="preserve">. The Borrower shall not permit the ratio of (i) Unsecured Indebtedness of the Borrower and its Subsidiaries determined on a consolidated basis to (ii) Unencumbered Asset Value, to exceed 0.60 to 1.00 at any time;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if such ratio is greater than 0.60 to 1.00 but is not greater than 0.65 to 1.00, then the Borrower shall be deemed to be in compliance with this Section 9.1.(e) so long as (a) the Borrower completed a Material Acquisition which resulted in such ratio (after giving effect to such Material Acquisition) exceeding 0.60 to 1.00 at any time during the fiscal quarter in which such Material Acquisition took place and for any subsequent consecutive fiscal quarters, (b) the Borrower has not maintained compliance with this Section 9.1.(e) in reliance on this proviso for more than four fiscal quarters (whether or not consecutive) during the term of this Agreement and (c) such ratio (after giving effect to such Material Acquisition) is not greater than 0.65 to 1.00 at any time.</w:t>
      </w:r>
    </w:p>
    <w:p>
      <w:pPr>
        <w:spacing w:after="0" w:line="83"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Omitted].</w:t>
      </w:r>
    </w:p>
    <w:p>
      <w:pPr>
        <w:spacing w:after="0" w:line="11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Omitted].</w:t>
      </w:r>
    </w:p>
    <w:p>
      <w:pPr>
        <w:spacing w:after="0" w:line="11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Omitted].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000"/>
          </w:cols>
          <w:pgMar w:left="440" w:top="266" w:right="459" w:bottom="1440" w:gutter="0" w:footer="0" w:header="0"/>
        </w:sectPr>
      </w:pPr>
    </w:p>
    <w:bookmarkStart w:id="253" w:name="page254"/>
    <w:bookmarkEnd w:id="253"/>
    <w:p>
      <w:pPr>
        <w:ind w:left="4" w:right="180" w:firstLine="436"/>
        <w:spacing w:after="0" w:line="253" w:lineRule="auto"/>
        <w:tabs>
          <w:tab w:leader="none" w:pos="659"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Dividends and Other Restricted Payments</w:t>
      </w:r>
      <w:r>
        <w:rPr>
          <w:rFonts w:ascii="Times New Roman" w:cs="Times New Roman" w:eastAsia="Times New Roman" w:hAnsi="Times New Roman"/>
          <w:sz w:val="18"/>
          <w:szCs w:val="18"/>
          <w:color w:val="auto"/>
        </w:rPr>
        <w:t>. The Borrower shall not, and shall not permit any of its Subsidiaries to, declare or make any Restricted Payment if an Event of Default shall have occurred and is continuing; except that the Borrower may, subject to the immediately following sentence, (i) declare and make cash distributions to its partners during any fiscal year in an aggregate amount not to exceed the minimum amount necessary for the Parent to maintain its status as a REIT and (ii) make cash distributions to the Parent to the extent required to fund administrative and operating expenses of the Parent to the extent attributable to any activity of or with respect to the Parent that is not otherwise prohibited by this Agreement (including liabilities incurred in connection with its maintenance of corporate status, preparation of Securities and Exchange Commission filings, accountant’s fees and similar administrative matters). Notwithstanding the foregoing, if an Event of Default specified in Section 10.1.(a), Section 10.1.(e) or Section 10.1.(f) shall have occurred and is continuing, or if as a result of the occurrence of any other Event of Default any of the Obligations have been accelerated pursuant to Section 10.2.(a), the Borrower shall not, and shall not permit any Subsidiary to, make any Restricted Payment to any Person other than to the Borrower or any Subsidiary.</w:t>
      </w:r>
    </w:p>
    <w:p>
      <w:pPr>
        <w:spacing w:after="0" w:line="29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9.2. [Intentionally Omitted].</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9.3. Liens; Negative Pledges.</w:t>
      </w:r>
    </w:p>
    <w:p>
      <w:pPr>
        <w:spacing w:after="0" w:line="121" w:lineRule="exact"/>
        <w:rPr>
          <w:sz w:val="20"/>
          <w:szCs w:val="20"/>
          <w:color w:val="auto"/>
        </w:rPr>
      </w:pPr>
    </w:p>
    <w:p>
      <w:pPr>
        <w:ind w:left="4" w:right="100" w:firstLine="436"/>
        <w:spacing w:after="0" w:line="258" w:lineRule="auto"/>
        <w:tabs>
          <w:tab w:leader="none" w:pos="689"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not, and shall not permit any Subsidiary (other than an Excluded Subsidiary) or other Loan Party to, create, assume, or incur any Lien (other than Permitted Liens) upon any of its properties, assets, income or profits of any character whether now owned or hereafter acquired if as a result of the creation, assumption or incurring of such Lien, a Default or Event of Default is or would be caused thereby or any other Major Default or Event of Default has occurred and is continuing, including without limitation, a Default or Event of Default resulting from a violation of any of the covenants contained in Section 9.1.</w:t>
      </w:r>
    </w:p>
    <w:p>
      <w:pPr>
        <w:spacing w:after="0" w:line="183" w:lineRule="exact"/>
        <w:rPr>
          <w:rFonts w:ascii="Times New Roman" w:cs="Times New Roman" w:eastAsia="Times New Roman" w:hAnsi="Times New Roman"/>
          <w:sz w:val="18"/>
          <w:szCs w:val="18"/>
          <w:color w:val="auto"/>
        </w:rPr>
      </w:pPr>
    </w:p>
    <w:p>
      <w:pPr>
        <w:ind w:left="4" w:right="40" w:firstLine="436"/>
        <w:spacing w:after="0" w:line="256" w:lineRule="auto"/>
        <w:tabs>
          <w:tab w:leader="none" w:pos="699"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not, and shall not permit any Subsidiary (other than an Excluded Subsidiary) or other Loan Party to, enter into, assume or otherwise be bound by any Negative Pledge except for (i) a Negative Pledge contained in any agreement (x) evidencing Indebtedness which (A) the Borrower or such Subsidiary may create, incur, assume, or permit or suffer to exist under this Agreement and (B) is secured by a Lien permitted to exist hereunder and (y) which prohibits the creation of any other Lien on only the property securing such Indebtedness as of the date such agreement was entered into or (ii) a Negative Pledge contained in any agreement that evidences unsecured Indebtedness which contains restrictions on encumbering assets that are substantially similar to, or less restrictive than, those restrictions contained in the Loan Documents.</w:t>
      </w:r>
    </w:p>
    <w:p>
      <w:pPr>
        <w:spacing w:after="0" w:line="29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9.4. Restrictions on Intercompany Transfers.</w:t>
      </w:r>
    </w:p>
    <w:p>
      <w:pPr>
        <w:spacing w:after="0" w:line="121" w:lineRule="exact"/>
        <w:rPr>
          <w:sz w:val="20"/>
          <w:szCs w:val="20"/>
          <w:color w:val="auto"/>
        </w:rPr>
      </w:pPr>
    </w:p>
    <w:p>
      <w:pPr>
        <w:ind w:left="4" w:right="80" w:firstLine="440"/>
        <w:spacing w:after="0" w:line="272" w:lineRule="auto"/>
        <w:rPr>
          <w:sz w:val="20"/>
          <w:szCs w:val="20"/>
          <w:color w:val="auto"/>
        </w:rPr>
      </w:pPr>
      <w:r>
        <w:rPr>
          <w:rFonts w:ascii="Times New Roman" w:cs="Times New Roman" w:eastAsia="Times New Roman" w:hAnsi="Times New Roman"/>
          <w:sz w:val="17"/>
          <w:szCs w:val="17"/>
          <w:color w:val="auto"/>
        </w:rPr>
        <w:t>The Borrower shall not, and shall not permit any other Loan Party or any other Subsidiary (other than an Excluded Subsidiary) to, create or otherwise cause or suffer to exist or become effective any consensual encumbrance or restriction of any kind on the ability of any Subsidiary to: (a) pay dividends or make any other distribution on any of such Subsidiary’s capital stock or other equity interests owned by the Borrower or any Subsidiary;</w:t>
      </w:r>
    </w:p>
    <w:p>
      <w:pPr>
        <w:spacing w:after="0" w:line="2" w:lineRule="exact"/>
        <w:rPr>
          <w:sz w:val="20"/>
          <w:szCs w:val="20"/>
          <w:color w:val="auto"/>
        </w:rPr>
      </w:pPr>
    </w:p>
    <w:p>
      <w:pPr>
        <w:ind w:left="4" w:hanging="4"/>
        <w:spacing w:after="0" w:line="251" w:lineRule="auto"/>
        <w:tabs>
          <w:tab w:leader="none" w:pos="259"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any Indebtedness owed to the Borrower or any Subsidiary; (c) make loans or advances to the Borrower or any Subsidiary; or (d) transfer any of its property or assets to the Borrower or any Subsidiary; other than (i) with respect to clauses (a) through (d), those encumbrances or restrictions contained in any Loan Document or in any other agreement (A) evidencing Unsecured Indebtedness that the Borrower, any other Loan Party or any other Subsidiary may create, incur, assume or permit or suffer to exist under this Agreement and (B) containing encumbrances and restrictions imposed in connection with such Unsecured Indebtedness that are either substantially similar to, or less restrictive than, such encumbrances and restrictions set forth in the Loan Documents, (ii) with respect to clause (d), customary provisions restricting assignment of any agreement entered into by the Borrower, any other Loan Party or any Subsidiary in the ordinary course of business and (iii) with respect to clauses (a) through (d), in the case of a Subsidiary that is not a Wholly Owned Subsidiary, limitations arising after the date hereof to the effect that any such dividends, distributions, loans, advances or transfers of property must be on fair and reasonable terms and on an arm’s length basis.</w:t>
      </w:r>
    </w:p>
    <w:p>
      <w:pPr>
        <w:spacing w:after="0" w:line="12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0984"/>
          </w:cols>
          <w:pgMar w:left="436" w:top="270" w:right="479"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9.5. Merger, Consolidation, Sales of Assets and Other Arrangements.</w:t>
      </w:r>
    </w:p>
    <w:p>
      <w:pPr>
        <w:spacing w:after="0" w:line="121"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The Borrower shall not, and shall not permit any other Loan Party or any other Subsidiary to, (a) enter into any transaction of merger or consolidation; (b) liquidate, windup or dissolve itself (or suffer any liquidation or dissolution); or (c) convey, sell, lease, sublease, transfer or otherwise dispose of, in one transaction or a series of transactions, all or any substantial part of its business or assets whether now owned or hereafter acquired; provided, however, that:</w:t>
      </w:r>
    </w:p>
    <w:p>
      <w:pPr>
        <w:spacing w:after="0" w:line="72" w:lineRule="exact"/>
        <w:rPr>
          <w:sz w:val="20"/>
          <w:szCs w:val="20"/>
          <w:color w:val="auto"/>
        </w:rPr>
      </w:pPr>
    </w:p>
    <w:p>
      <w:pPr>
        <w:ind w:left="440" w:right="80" w:firstLine="419"/>
        <w:spacing w:after="0" w:line="269" w:lineRule="auto"/>
        <w:tabs>
          <w:tab w:leader="none" w:pos="1078" w:val="left"/>
        </w:tabs>
        <w:numPr>
          <w:ilvl w:val="1"/>
          <w:numId w:val="2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of the actions described in the immediately preceding clauses (a), (b) and (c) may be taken with respect to any Subsidiary or any other Loan Party (other than the Borrower) so long as, as a result of the taking of such action, and after giving effect thereto, no Default or Event of Default is or would be caused thereby, and no other Major Default or Event of Default has occurred and is continuing; notwithstanding the foregoing, any such Loan Party may enter into a transaction of merger pursuant to which such Loan Party is not the survivor of such merger only if (A) the Borrower shall have given the Administrative Agent and the Lenders at least 10 Business Days’ prior written notice of such merger;</w:t>
      </w:r>
    </w:p>
    <w:p>
      <w:pPr>
        <w:spacing w:after="0" w:line="2" w:lineRule="exact"/>
        <w:rPr>
          <w:rFonts w:ascii="Times New Roman" w:cs="Times New Roman" w:eastAsia="Times New Roman" w:hAnsi="Times New Roman"/>
          <w:sz w:val="17"/>
          <w:szCs w:val="17"/>
          <w:color w:val="auto"/>
        </w:rPr>
      </w:pPr>
    </w:p>
    <w:p>
      <w:pPr>
        <w:ind w:left="440" w:hanging="4"/>
        <w:spacing w:after="0" w:line="251" w:lineRule="auto"/>
        <w:tabs>
          <w:tab w:leader="none" w:pos="725"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survivor entity is already a Loan Party or is required to become a Guarantor pursuant to Section 7.14. (and is not already a Guarantor), within five (5) Business Days of consummation of such merger, the survivor entity shall have executed and delivered an Accession Agreement (or if the Guaranty is not then in existence, a Guaranty executed by such survivor entity); (C) within 30 days of consummation of such merger, the survivor entity delivers to the Administrative Agent the following: (1) items of the type referred to in Sections 5.1.(a)(iv) through (viii) with respect to the survivor entity as in effect after consummation of such merger (if not previously delivered to the Administrative Agent and still in effect), (2) copies of all documents entered into by such Loan Party or the survivor entity to effectuate the consummation of such merger, including, but not limited to, articles of merger and the plan of merger, (3) copies, certified by the Secretary or Assistant Secretary (or other individual performing similar functions) of such Loan Party or the survivor entity, of all corporate and shareholder action authorizing such merger and (4) copies of any filings with the Securities and Exchange Commission in connection with such merger; and (D) such Loan Party and the survivor entity each takes such other action and delivers such other documents, instruments, opinions and agreements as the Administrative Agent may reasonably request;</w:t>
      </w:r>
    </w:p>
    <w:p>
      <w:pPr>
        <w:spacing w:after="0" w:line="84" w:lineRule="exact"/>
        <w:rPr>
          <w:rFonts w:ascii="Times New Roman" w:cs="Times New Roman" w:eastAsia="Times New Roman" w:hAnsi="Times New Roman"/>
          <w:sz w:val="18"/>
          <w:szCs w:val="18"/>
          <w:color w:val="auto"/>
        </w:rPr>
      </w:pPr>
    </w:p>
    <w:p>
      <w:pPr>
        <w:ind w:left="440" w:right="100" w:firstLine="419"/>
        <w:spacing w:after="0" w:line="282" w:lineRule="auto"/>
        <w:tabs>
          <w:tab w:leader="none" w:pos="1128" w:val="left"/>
        </w:tabs>
        <w:numPr>
          <w:ilvl w:val="1"/>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the other Loan Parties and the other Subsidiaries may lease and sublease their respective assets, as lessor or sublessor (as the case may be), in the ordinary course of their business;</w:t>
      </w:r>
    </w:p>
    <w:p>
      <w:pPr>
        <w:spacing w:after="0" w:line="53" w:lineRule="exact"/>
        <w:rPr>
          <w:rFonts w:ascii="Times New Roman" w:cs="Times New Roman" w:eastAsia="Times New Roman" w:hAnsi="Times New Roman"/>
          <w:sz w:val="18"/>
          <w:szCs w:val="18"/>
          <w:color w:val="auto"/>
        </w:rPr>
      </w:pPr>
    </w:p>
    <w:p>
      <w:pPr>
        <w:ind w:left="440" w:right="60" w:firstLine="419"/>
        <w:spacing w:after="0" w:line="276" w:lineRule="auto"/>
        <w:tabs>
          <w:tab w:leader="none" w:pos="1178" w:val="left"/>
        </w:tabs>
        <w:numPr>
          <w:ilvl w:val="1"/>
          <w:numId w:val="2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Person may merge with and into the Borrower so long as (A) the Borrower is the survivor of such merger, (B) immediately prior to such merger, and immediately thereafter and after giving effect thereto, no Default or Event of Default shall have occurred and be continuing and</w:t>
      </w:r>
    </w:p>
    <w:p>
      <w:pPr>
        <w:ind w:left="440" w:right="520" w:hanging="4"/>
        <w:spacing w:after="0" w:line="260" w:lineRule="auto"/>
        <w:tabs>
          <w:tab w:leader="none" w:pos="725"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have given the Administrative Agent and the Lenders at least 10 Business Days’ prior written notice of such merger (except that such prior notice shall not be required in the case of a merger by a Subsidiary with and into the Borrower);</w:t>
      </w:r>
    </w:p>
    <w:p>
      <w:pPr>
        <w:spacing w:after="0" w:line="73" w:lineRule="exact"/>
        <w:rPr>
          <w:rFonts w:ascii="Times New Roman" w:cs="Times New Roman" w:eastAsia="Times New Roman" w:hAnsi="Times New Roman"/>
          <w:sz w:val="18"/>
          <w:szCs w:val="18"/>
          <w:color w:val="auto"/>
        </w:rPr>
      </w:pPr>
    </w:p>
    <w:p>
      <w:pPr>
        <w:ind w:left="440" w:right="320" w:firstLine="419"/>
        <w:spacing w:after="0" w:line="282" w:lineRule="auto"/>
        <w:tabs>
          <w:tab w:leader="none" w:pos="1168" w:val="left"/>
        </w:tabs>
        <w:numPr>
          <w:ilvl w:val="1"/>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and each Subsidiary may sell, transfer or dispose of assets (including by merger or liquidation of Subsidiaries) among themselves; and</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and each Subsidiary may transfer property as security for Indebtedness to the extent permitted under Section 9.3.</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0960"/>
          </w:cols>
          <w:pgMar w:left="440" w:top="266" w:right="499" w:bottom="1440" w:gutter="0" w:footer="0" w:header="0"/>
        </w:sectPr>
      </w:pPr>
    </w:p>
    <w:bookmarkStart w:id="255" w:name="page256"/>
    <w:bookmarkEnd w:id="255"/>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9.6. Plans.</w:t>
      </w:r>
    </w:p>
    <w:p>
      <w:pPr>
        <w:spacing w:after="0" w:line="121" w:lineRule="exact"/>
        <w:rPr>
          <w:sz w:val="20"/>
          <w:szCs w:val="20"/>
          <w:color w:val="auto"/>
        </w:rPr>
      </w:pPr>
    </w:p>
    <w:p>
      <w:pPr>
        <w:ind w:left="4" w:right="160" w:firstLine="440"/>
        <w:spacing w:after="0" w:line="261" w:lineRule="auto"/>
        <w:rPr>
          <w:sz w:val="20"/>
          <w:szCs w:val="20"/>
          <w:color w:val="auto"/>
        </w:rPr>
      </w:pPr>
      <w:r>
        <w:rPr>
          <w:rFonts w:ascii="Times New Roman" w:cs="Times New Roman" w:eastAsia="Times New Roman" w:hAnsi="Times New Roman"/>
          <w:sz w:val="18"/>
          <w:szCs w:val="18"/>
          <w:color w:val="auto"/>
        </w:rPr>
        <w:t>The Borrower shall not, and shall not permit any other Loan Party or any other Subsidiary to, permit any of its respective assets to become or be deemed to be “plan assets” within the meaning of ERISA (other than as a result of contributions, in the normal course and on behalf of the Plan participants, by the Borrower, any other Loan Party, or any other Subsidiary to Benefit Arrangements, Plans, or Multiemployer Plans not prohibited by this agreement or any other loan document), the Internal Revenue Code and the respective regulations promulgated thereunder.</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9.7. Fiscal Year.</w:t>
      </w:r>
    </w:p>
    <w:p>
      <w:pPr>
        <w:spacing w:after="0" w:line="121" w:lineRule="exact"/>
        <w:rPr>
          <w:sz w:val="20"/>
          <w:szCs w:val="20"/>
          <w:color w:val="auto"/>
        </w:rPr>
      </w:pPr>
    </w:p>
    <w:p>
      <w:pPr>
        <w:ind w:left="4" w:right="600" w:firstLine="440"/>
        <w:spacing w:after="0" w:line="282" w:lineRule="auto"/>
        <w:rPr>
          <w:sz w:val="20"/>
          <w:szCs w:val="20"/>
          <w:color w:val="auto"/>
        </w:rPr>
      </w:pPr>
      <w:r>
        <w:rPr>
          <w:rFonts w:ascii="Times New Roman" w:cs="Times New Roman" w:eastAsia="Times New Roman" w:hAnsi="Times New Roman"/>
          <w:sz w:val="18"/>
          <w:szCs w:val="18"/>
          <w:color w:val="auto"/>
        </w:rPr>
        <w:t>The Borrower shall not, and shall not permit any other Loan Party or other Subsidiary to, change its fiscal year from that in effect as of the Agreement Date.</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9.8. Modifications of Organizational Documents.</w:t>
      </w:r>
    </w:p>
    <w:p>
      <w:pPr>
        <w:spacing w:after="0" w:line="121" w:lineRule="exact"/>
        <w:rPr>
          <w:sz w:val="20"/>
          <w:szCs w:val="20"/>
          <w:color w:val="auto"/>
        </w:rPr>
      </w:pPr>
    </w:p>
    <w:p>
      <w:pPr>
        <w:ind w:left="4" w:right="120" w:firstLine="440"/>
        <w:spacing w:after="0" w:line="261" w:lineRule="auto"/>
        <w:rPr>
          <w:sz w:val="20"/>
          <w:szCs w:val="20"/>
          <w:color w:val="auto"/>
        </w:rPr>
      </w:pPr>
      <w:r>
        <w:rPr>
          <w:rFonts w:ascii="Times New Roman" w:cs="Times New Roman" w:eastAsia="Times New Roman" w:hAnsi="Times New Roman"/>
          <w:sz w:val="18"/>
          <w:szCs w:val="18"/>
          <w:color w:val="auto"/>
        </w:rPr>
        <w:t>The Borrower shall not, and shall not permit any other Loan Party or any other Subsidiary to, amend, supplement, restate or otherwise modify its certificate or articles of incorporation or formation, by-laws, operating agreement, declaration of trust, partnership agreement or other applicable organizational document if such amendment, supplement, restatement or other modification could reasonably be expected to have a Material Adverse Effect.</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9.9. Transactions with Affiliates.</w:t>
      </w:r>
    </w:p>
    <w:p>
      <w:pPr>
        <w:spacing w:after="0" w:line="121" w:lineRule="exact"/>
        <w:rPr>
          <w:sz w:val="20"/>
          <w:szCs w:val="20"/>
          <w:color w:val="auto"/>
        </w:rPr>
      </w:pPr>
    </w:p>
    <w:p>
      <w:pPr>
        <w:ind w:left="4" w:right="200" w:firstLine="440"/>
        <w:spacing w:after="0" w:line="261" w:lineRule="auto"/>
        <w:rPr>
          <w:sz w:val="20"/>
          <w:szCs w:val="20"/>
          <w:color w:val="auto"/>
        </w:rPr>
      </w:pPr>
      <w:r>
        <w:rPr>
          <w:rFonts w:ascii="Times New Roman" w:cs="Times New Roman" w:eastAsia="Times New Roman" w:hAnsi="Times New Roman"/>
          <w:sz w:val="18"/>
          <w:szCs w:val="18"/>
          <w:color w:val="auto"/>
        </w:rPr>
        <w:t>The Borrower shall not permit to exist or enter into, and shall not permit any other Loan Party or any other Subsidiary to permit to exist or enter into, any transaction (including the purchase, sale, lease or exchange of any property or the rendering of any service) with any Affiliate, except</w:t>
      </w:r>
    </w:p>
    <w:p>
      <w:pPr>
        <w:ind w:left="4" w:hanging="4"/>
        <w:spacing w:after="0" w:line="252" w:lineRule="auto"/>
        <w:tabs>
          <w:tab w:leader="none" w:pos="249"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compensation, bonus and benefit arrangements with employees, officers and trustees as permitted by Applicable Law, (b) transactions permitted by Section 9.5. to the extent among the Borrower, the other Loan Parties and other Subsidiaries, (c) Restricted Payments to the Parent and the other partners of the Borrower in accordance with Section 9.1.(i), </w:t>
      </w:r>
      <w:r>
        <w:rPr>
          <w:rFonts w:ascii="Times New Roman" w:cs="Times New Roman" w:eastAsia="Times New Roman" w:hAnsi="Times New Roman"/>
          <w:sz w:val="18"/>
          <w:szCs w:val="18"/>
          <w:u w:val="single" w:color="auto"/>
          <w:color w:val="0000FF"/>
        </w:rPr>
        <w:t>or</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8"/>
          <w:szCs w:val="18"/>
          <w:color w:val="FF0000"/>
          <w:strike w:val="1"/>
        </w:rPr>
        <w:t>) transactions relating to the Reorganization Transactions (as such term is defined in the Second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Amendment) or (e</w:t>
      </w:r>
      <w:r>
        <w:rPr>
          <w:rFonts w:ascii="Times New Roman" w:cs="Times New Roman" w:eastAsia="Times New Roman" w:hAnsi="Times New Roman"/>
          <w:sz w:val="18"/>
          <w:szCs w:val="18"/>
          <w:color w:val="000000"/>
        </w:rPr>
        <w:t>) transactions in the ordinary course of and pursuant to the reasonable requirements of the business of the Borrower, such other Loan</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Party or such other Subsidiary and upon fair and reasonable terms which are no less favorable to the Borrower, such other Loan Party or such other Subsidiary than would be obtained in a comparable arm’s length transaction with a Person that is not an Affiliate.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2357120</wp:posOffset>
            </wp:positionH>
            <wp:positionV relativeFrom="paragraph">
              <wp:posOffset>-407670</wp:posOffset>
            </wp:positionV>
            <wp:extent cx="120015" cy="825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7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9.10. Environmental Matters.</w:t>
      </w:r>
    </w:p>
    <w:p>
      <w:pPr>
        <w:spacing w:after="0" w:line="121" w:lineRule="exact"/>
        <w:rPr>
          <w:sz w:val="20"/>
          <w:szCs w:val="20"/>
          <w:color w:val="auto"/>
        </w:rPr>
      </w:pPr>
    </w:p>
    <w:p>
      <w:pPr>
        <w:ind w:left="4" w:right="100" w:firstLine="440"/>
        <w:spacing w:after="0" w:line="255" w:lineRule="auto"/>
        <w:rPr>
          <w:sz w:val="20"/>
          <w:szCs w:val="20"/>
          <w:color w:val="auto"/>
        </w:rPr>
      </w:pPr>
      <w:r>
        <w:rPr>
          <w:rFonts w:ascii="Times New Roman" w:cs="Times New Roman" w:eastAsia="Times New Roman" w:hAnsi="Times New Roman"/>
          <w:sz w:val="18"/>
          <w:szCs w:val="18"/>
          <w:color w:val="auto"/>
        </w:rPr>
        <w:t>The Borrower shall not, and shall not permit any other Loan Party, or any other Subsidiary, and shall use commercially reasonable efforts (which shall include, for purposes of this Section, including customary provisions in lease agreements with tenants restricting such activities) not to permit any other Person to, use, generate, discharge, emit, manufacture, handle, process, store, release, transport, remove, dispose of or clean up any Hazardous Materials on, under or from the Properties in violation of any Environmental Law or in a manner that could reasonably be expected to lead to any environmental claim or pose a material risk to human health, safety or the environment, in each case which violation, claim or risk could reasonably be expected to have a Material Adverse Effect. Nothing in this Section shall impose any obligation or liability whatsoever on the Administrative Agent or any Lender.</w:t>
      </w:r>
    </w:p>
    <w:p>
      <w:pPr>
        <w:spacing w:after="0" w:line="29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9.11. Non-Controlled Properties.</w:t>
      </w:r>
    </w:p>
    <w:p>
      <w:pPr>
        <w:spacing w:after="0" w:line="121" w:lineRule="exact"/>
        <w:rPr>
          <w:sz w:val="20"/>
          <w:szCs w:val="20"/>
          <w:color w:val="auto"/>
        </w:rPr>
      </w:pPr>
    </w:p>
    <w:p>
      <w:pPr>
        <w:ind w:left="4" w:right="20" w:firstLine="440"/>
        <w:spacing w:after="0" w:line="282" w:lineRule="auto"/>
        <w:rPr>
          <w:sz w:val="20"/>
          <w:szCs w:val="20"/>
          <w:color w:val="auto"/>
        </w:rPr>
      </w:pPr>
      <w:r>
        <w:rPr>
          <w:rFonts w:ascii="Times New Roman" w:cs="Times New Roman" w:eastAsia="Times New Roman" w:hAnsi="Times New Roman"/>
          <w:sz w:val="18"/>
          <w:szCs w:val="18"/>
          <w:color w:val="auto"/>
        </w:rPr>
        <w:t>The Borrower shall not permit any Subsidiary that owns a Non-Controlled Property to own any assets other than another Non-Controlled Property and other nonmaterial assets incidental to the ownership of a Non-Controlled Property.</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004"/>
          </w:cols>
          <w:pgMar w:left="436" w:top="266" w:right="459" w:bottom="1440" w:gutter="0" w:footer="0" w:header="0"/>
        </w:sectPr>
      </w:pPr>
    </w:p>
    <w:bookmarkStart w:id="256" w:name="page257"/>
    <w:bookmarkEnd w:id="256"/>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9.12. Derivatives Contracts.</w:t>
      </w:r>
    </w:p>
    <w:p>
      <w:pPr>
        <w:spacing w:after="0" w:line="121" w:lineRule="exact"/>
        <w:rPr>
          <w:sz w:val="20"/>
          <w:szCs w:val="20"/>
          <w:color w:val="auto"/>
        </w:rPr>
      </w:pPr>
    </w:p>
    <w:p>
      <w:pPr>
        <w:ind w:left="4" w:right="80" w:firstLine="440"/>
        <w:spacing w:after="0" w:line="261" w:lineRule="auto"/>
        <w:rPr>
          <w:sz w:val="20"/>
          <w:szCs w:val="20"/>
          <w:color w:val="auto"/>
        </w:rPr>
      </w:pPr>
      <w:r>
        <w:rPr>
          <w:rFonts w:ascii="Times New Roman" w:cs="Times New Roman" w:eastAsia="Times New Roman" w:hAnsi="Times New Roman"/>
          <w:sz w:val="18"/>
          <w:szCs w:val="18"/>
          <w:color w:val="auto"/>
        </w:rPr>
        <w:t>The Borrower shall not, and shall not permit any other Loan Party or any other Subsidiary to, enter into or become obligated in respect of Derivatives Contracts other than Derivatives Contracts entered into by the Borrower, any such Loan Party or any such Subsidiary in the ordinary course of business and which establish an effective hedge in respect of liabilities, commitments or assets held or reasonably anticipated by the Borrower, such other Loan Party or such other Subsidiary.</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9.13. Use of Proceeds.</w:t>
      </w:r>
    </w:p>
    <w:p>
      <w:pPr>
        <w:spacing w:after="0" w:line="121" w:lineRule="exact"/>
        <w:rPr>
          <w:sz w:val="20"/>
          <w:szCs w:val="20"/>
          <w:color w:val="auto"/>
        </w:rPr>
      </w:pPr>
    </w:p>
    <w:p>
      <w:pPr>
        <w:ind w:left="684" w:hanging="244"/>
        <w:spacing w:after="0"/>
        <w:tabs>
          <w:tab w:leader="none" w:pos="684" w:val="left"/>
        </w:tabs>
        <w:numPr>
          <w:ilvl w:val="1"/>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not, and shall not permit any other Loan Party or any other Subsidiary to, use any part of the proceeds of the Loans to</w:t>
      </w:r>
    </w:p>
    <w:p>
      <w:pPr>
        <w:spacing w:after="0" w:line="27" w:lineRule="exact"/>
        <w:rPr>
          <w:rFonts w:ascii="Times New Roman" w:cs="Times New Roman" w:eastAsia="Times New Roman" w:hAnsi="Times New Roman"/>
          <w:sz w:val="18"/>
          <w:szCs w:val="18"/>
          <w:color w:val="auto"/>
        </w:rPr>
      </w:pPr>
    </w:p>
    <w:p>
      <w:pPr>
        <w:ind w:left="4" w:right="180" w:hanging="4"/>
        <w:spacing w:after="0" w:line="255" w:lineRule="auto"/>
        <w:tabs>
          <w:tab w:leader="none" w:pos="219"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purchase or carry, or to reduce or retire or refinance any credit incurred to purchase or carry, any margin stock (within the meaning of Regulation U or Regulation X of the </w:t>
      </w:r>
      <w:r>
        <w:rPr>
          <w:rFonts w:ascii="Times New Roman" w:cs="Times New Roman" w:eastAsia="Times New Roman" w:hAnsi="Times New Roman"/>
          <w:sz w:val="18"/>
          <w:szCs w:val="18"/>
          <w:color w:val="FF0000"/>
          <w:strike w:val="1"/>
        </w:rPr>
        <w:t>Board of Governors of the Federal Reserve System</w:t>
      </w:r>
      <w:r>
        <w:rPr>
          <w:rFonts w:ascii="Times New Roman" w:cs="Times New Roman" w:eastAsia="Times New Roman" w:hAnsi="Times New Roman"/>
          <w:sz w:val="18"/>
          <w:szCs w:val="18"/>
          <w:u w:val="single" w:color="auto"/>
          <w:color w:val="0000FF"/>
        </w:rPr>
        <w:t>FRB</w:t>
      </w:r>
      <w:r>
        <w:rPr>
          <w:rFonts w:ascii="Times New Roman" w:cs="Times New Roman" w:eastAsia="Times New Roman" w:hAnsi="Times New Roman"/>
          <w:sz w:val="18"/>
          <w:szCs w:val="18"/>
          <w:color w:val="auto"/>
        </w:rPr>
        <w:t>) or (ii) to extend credit to others for the purpose of purchasing or carrying any such margin stock.</w:t>
      </w:r>
    </w:p>
    <w:p>
      <w:pPr>
        <w:spacing w:after="0" w:line="185" w:lineRule="exact"/>
        <w:rPr>
          <w:rFonts w:ascii="Times New Roman" w:cs="Times New Roman" w:eastAsia="Times New Roman" w:hAnsi="Times New Roman"/>
          <w:sz w:val="18"/>
          <w:szCs w:val="18"/>
          <w:color w:val="auto"/>
        </w:rPr>
      </w:pPr>
    </w:p>
    <w:p>
      <w:pPr>
        <w:ind w:left="4" w:right="20" w:firstLine="436"/>
        <w:spacing w:after="0" w:line="258" w:lineRule="auto"/>
        <w:tabs>
          <w:tab w:leader="none" w:pos="699" w:val="left"/>
        </w:tabs>
        <w:numPr>
          <w:ilvl w:val="1"/>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will not request any Loans, and the Borrower shall not use, and shall ensure that its Subsidiaries and its or their respective directors, officers, employees and agents shall not use, the proceeds of any Loans, directly or indirectly, (i) in furtherance of an offer, payment, promise to pay, or authorization of the payment or giving of money, or anything else of value, to any Person in violation of any Anti-Corruption Laws or Anti-Money Laundering Law, (ii) for the purpose of funding, financing or facilitating any activities, business or transaction of or with any Sanctioned Person, or in any Sanctioned Country, or (iii) in any manner that would result in the violation of any Sanctions applicable to any party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3394710</wp:posOffset>
            </wp:positionH>
            <wp:positionV relativeFrom="paragraph">
              <wp:posOffset>-960120</wp:posOffset>
            </wp:positionV>
            <wp:extent cx="214630" cy="88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214630" cy="8890"/>
                    </a:xfrm>
                    <a:prstGeom prst="rect">
                      <a:avLst/>
                    </a:prstGeom>
                    <a:noFill/>
                  </pic:spPr>
                </pic:pic>
              </a:graphicData>
            </a:graphic>
          </wp:anchor>
        </w:drawing>
      </w:r>
    </w:p>
    <w:p>
      <w:pPr>
        <w:spacing w:after="0" w:line="26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9.14. Parent and General Partner.</w:t>
      </w:r>
    </w:p>
    <w:p>
      <w:pPr>
        <w:spacing w:after="0" w:line="121" w:lineRule="exact"/>
        <w:rPr>
          <w:sz w:val="20"/>
          <w:szCs w:val="20"/>
          <w:color w:val="auto"/>
        </w:rPr>
      </w:pPr>
    </w:p>
    <w:p>
      <w:pPr>
        <w:ind w:left="4" w:firstLine="440"/>
        <w:spacing w:after="0" w:line="252" w:lineRule="auto"/>
        <w:rPr>
          <w:sz w:val="20"/>
          <w:szCs w:val="20"/>
          <w:color w:val="auto"/>
        </w:rPr>
      </w:pPr>
      <w:r>
        <w:rPr>
          <w:rFonts w:ascii="Times New Roman" w:cs="Times New Roman" w:eastAsia="Times New Roman" w:hAnsi="Times New Roman"/>
          <w:sz w:val="18"/>
          <w:szCs w:val="18"/>
          <w:color w:val="auto"/>
        </w:rPr>
        <w:t>For so long as the Parent is not a Guarantor, the Parent’s assets shall consist solely of Equity Interests in the Borrower or Equity Interests in any Wholly Owned Subsidiaries (including the General Partner) whose assets consist solely of direct or indirect Equity Interests in the Borrower; provided, that the Parent may (A) have cash and other assets of nominal value incidental to its ownership of such Equity Interests, (B) maintain assets on a temporary or pass-through basis that are held for subsequent payment of dividends or other Restricted Payments not prohibited by this Agreement or any other Loan Document or for contribution to any Subsidiary for a period not in excess of ten (10) Business Days and (C) maintain reasonable reserves for liabilities of the type permitted by the remainder of this Section 9.14. In addition, none of the Parent, the General Partner, or any Wholly Owned Subsidiaries of the Parent whose assets consist solely of direct or indirect Equity Interests in the Borrower, shall have any liabilities other than liabilities that would be reflected in consolidated financial statements of the Borrower; provided, that the Parent may have (1) other liabilities incidental to its status as a publicly traded REIT and not constituting liabilities in respect of Indebtedness for borrowed money, including liabilities associated with employment contracts, employee benefit matters, indemnification obligations pursuant to purchase and sale agreements and tax liabilities,</w:t>
      </w:r>
    </w:p>
    <w:p>
      <w:pPr>
        <w:spacing w:after="0" w:line="5" w:lineRule="exact"/>
        <w:rPr>
          <w:sz w:val="20"/>
          <w:szCs w:val="20"/>
          <w:color w:val="auto"/>
        </w:rPr>
      </w:pPr>
    </w:p>
    <w:p>
      <w:pPr>
        <w:ind w:left="4" w:right="360" w:hanging="4"/>
        <w:spacing w:after="0" w:line="265" w:lineRule="auto"/>
        <w:tabs>
          <w:tab w:leader="none" w:pos="259" w:val="left"/>
        </w:tabs>
        <w:numPr>
          <w:ilvl w:val="0"/>
          <w:numId w:val="2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nonconsensual obligations imposed by operation of Applicable Law, (3) immaterial intercompany obligations or other intercompany obligations owing by the Parent or any Subsidiary of the Parent that is not a Subsidiary of the Borrower to the Borrower or any Subsidiary of the Borrower,</w:t>
      </w:r>
    </w:p>
    <w:p>
      <w:pPr>
        <w:ind w:left="4" w:right="140" w:hanging="4"/>
        <w:spacing w:after="0" w:line="252" w:lineRule="auto"/>
        <w:tabs>
          <w:tab w:leader="none" w:pos="259"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liabilities incurred in connection with its maintenance of corporate status, preparation of Securities and Exchange Commission filings, accountants’ fees and similar administrative matters, (5) liabilities </w:t>
      </w:r>
      <w:r>
        <w:rPr>
          <w:rFonts w:ascii="Times New Roman" w:cs="Times New Roman" w:eastAsia="Times New Roman" w:hAnsi="Times New Roman"/>
          <w:sz w:val="18"/>
          <w:szCs w:val="18"/>
          <w:u w:val="single" w:color="auto"/>
          <w:color w:val="0000FF"/>
        </w:rPr>
        <w:t>and other obligations</w:t>
      </w:r>
      <w:r>
        <w:rPr>
          <w:rFonts w:ascii="Times New Roman" w:cs="Times New Roman" w:eastAsia="Times New Roman" w:hAnsi="Times New Roman"/>
          <w:sz w:val="18"/>
          <w:szCs w:val="18"/>
          <w:color w:val="auto"/>
        </w:rPr>
        <w:t xml:space="preserve"> to underwriters </w:t>
      </w:r>
      <w:r>
        <w:rPr>
          <w:rFonts w:ascii="Times New Roman" w:cs="Times New Roman" w:eastAsia="Times New Roman" w:hAnsi="Times New Roman"/>
          <w:sz w:val="18"/>
          <w:szCs w:val="18"/>
          <w:color w:val="FF0000"/>
        </w:rPr>
        <w:t>and</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private placement agents </w:t>
      </w:r>
      <w:r>
        <w:rPr>
          <w:rFonts w:ascii="Times New Roman" w:cs="Times New Roman" w:eastAsia="Times New Roman" w:hAnsi="Times New Roman"/>
          <w:sz w:val="18"/>
          <w:szCs w:val="18"/>
          <w:u w:val="single" w:color="auto"/>
          <w:color w:val="0000FF"/>
        </w:rPr>
        <w:t>and forward purchasers</w:t>
      </w:r>
      <w:r>
        <w:rPr>
          <w:rFonts w:ascii="Times New Roman" w:cs="Times New Roman" w:eastAsia="Times New Roman" w:hAnsi="Times New Roman"/>
          <w:sz w:val="18"/>
          <w:szCs w:val="18"/>
          <w:color w:val="auto"/>
        </w:rPr>
        <w:t xml:space="preserve"> incurred under underwriting agreements </w:t>
      </w:r>
      <w:r>
        <w:rPr>
          <w:rFonts w:ascii="Times New Roman" w:cs="Times New Roman" w:eastAsia="Times New Roman" w:hAnsi="Times New Roman"/>
          <w:sz w:val="18"/>
          <w:szCs w:val="18"/>
          <w:color w:val="FF0000"/>
        </w:rPr>
        <w:t>and</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private placement </w:t>
      </w:r>
      <w:r>
        <w:rPr>
          <w:rFonts w:ascii="Times New Roman" w:cs="Times New Roman" w:eastAsia="Times New Roman" w:hAnsi="Times New Roman"/>
          <w:sz w:val="18"/>
          <w:szCs w:val="18"/>
          <w:u w:val="single" w:color="auto"/>
          <w:color w:val="0000FF"/>
        </w:rPr>
        <w:t>agreements and forward sale</w:t>
      </w:r>
      <w:r>
        <w:rPr>
          <w:rFonts w:ascii="Times New Roman" w:cs="Times New Roman" w:eastAsia="Times New Roman" w:hAnsi="Times New Roman"/>
          <w:sz w:val="18"/>
          <w:szCs w:val="18"/>
          <w:color w:val="auto"/>
        </w:rPr>
        <w:t xml:space="preserve"> agreements in connection with offerings of securities by the Parent, (6) liabilities arising in connection with litigation or similar matters arising in the ordinary course of business, and (7) liabilities of a kind similar to those described above which are not, individually or in the aggregate, material to the Parent, the Borrower and their Subsidiaries taken as a whole.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2442845</wp:posOffset>
            </wp:positionH>
            <wp:positionV relativeFrom="paragraph">
              <wp:posOffset>-544195</wp:posOffset>
            </wp:positionV>
            <wp:extent cx="994410" cy="82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994410" cy="8255"/>
                    </a:xfrm>
                    <a:prstGeom prst="rect">
                      <a:avLst/>
                    </a:prstGeom>
                    <a:noFill/>
                  </pic:spPr>
                </pic:pic>
              </a:graphicData>
            </a:graphic>
          </wp:anchor>
        </w:drawing>
        <w:drawing>
          <wp:anchor simplePos="0" relativeHeight="251657728" behindDoc="1" locked="0" layoutInCell="0" allowOverlap="1">
            <wp:simplePos x="0" y="0"/>
            <wp:positionH relativeFrom="column">
              <wp:posOffset>4131310</wp:posOffset>
            </wp:positionH>
            <wp:positionV relativeFrom="paragraph">
              <wp:posOffset>-629920</wp:posOffset>
            </wp:positionV>
            <wp:extent cx="193675"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193675" cy="8255"/>
                    </a:xfrm>
                    <a:prstGeom prst="rect">
                      <a:avLst/>
                    </a:prstGeom>
                    <a:noFill/>
                  </pic:spPr>
                </pic:pic>
              </a:graphicData>
            </a:graphic>
          </wp:anchor>
        </w:drawing>
        <w:drawing>
          <wp:anchor simplePos="0" relativeHeight="251657728" behindDoc="1" locked="0" layoutInCell="0" allowOverlap="1">
            <wp:simplePos x="0" y="0"/>
            <wp:positionH relativeFrom="column">
              <wp:posOffset>4320540</wp:posOffset>
            </wp:positionH>
            <wp:positionV relativeFrom="paragraph">
              <wp:posOffset>-544195</wp:posOffset>
            </wp:positionV>
            <wp:extent cx="34290" cy="82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5546090</wp:posOffset>
            </wp:positionH>
            <wp:positionV relativeFrom="paragraph">
              <wp:posOffset>-544195</wp:posOffset>
            </wp:positionV>
            <wp:extent cx="1071880"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1071880" cy="8255"/>
                    </a:xfrm>
                    <a:prstGeom prst="rect">
                      <a:avLst/>
                    </a:prstGeom>
                    <a:noFill/>
                  </pic:spPr>
                </pic:pic>
              </a:graphicData>
            </a:graphic>
          </wp:anchor>
        </w:drawing>
        <w:drawing>
          <wp:anchor simplePos="0" relativeHeight="251657728" behindDoc="1" locked="0" layoutInCell="0" allowOverlap="1">
            <wp:simplePos x="0" y="0"/>
            <wp:positionH relativeFrom="column">
              <wp:posOffset>1837055</wp:posOffset>
            </wp:positionH>
            <wp:positionV relativeFrom="paragraph">
              <wp:posOffset>-493395</wp:posOffset>
            </wp:positionV>
            <wp:extent cx="193675" cy="82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193675" cy="8255"/>
                    </a:xfrm>
                    <a:prstGeom prst="rect">
                      <a:avLst/>
                    </a:prstGeom>
                    <a:noFill/>
                  </pic:spPr>
                </pic:pic>
              </a:graphicData>
            </a:graphic>
          </wp:anchor>
        </w:drawing>
        <w:drawing>
          <wp:anchor simplePos="0" relativeHeight="251657728" behindDoc="1" locked="0" layoutInCell="0" allowOverlap="1">
            <wp:simplePos x="0" y="0"/>
            <wp:positionH relativeFrom="column">
              <wp:posOffset>2031365</wp:posOffset>
            </wp:positionH>
            <wp:positionV relativeFrom="paragraph">
              <wp:posOffset>-407670</wp:posOffset>
            </wp:positionV>
            <wp:extent cx="25400"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2931795</wp:posOffset>
            </wp:positionH>
            <wp:positionV relativeFrom="paragraph">
              <wp:posOffset>-407670</wp:posOffset>
            </wp:positionV>
            <wp:extent cx="1337310"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10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004"/>
          </w:cols>
          <w:pgMar w:left="436" w:top="266" w:right="459" w:bottom="1440" w:gutter="0" w:footer="0" w:header="0"/>
        </w:sectPr>
      </w:pPr>
    </w:p>
    <w:bookmarkStart w:id="257" w:name="page258"/>
    <w:bookmarkEnd w:id="257"/>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X. Default</w:t>
      </w:r>
    </w:p>
    <w:p>
      <w:pPr>
        <w:spacing w:after="0" w:line="33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10.1. Events of Default.</w:t>
      </w:r>
    </w:p>
    <w:p>
      <w:pPr>
        <w:spacing w:after="0" w:line="121" w:lineRule="exact"/>
        <w:rPr>
          <w:sz w:val="20"/>
          <w:szCs w:val="20"/>
          <w:color w:val="auto"/>
        </w:rPr>
      </w:pPr>
    </w:p>
    <w:p>
      <w:pPr>
        <w:ind w:left="4" w:right="140" w:firstLine="440"/>
        <w:spacing w:after="0" w:line="282" w:lineRule="auto"/>
        <w:rPr>
          <w:sz w:val="20"/>
          <w:szCs w:val="20"/>
          <w:color w:val="auto"/>
        </w:rPr>
      </w:pPr>
      <w:r>
        <w:rPr>
          <w:rFonts w:ascii="Times New Roman" w:cs="Times New Roman" w:eastAsia="Times New Roman" w:hAnsi="Times New Roman"/>
          <w:sz w:val="18"/>
          <w:szCs w:val="18"/>
          <w:color w:val="auto"/>
        </w:rPr>
        <w:t>Each of the following shall constitute an Event of Default, whatever the reason for such event and whether it shall be voluntary or involuntary or be effected by operation of Applicable Law or pursuant to any judgment or order of any Governmental Authority:</w:t>
      </w:r>
    </w:p>
    <w:p>
      <w:pPr>
        <w:spacing w:after="0" w:line="162" w:lineRule="exact"/>
        <w:rPr>
          <w:sz w:val="20"/>
          <w:szCs w:val="20"/>
          <w:color w:val="auto"/>
        </w:rPr>
      </w:pPr>
    </w:p>
    <w:p>
      <w:pPr>
        <w:ind w:left="4" w:firstLine="436"/>
        <w:spacing w:after="0" w:line="255" w:lineRule="auto"/>
        <w:tabs>
          <w:tab w:leader="none" w:pos="689" w:val="left"/>
        </w:tabs>
        <w:numPr>
          <w:ilvl w:val="1"/>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 in Payment</w:t>
      </w:r>
      <w:r>
        <w:rPr>
          <w:rFonts w:ascii="Times New Roman" w:cs="Times New Roman" w:eastAsia="Times New Roman" w:hAnsi="Times New Roman"/>
          <w:sz w:val="18"/>
          <w:szCs w:val="18"/>
          <w:color w:val="auto"/>
        </w:rPr>
        <w:t>. The Borrower or any other Loan Party shall fail to pay (i) when due under this Agreement or any other Loan Document (whether upon demand, at maturity, by reason of acceleration or otherwise) the principal of any of the Loans, or (ii) when due under this Agreement, any other Loan Document or the Fee Letter any interest on, any of the Loans, any of the other payment Obligations owing by the Borrower under this Agreement, any other Loan Document or the Fee Letter and, solely with respect to this clause (ii) such failure shall continue for a period of five</w:t>
      </w:r>
    </w:p>
    <w:p>
      <w:pPr>
        <w:spacing w:after="0" w:line="2"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w:t>
      </w:r>
    </w:p>
    <w:p>
      <w:pPr>
        <w:spacing w:after="0" w:line="98"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 in Performance</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left="444" w:right="160" w:firstLine="419"/>
        <w:spacing w:after="0" w:line="266" w:lineRule="auto"/>
        <w:tabs>
          <w:tab w:leader="none" w:pos="1082" w:val="left"/>
        </w:tabs>
        <w:numPr>
          <w:ilvl w:val="2"/>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Loan Party shall fail to perform or observe any term, covenant, condition or agreement on its part to be performed or observed and contained in Sections 7.1 (with respect to the existence of the Borrower or any other Loan Party), 8.4(i) (with respect to notice of the occurrence of a Default or Event of Default), 8.4.(k) or Article IX.; or</w:t>
      </w:r>
    </w:p>
    <w:p>
      <w:pPr>
        <w:spacing w:after="0" w:line="67" w:lineRule="exact"/>
        <w:rPr>
          <w:rFonts w:ascii="Times New Roman" w:cs="Times New Roman" w:eastAsia="Times New Roman" w:hAnsi="Times New Roman"/>
          <w:sz w:val="18"/>
          <w:szCs w:val="18"/>
          <w:color w:val="auto"/>
        </w:rPr>
      </w:pPr>
    </w:p>
    <w:p>
      <w:pPr>
        <w:ind w:left="444" w:right="80" w:firstLine="419"/>
        <w:spacing w:after="0" w:line="258" w:lineRule="auto"/>
        <w:tabs>
          <w:tab w:leader="none" w:pos="1132" w:val="left"/>
        </w:tabs>
        <w:numPr>
          <w:ilvl w:val="2"/>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Loan Party shall fail to perform or observe any term, covenant, condition or agreement contained in this Agreement or any other Loan Document to which it is a party and not otherwise mentioned in this Section, and in the case of this subsection (b)(ii) only, such failure shall continue for a period of 30 days after the earlier of (x) the date upon which a Responsible Officer of the Borrower or such other Loan Party obtains knowledge of such failure or (y) the date upon which the Borrower has received written notice of such failure from the Administrative Agent.</w:t>
      </w:r>
    </w:p>
    <w:p>
      <w:pPr>
        <w:spacing w:after="0" w:line="183" w:lineRule="exact"/>
        <w:rPr>
          <w:rFonts w:ascii="Times New Roman" w:cs="Times New Roman" w:eastAsia="Times New Roman" w:hAnsi="Times New Roman"/>
          <w:sz w:val="18"/>
          <w:szCs w:val="18"/>
          <w:color w:val="auto"/>
        </w:rPr>
      </w:pPr>
    </w:p>
    <w:p>
      <w:pPr>
        <w:ind w:left="4" w:right="120" w:firstLine="436"/>
        <w:spacing w:after="0" w:line="258" w:lineRule="auto"/>
        <w:tabs>
          <w:tab w:leader="none" w:pos="689" w:val="left"/>
        </w:tabs>
        <w:numPr>
          <w:ilvl w:val="1"/>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Misrepresentations</w:t>
      </w:r>
      <w:r>
        <w:rPr>
          <w:rFonts w:ascii="Times New Roman" w:cs="Times New Roman" w:eastAsia="Times New Roman" w:hAnsi="Times New Roman"/>
          <w:sz w:val="18"/>
          <w:szCs w:val="18"/>
          <w:color w:val="auto"/>
        </w:rPr>
        <w:t>. Any written statement, representation or warranty made or deemed made by or on behalf of any Loan Party under this Agreement or under any other Loan Document, or any amendment hereto or thereto, or in any other writing or statement at any time furnished by, or at the direction of, any Loan Party to the Administrative Agent or any Lender, shall at any time prove to have been incorrect or misleading, in light of the circumstances in which made or deemed made, in any material respect (or, to the extent qualified by materiality or Material Adverse Effect, in all respects) when furnished or made or deemed made.</w:t>
      </w:r>
    </w:p>
    <w:p>
      <w:pPr>
        <w:spacing w:after="0" w:line="183"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Indebtedness Cross-Default</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4" w:right="100" w:firstLine="419"/>
        <w:spacing w:after="0" w:line="255" w:lineRule="auto"/>
        <w:tabs>
          <w:tab w:leader="none" w:pos="1082" w:val="left"/>
        </w:tabs>
        <w:numPr>
          <w:ilvl w:val="2"/>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any other Loan Party or any other Subsidiary shall fail to make any payment when due and payable of the principal of, or interest on (after giving effect to the expiration of any grace period for such payment), any Indebtedness (other than the Loans but including Secured Indebtedness accelerated or required to be prepaid or repurchased prior to the stated maturity as a result of a casualty with respect to, or condemnation of, the Property securing such Secured Indebtedness) having an aggregate outstanding principal amount (or, in the case of any Derivatives Contract, having, without regard to the effect of any close-out netting provision, a Derivatives Termination Value), in each case individually or in the aggregate with all other Indebtedness as to which such a failure exists, of more than $125,000,000 (“</w:t>
      </w:r>
      <w:r>
        <w:rPr>
          <w:rFonts w:ascii="Times New Roman" w:cs="Times New Roman" w:eastAsia="Times New Roman" w:hAnsi="Times New Roman"/>
          <w:sz w:val="18"/>
          <w:szCs w:val="18"/>
          <w:b w:val="1"/>
          <w:bCs w:val="1"/>
          <w:color w:val="auto"/>
        </w:rPr>
        <w:t>Material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Indebtedness</w:t>
      </w:r>
      <w:r>
        <w:rPr>
          <w:rFonts w:ascii="Times New Roman" w:cs="Times New Roman" w:eastAsia="Times New Roman" w:hAnsi="Times New Roman"/>
          <w:sz w:val="18"/>
          <w:szCs w:val="18"/>
          <w:color w:val="auto"/>
        </w:rPr>
        <w:t>”); or</w:t>
      </w:r>
    </w:p>
    <w:p>
      <w:pPr>
        <w:spacing w:after="0" w:line="80" w:lineRule="exact"/>
        <w:rPr>
          <w:rFonts w:ascii="Times New Roman" w:cs="Times New Roman" w:eastAsia="Times New Roman" w:hAnsi="Times New Roman"/>
          <w:sz w:val="18"/>
          <w:szCs w:val="18"/>
          <w:color w:val="auto"/>
        </w:rPr>
      </w:pPr>
    </w:p>
    <w:p>
      <w:pPr>
        <w:ind w:left="444" w:firstLine="419"/>
        <w:spacing w:after="0" w:line="266" w:lineRule="auto"/>
        <w:tabs>
          <w:tab w:leader="none" w:pos="1132" w:val="left"/>
        </w:tabs>
        <w:numPr>
          <w:ilvl w:val="2"/>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The maturity of any Material Indebtedness shall have been accelerated in accordance with the provisions of any indenture, contract or instrument evidencing, providing for the creation of or otherwise concerning such Material Indebtedness or (y) any Material Indebtedness shall have been required to be prepaid or repurchased prior to the stated maturity thereof; or</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004"/>
          </w:cols>
          <w:pgMar w:left="436" w:top="266" w:right="459" w:bottom="1440" w:gutter="0" w:footer="0" w:header="0"/>
        </w:sectPr>
      </w:pPr>
    </w:p>
    <w:bookmarkStart w:id="258" w:name="page259"/>
    <w:bookmarkEnd w:id="258"/>
    <w:p>
      <w:pPr>
        <w:ind w:left="444" w:right="20" w:firstLine="419"/>
        <w:spacing w:after="0" w:line="289" w:lineRule="auto"/>
        <w:tabs>
          <w:tab w:leader="none" w:pos="1182" w:val="left"/>
        </w:tabs>
        <w:numPr>
          <w:ilvl w:val="0"/>
          <w:numId w:val="2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other event shall have occurred and be continuing (and any related grace period shall have expired) which would permit any holder or holders of any Material Indebtedness, any trustee or agent acting on behalf of such holder or holders or any other Person, to accelerate the maturity of any such Material Indebtedness or require any such Material Indebtedness to be prepaid or repurchased prior to its stated maturity; or</w:t>
      </w:r>
    </w:p>
    <w:p>
      <w:pPr>
        <w:spacing w:after="0" w:line="49" w:lineRule="exact"/>
        <w:rPr>
          <w:rFonts w:ascii="Times New Roman" w:cs="Times New Roman" w:eastAsia="Times New Roman" w:hAnsi="Times New Roman"/>
          <w:sz w:val="17"/>
          <w:szCs w:val="17"/>
          <w:color w:val="auto"/>
        </w:rPr>
      </w:pPr>
    </w:p>
    <w:p>
      <w:pPr>
        <w:ind w:left="444" w:right="360" w:firstLine="419"/>
        <w:spacing w:after="0" w:line="282" w:lineRule="auto"/>
        <w:tabs>
          <w:tab w:leader="none" w:pos="1172"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Loan Party shall fail to pay when due and payable amounts in excess of $125,000,000 in the aggregate owing in respect of any Derivatives Contracts; or</w:t>
      </w:r>
    </w:p>
    <w:p>
      <w:pPr>
        <w:spacing w:after="0" w:line="53" w:lineRule="exact"/>
        <w:rPr>
          <w:rFonts w:ascii="Times New Roman" w:cs="Times New Roman" w:eastAsia="Times New Roman" w:hAnsi="Times New Roman"/>
          <w:sz w:val="18"/>
          <w:szCs w:val="18"/>
          <w:color w:val="auto"/>
        </w:rPr>
      </w:pPr>
    </w:p>
    <w:p>
      <w:pPr>
        <w:ind w:left="444" w:right="60" w:firstLine="419"/>
        <w:spacing w:after="0" w:line="256" w:lineRule="auto"/>
        <w:tabs>
          <w:tab w:leader="none" w:pos="1122"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“Event of Default” under and as defined in </w:t>
      </w:r>
      <w:r>
        <w:rPr>
          <w:rFonts w:ascii="Times New Roman" w:cs="Times New Roman" w:eastAsia="Times New Roman" w:hAnsi="Times New Roman"/>
          <w:sz w:val="18"/>
          <w:szCs w:val="18"/>
          <w:color w:val="FF0000"/>
          <w:strike w:val="1"/>
        </w:rPr>
        <w:t>that certain Amended and Restated Credited Agreement, dated as July 25, 2019, by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among the Borrower, the financial institutions party thereto as “Lenders”, Wells Fargo Bank, National Association, as administrative agent thereunder, and the other parties thereto (as amended by the Revolver First Amendment and as further</w:t>
      </w:r>
      <w:r>
        <w:rPr>
          <w:rFonts w:ascii="Times New Roman" w:cs="Times New Roman" w:eastAsia="Times New Roman" w:hAnsi="Times New Roman"/>
          <w:sz w:val="18"/>
          <w:szCs w:val="18"/>
          <w:u w:val="single" w:color="auto"/>
          <w:color w:val="0000FF"/>
          <w:strike w:val="1"/>
        </w:rPr>
        <w:t>the Revolver Credit Agreement (as</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amended, supplemented, restated or otherwise modified from time to time) shall have occurred and be continuing; provided, however, if a lender thereunder has agreed to waive such “Event of Default” thereunder and such lender is also a Lender under this Agreement, then such Lender shall also be deemed to have waived the corresponding Event of Default under this Section 10.1.(d)(v).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4946015</wp:posOffset>
            </wp:positionH>
            <wp:positionV relativeFrom="paragraph">
              <wp:posOffset>-408940</wp:posOffset>
            </wp:positionV>
            <wp:extent cx="1594485" cy="82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167" w:lineRule="exact"/>
        <w:rPr>
          <w:sz w:val="20"/>
          <w:szCs w:val="20"/>
          <w:color w:val="auto"/>
        </w:rPr>
      </w:pPr>
    </w:p>
    <w:p>
      <w:pPr>
        <w:jc w:val="both"/>
        <w:ind w:left="4" w:right="460" w:firstLine="440"/>
        <w:spacing w:after="0" w:line="266" w:lineRule="auto"/>
        <w:rPr>
          <w:sz w:val="20"/>
          <w:szCs w:val="20"/>
          <w:color w:val="auto"/>
        </w:rPr>
      </w:pPr>
      <w:r>
        <w:rPr>
          <w:rFonts w:ascii="Times New Roman" w:cs="Times New Roman" w:eastAsia="Times New Roman" w:hAnsi="Times New Roman"/>
          <w:sz w:val="18"/>
          <w:szCs w:val="18"/>
          <w:color w:val="auto"/>
        </w:rPr>
        <w:t>The provisions of the immediately preceding clauses (ii) and (iii) shall not apply to any Secured Indebtedness accelerated, or required to be prepaid or repurchased prior to the stated maturity thereof, as a result of a casualty with respect to, or condemnation of, the Property securing such Secured Indebtedness.</w:t>
      </w:r>
    </w:p>
    <w:p>
      <w:pPr>
        <w:spacing w:after="0" w:line="176" w:lineRule="exact"/>
        <w:rPr>
          <w:sz w:val="20"/>
          <w:szCs w:val="20"/>
          <w:color w:val="auto"/>
        </w:rPr>
      </w:pPr>
    </w:p>
    <w:p>
      <w:pPr>
        <w:ind w:left="684" w:hanging="244"/>
        <w:spacing w:after="0"/>
        <w:tabs>
          <w:tab w:leader="none" w:pos="684" w:val="left"/>
        </w:tabs>
        <w:numPr>
          <w:ilvl w:val="1"/>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Bankruptcy Proceeding</w:t>
      </w:r>
      <w:r>
        <w:rPr>
          <w:rFonts w:ascii="Times New Roman" w:cs="Times New Roman" w:eastAsia="Times New Roman" w:hAnsi="Times New Roman"/>
          <w:sz w:val="18"/>
          <w:szCs w:val="18"/>
          <w:color w:val="auto"/>
        </w:rPr>
        <w:t>. The Borrower, any other Loan Party, the Parent, the General Partner, or any Significant Subsidiary, shall:</w:t>
      </w:r>
    </w:p>
    <w:p>
      <w:pPr>
        <w:spacing w:after="0" w:line="27" w:lineRule="exact"/>
        <w:rPr>
          <w:rFonts w:ascii="Times New Roman" w:cs="Times New Roman" w:eastAsia="Times New Roman" w:hAnsi="Times New Roman"/>
          <w:sz w:val="18"/>
          <w:szCs w:val="18"/>
          <w:color w:val="auto"/>
        </w:rPr>
      </w:pPr>
    </w:p>
    <w:p>
      <w:pPr>
        <w:ind w:left="4" w:right="100" w:hanging="4"/>
        <w:spacing w:after="0" w:line="265" w:lineRule="auto"/>
        <w:tabs>
          <w:tab w:leader="none" w:pos="219" w:val="left"/>
        </w:tabs>
        <w:numPr>
          <w:ilvl w:val="0"/>
          <w:numId w:val="2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commence a voluntary case under the Bankruptcy Code or other federal bankruptcy laws (as now or hereafter in effect); (ii) file a petition seeking to take advantage of any other Applicable Laws, domestic or foreign, relating to bankruptcy, insolvency, reorganization, winding- up, or composition or adjustment of debts; (iii) consent to, or fail to contest in a timely and appropriate manner, any petition filed against it in an involuntary case under such bankruptcy laws or other Applicable Laws or consent to any proceeding or action described in the immediately following subsection (f); (iv) apply for or consent to, or fail to contest in a timely and appropriate manner, the appointment of, or the taking of possession by, a receiver, custodian, trustee, or liquidator of itself or of a substantial part of its property, domestic or foreign; (v) admit in writing its inability to pay its debts as they become due;</w:t>
      </w:r>
    </w:p>
    <w:p>
      <w:pPr>
        <w:ind w:left="4" w:right="180" w:hanging="4"/>
        <w:spacing w:after="0" w:line="260" w:lineRule="auto"/>
        <w:tabs>
          <w:tab w:leader="none" w:pos="309"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 general assignment for the benefit of creditors; (vii) make a conveyance fraudulent as to creditors under any Applicable Law; or (viii) take any corporate or partnership action for the purpose of effecting any of the foregoing.</w:t>
      </w:r>
    </w:p>
    <w:p>
      <w:pPr>
        <w:spacing w:after="0" w:line="181" w:lineRule="exact"/>
        <w:rPr>
          <w:rFonts w:ascii="Times New Roman" w:cs="Times New Roman" w:eastAsia="Times New Roman" w:hAnsi="Times New Roman"/>
          <w:sz w:val="18"/>
          <w:szCs w:val="18"/>
          <w:color w:val="auto"/>
        </w:rPr>
      </w:pPr>
    </w:p>
    <w:p>
      <w:pPr>
        <w:ind w:left="4" w:firstLine="436"/>
        <w:spacing w:after="0" w:line="273" w:lineRule="auto"/>
        <w:tabs>
          <w:tab w:leader="none" w:pos="669" w:val="left"/>
        </w:tabs>
        <w:numPr>
          <w:ilvl w:val="1"/>
          <w:numId w:val="2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Involuntary Bankruptcy Proceeding</w:t>
      </w:r>
      <w:r>
        <w:rPr>
          <w:rFonts w:ascii="Times New Roman" w:cs="Times New Roman" w:eastAsia="Times New Roman" w:hAnsi="Times New Roman"/>
          <w:sz w:val="17"/>
          <w:szCs w:val="17"/>
          <w:color w:val="auto"/>
        </w:rPr>
        <w:t>. A case or other proceeding shall be commenced against the Borrower, any other Loan Party, the Parent, the General Partner, or any other Significant Subsidiary, in any court of competent jurisdiction seeking: (i) relief under the Bankruptcy Code or other federal bankruptcy laws (as now or hereafter in effect) or under any other Applicable Laws, domestic or foreign, relating to bankruptcy, insolvency, reorganization, winding-up, or composition or adjustment of debts; or (ii) the appointment of a trustee, receiver, custodian, liquidator or the like of such Person, or of all or any substantial part of the assets, domestic or foreign, of such Person, and in the case of either clause (i) or (ii) such case or proceeding shall continue undismissed or unstayed for a period of 60 consecutive days, or an order granting the remedy or other relief requested in such case or proceeding (including, but not limited to, an order for relief under such Bankruptcy Code or such other federal bankruptcy laws) shall be entered.</w:t>
      </w:r>
    </w:p>
    <w:p>
      <w:pPr>
        <w:spacing w:after="0" w:line="10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004"/>
          </w:cols>
          <w:pgMar w:left="436" w:top="270" w:right="459" w:bottom="1440" w:gutter="0" w:footer="0" w:header="0"/>
        </w:sectPr>
      </w:pPr>
    </w:p>
    <w:bookmarkStart w:id="259" w:name="page260"/>
    <w:bookmarkEnd w:id="259"/>
    <w:p>
      <w:pPr>
        <w:ind w:left="4" w:right="180" w:firstLine="436"/>
        <w:spacing w:after="0" w:line="261" w:lineRule="auto"/>
        <w:tabs>
          <w:tab w:leader="none" w:pos="699" w:val="left"/>
        </w:tabs>
        <w:numPr>
          <w:ilvl w:val="1"/>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Revocation of Loan Documents</w:t>
      </w:r>
      <w:r>
        <w:rPr>
          <w:rFonts w:ascii="Times New Roman" w:cs="Times New Roman" w:eastAsia="Times New Roman" w:hAnsi="Times New Roman"/>
          <w:sz w:val="18"/>
          <w:szCs w:val="18"/>
          <w:color w:val="auto"/>
        </w:rPr>
        <w:t>. The Borrower or any other Loan Party shall disavow, revoke or terminate (or, except as expressly permitted herein, attempt to terminate) any Loan Document or the Fee Letter to which it is a party or shall otherwise challenge or contest in any action, suit or proceeding in any court or before any Governmental Authority the validity or enforceability of any Loan Document or the Fee Letter or any Loan Document or the Fee Letter shall cease to be in full force and effect (except as a result of the express terms thereof).</w:t>
      </w:r>
    </w:p>
    <w:p>
      <w:pPr>
        <w:spacing w:after="0" w:line="179" w:lineRule="exact"/>
        <w:rPr>
          <w:rFonts w:ascii="Times New Roman" w:cs="Times New Roman" w:eastAsia="Times New Roman" w:hAnsi="Times New Roman"/>
          <w:sz w:val="18"/>
          <w:szCs w:val="18"/>
          <w:color w:val="auto"/>
        </w:rPr>
      </w:pPr>
    </w:p>
    <w:p>
      <w:pPr>
        <w:ind w:left="4" w:firstLine="436"/>
        <w:spacing w:after="0" w:line="276" w:lineRule="auto"/>
        <w:tabs>
          <w:tab w:leader="none" w:pos="699" w:val="left"/>
        </w:tabs>
        <w:numPr>
          <w:ilvl w:val="1"/>
          <w:numId w:val="2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Judgment</w:t>
      </w:r>
      <w:r>
        <w:rPr>
          <w:rFonts w:ascii="Times New Roman" w:cs="Times New Roman" w:eastAsia="Times New Roman" w:hAnsi="Times New Roman"/>
          <w:sz w:val="17"/>
          <w:szCs w:val="17"/>
          <w:color w:val="auto"/>
        </w:rPr>
        <w:t>. A judgment or order for the payment of money or for an injunction or other non-monetary relief shall be entered against the Borrower, any other Loan Party, or any other Subsidiary by any court or other tribunal and (i) such judgment or order shall continue for a period of thirty</w:t>
      </w:r>
    </w:p>
    <w:p>
      <w:pPr>
        <w:ind w:left="4" w:right="20" w:hanging="4"/>
        <w:spacing w:after="0" w:line="253" w:lineRule="auto"/>
        <w:tabs>
          <w:tab w:leader="none" w:pos="349"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without being paid, stayed or dismissed through appropriate appellate proceedings and (ii) either (A) the amount of such judgment or order for which insurance has not been acknowledged in writing by the applicable insurance carrier (or the amount as to which the insurer has denied liability) exceeds, individually or together with all other such outstanding judgments or orders entered against the Loan Parties or any other Subsidiary, $125,000,000 or (B) in the case of an injunction or other non-monetary relief, such injunction or judgment or order could reasonably be expected to have a Material Adverse Effect.</w:t>
      </w:r>
    </w:p>
    <w:p>
      <w:pPr>
        <w:spacing w:after="0" w:line="186" w:lineRule="exact"/>
        <w:rPr>
          <w:rFonts w:ascii="Times New Roman" w:cs="Times New Roman" w:eastAsia="Times New Roman" w:hAnsi="Times New Roman"/>
          <w:sz w:val="18"/>
          <w:szCs w:val="18"/>
          <w:color w:val="auto"/>
        </w:rPr>
      </w:pPr>
    </w:p>
    <w:p>
      <w:pPr>
        <w:ind w:left="4" w:right="160" w:firstLine="436"/>
        <w:spacing w:after="0" w:line="255" w:lineRule="auto"/>
        <w:tabs>
          <w:tab w:leader="none" w:pos="659" w:val="left"/>
        </w:tabs>
        <w:numPr>
          <w:ilvl w:val="1"/>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Attachment</w:t>
      </w:r>
      <w:r>
        <w:rPr>
          <w:rFonts w:ascii="Times New Roman" w:cs="Times New Roman" w:eastAsia="Times New Roman" w:hAnsi="Times New Roman"/>
          <w:sz w:val="18"/>
          <w:szCs w:val="18"/>
          <w:color w:val="auto"/>
        </w:rPr>
        <w:t>. A warrant, writ of attachment, execution or similar process shall be issued against any property of the Borrower, any other Loan Party or any other Subsidiary, which exceeds, individually or together with all other such warrants, writs, executions and processes, $125,000,000 in amount and such warrant, writ, execution or process shall not be paid, discharged, vacated, stayed or bonded for a period of thirty (30) days; provided, however, that if a bond has been issued in favor of the claimant or other Person obtaining such warrant, writ, execution or process, the issuer of such bond shall execute a waiver or subordination agreement in form and substance satisfactory to the Administrative Agent pursuant to which the issuer of such bond subordinates its right of reimbursement, contribution or subrogation to the Obligations and waives or subordinates any Lien it may have on the assets of the Borrower, any other Loan Party or any Subsidiary.</w:t>
      </w:r>
    </w:p>
    <w:p>
      <w:pPr>
        <w:spacing w:after="0" w:line="80" w:lineRule="exact"/>
        <w:rPr>
          <w:rFonts w:ascii="Times New Roman" w:cs="Times New Roman" w:eastAsia="Times New Roman" w:hAnsi="Times New Roman"/>
          <w:sz w:val="18"/>
          <w:szCs w:val="18"/>
          <w:color w:val="auto"/>
        </w:rPr>
      </w:pPr>
    </w:p>
    <w:p>
      <w:pPr>
        <w:ind w:left="664" w:hanging="224"/>
        <w:spacing w:after="0"/>
        <w:tabs>
          <w:tab w:leader="none" w:pos="664" w:val="left"/>
        </w:tabs>
        <w:numPr>
          <w:ilvl w:val="1"/>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4" w:right="380" w:firstLine="419"/>
        <w:spacing w:after="0" w:line="282" w:lineRule="auto"/>
        <w:tabs>
          <w:tab w:leader="none" w:pos="1082" w:val="left"/>
        </w:tabs>
        <w:numPr>
          <w:ilvl w:val="2"/>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ERISA Event shall have occurred that results or could reasonably be expected to result in liability to any member of the ERISA Group aggregating in excess of $125,000,000; or</w:t>
      </w:r>
    </w:p>
    <w:p>
      <w:pPr>
        <w:spacing w:after="0" w:line="53" w:lineRule="exact"/>
        <w:rPr>
          <w:rFonts w:ascii="Times New Roman" w:cs="Times New Roman" w:eastAsia="Times New Roman" w:hAnsi="Times New Roman"/>
          <w:sz w:val="18"/>
          <w:szCs w:val="18"/>
          <w:color w:val="auto"/>
        </w:rPr>
      </w:pPr>
    </w:p>
    <w:p>
      <w:pPr>
        <w:ind w:left="444" w:right="20" w:firstLine="419"/>
        <w:spacing w:after="0" w:line="282" w:lineRule="auto"/>
        <w:tabs>
          <w:tab w:leader="none" w:pos="1132" w:val="left"/>
        </w:tabs>
        <w:numPr>
          <w:ilvl w:val="2"/>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most recent valuation date, the “benefit obligation” of all Plans exceeds the “fair market value of plan assets” for such Plans by more than $125,000,000, all as determined, and with such terms defined, in accordance with FASB ASC 715.</w:t>
      </w:r>
    </w:p>
    <w:p>
      <w:pPr>
        <w:spacing w:after="0" w:line="53"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An Event of Default (as defined therein) shall occur under any of the other Loan Documents.</w:t>
      </w:r>
    </w:p>
    <w:p>
      <w:pPr>
        <w:spacing w:after="0" w:line="117" w:lineRule="exact"/>
        <w:rPr>
          <w:rFonts w:ascii="Times New Roman" w:cs="Times New Roman" w:eastAsia="Times New Roman" w:hAnsi="Times New Roman"/>
          <w:sz w:val="18"/>
          <w:szCs w:val="18"/>
          <w:color w:val="auto"/>
        </w:rPr>
      </w:pPr>
    </w:p>
    <w:p>
      <w:pPr>
        <w:ind w:left="664" w:hanging="224"/>
        <w:spacing w:after="0"/>
        <w:tabs>
          <w:tab w:leader="none" w:pos="664" w:val="left"/>
        </w:tabs>
        <w:numPr>
          <w:ilvl w:val="1"/>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Control/Change in Management</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4" w:right="80" w:firstLine="419"/>
        <w:spacing w:after="0" w:line="256" w:lineRule="auto"/>
        <w:tabs>
          <w:tab w:leader="none" w:pos="1082" w:val="left"/>
        </w:tabs>
        <w:numPr>
          <w:ilvl w:val="2"/>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Any “person” or “group” (as such terms are used in Sections 13(d) and 14(d) of the Securities Exchange Act), is or becomes the “beneficial owner” (as defined in Rules 13d-3 and 13d-5 under the Exchange Act, except that a Person will be deemed to have “beneficial ownership” of all securities that such Person has the right to acquire, whether such right is exercisable immediately or only after the passage of time), directly or indirectly, of more than 35% of the total voting power of the then outstanding voting securities of the Parent, (y) the Parent shall cease to own, directly or indirectly, greater than 50% of the partnership interests of the Borrower or (z) the Parent ceases to, directly or indirectly, have the power to exercise management and control of the Borrower; or</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004"/>
          </w:cols>
          <w:pgMar w:left="436" w:top="270" w:right="459" w:bottom="1440" w:gutter="0" w:footer="0" w:header="0"/>
        </w:sectPr>
      </w:pPr>
    </w:p>
    <w:bookmarkStart w:id="260" w:name="page261"/>
    <w:bookmarkEnd w:id="260"/>
    <w:p>
      <w:pPr>
        <w:ind w:left="440" w:right="180" w:firstLine="419"/>
        <w:spacing w:after="0" w:line="258" w:lineRule="auto"/>
        <w:tabs>
          <w:tab w:leader="none" w:pos="1128"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During any period of 12 consecutive months ending after the Agreement Date, individuals who at the beginning of any such 12 month period constituted the Board of Trustees of the Parent (together with any new trustees whose election by such Board or whose nomination for election by the shareholders of the Parent was approved by a vote of a majority of the trustees then still in office who were either trustees at the beginning of such period or whose election or nomination for election was previously so approved) cease for any reason to constitute two-thirds (2/3) of the Board of Trustees of the Parent then in office; or</w:t>
      </w:r>
    </w:p>
    <w:p>
      <w:pPr>
        <w:spacing w:after="0" w:line="75" w:lineRule="exact"/>
        <w:rPr>
          <w:rFonts w:ascii="Times New Roman" w:cs="Times New Roman" w:eastAsia="Times New Roman" w:hAnsi="Times New Roman"/>
          <w:sz w:val="18"/>
          <w:szCs w:val="18"/>
          <w:color w:val="auto"/>
        </w:rPr>
      </w:pPr>
    </w:p>
    <w:p>
      <w:pPr>
        <w:ind w:left="440" w:right="120" w:firstLine="419"/>
        <w:spacing w:after="0" w:line="282" w:lineRule="auto"/>
        <w:tabs>
          <w:tab w:leader="none" w:pos="1178"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other than the General Partner, the Parent or any Wholly Owned Subsidiary of the Parent shall become the general partner of the Borrower; or</w:t>
      </w:r>
    </w:p>
    <w:p>
      <w:pPr>
        <w:spacing w:after="0" w:line="53"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shall cease to be the sole member of the General Partner.</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10.2. Remedies Upon Event of Default.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Upon the occurrence of an Event of Default the following provisions shall apply:</w:t>
      </w:r>
    </w:p>
    <w:p>
      <w:pPr>
        <w:spacing w:after="0" w:line="117" w:lineRule="exact"/>
        <w:rPr>
          <w:sz w:val="20"/>
          <w:szCs w:val="20"/>
          <w:color w:val="auto"/>
        </w:rPr>
      </w:pPr>
    </w:p>
    <w:p>
      <w:pPr>
        <w:ind w:left="680" w:hanging="244"/>
        <w:spacing w:after="0"/>
        <w:tabs>
          <w:tab w:leader="none" w:pos="680"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Acceleration; Termination of Facilities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right="220" w:firstLine="419"/>
        <w:spacing w:after="0" w:line="258" w:lineRule="auto"/>
        <w:tabs>
          <w:tab w:leader="none" w:pos="1078"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Automatic</w:t>
      </w:r>
      <w:r>
        <w:rPr>
          <w:rFonts w:ascii="Times New Roman" w:cs="Times New Roman" w:eastAsia="Times New Roman" w:hAnsi="Times New Roman"/>
          <w:sz w:val="18"/>
          <w:szCs w:val="18"/>
          <w:color w:val="auto"/>
        </w:rPr>
        <w:t>. Upon the occurrence of an Event of Default specified in Sections 10.1.(e) or 10.1.(f), (A) the principal of, and all accrued interest on, the Loans and the Notes at the time outstanding and (B) all of the other Obligations, including, but not limited to, the other amounts owed to the Lenders and the Administrative Agent under this Agreement, the Notes or any of the other Loan Documents shall become immediately and automatically due and payable without presentment, demand, protest, or other notice of any kind, all of which are expressly waived by the Borrower on behalf of itself and the other Loan Parties.</w:t>
      </w:r>
    </w:p>
    <w:p>
      <w:pPr>
        <w:spacing w:after="0" w:line="75" w:lineRule="exact"/>
        <w:rPr>
          <w:rFonts w:ascii="Times New Roman" w:cs="Times New Roman" w:eastAsia="Times New Roman" w:hAnsi="Times New Roman"/>
          <w:sz w:val="18"/>
          <w:szCs w:val="18"/>
          <w:color w:val="auto"/>
        </w:rPr>
      </w:pPr>
    </w:p>
    <w:p>
      <w:pPr>
        <w:ind w:left="440" w:right="120" w:firstLine="419"/>
        <w:spacing w:after="0" w:line="277" w:lineRule="auto"/>
        <w:tabs>
          <w:tab w:leader="none" w:pos="1128" w:val="left"/>
        </w:tabs>
        <w:numPr>
          <w:ilvl w:val="1"/>
          <w:numId w:val="2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Optional</w:t>
      </w:r>
      <w:r>
        <w:rPr>
          <w:rFonts w:ascii="Times New Roman" w:cs="Times New Roman" w:eastAsia="Times New Roman" w:hAnsi="Times New Roman"/>
          <w:sz w:val="17"/>
          <w:szCs w:val="17"/>
          <w:color w:val="auto"/>
        </w:rPr>
        <w:t>. If any other Event of Default shall exist, the Administrative Agent may, and at the direction of the Requisite Lenders shall declare (A) the principal of, and accrued interest on, the Loans and the Notes at the time outstanding and (B) all of the other Obligations, including, but not limited to, the other amounts owed to the Lenders and the Administrative Agent under this Agreement, the Notes or any of the other Loan Documents to be forthwith due and payable, whereupon the same shall immediately become due and payable without presentment, demand, protest or other notice of any kind, all of which are expressly waived by the Borrower on behalf of itself and the other Loan Parties.</w:t>
      </w:r>
    </w:p>
    <w:p>
      <w:pPr>
        <w:spacing w:after="0" w:line="167" w:lineRule="exact"/>
        <w:rPr>
          <w:rFonts w:ascii="Times New Roman" w:cs="Times New Roman" w:eastAsia="Times New Roman" w:hAnsi="Times New Roman"/>
          <w:sz w:val="17"/>
          <w:szCs w:val="17"/>
          <w:color w:val="auto"/>
        </w:rPr>
      </w:pPr>
    </w:p>
    <w:p>
      <w:pPr>
        <w:ind w:right="200" w:firstLine="436"/>
        <w:spacing w:after="0" w:line="282" w:lineRule="auto"/>
        <w:tabs>
          <w:tab w:leader="none" w:pos="695"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The Requisite Lenders may direct the Administrative Agent to, and the Administrative Agent if so directed shall, exercise any and all of its rights under any and all of the other Loan Documents.</w:t>
      </w:r>
    </w:p>
    <w:p>
      <w:pPr>
        <w:spacing w:after="0" w:line="161" w:lineRule="exact"/>
        <w:rPr>
          <w:rFonts w:ascii="Times New Roman" w:cs="Times New Roman" w:eastAsia="Times New Roman" w:hAnsi="Times New Roman"/>
          <w:sz w:val="18"/>
          <w:szCs w:val="18"/>
          <w:color w:val="auto"/>
        </w:rPr>
      </w:pPr>
    </w:p>
    <w:p>
      <w:pPr>
        <w:ind w:right="60" w:firstLine="436"/>
        <w:spacing w:after="0" w:line="282" w:lineRule="auto"/>
        <w:tabs>
          <w:tab w:leader="none" w:pos="685"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The Requisite Lenders may direct the Administrative Agent to, and the Administrative Agent if so directed shall, exercise all other rights and remedies it may have under any Applicable Law.</w:t>
      </w:r>
    </w:p>
    <w:p>
      <w:pPr>
        <w:spacing w:after="0" w:line="161" w:lineRule="exact"/>
        <w:rPr>
          <w:rFonts w:ascii="Times New Roman" w:cs="Times New Roman" w:eastAsia="Times New Roman" w:hAnsi="Times New Roman"/>
          <w:sz w:val="18"/>
          <w:szCs w:val="18"/>
          <w:color w:val="auto"/>
        </w:rPr>
      </w:pPr>
    </w:p>
    <w:p>
      <w:pPr>
        <w:ind w:firstLine="436"/>
        <w:spacing w:after="0" w:line="261" w:lineRule="auto"/>
        <w:tabs>
          <w:tab w:leader="none" w:pos="695"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Appointment of Receiver</w:t>
      </w:r>
      <w:r>
        <w:rPr>
          <w:rFonts w:ascii="Times New Roman" w:cs="Times New Roman" w:eastAsia="Times New Roman" w:hAnsi="Times New Roman"/>
          <w:sz w:val="18"/>
          <w:szCs w:val="18"/>
          <w:color w:val="auto"/>
        </w:rPr>
        <w:t>. To the extent permitted by Applicable Law, the Administrative Agent and the Lenders shall be entitled to the appointment of a receiver for the assets and properties of the Borrower and its Subsidiaries, without notice of any kind whatsoever and without regard to the adequacy of any security for the Obligations or the solvency of any party bound for its payment, to take possession of all or any portion of the property and/or the business operations of the Borrower and its Subsidiaries and to exercise such power as the court shall confer upon such receiver.</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0980"/>
          </w:cols>
          <w:pgMar w:left="440" w:top="270" w:right="479" w:bottom="1440" w:gutter="0" w:footer="0" w:header="0"/>
        </w:sectPr>
      </w:pPr>
    </w:p>
    <w:bookmarkStart w:id="261" w:name="page262"/>
    <w:bookmarkEnd w:id="261"/>
    <w:p>
      <w:pPr>
        <w:ind w:firstLine="436"/>
        <w:spacing w:after="0" w:line="253" w:lineRule="auto"/>
        <w:tabs>
          <w:tab w:leader="none" w:pos="685"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Specified Derivatives Contract Remedies</w:t>
      </w:r>
      <w:r>
        <w:rPr>
          <w:rFonts w:ascii="Times New Roman" w:cs="Times New Roman" w:eastAsia="Times New Roman" w:hAnsi="Times New Roman"/>
          <w:sz w:val="18"/>
          <w:szCs w:val="18"/>
          <w:color w:val="auto"/>
        </w:rPr>
        <w:t>. Notwithstanding any other provision of this Agreement or other Loan Document, each Specified Derivatives Provider shall have the right, with prompt notice to the Administrative Agent, but without the approval or consent of or other action by the Administrative Agent or the Lenders, and without limitation of other remedies available to such Specified Derivatives Provider under contract or Applicable Law, to undertake any of the following: (a) to declare an event of default, termination event or other similar event under any Specified Derivatives Contract and to create an “Early Termination Date” (as defined therein) in respect thereof, (b) to determine net termination amounts in respect of any and all Specified Derivatives Contracts in accordance with the terms thereof, and to set off amounts among such contracts, (c) to set off or proceed against deposit account balances, securities account balances and other property and amounts held by such Specified Derivatives Provider pursuant to any Derivatives Support Document, including any “Posted Collateral” (as defined in any credit support annex included in any such Derivatives Support Document to which such Specified Derivatives Provider may be a party), and (d) to prosecute any legal action against the Borrower, any Loan Party or other Subsidiary to enforce or collect net amounts owing to such Specified Derivatives Provider pursuant to any Specified Derivatives Contract. For the avoidance of doubt, none of the foregoing remedies instituted by a Specified Derivatives Provider shall by itself constitute a Default or Event of Default hereunder unless otherwise specifically set forth herein.</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10.3. [Intentionally Omitted].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10.4. Marshaling; Payments Set Aside.</w:t>
      </w:r>
    </w:p>
    <w:p>
      <w:pPr>
        <w:spacing w:after="0" w:line="121"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None of the Administrative Agent, any Lender or any Specified Derivatives Provider shall be under any obligation to marshal any assets in favor of any Loan Party or any other party or against or in payment of any or all of the Obligations or the Specified Derivatives Obligations. To the extent that any Loan Party makes a payment or payments to the Administrative Agent, any Lender or any Specified Derivatives Provider, or the Administrative Agent, any Lender or any Specified Derivatives Provider enforce their security interests or exercise their rights of setoff, and such payment or payments or the proceeds of such enforcement or setoff or any part thereof are subsequently invalidated, declared to be fraudulent or preferential, set aside and/or required to be repaid to a trustee, receiver or any other party under any bankruptcy law, state or federal law, common law or equitable cause, then to the extent of such recovery, the Obligations or Specified Derivatives Obligations, or part thereof originally intended to be satisfied, and all Liens, rights and remedies therefor, shall be revived and continued in full force and effect as if such payment had not been made or such enforcement or setoff had not occurred.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10.5. Allocation of Proceeds.</w:t>
      </w:r>
    </w:p>
    <w:p>
      <w:pPr>
        <w:spacing w:after="0" w:line="121"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If an Event of Default exists, all payments received by the Administrative Agent under any of the Loan Documents (or any Lender as a result of exercise of remedies pursuant to Section 12.4.), in respect of any principal of or interest on the Obligations or any other amounts payable by the Borrower hereunder or thereunder, shall be applied in the following order and priority:</w:t>
      </w:r>
    </w:p>
    <w:p>
      <w:pPr>
        <w:spacing w:after="0" w:line="68" w:lineRule="exact"/>
        <w:rPr>
          <w:sz w:val="20"/>
          <w:szCs w:val="20"/>
          <w:color w:val="auto"/>
        </w:rPr>
      </w:pPr>
    </w:p>
    <w:p>
      <w:pPr>
        <w:ind w:left="1100" w:hanging="241"/>
        <w:spacing w:after="0"/>
        <w:tabs>
          <w:tab w:leader="none" w:pos="110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due to the Administrative Agent and the Lenders in respect of expenses due under Section 12.2. until paid in full, and then Fees;</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of interest on the Loans to be applied for the ratable benefit of the Lenders;</w:t>
      </w:r>
    </w:p>
    <w:p>
      <w:pPr>
        <w:spacing w:after="0" w:line="117"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of principal of the Loans to be applied for the ratable benefit of the Lenders;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020"/>
          </w:cols>
          <w:pgMar w:left="440" w:top="270" w:right="439" w:bottom="1440" w:gutter="0" w:footer="0" w:header="0"/>
        </w:sectPr>
      </w:pPr>
    </w:p>
    <w:bookmarkStart w:id="262" w:name="page263"/>
    <w:bookmarkEnd w:id="262"/>
    <w:p>
      <w:pPr>
        <w:ind w:left="1120" w:hanging="261"/>
        <w:spacing w:after="0"/>
        <w:tabs>
          <w:tab w:leader="none" w:pos="112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amounts due to the Administrative Agent and the Lenders pursuant to Sections 11.6. and 12.10.;</w:t>
      </w:r>
    </w:p>
    <w:p>
      <w:pPr>
        <w:spacing w:after="0" w:line="117" w:lineRule="exact"/>
        <w:rPr>
          <w:rFonts w:ascii="Times New Roman" w:cs="Times New Roman" w:eastAsia="Times New Roman" w:hAnsi="Times New Roman"/>
          <w:sz w:val="18"/>
          <w:szCs w:val="18"/>
          <w:color w:val="auto"/>
        </w:rPr>
      </w:pPr>
    </w:p>
    <w:p>
      <w:pPr>
        <w:ind w:left="440" w:right="260" w:firstLine="419"/>
        <w:spacing w:after="0" w:line="282" w:lineRule="auto"/>
        <w:tabs>
          <w:tab w:leader="none" w:pos="1108"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of all other Obligations and other amounts due under any of the Loan Documents to be applied for the ratable benefit of the Lenders; and</w:t>
      </w:r>
    </w:p>
    <w:p>
      <w:pPr>
        <w:spacing w:after="0" w:line="53"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 remaining after application as provided above, shall be paid to the Borrower or whomever else may be legally entitled</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thereto.</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10.6. [Intentionally Omitted].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10.7. Rescission of Acceleration by Requisite Lenders.</w:t>
      </w:r>
    </w:p>
    <w:p>
      <w:pPr>
        <w:spacing w:after="0" w:line="121" w:lineRule="exact"/>
        <w:rPr>
          <w:sz w:val="20"/>
          <w:szCs w:val="20"/>
          <w:color w:val="auto"/>
        </w:rPr>
      </w:pPr>
    </w:p>
    <w:p>
      <w:pPr>
        <w:ind w:right="120" w:firstLine="440"/>
        <w:spacing w:after="0" w:line="254" w:lineRule="auto"/>
        <w:rPr>
          <w:sz w:val="20"/>
          <w:szCs w:val="20"/>
          <w:color w:val="auto"/>
        </w:rPr>
      </w:pPr>
      <w:r>
        <w:rPr>
          <w:rFonts w:ascii="Times New Roman" w:cs="Times New Roman" w:eastAsia="Times New Roman" w:hAnsi="Times New Roman"/>
          <w:sz w:val="18"/>
          <w:szCs w:val="18"/>
          <w:color w:val="auto"/>
        </w:rPr>
        <w:t>If at any time after acceleration of the maturity of the Loans and the other Obligations, the Borrower shall pay all arrears of interest and all payments on account of principal of the Obligations which shall have become due otherwise than by acceleration (with interest on principal and, to the extent permitted by Applicable Law, on overdue interest, at the rates specified in this Agreement) and all Events of Default and Defaults (other than nonpayment of principal of and accrued interest on the Obligations due and payable solely by virtue of acceleration) shall become remedied or waived to the satisfaction of the Requisite Lenders, then by written notice to the Borrower, the Requisite Lenders may elect, in the sole discretion of such Requisite Lenders, to rescind and annul the acceleration and its consequences. The provisions of the preceding sentence are intended merely to bind all of the Lenders to a decision which may be made at the election of the Requisite Lenders, and are not intended to benefit the Borrower and do not give the Borrower the right to require the Lenders to rescind or annul any acceleration hereunder, even if the conditions set forth herein are satisfied.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10.8. Performance by Administrative Agent.</w:t>
      </w:r>
    </w:p>
    <w:p>
      <w:pPr>
        <w:spacing w:after="0" w:line="121" w:lineRule="exact"/>
        <w:rPr>
          <w:sz w:val="20"/>
          <w:szCs w:val="20"/>
          <w:color w:val="auto"/>
        </w:rPr>
      </w:pPr>
    </w:p>
    <w:p>
      <w:pPr>
        <w:ind w:right="160" w:firstLine="440"/>
        <w:spacing w:after="0" w:line="255" w:lineRule="auto"/>
        <w:rPr>
          <w:sz w:val="20"/>
          <w:szCs w:val="20"/>
          <w:color w:val="auto"/>
        </w:rPr>
      </w:pPr>
      <w:r>
        <w:rPr>
          <w:rFonts w:ascii="Times New Roman" w:cs="Times New Roman" w:eastAsia="Times New Roman" w:hAnsi="Times New Roman"/>
          <w:sz w:val="18"/>
          <w:szCs w:val="18"/>
          <w:color w:val="auto"/>
        </w:rPr>
        <w:t>If the Borrower or any other Loan Party shall fail to perform any covenant, duty or agreement contained in any of the Loan Documents, the Administrative Agent may, after notice to the Borrower, perform or attempt to perform such covenant, duty or agreement on behalf of the Borrower or such other Loan Party after the expiration of any cure or grace periods set forth herein. In such event, the Borrower shall, at the request of the Administrative Agent, promptly pay any amount reasonably expended by the Administrative Agent in such performance or attempted performance to the Administrative Agent, together with interest thereon at the applicable Post-Default Rate from the date of such expenditure until paid. Notwithstanding the foregoing, neither the Administrative Agent nor any Lender shall have any liability or responsibility whatsoever to perform any obligation of the Borrower under this Agreement or any other Loan Document.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10.9. Rights Cumulative.</w:t>
      </w:r>
    </w:p>
    <w:p>
      <w:pPr>
        <w:spacing w:after="0" w:line="121" w:lineRule="exact"/>
        <w:rPr>
          <w:sz w:val="20"/>
          <w:szCs w:val="20"/>
          <w:color w:val="auto"/>
        </w:rPr>
      </w:pPr>
    </w:p>
    <w:p>
      <w:pPr>
        <w:ind w:firstLine="436"/>
        <w:spacing w:after="0" w:line="256" w:lineRule="auto"/>
        <w:tabs>
          <w:tab w:leader="none" w:pos="685"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Generally</w:t>
      </w:r>
      <w:r>
        <w:rPr>
          <w:rFonts w:ascii="Times New Roman" w:cs="Times New Roman" w:eastAsia="Times New Roman" w:hAnsi="Times New Roman"/>
          <w:sz w:val="18"/>
          <w:szCs w:val="18"/>
          <w:color w:val="auto"/>
        </w:rPr>
        <w:t>. The rights and remedies of the Administrative Agent, the Lenders and the Specified Derivatives Providers under this Agreement, each of the other Loan Documents, the Fee Letter and Specified Derivatives Contracts shall be cumulative and not exclusive of any rights or remedies which any of them may otherwise have under Applicable Law. In exercising their respective rights and remedies the Administrative Agent, the Lenders and the Specified Derivatives Providers may be selective and no failure or delay by the Administrative Agent, any of the Lenders or any of the Specified Derivatives Providers in exercising any right shall operate as a waiver of it, nor shall any single or partial exercise of any power or right preclude its other or further exercise or the exercise of any other power or right.</w:t>
      </w:r>
    </w:p>
    <w:p>
      <w:pPr>
        <w:spacing w:after="0" w:line="187" w:lineRule="exact"/>
        <w:rPr>
          <w:rFonts w:ascii="Times New Roman" w:cs="Times New Roman" w:eastAsia="Times New Roman" w:hAnsi="Times New Roman"/>
          <w:sz w:val="18"/>
          <w:szCs w:val="18"/>
          <w:color w:val="auto"/>
        </w:rPr>
      </w:pPr>
    </w:p>
    <w:p>
      <w:pPr>
        <w:jc w:val="both"/>
        <w:ind w:right="600" w:firstLine="436"/>
        <w:spacing w:after="0" w:line="261" w:lineRule="auto"/>
        <w:tabs>
          <w:tab w:leader="none" w:pos="695"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Enforcement by Administrative Agent</w:t>
      </w:r>
      <w:r>
        <w:rPr>
          <w:rFonts w:ascii="Times New Roman" w:cs="Times New Roman" w:eastAsia="Times New Roman" w:hAnsi="Times New Roman"/>
          <w:sz w:val="18"/>
          <w:szCs w:val="18"/>
          <w:color w:val="auto"/>
        </w:rPr>
        <w:t>. 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Article X. for the benefit of all the</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0980"/>
          </w:cols>
          <w:pgMar w:left="440" w:top="270" w:right="479" w:bottom="1440" w:gutter="0" w:footer="0" w:header="0"/>
        </w:sectPr>
      </w:pPr>
    </w:p>
    <w:bookmarkStart w:id="263" w:name="page264"/>
    <w:bookmarkEnd w:id="263"/>
    <w:p>
      <w:pPr>
        <w:ind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prohibit (i) the Administrative Agent from exercising on its own behalf the rights and remedies that inure to its benefit (solely in its capacity as Administrative Agent) hereunder and under the other Loan Documents, (ii) any Specified Derivatives Provider from exercising the rights and remedies that inure to its benefit under any Specified Derivatives Contract, (iii) any Lender from exercising setoff rights in accordance with Section 12.4. (subject to the terms of Section 3.3.), or (iv) any Lender from filing proofs of claim or appearing and filing pleadings on its own behalf during the pendency of a proceeding relative to any Loan Party under any Debtor Relief Law;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at any time there is no Person acting as Administrative Agent hereunder and under the other Loan Documents, then (x) the Requisite Lenders shall have the rights otherwise ascribed to the Administrative Agent pursuant to Article X. and (y) in addition to the matters set forth in clauses (iii) and (iv) of the preceding proviso and subject to Section 3.3., any Lender may, with the consent of the Requisite Lenders, enforce any rights and remedies available to it and as authorized by the Requisite Lenders.</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XI. The Administrative Agent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11.1. Appointment and Authorization.</w:t>
      </w:r>
    </w:p>
    <w:p>
      <w:pPr>
        <w:spacing w:after="0" w:line="121"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7"/>
          <w:szCs w:val="17"/>
          <w:color w:val="auto"/>
        </w:rPr>
        <w:t>Each Lender hereby irrevocably appoints and authorizes the Administrative Agent to take such action as contractual representative on such Lender’s behalf and to exercise such powers under this Agreement and the other Loan Documents as are specifically delegated to the Administrative Agent by the terms hereof and thereof, together with such powers as are reasonably incidental thereto. Not in limitation of the foregoing, each Lender authorizes and directs the Administrative Agent to enter into the Loan Documents for the benefit of the Lenders. Each Lender hereby agrees that, except as otherwise set forth herein, any action taken by the Requisite Lenders in accordance with the provisions of this Agreement or the Loan Documents, and the exercise by the Requisite Lenders of the powers set forth herein or therein, together with such other powers as are reasonably incidental thereto, shall be authorized and binding upon all of the Lenders. Nothing herein shall be construed to deem the Administrative Agent a trustee or fiduciary for any Lender or to impose on the Administrative Agent duties or obligations other than those expressly provided for herein. Without limiting the generality of the foregoing, the use of the terms “Agent”, “Administrative Agent”, “agent” and similar terms in the Loan Documents with reference to the Administrative Agent is not intended to connote any fiduciary or other implied (or express) obligations arising under agency doctrine of any Applicable Law. Instead, use of such terms is merely a matter of market custom, and is intended to create or reflect only an administrative relationship between independent contracting parties. The Administrative Agent shall deliver to each Lender, promptly upon receipt thereof by the Administrative Agent, copies of each of the financial statements, certificates, notices and other documents delivered to the Administrative Agent pursuant to</w:t>
      </w:r>
    </w:p>
    <w:p>
      <w:pPr>
        <w:spacing w:after="0" w:line="10"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Article VIII. that the Borrower is not otherwise required to deliver directly to the Lenders. The Administrative Agent will furnish to any Lender, upon the request of such Lender, a copy (or, where appropriate, an original) of any document, instrument, agreement, certificate or notice furnished to the Administrative Agent by the Borrower, any other Loan Party or any other Affiliate of the Borrower, pursuant to this Agreement or any other Loan Document not already delivered to such Lender pursuant to the terms of this Agreement or any such other Loan Document. As to any matters not expressly provided for by the Loan Documents (including, without limitation, enforcement or collection of any of the Obligations), the Administrative Agent shall not be required to exercise any discretion or take any action, but shall be required to act or to refrain from acting (and shall be fully protected in so acting or refraining from acting) upon the instructions of the Requisite Lenders (or all of the Lenders if explicitly required under any other provision of this Agreement), and such instructions shall be binding upon all Lenders and all holders of any of the Obligations; provided, however, that, notwithstanding anything in this Agreement to the contrary, the Administrative Agent shall not be required to take any action which exposes the Administrative Agent to personal liability or which is contrary to this Agreement or any other Loan Document or Applicable Law. Not in limitation of the foregoing, the Administrative Agent may exercise any right or remedy it or the Lenders may have under any Loan Document upon the occurrence of a Default or an Event of Default unless the Requisite Lenders have directed the Administrative Agent otherwise. Without limiting the foregoing, no Lender shall have any right of action whatsoever against the Administrative Agent as a result of the Administrative Agent acting or refraining from acting under this Agreement or any of the other Loan Documents in accordance with the instructions of the Requisite Lenders, or where applicable, all the Lenders.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0980"/>
          </w:cols>
          <w:pgMar w:left="440" w:top="270" w:right="479" w:bottom="1440" w:gutter="0" w:footer="0" w:header="0"/>
        </w:sectPr>
      </w:pPr>
    </w:p>
    <w:bookmarkStart w:id="264" w:name="page265"/>
    <w:bookmarkEnd w:id="264"/>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11.2. PNC Bank as Lender.</w:t>
      </w:r>
    </w:p>
    <w:p>
      <w:pPr>
        <w:spacing w:after="0" w:line="121"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PNC Bank, as a Lender or as a Specified Derivatives Provider, as the case may be, shall have the same rights and powers under this Agreement and any other Loan Document and under any Specified Derivatives Contract, as the case may be, as any other Lender or Specified Derivatives Provider and may exercise the same as though it were not the Administrative Agent; and the term “Lender” or “Lenders” shall, unless otherwise expressly indicated, include PNC Bank in each case in its individual capacity. PNC Bank and its Affiliates may each accept deposits from, maintain deposits or credit balances for, invest in, lend money to, act as trustee under indentures of, serve as financial advisor to, and generally engage in any kind of business with the Borrower, any other Loan Party or any other Affiliate thereof as if it were any other bank and without any duty to account therefor to the other Lenders or any other Specified Derivatives Providers. Further, the Administrative Agent and any Affiliate may accept fees and other consideration from the Borrower for services in connection with this Agreement or any Specified Derivatives Contract, or otherwise without having to account for the same to the other Lenders or any other Specified Derivatives Providers. The Lenders acknowledge that, pursuant to such activities, PNC Bank or its Affiliates may receive information regarding the Borrower, other Loan Parties, other Subsidiaries and other Affiliates (including information that may be subject to confidentiality obligations in favor of such Person) and acknowledge that the Administrative Agent shall be under no obligation to provide such information to them.</w:t>
      </w:r>
    </w:p>
    <w:p>
      <w:pPr>
        <w:spacing w:after="0" w:line="29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11.3. Approvals of Lenders.</w:t>
      </w:r>
    </w:p>
    <w:p>
      <w:pPr>
        <w:spacing w:after="0" w:line="121" w:lineRule="exact"/>
        <w:rPr>
          <w:sz w:val="20"/>
          <w:szCs w:val="20"/>
          <w:color w:val="auto"/>
        </w:rPr>
      </w:pPr>
    </w:p>
    <w:p>
      <w:pPr>
        <w:ind w:left="4" w:right="80" w:firstLine="440"/>
        <w:spacing w:after="0" w:line="268" w:lineRule="auto"/>
        <w:rPr>
          <w:sz w:val="20"/>
          <w:szCs w:val="20"/>
          <w:color w:val="auto"/>
        </w:rPr>
      </w:pPr>
      <w:r>
        <w:rPr>
          <w:rFonts w:ascii="Times New Roman" w:cs="Times New Roman" w:eastAsia="Times New Roman" w:hAnsi="Times New Roman"/>
          <w:sz w:val="17"/>
          <w:szCs w:val="17"/>
          <w:color w:val="auto"/>
        </w:rPr>
        <w:t>All communications from the Administrative Agent to any Lender requesting such Lender’s determination, consent or approval (a) shall be given in the form of a written notice to such Lender, (b) shall be accompanied by a description of the matter or issue as to which such determination, approval or consent is requested, or shall advise such Lender where information, if any, regarding such matter or issue may be inspected, or shall otherwise describe the matter or issue to be resolved, and (c) shall include, if reasonably requested by such Lender and to the extent not previously provided to such Lender, written materials provided to the Administrative Agent by the Borrower in respect of the matter or issue to be resolved. Unless a Lender shall give written notice to the Administrative Agent that it specifically objects to the requested determination, consent or approval within ten</w:t>
      </w:r>
    </w:p>
    <w:p>
      <w:pPr>
        <w:spacing w:after="0" w:line="5" w:lineRule="exact"/>
        <w:rPr>
          <w:sz w:val="20"/>
          <w:szCs w:val="20"/>
          <w:color w:val="auto"/>
        </w:rPr>
      </w:pPr>
    </w:p>
    <w:p>
      <w:pPr>
        <w:jc w:val="both"/>
        <w:ind w:left="4" w:right="140" w:hanging="4"/>
        <w:spacing w:after="0" w:line="255" w:lineRule="auto"/>
        <w:tabs>
          <w:tab w:leader="none" w:pos="349"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(or such lesser or greater period as may be specifically required under the express terms of the Loan Documents) of receipt of such communication, such Lender shall be deemed to have conclusively approved such requested determination, consent or approval. The provisions of this Section shall not apply to any amendment, waiver or consent regarding any of the matters described in Section 12.7.(c).</w:t>
      </w:r>
    </w:p>
    <w:p>
      <w:pPr>
        <w:spacing w:after="0" w:line="29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11.4. Notice of Events of Default.</w:t>
      </w:r>
    </w:p>
    <w:p>
      <w:pPr>
        <w:spacing w:after="0" w:line="121"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The Administrative Agent shall not be deemed to have knowledge or notice of the occurrence of a Default or Event of Default unless the Administrative Agent has received notice thereof from a Lender or the Borrower referring to this Agreement, describing with reasonable specificity such Default or Event of Default and stating that such notice is a “notice of default.” If any Lender (excluding the Lender which is also serving as the Administrative Agent) becomes aware of any Default or Event of Default, it shall promptly send to the Administrative Agent such a “notice of default”. Further, if the Administrative Agent receives such a “notice of default,” the Administrative Agent shall give prompt notice thereof to the Lenders.</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004"/>
          </w:cols>
          <w:pgMar w:left="436" w:top="266" w:right="459"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11.5. Administrative Agent’s Reliance.</w:t>
      </w:r>
    </w:p>
    <w:p>
      <w:pPr>
        <w:spacing w:after="0" w:line="121"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Notwithstanding any other provisions of this Agreement or any other Loan Documents, neither the Administrative Agent nor any of its directors, officers, agents, employees or counsel shall be liable for any action taken or not taken by it under or in connection with this Agreement or any other Loan Document, except for its or their own gross negligence or willful misconduct in connection with its duties expressly set forth herein or therein as determined by a court of competent jurisdiction in a final non-appealable judgment. Without limiting the generality of the foregoing, the Administrative Agent may consult with legal counsel (including its own counsel or counsel for the Borrower or any other Loan Party), independent public accountants and other experts selected by it and shall not be liable for any action taken or omitted to be taken in good faith by it in accordance with the advice of such counsel, accountants or experts. Neither the Administrative Agent nor any of its directors, officers, agents, employees or counsel: (a) makes any warranty or representation to any Lender or any other Person, or shall be responsible to any Lender or any other Person for any statement, warranty or representation made or deemed made by the Borrower, any other Loan Party or any other Person in or in connection with this Agreement or any other Loan Document; (b) shall have any duty to ascertain or to inquire as to the performance or observance of any of the terms, covenants or conditions of this Agreement or any other Loan Document or the satisfaction of any conditions precedent under this Agreement or any Loan Document on the part of the Borrower or other Persons, or to inspect the property, books or records of the Borrower or any other Person; (c) shall be responsible to any Lender for the due execution, legality, validity, enforceability, genuineness, sufficiency or value of this Agreement or any other Loan Document, any other instrument or document furnished pursuant thereto; (d) shall have any liability in respect of any recitals, statements, certifications, representations or warranties contained in any of the Loan Documents or any other document, instrument, agreement, certificate or statement delivered in connection therewith; and (e) shall incur any liability under or in respect of this Agreement or any other Loan Document by acting upon any notice, consent, certificate or other instrument or writing (which may be by telephone or electronic mail) believed by it to be genuine and signed, sent or given by the proper party or parties. The Administrative Agent may execute any of its duties under the Loan Documents by or through agents, employees or attorneys-in-fact and shall not itself be responsible for the negligence or misconduct of any agent or attorney-in-fact that it selects in the absence of gross negligence or willful misconduct as determined by a court of competent jurisdiction in a final non-appealable judgment.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11.6. Indemnification of Administrative Agent.</w:t>
      </w:r>
    </w:p>
    <w:p>
      <w:pPr>
        <w:spacing w:after="0" w:line="121" w:lineRule="exact"/>
        <w:rPr>
          <w:sz w:val="20"/>
          <w:szCs w:val="20"/>
          <w:color w:val="auto"/>
        </w:rPr>
      </w:pPr>
    </w:p>
    <w:p>
      <w:pPr>
        <w:ind w:right="20" w:firstLine="440"/>
        <w:spacing w:after="0" w:line="252" w:lineRule="auto"/>
        <w:rPr>
          <w:sz w:val="20"/>
          <w:szCs w:val="20"/>
          <w:color w:val="auto"/>
        </w:rPr>
      </w:pPr>
      <w:r>
        <w:rPr>
          <w:rFonts w:ascii="Times New Roman" w:cs="Times New Roman" w:eastAsia="Times New Roman" w:hAnsi="Times New Roman"/>
          <w:sz w:val="18"/>
          <w:szCs w:val="18"/>
          <w:color w:val="auto"/>
        </w:rPr>
        <w:t>Each Lender agrees to indemnify the Administrative Agent (to the extent not reimbursed by the Borrower and without limiting the obligation of the Borrower to do so) pro rata in accordance with such Lender’s respective Credit Percentage (determined as of the time of such claim), from and against any and all liabilities, obligations, losses, damages, penalties, actions, judgments, suits, reasonable out-of-pocket costs and expenses of any kind or nature whatsoever which may at any time be imposed on, incurred by, or asserted against the Administrative Agent (in its capacity as Administrative Agent but not as a Lender) in any way relating to or arising out of the Loan Documents, any transaction contemplated hereby or thereby or any action taken or omitted by the Administrative Agent under the Loan Documents (collectively, “</w:t>
      </w:r>
      <w:r>
        <w:rPr>
          <w:rFonts w:ascii="Times New Roman" w:cs="Times New Roman" w:eastAsia="Times New Roman" w:hAnsi="Times New Roman"/>
          <w:sz w:val="18"/>
          <w:szCs w:val="18"/>
          <w:b w:val="1"/>
          <w:bCs w:val="1"/>
          <w:color w:val="auto"/>
        </w:rPr>
        <w:t>Indemnifiable Amounts</w:t>
      </w:r>
      <w:r>
        <w:rPr>
          <w:rFonts w:ascii="Times New Roman" w:cs="Times New Roman" w:eastAsia="Times New Roman" w:hAnsi="Times New Roman"/>
          <w:sz w:val="18"/>
          <w:szCs w:val="18"/>
          <w:color w:val="auto"/>
        </w:rPr>
        <w:t xml:space="preserve">”); provided, however, that no Lender shall be liable for any portion of such Indemnifiable Amounts to the extent resulting from the Administrative Agent’s gross negligence or willful misconduct as determined by a court of competent jurisdiction in a final, non-appealable judgment;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action taken in accordance with the directions of the Requisite Lenders (or all of the Lenders, if expressly required hereunder) shall be deemed to constitute gross negligence or willful misconduct for purposes of this Section. Without limiting the generality of the foregoing, each Lender agrees to reimburse the Administrative Agent (to the extent not reimbursed by the Borrower and without limiting the obligation of the Borrower to do so) promptly upon demand for its ratable share of any out-of-pocket expenses (including the reasonable fees and expenses of the counsel to the Administrative Agent) incurred by the Administrative Agent in connection with the preparation, negotiation, execution, administration, or enforcement (whether through negotiations, legal proceedings, or otherwise) of, or legal advice with respect to the rights or responsibilities of the parties under, the Loan Documents, any suit or action brought by the Administrative Agent to enforce the terms of the Loan Documents and/or collect any Obligations, any “lender liability” suit or claim brought against the Administrative Agent and/or the</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000"/>
          </w:cols>
          <w:pgMar w:left="440" w:top="266" w:right="459" w:bottom="1440" w:gutter="0" w:footer="0" w:header="0"/>
        </w:sectPr>
      </w:pPr>
    </w:p>
    <w:bookmarkStart w:id="266" w:name="page267"/>
    <w:bookmarkEnd w:id="266"/>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Lenders, and any claim or suit brought against the Administrative Agent and/or the Lenders arising under any Environmental Laws. Such out-of-pocket expenses (including counsel fees) shall be advanced by the Lenders on the request of the Administrative Agent notwithstanding any claim or assertion that the Administrative Agent is not entitled to indemnification hereunder upon receipt of an undertaking by the Administrative Agent that the Administrative Agent will reimburse the Lenders if it is actually and finally determined by a court of competent jurisdiction that the Administrative Agent is not so entitled to indemnification. The agreements in this Section shall survive the payment of the Loans and all other amounts payable hereunder or under the other Loan Documents and the termination of this Agreement. If the Borrower shall reimburse the Administrative Agent for any Indemnifiable Amount following payment by any Lender to the Administrative Agent in respect of such Indemnifiable Amount pursuant to this Section, the Administrative Agent shall share such reimbursement on a ratable basis with each Lender making any such payment.</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11.7. Lender Credit Decision, Etc.</w:t>
      </w:r>
    </w:p>
    <w:p>
      <w:pPr>
        <w:spacing w:after="0" w:line="121"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Each of the Lenders expressly acknowledges and agrees that neither the Administrative Agent nor any of its officers, directors, employees, agents, counsel, attorneys-in-fact or other Affiliates has made any representations or warranties to such Lender and that no act by the Administrative Agent hereafter taken, including any review of the affairs of the Borrower, any other Loan Party or any other Subsidiary or Affiliate, shall be deemed to constitute any such representation or warranty by the Administrative Agent to any Lender. Each of the Lenders acknowledges that it has made its own credit and legal analysis and decision to enter into this Agreement and the transactions contemplated hereby, independently and without reliance upon the Administrative Agent, any other Lender or counsel to the Administrative Agent, or any of their respective officers, directors, employees, agents or counsel, and based on the financial statements of the Borrower, the other Loan Parties, the other Subsidiaries and other Affiliates, and inquiries of such Persons, its independent due diligence of the business and affairs of the Borrower, the other Loan Parties, the other Subsidiaries and other Persons, its review of the Loan Documents, the legal opinions required to be delivered to it hereunder, the advice of its own counsel and such other documents and information as it has deemed appropriate. Each of the Lenders also acknowledges that it will, independently and without reliance upon the Administrative Agent, any other Lender or counsel to the Administrative Agent or any of their respective officers, directors, employees and agents, and based on such review, advice, documents and information as it shall deem appropriate at the time, continue to make its own decisions in taking or not taking action under the Loan Documents. The Administrative Agent shall not be required to keep itself informed as to the performance or observance by the Borrower or any other Loan Party of the Loan Documents or any other document referred to or provided for therein or to inspect the properties or books of, or make any other investigation of, the Borrower, any other Loan Party or any other Subsidiary. Except for notices, reports and other documents and information expressly required to be furnished to the Lenders by the Administrative Agent under this Agreement or any of the other Loan Documents, the Administrative Agent shall have no duty or responsibility to provide any Lender with any credit or other information concerning the business, operations, property, financial and other condition or creditworthiness of the Borrower, any other Loan Party or any other Affiliate thereof which may come into possession of the Administrative Agent or any of its officers, directors, employees, agents, attorneys-in-fact or other Affiliates. Each of the Lenders acknowledges that the Administrative Agent’s legal counsel in connection with the transactions contemplated by this Agreement is only acting as counsel to the Administrative Agent and is not acting as counsel to any Lender.</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11.8. Successor Administrative Agent.</w:t>
      </w:r>
    </w:p>
    <w:p>
      <w:pPr>
        <w:spacing w:after="0" w:line="121"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 Administrative Agent may (i) be removed as administrative agent by all of the Lenders (other than the Lender then acting as Administrative Agent) and the Borrower upon 30 days’ prior written notice if the Administrative Agent (A) is found by a court of competent jurisdiction in a final, non-appealable judgment to have committed gross negligence or willful misconduct in the course of performing its duties hereunder or (B) has become or is insolvent or has become the subject of a bankruptcy or insolvency</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0980"/>
          </w:cols>
          <w:pgMar w:left="440" w:top="270" w:right="479" w:bottom="1440" w:gutter="0" w:footer="0" w:header="0"/>
        </w:sectPr>
      </w:pPr>
    </w:p>
    <w:bookmarkStart w:id="267" w:name="page268"/>
    <w:bookmarkEnd w:id="267"/>
    <w:p>
      <w:pPr>
        <w:ind w:left="4"/>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proceeding, or has had a receiver, conservator, trustee or custodian appointed for it, or has taken any action in furtherance of, or indicating its consent to, approval of or acquiescence in any such proceeding or appointment and (ii) resign at any time as Administrative Agent under the Loan Documents by giving written notice thereof to the Lenders and the Borrower. Upon any such removal or resignation, the Requisite Lenders shall have the right to appoint a successor Administrative Agent which appointment shall, provided no Event of Default exists, be subject to the Borrower’s approval, which approval shall not be unreasonably withheld or delayed (except that the Borrower shall, in all events, be deemed to have approved each Lender and any of its Affiliates as a successor Administrative Agent). If no successor Administrative Agent shall have been so appointed in accordance with the immediately preceding sentence, and shall have accepted such appointment, within 30 days after (i) the Lenders’ giving of notice of removal or (ii) the resigning Administrative Agent’s giving of notice of resignation, then the removed or resigning Administrative Agent shall be discharged from its duties and obligations under the Loan Documents and may, on behalf of the Lenders, appoint a successor Administrative Agent, which shall be a Lender, if any Lender shall be willing to serve, and otherwise shall be an Eligible Assignee which, provided no Event of Default exists, shall be approved by the Borrower (such approval shall not be unreasonably withheld or delayed); provided that if the Administrative Agent shall notify the Borrower and the Lenders that no Lender has accepted such appointment, then such resignation shall nonetheless become effective in accordance with such notice and</w:t>
      </w:r>
    </w:p>
    <w:p>
      <w:pPr>
        <w:spacing w:after="0" w:line="1" w:lineRule="exact"/>
        <w:rPr>
          <w:sz w:val="20"/>
          <w:szCs w:val="20"/>
          <w:color w:val="auto"/>
        </w:rPr>
      </w:pPr>
    </w:p>
    <w:p>
      <w:pPr>
        <w:ind w:left="4" w:right="40" w:hanging="4"/>
        <w:spacing w:after="0" w:line="251" w:lineRule="auto"/>
        <w:tabs>
          <w:tab w:leader="none" w:pos="259"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be discharged from its duties and obligations hereunder and under the other Loan Documents and (2) all payments, communications and determinations provided to be made by, to or through the Administrative Agent shall instead be made to each Lender directly until such time as a successor Administrative Agent has been appointed as provided for above in this Section; provided, further that such Lenders so acting directly shall be and be deemed to be protected by all indemnities and other provisions herein for the benefit and protection of the Administrative Agent as if each such Lender were itself the Administrative Agent. Upon the acceptance of any appointment as Administrative Agent hereunder by a successor Administrative Agent such successor Administrative Agent, or, if no such successor has been appointed, the Requisite Lenders, shall thereupon succeed to and become vested with all the rights, powers, privileges and duties of the removed or resigning Administrative Agent. After any Administrative Agent’s removal or resignation hereunder as Administrative Agent, the provisions of this Article XI. shall continue to inure to its benefit as to any actions taken or omitted to be taken by it while it was Administrative Agent under the Loan Documents. Notwithstanding anything contained herein to the contrary, subject to the Borrower’s approval, the Administrative Agent may assign its rights and duties under the Loan Documents to any of its Affiliates reasonably acceptable to the Borrower by giving the Borrower and each Lender prior written notice.</w:t>
      </w:r>
    </w:p>
    <w:p>
      <w:pPr>
        <w:spacing w:after="0" w:line="29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11.9. Titled Agents.</w:t>
      </w:r>
    </w:p>
    <w:p>
      <w:pPr>
        <w:spacing w:after="0" w:line="117" w:lineRule="exact"/>
        <w:rPr>
          <w:sz w:val="20"/>
          <w:szCs w:val="20"/>
          <w:color w:val="auto"/>
        </w:rPr>
      </w:pPr>
    </w:p>
    <w:p>
      <w:pPr>
        <w:ind w:left="4" w:right="140" w:firstLine="440"/>
        <w:spacing w:after="0" w:line="259" w:lineRule="auto"/>
        <w:rPr>
          <w:sz w:val="20"/>
          <w:szCs w:val="20"/>
          <w:color w:val="auto"/>
        </w:rPr>
      </w:pPr>
      <w:r>
        <w:rPr>
          <w:rFonts w:ascii="Times New Roman" w:cs="Times New Roman" w:eastAsia="Times New Roman" w:hAnsi="Times New Roman"/>
          <w:sz w:val="18"/>
          <w:szCs w:val="18"/>
          <w:color w:val="auto"/>
        </w:rPr>
        <w:t>The Arrangers and Co-Syndication Agents (the “</w:t>
      </w:r>
      <w:r>
        <w:rPr>
          <w:rFonts w:ascii="Times New Roman" w:cs="Times New Roman" w:eastAsia="Times New Roman" w:hAnsi="Times New Roman"/>
          <w:sz w:val="18"/>
          <w:szCs w:val="18"/>
          <w:b w:val="1"/>
          <w:bCs w:val="1"/>
          <w:color w:val="auto"/>
        </w:rPr>
        <w:t>Titled Agents</w:t>
      </w:r>
      <w:r>
        <w:rPr>
          <w:rFonts w:ascii="Times New Roman" w:cs="Times New Roman" w:eastAsia="Times New Roman" w:hAnsi="Times New Roman"/>
          <w:sz w:val="18"/>
          <w:szCs w:val="18"/>
          <w:color w:val="auto"/>
        </w:rPr>
        <w:t>”) in such respective capacities, assume no responsibility or obligation hereunder, including, without limitation, for servicing, enforcement or collection of any of the Loans, nor any duties as an agent hereunder for the Lenders. The titles given to the Titled Agents are solely honorific and imply no fiduciary responsibility on the part of the Titled Agents to the Administrative Agent, any Lender, the Borrower or any other Loan Party and the use of such titles does not impose on the Titled Agents any duties or obligations greater than those of any other Lender or entitle the Titled Agents to any rights other than those to which any other Lender is entitled.</w:t>
      </w:r>
    </w:p>
    <w:p>
      <w:pPr>
        <w:spacing w:after="0" w:line="2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11.10. Erroneous Payments.</w:t>
      </w:r>
    </w:p>
    <w:p>
      <w:pPr>
        <w:spacing w:after="0" w:line="121" w:lineRule="exact"/>
        <w:rPr>
          <w:sz w:val="20"/>
          <w:szCs w:val="20"/>
          <w:color w:val="auto"/>
        </w:rPr>
      </w:pPr>
    </w:p>
    <w:p>
      <w:pPr>
        <w:ind w:left="4" w:right="80" w:firstLine="436"/>
        <w:spacing w:after="0" w:line="258" w:lineRule="auto"/>
        <w:tabs>
          <w:tab w:leader="none" w:pos="689"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Lender </w:t>
      </w:r>
      <w:r>
        <w:rPr>
          <w:rFonts w:ascii="Times New Roman" w:cs="Times New Roman" w:eastAsia="Times New Roman" w:hAnsi="Times New Roman"/>
          <w:sz w:val="18"/>
          <w:szCs w:val="18"/>
          <w:color w:val="FF0000"/>
          <w:strike w:val="1"/>
        </w:rPr>
        <w:t>hereby</w:t>
      </w:r>
      <w:r>
        <w:rPr>
          <w:rFonts w:ascii="Times New Roman" w:cs="Times New Roman" w:eastAsia="Times New Roman" w:hAnsi="Times New Roman"/>
          <w:sz w:val="18"/>
          <w:szCs w:val="18"/>
          <w:u w:val="single" w:color="auto"/>
          <w:color w:val="0000FF"/>
        </w:rPr>
        <w:t>, each other Specified Derivatives Provider and any other party hereto hereby severally</w:t>
      </w:r>
      <w:r>
        <w:rPr>
          <w:rFonts w:ascii="Times New Roman" w:cs="Times New Roman" w:eastAsia="Times New Roman" w:hAnsi="Times New Roman"/>
          <w:sz w:val="18"/>
          <w:szCs w:val="18"/>
          <w:color w:val="auto"/>
        </w:rPr>
        <w:t xml:space="preserve"> agrees that </w:t>
      </w:r>
      <w:r>
        <w:rPr>
          <w:rFonts w:ascii="Times New Roman" w:cs="Times New Roman" w:eastAsia="Times New Roman" w:hAnsi="Times New Roman"/>
          <w:sz w:val="18"/>
          <w:szCs w:val="18"/>
          <w:u w:val="single" w:color="auto"/>
          <w:color w:val="0000FF"/>
        </w:rPr>
        <w:t>if</w:t>
      </w:r>
      <w:r>
        <w:rPr>
          <w:rFonts w:ascii="Times New Roman" w:cs="Times New Roman" w:eastAsia="Times New Roman" w:hAnsi="Times New Roman"/>
          <w:sz w:val="18"/>
          <w:szCs w:val="18"/>
          <w:color w:val="auto"/>
        </w:rPr>
        <w:t xml:space="preserve"> (i) </w:t>
      </w:r>
      <w:r>
        <w:rPr>
          <w:rFonts w:ascii="Times New Roman" w:cs="Times New Roman" w:eastAsia="Times New Roman" w:hAnsi="Times New Roman"/>
          <w:sz w:val="18"/>
          <w:szCs w:val="18"/>
          <w:color w:val="FF0000"/>
          <w:strike w:val="1"/>
        </w:rPr>
        <w:t>if</w:t>
      </w:r>
      <w:r>
        <w:rPr>
          <w:rFonts w:ascii="Times New Roman" w:cs="Times New Roman" w:eastAsia="Times New Roman" w:hAnsi="Times New Roman"/>
          <w:sz w:val="18"/>
          <w:szCs w:val="18"/>
          <w:color w:val="auto"/>
        </w:rPr>
        <w:t xml:space="preserve"> the Administrative Agent notifies </w:t>
      </w:r>
      <w:r>
        <w:rPr>
          <w:rFonts w:ascii="Times New Roman" w:cs="Times New Roman" w:eastAsia="Times New Roman" w:hAnsi="Times New Roman"/>
          <w:sz w:val="18"/>
          <w:szCs w:val="18"/>
          <w:color w:val="FF0000"/>
          <w:strike w:val="1"/>
        </w:rPr>
        <w:t>such Lender</w:t>
      </w:r>
      <w:r>
        <w:rPr>
          <w:rFonts w:ascii="Times New Roman" w:cs="Times New Roman" w:eastAsia="Times New Roman" w:hAnsi="Times New Roman"/>
          <w:sz w:val="18"/>
          <w:szCs w:val="18"/>
          <w:u w:val="single" w:color="auto"/>
          <w:color w:val="0000FF"/>
        </w:rPr>
        <w:t>(which such notice shall be conclusive absent manifest error) such Lender or any other Specified Derivatives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Provider or any other Person that has received funds from the Administrative Agent or any of its Affiliates, either for its own account or on behalf of a Lender or other Specified Derivatives Provider (each such recipient, a “Payment Recipient”)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that the Administrative Agent has determined in its sole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discretion that any funds received by such </w:t>
      </w:r>
      <w:r>
        <w:rPr>
          <w:rFonts w:ascii="Times New Roman" w:cs="Times New Roman" w:eastAsia="Times New Roman" w:hAnsi="Times New Roman"/>
          <w:sz w:val="18"/>
          <w:szCs w:val="18"/>
          <w:color w:val="FF0000"/>
          <w:strike w:val="1"/>
        </w:rPr>
        <w:t>Lender from the Administrative Agent or any of its Affiliates</w:t>
      </w:r>
      <w:r>
        <w:rPr>
          <w:rFonts w:ascii="Times New Roman" w:cs="Times New Roman" w:eastAsia="Times New Roman" w:hAnsi="Times New Roman"/>
          <w:sz w:val="18"/>
          <w:szCs w:val="18"/>
          <w:u w:val="single" w:color="auto"/>
          <w:color w:val="0000FF"/>
        </w:rPr>
        <w:t>Payment Recipient</w:t>
      </w:r>
      <w:r>
        <w:rPr>
          <w:rFonts w:ascii="Times New Roman" w:cs="Times New Roman" w:eastAsia="Times New Roman" w:hAnsi="Times New Roman"/>
          <w:sz w:val="18"/>
          <w:szCs w:val="18"/>
          <w:color w:val="000000"/>
        </w:rPr>
        <w:t xml:space="preserve"> were erroneously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1354455</wp:posOffset>
            </wp:positionH>
            <wp:positionV relativeFrom="paragraph">
              <wp:posOffset>-548640</wp:posOffset>
            </wp:positionV>
            <wp:extent cx="4620260" cy="88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4620260" cy="8890"/>
                    </a:xfrm>
                    <a:prstGeom prst="rect">
                      <a:avLst/>
                    </a:prstGeom>
                    <a:noFill/>
                  </pic:spPr>
                </pic:pic>
              </a:graphicData>
            </a:graphic>
          </wp:anchor>
        </w:drawing>
        <w:drawing>
          <wp:anchor simplePos="0" relativeHeight="251657728" behindDoc="1" locked="0" layoutInCell="0" allowOverlap="1">
            <wp:simplePos x="0" y="0"/>
            <wp:positionH relativeFrom="column">
              <wp:posOffset>1954530</wp:posOffset>
            </wp:positionH>
            <wp:positionV relativeFrom="paragraph">
              <wp:posOffset>-411480</wp:posOffset>
            </wp:positionV>
            <wp:extent cx="4980305" cy="88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498030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-274320</wp:posOffset>
            </wp:positionV>
            <wp:extent cx="6875145" cy="825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68751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-137160</wp:posOffset>
            </wp:positionV>
            <wp:extent cx="4234815" cy="88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4234815" cy="8890"/>
                    </a:xfrm>
                    <a:prstGeom prst="rect">
                      <a:avLst/>
                    </a:prstGeom>
                    <a:noFill/>
                  </pic:spPr>
                </pic:pic>
              </a:graphicData>
            </a:graphic>
          </wp:anchor>
        </w:drawing>
        <w:drawing>
          <wp:anchor simplePos="0" relativeHeight="251657728" behindDoc="1" locked="0" layoutInCell="0" allowOverlap="1">
            <wp:simplePos x="0" y="0"/>
            <wp:positionH relativeFrom="column">
              <wp:posOffset>4740275</wp:posOffset>
            </wp:positionH>
            <wp:positionV relativeFrom="paragraph">
              <wp:posOffset>0</wp:posOffset>
            </wp:positionV>
            <wp:extent cx="865505" cy="825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865505" cy="8255"/>
                    </a:xfrm>
                    <a:prstGeom prst="rect">
                      <a:avLst/>
                    </a:prstGeom>
                    <a:noFill/>
                  </pic:spPr>
                </pic:pic>
              </a:graphicData>
            </a:graphic>
          </wp:anchor>
        </w:drawing>
      </w:r>
    </w:p>
    <w:p>
      <w:pPr>
        <w:spacing w:after="0" w:line="9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004"/>
          </w:cols>
          <w:pgMar w:left="436" w:top="270" w:right="459" w:bottom="1440" w:gutter="0" w:footer="0" w:header="0"/>
        </w:sectPr>
      </w:pPr>
    </w:p>
    <w:bookmarkStart w:id="268" w:name="page269"/>
    <w:bookmarkEnd w:id="268"/>
    <w:p>
      <w:pPr>
        <w:ind w:right="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transmitted to, or otherwise erroneously or mistakenly received by, such </w:t>
      </w:r>
      <w:r>
        <w:rPr>
          <w:rFonts w:ascii="Times New Roman" w:cs="Times New Roman" w:eastAsia="Times New Roman" w:hAnsi="Times New Roman"/>
          <w:sz w:val="18"/>
          <w:szCs w:val="18"/>
          <w:color w:val="FF0000"/>
          <w:strike w:val="1"/>
        </w:rPr>
        <w:t>Lender</w:t>
      </w:r>
      <w:r>
        <w:rPr>
          <w:rFonts w:ascii="Times New Roman" w:cs="Times New Roman" w:eastAsia="Times New Roman" w:hAnsi="Times New Roman"/>
          <w:sz w:val="18"/>
          <w:szCs w:val="18"/>
          <w:u w:val="single" w:color="auto"/>
          <w:color w:val="0000FF"/>
        </w:rPr>
        <w:t>Payment Recipient</w:t>
      </w:r>
      <w:r>
        <w:rPr>
          <w:rFonts w:ascii="Times New Roman" w:cs="Times New Roman" w:eastAsia="Times New Roman" w:hAnsi="Times New Roman"/>
          <w:sz w:val="18"/>
          <w:szCs w:val="18"/>
          <w:color w:val="auto"/>
        </w:rPr>
        <w:t xml:space="preserve"> (whether or not known to such </w:t>
      </w:r>
      <w:r>
        <w:rPr>
          <w:rFonts w:ascii="Times New Roman" w:cs="Times New Roman" w:eastAsia="Times New Roman" w:hAnsi="Times New Roman"/>
          <w:sz w:val="18"/>
          <w:szCs w:val="18"/>
          <w:color w:val="FF0000"/>
          <w:strike w:val="1"/>
        </w:rPr>
        <w:t>Lender (</w:t>
      </w:r>
      <w:r>
        <w:rPr>
          <w:rFonts w:ascii="Times New Roman" w:cs="Times New Roman" w:eastAsia="Times New Roman" w:hAnsi="Times New Roman"/>
          <w:sz w:val="18"/>
          <w:szCs w:val="18"/>
          <w:u w:val="single" w:color="auto"/>
          <w:color w:val="0000FF"/>
        </w:rPr>
        <w:t>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Recipient) or (ii) any Payment Recipient receives any payment from the Administrative Agent (or any of its Affiliates) (x) that is in a different amount than, or on a different date from, that specified in a notice of payment, prepayment or repayment sent by the Administrative Agent (or any of its Affiliates) with respect to such payment, prepayment or repayment, as applicable, (y) that was not preceded or accompanied by a notice of payment, prepayment or repayment sent by the Administrative Agent (or any of its Affiliates) with respect to such payment, prepayment or repayment, as applicable, or (z) that such Payment Recipient otherwise becomes aware was transmitted or received in error or by mistake (in whole or in part) then, in each case, an error in payment shall be presumed to have been made (any such amounts specified in clauses (i) or (ii) of this Section 11.10(a),</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whether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received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as a payment, prepayment or repayment of principal, interest, fees</w:t>
      </w:r>
      <w:r>
        <w:rPr>
          <w:rFonts w:ascii="Times New Roman" w:cs="Times New Roman" w:eastAsia="Times New Roman" w:hAnsi="Times New Roman"/>
          <w:sz w:val="18"/>
          <w:szCs w:val="18"/>
          <w:u w:val="single" w:color="auto"/>
          <w:color w:val="0000FF"/>
        </w:rPr>
        <w:t>, distribution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or otherwise</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individually and collectively, an “</w:t>
      </w:r>
      <w:r>
        <w:rPr>
          <w:rFonts w:ascii="Times New Roman" w:cs="Times New Roman" w:eastAsia="Times New Roman" w:hAnsi="Times New Roman"/>
          <w:sz w:val="18"/>
          <w:szCs w:val="18"/>
          <w:u w:val="single" w:color="auto"/>
          <w:color w:val="000000"/>
        </w:rPr>
        <w:t>Erroneous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00"/>
        </w:rPr>
        <w:t>Payment</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FF0000"/>
        </w:rPr>
        <w:t>and demands the return</w:t>
      </w:r>
      <w:r>
        <w:rPr>
          <w:rFonts w:ascii="Times New Roman" w:cs="Times New Roman" w:eastAsia="Times New Roman" w:hAnsi="Times New Roman"/>
          <w:sz w:val="18"/>
          <w:szCs w:val="18"/>
          <w:u w:val="single" w:color="auto"/>
          <w:color w:val="0000FF"/>
        </w:rPr>
        <w:t>, then, in each case, such Payment Recipient is deemed to have knowledge of such error at the time of its receipt</w:t>
      </w:r>
      <w:r>
        <w:rPr>
          <w:rFonts w:ascii="Times New Roman" w:cs="Times New Roman" w:eastAsia="Times New Roman" w:hAnsi="Times New Roman"/>
          <w:sz w:val="18"/>
          <w:szCs w:val="18"/>
          <w:color w:val="000000"/>
        </w:rPr>
        <w:t xml:space="preserve"> of such Erroneous Payment </w:t>
      </w:r>
      <w:r>
        <w:rPr>
          <w:rFonts w:ascii="Times New Roman" w:cs="Times New Roman" w:eastAsia="Times New Roman" w:hAnsi="Times New Roman"/>
          <w:sz w:val="18"/>
          <w:szCs w:val="18"/>
          <w:color w:val="FF0000"/>
        </w:rPr>
        <w:t>(or a portion thereof), such Lender shall promptly, but in no event later than two (2) Business Days thereafter, return to</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provided that nothing in this Section shall require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the Administrative Agent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the amount of any such Erroneous Payment (or portion thereof) as to which</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such a demand was made, in same day funds (in the currency so received), together with interest thereon in respect of each day from and including the date such Erroneous Payment (or portion thereof) was received by such Lender to the date such amount is repaid to the Administrative Agent in same day funds at the greater of the Federal Funds Rate and a rate determined by the Administrative Agent in accordance with banking industry rules on interbank compensation from time to time in effect, and (ii) such Lender</w:t>
      </w:r>
      <w:r>
        <w:rPr>
          <w:rFonts w:ascii="Times New Roman" w:cs="Times New Roman" w:eastAsia="Times New Roman" w:hAnsi="Times New Roman"/>
          <w:sz w:val="18"/>
          <w:szCs w:val="18"/>
          <w:u w:val="single" w:color="auto"/>
          <w:color w:val="0000FF"/>
          <w:strike w:val="1"/>
        </w:rPr>
        <w:t>to provide any of the notices specified in clauses (i) or (ii) above. Each Payment</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0000FF"/>
          <w:strike w:val="1"/>
        </w:rPr>
        <w:t>Recipient agrees that it</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shall not assert any right or claim to</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FF0000"/>
          <w:strike w:val="1"/>
        </w:rPr>
        <w:t>the</w:t>
      </w:r>
      <w:r>
        <w:rPr>
          <w:rFonts w:ascii="Times New Roman" w:cs="Times New Roman" w:eastAsia="Times New Roman" w:hAnsi="Times New Roman"/>
          <w:sz w:val="18"/>
          <w:szCs w:val="18"/>
          <w:u w:val="single" w:color="auto"/>
          <w:color w:val="0000FF"/>
          <w:strike w:val="1"/>
        </w:rPr>
        <w:t>any</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Erroneous Payment, and hereby waives any claim, counterclaim, defense or right of</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 xml:space="preserve">set-off or recoupment with respect to any demand, claim or counterclaim by the Administrative Agent for the return of any Erroneous Payments </w:t>
      </w:r>
      <w:r>
        <w:rPr>
          <w:rFonts w:ascii="Times New Roman" w:cs="Times New Roman" w:eastAsia="Times New Roman" w:hAnsi="Times New Roman"/>
          <w:sz w:val="18"/>
          <w:szCs w:val="18"/>
          <w:color w:val="FF0000"/>
          <w:strike w:val="1"/>
        </w:rPr>
        <w:t>received</w:t>
      </w:r>
      <w:r>
        <w:rPr>
          <w:rFonts w:ascii="Times New Roman" w:cs="Times New Roman" w:eastAsia="Times New Roman" w:hAnsi="Times New Roman"/>
          <w:sz w:val="18"/>
          <w:szCs w:val="18"/>
          <w:color w:val="000000"/>
          <w:strike w:val="1"/>
        </w:rPr>
        <w:t>, including without limitation waiver of any defense based on “discharge for value” or any similar doctrine.</w:t>
      </w:r>
      <w:r>
        <w:rPr>
          <w:rFonts w:ascii="Times New Roman" w:cs="Times New Roman" w:eastAsia="Times New Roman" w:hAnsi="Times New Roman"/>
          <w:sz w:val="18"/>
          <w:szCs w:val="18"/>
          <w:color w:val="FF0000"/>
          <w:strike w:val="1"/>
        </w:rPr>
        <w:t xml:space="preserve"> A notice of the Administrative Agent to any Lender under this clause (a) shall be conclusive, absent manifest error.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-2463800</wp:posOffset>
            </wp:positionV>
            <wp:extent cx="874395" cy="889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874395" cy="8890"/>
                    </a:xfrm>
                    <a:prstGeom prst="rect">
                      <a:avLst/>
                    </a:prstGeom>
                    <a:noFill/>
                  </pic:spPr>
                </pic:pic>
              </a:graphicData>
            </a:graphic>
          </wp:anchor>
        </w:drawing>
        <w:drawing>
          <wp:anchor simplePos="0" relativeHeight="251657728" behindDoc="1" locked="0" layoutInCell="0" allowOverlap="1">
            <wp:simplePos x="0" y="0"/>
            <wp:positionH relativeFrom="column">
              <wp:posOffset>6358255</wp:posOffset>
            </wp:positionH>
            <wp:positionV relativeFrom="paragraph">
              <wp:posOffset>-2463800</wp:posOffset>
            </wp:positionV>
            <wp:extent cx="402590" cy="88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40259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-2326640</wp:posOffset>
            </wp:positionV>
            <wp:extent cx="6883400" cy="825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68834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-2189480</wp:posOffset>
            </wp:positionV>
            <wp:extent cx="6574790" cy="825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65747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-2052320</wp:posOffset>
            </wp:positionV>
            <wp:extent cx="6780530" cy="825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678053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-1915160</wp:posOffset>
            </wp:positionV>
            <wp:extent cx="6566535" cy="825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65665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-1778000</wp:posOffset>
            </wp:positionV>
            <wp:extent cx="6934835" cy="889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693483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-1640840</wp:posOffset>
            </wp:positionV>
            <wp:extent cx="6480810" cy="825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64808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-1503680</wp:posOffset>
            </wp:positionV>
            <wp:extent cx="411480" cy="825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411480" cy="8255"/>
                    </a:xfrm>
                    <a:prstGeom prst="rect">
                      <a:avLst/>
                    </a:prstGeom>
                    <a:noFill/>
                  </pic:spPr>
                </pic:pic>
              </a:graphicData>
            </a:graphic>
          </wp:anchor>
        </w:drawing>
        <w:drawing>
          <wp:anchor simplePos="0" relativeHeight="251657728" behindDoc="1" locked="0" layoutInCell="0" allowOverlap="1">
            <wp:simplePos x="0" y="0"/>
            <wp:positionH relativeFrom="column">
              <wp:posOffset>3434715</wp:posOffset>
            </wp:positionH>
            <wp:positionV relativeFrom="paragraph">
              <wp:posOffset>-1503680</wp:posOffset>
            </wp:positionV>
            <wp:extent cx="582930" cy="825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582930" cy="8255"/>
                    </a:xfrm>
                    <a:prstGeom prst="rect">
                      <a:avLst/>
                    </a:prstGeom>
                    <a:noFill/>
                  </pic:spPr>
                </pic:pic>
              </a:graphicData>
            </a:graphic>
          </wp:anchor>
        </w:drawing>
        <w:drawing>
          <wp:anchor simplePos="0" relativeHeight="251657728" behindDoc="1" locked="0" layoutInCell="0" allowOverlap="1">
            <wp:simplePos x="0" y="0"/>
            <wp:positionH relativeFrom="column">
              <wp:posOffset>4678045</wp:posOffset>
            </wp:positionH>
            <wp:positionV relativeFrom="paragraph">
              <wp:posOffset>-1503680</wp:posOffset>
            </wp:positionV>
            <wp:extent cx="34290" cy="825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485775</wp:posOffset>
            </wp:positionH>
            <wp:positionV relativeFrom="paragraph">
              <wp:posOffset>-1452245</wp:posOffset>
            </wp:positionV>
            <wp:extent cx="1097915" cy="825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1097915" cy="8255"/>
                    </a:xfrm>
                    <a:prstGeom prst="rect">
                      <a:avLst/>
                    </a:prstGeom>
                    <a:noFill/>
                  </pic:spPr>
                </pic:pic>
              </a:graphicData>
            </a:graphic>
          </wp:anchor>
        </w:drawing>
        <w:drawing>
          <wp:anchor simplePos="0" relativeHeight="251657728" behindDoc="1" locked="0" layoutInCell="0" allowOverlap="1">
            <wp:simplePos x="0" y="0"/>
            <wp:positionH relativeFrom="column">
              <wp:posOffset>1583055</wp:posOffset>
            </wp:positionH>
            <wp:positionV relativeFrom="paragraph">
              <wp:posOffset>-1366520</wp:posOffset>
            </wp:positionV>
            <wp:extent cx="5126355" cy="825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5126355" cy="8255"/>
                    </a:xfrm>
                    <a:prstGeom prst="rect">
                      <a:avLst/>
                    </a:prstGeom>
                    <a:noFill/>
                  </pic:spPr>
                </pic:pic>
              </a:graphicData>
            </a:graphic>
          </wp:anchor>
        </w:drawing>
        <w:drawing>
          <wp:anchor simplePos="0" relativeHeight="251657728" behindDoc="1" locked="0" layoutInCell="0" allowOverlap="1">
            <wp:simplePos x="0" y="0"/>
            <wp:positionH relativeFrom="column">
              <wp:posOffset>1133475</wp:posOffset>
            </wp:positionH>
            <wp:positionV relativeFrom="paragraph">
              <wp:posOffset>-1315085</wp:posOffset>
            </wp:positionV>
            <wp:extent cx="5457825" cy="825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5457825" cy="825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-1229360</wp:posOffset>
            </wp:positionV>
            <wp:extent cx="34290" cy="825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-1092200</wp:posOffset>
            </wp:positionV>
            <wp:extent cx="2263140" cy="825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2263140" cy="8255"/>
                    </a:xfrm>
                    <a:prstGeom prst="rect">
                      <a:avLst/>
                    </a:prstGeom>
                    <a:noFill/>
                  </pic:spPr>
                </pic:pic>
              </a:graphicData>
            </a:graphic>
          </wp:anchor>
        </w:drawing>
        <w:drawing>
          <wp:anchor simplePos="0" relativeHeight="251657728" behindDoc="1" locked="0" layoutInCell="0" allowOverlap="1">
            <wp:simplePos x="0" y="0"/>
            <wp:positionH relativeFrom="column">
              <wp:posOffset>3306445</wp:posOffset>
            </wp:positionH>
            <wp:positionV relativeFrom="paragraph">
              <wp:posOffset>-543560</wp:posOffset>
            </wp:positionV>
            <wp:extent cx="3669030" cy="825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366903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-406400</wp:posOffset>
            </wp:positionV>
            <wp:extent cx="1045845" cy="825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1045845" cy="8255"/>
                    </a:xfrm>
                    <a:prstGeom prst="rect">
                      <a:avLst/>
                    </a:prstGeom>
                    <a:noFill/>
                  </pic:spPr>
                </pic:pic>
              </a:graphicData>
            </a:graphic>
          </wp:anchor>
        </w:drawing>
        <w:drawing>
          <wp:anchor simplePos="0" relativeHeight="251657728" behindDoc="1" locked="0" layoutInCell="0" allowOverlap="1">
            <wp:simplePos x="0" y="0"/>
            <wp:positionH relativeFrom="column">
              <wp:posOffset>2886075</wp:posOffset>
            </wp:positionH>
            <wp:positionV relativeFrom="paragraph">
              <wp:posOffset>-406400</wp:posOffset>
            </wp:positionV>
            <wp:extent cx="162560" cy="825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5287010</wp:posOffset>
            </wp:positionH>
            <wp:positionV relativeFrom="paragraph">
              <wp:posOffset>-217805</wp:posOffset>
            </wp:positionV>
            <wp:extent cx="1424940" cy="825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1424940" cy="8255"/>
                    </a:xfrm>
                    <a:prstGeom prst="rect">
                      <a:avLst/>
                    </a:prstGeom>
                    <a:noFill/>
                  </pic:spPr>
                </pic:pic>
              </a:graphicData>
            </a:graphic>
          </wp:anchor>
        </w:drawing>
      </w:r>
    </w:p>
    <w:p>
      <w:pPr>
        <w:spacing w:after="0" w:line="171" w:lineRule="exact"/>
        <w:rPr>
          <w:sz w:val="20"/>
          <w:szCs w:val="20"/>
          <w:color w:val="auto"/>
        </w:rPr>
      </w:pPr>
    </w:p>
    <w:p>
      <w:pPr>
        <w:ind w:firstLine="436"/>
        <w:spacing w:after="0" w:line="282" w:lineRule="auto"/>
        <w:tabs>
          <w:tab w:leader="none" w:pos="695" w:val="left"/>
        </w:tabs>
        <w:numPr>
          <w:ilvl w:val="0"/>
          <w:numId w:val="283"/>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Without limiting the immediately preceding clause (a), each Payment Recipient agrees that, in the case of clause (a)(ii) above, it shall promptly notify the Administrative Agent in writing of such occurrence.</w:t>
      </w:r>
    </w:p>
    <w:p>
      <w:pPr>
        <w:spacing w:after="0" w:line="161" w:lineRule="exact"/>
        <w:rPr>
          <w:rFonts w:ascii="Times New Roman" w:cs="Times New Roman" w:eastAsia="Times New Roman" w:hAnsi="Times New Roman"/>
          <w:sz w:val="18"/>
          <w:szCs w:val="18"/>
          <w:u w:val="single" w:color="auto"/>
          <w:color w:val="0000FF"/>
        </w:rPr>
      </w:pPr>
    </w:p>
    <w:p>
      <w:pPr>
        <w:ind w:firstLine="436"/>
        <w:spacing w:after="0" w:line="252" w:lineRule="auto"/>
        <w:tabs>
          <w:tab w:leader="none" w:pos="685" w:val="left"/>
        </w:tabs>
        <w:numPr>
          <w:ilvl w:val="0"/>
          <w:numId w:val="283"/>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FF0000"/>
          <w:strike w:val="1"/>
        </w:rPr>
        <w:t>(b) Without limiting immediately preceding</w:t>
      </w:r>
      <w:r>
        <w:rPr>
          <w:rFonts w:ascii="Times New Roman" w:cs="Times New Roman" w:eastAsia="Times New Roman" w:hAnsi="Times New Roman"/>
          <w:sz w:val="18"/>
          <w:szCs w:val="18"/>
          <w:u w:val="single" w:color="auto"/>
          <w:color w:val="0000FF"/>
        </w:rPr>
        <w:t>In the case of either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clause (a)</w:t>
      </w:r>
      <w:r>
        <w:rPr>
          <w:rFonts w:ascii="Times New Roman" w:cs="Times New Roman" w:eastAsia="Times New Roman" w:hAnsi="Times New Roman"/>
          <w:sz w:val="18"/>
          <w:szCs w:val="18"/>
          <w:color w:val="FF0000"/>
          <w:strike w:val="1"/>
        </w:rPr>
        <w:t>, each Lender hereby further agrees that if it receives an</w:t>
      </w:r>
      <w:r>
        <w:rPr>
          <w:rFonts w:ascii="Times New Roman" w:cs="Times New Roman" w:eastAsia="Times New Roman" w:hAnsi="Times New Roman"/>
          <w:sz w:val="18"/>
          <w:szCs w:val="18"/>
          <w:u w:val="single" w:color="auto"/>
          <w:color w:val="0000FF"/>
        </w:rPr>
        <w:t>(i) or (a)(ii)</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FF"/>
        </w:rPr>
        <w:t>above, such</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Erroneous Payment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from</w:t>
      </w:r>
      <w:r>
        <w:rPr>
          <w:rFonts w:ascii="Times New Roman" w:cs="Times New Roman" w:eastAsia="Times New Roman" w:hAnsi="Times New Roman"/>
          <w:sz w:val="18"/>
          <w:szCs w:val="18"/>
          <w:u w:val="single" w:color="auto"/>
          <w:color w:val="0000FF"/>
        </w:rPr>
        <w:t>shall at all times remain the property of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the Administrative Agent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(or any of its Affiliates) (i) that is in an amount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different than (other than a de minimis difference), or on a different date from, that specified in a notice of payment sent by the Administrative Agent (or any of its Affiliates) with respect to such Erroneous Payment (an “</w:t>
      </w:r>
      <w:r>
        <w:rPr>
          <w:rFonts w:ascii="Times New Roman" w:cs="Times New Roman" w:eastAsia="Times New Roman" w:hAnsi="Times New Roman"/>
          <w:sz w:val="18"/>
          <w:szCs w:val="18"/>
          <w:b w:val="1"/>
          <w:bCs w:val="1"/>
          <w:color w:val="FF0000"/>
          <w:strike w:val="1"/>
        </w:rPr>
        <w:t>Erroneous Payment Notice</w:t>
      </w:r>
      <w:r>
        <w:rPr>
          <w:rFonts w:ascii="Times New Roman" w:cs="Times New Roman" w:eastAsia="Times New Roman" w:hAnsi="Times New Roman"/>
          <w:sz w:val="18"/>
          <w:szCs w:val="18"/>
          <w:color w:val="FF0000"/>
          <w:strike w:val="1"/>
        </w:rPr>
        <w:t>”), or (ii) that was not preceded or accompanied by an Erroneous Payment Notice, it shall be on notice that, in each such case, an error has been made with respect to such Erroneous Payment. Each Lender further agrees that, in each such case, or if it otherwise becomes aware an Erroneous Payment (or portion thereof) may have been sent in error, such Lender shall promptly notify</w:t>
      </w:r>
      <w:r>
        <w:rPr>
          <w:rFonts w:ascii="Times New Roman" w:cs="Times New Roman" w:eastAsia="Times New Roman" w:hAnsi="Times New Roman"/>
          <w:sz w:val="18"/>
          <w:szCs w:val="18"/>
          <w:u w:val="single" w:color="auto"/>
          <w:color w:val="0000FF"/>
          <w:strike w:val="1"/>
        </w:rPr>
        <w:t>and shall be segregated by the Payment Recipient and held in trust for the benefit of</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the Administrative Agent</w:t>
      </w:r>
      <w:r>
        <w:rPr>
          <w:rFonts w:ascii="Times New Roman" w:cs="Times New Roman" w:eastAsia="Times New Roman" w:hAnsi="Times New Roman"/>
          <w:sz w:val="18"/>
          <w:szCs w:val="18"/>
          <w:color w:val="FF0000"/>
          <w:strike w:val="1"/>
        </w:rPr>
        <w:t xml:space="preserve"> of such occurrence</w:t>
      </w:r>
      <w:r>
        <w:rPr>
          <w:rFonts w:ascii="Times New Roman" w:cs="Times New Roman" w:eastAsia="Times New Roman" w:hAnsi="Times New Roman"/>
          <w:sz w:val="18"/>
          <w:szCs w:val="18"/>
          <w:u w:val="single" w:color="auto"/>
          <w:color w:val="0000FF"/>
          <w:strike w:val="1"/>
        </w:rPr>
        <w:t>,</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and</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upon demand from the Administrative Agent</w:t>
      </w:r>
      <w:r>
        <w:rPr>
          <w:rFonts w:ascii="Times New Roman" w:cs="Times New Roman" w:eastAsia="Times New Roman" w:hAnsi="Times New Roman"/>
          <w:sz w:val="18"/>
          <w:szCs w:val="18"/>
          <w:color w:val="FF0000"/>
          <w:strike w:val="1"/>
        </w:rPr>
        <w:t xml:space="preserve">, it shall </w:t>
      </w:r>
      <w:r>
        <w:rPr>
          <w:rFonts w:ascii="Times New Roman" w:cs="Times New Roman" w:eastAsia="Times New Roman" w:hAnsi="Times New Roman"/>
          <w:sz w:val="18"/>
          <w:szCs w:val="18"/>
          <w:u w:val="single" w:color="auto"/>
          <w:color w:val="0000FF"/>
          <w:strike w:val="1"/>
        </w:rPr>
        <w:t>such Payment Recipient shall (or, shall cause any Person who received any</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0000FF"/>
          <w:strike w:val="1"/>
        </w:rPr>
        <w:t>portion of an Erroneous Payment on its behalf to),</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promptly, but in</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u w:val="single" w:color="auto"/>
          <w:color w:val="0000FF"/>
          <w:strike w:val="1"/>
        </w:rPr>
        <w:t>all events</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no</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FF0000"/>
          <w:strike w:val="1"/>
        </w:rPr>
        <w:t>event</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later than two</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FF0000"/>
          <w:strike w:val="1"/>
        </w:rPr>
        <w:t>(2)</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Business Days thereafter, return to the</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 xml:space="preserve">Administrative Agent the amount of any such Erroneous Payment (or portion thereof) </w:t>
      </w:r>
      <w:r>
        <w:rPr>
          <w:rFonts w:ascii="Times New Roman" w:cs="Times New Roman" w:eastAsia="Times New Roman" w:hAnsi="Times New Roman"/>
          <w:sz w:val="18"/>
          <w:szCs w:val="18"/>
          <w:color w:val="FF0000"/>
          <w:strike w:val="1"/>
        </w:rPr>
        <w:t>that</w:t>
      </w:r>
      <w:r>
        <w:rPr>
          <w:rFonts w:ascii="Times New Roman" w:cs="Times New Roman" w:eastAsia="Times New Roman" w:hAnsi="Times New Roman"/>
          <w:sz w:val="18"/>
          <w:szCs w:val="18"/>
          <w:u w:val="single" w:color="auto"/>
          <w:color w:val="0000FF"/>
          <w:strike w:val="1"/>
        </w:rPr>
        <w:t>as to which such a demand was made in same day funds and</w:t>
      </w:r>
      <w:r>
        <w:rPr>
          <w:rFonts w:ascii="Times New Roman" w:cs="Times New Roman" w:eastAsia="Times New Roman" w:hAnsi="Times New Roman"/>
          <w:sz w:val="18"/>
          <w:szCs w:val="18"/>
          <w:color w:val="000000"/>
          <w:strike w:val="1"/>
        </w:rPr>
        <w:t xml:space="preserve"> </w:t>
      </w:r>
      <w:r>
        <w:rPr>
          <w:rFonts w:ascii="Times New Roman" w:cs="Times New Roman" w:eastAsia="Times New Roman" w:hAnsi="Times New Roman"/>
          <w:sz w:val="18"/>
          <w:szCs w:val="18"/>
          <w:u w:val="single" w:color="auto"/>
          <w:color w:val="0000FF"/>
          <w:strike w:val="1"/>
        </w:rPr>
        <w:t>in the currency so received, together with interest thereon in respect of each day from and including the date such Erroneous Payment (or portion thereof)</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was received by such</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FF0000"/>
          <w:strike w:val="1"/>
        </w:rPr>
        <w:t>Lender</w:t>
      </w:r>
      <w:r>
        <w:rPr>
          <w:rFonts w:ascii="Times New Roman" w:cs="Times New Roman" w:eastAsia="Times New Roman" w:hAnsi="Times New Roman"/>
          <w:sz w:val="18"/>
          <w:szCs w:val="18"/>
          <w:u w:val="single" w:color="auto"/>
          <w:color w:val="0000FF"/>
          <w:strike w:val="1"/>
        </w:rPr>
        <w:t>Payment Recipient</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to the date such amount is repaid to the Administrative Agent</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FF0000"/>
          <w:strike w:val="1"/>
        </w:rPr>
        <w:t>in same day funds</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at the greater</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of the Federal Funds Rate and a rate determined by the Administrative Agent in accordance with banking industry rules on interbank compensation from time to time in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-2185670</wp:posOffset>
            </wp:positionV>
            <wp:extent cx="6703695" cy="825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670369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-2048510</wp:posOffset>
            </wp:positionV>
            <wp:extent cx="2854325" cy="825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285432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-1774190</wp:posOffset>
            </wp:positionV>
            <wp:extent cx="154305" cy="825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2432050</wp:posOffset>
            </wp:positionH>
            <wp:positionV relativeFrom="paragraph">
              <wp:posOffset>-1774190</wp:posOffset>
            </wp:positionV>
            <wp:extent cx="900430" cy="825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900430" cy="825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-1774190</wp:posOffset>
            </wp:positionV>
            <wp:extent cx="523240" cy="825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52324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-1637030</wp:posOffset>
            </wp:positionV>
            <wp:extent cx="540385" cy="825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540385" cy="8255"/>
                    </a:xfrm>
                    <a:prstGeom prst="rect">
                      <a:avLst/>
                    </a:prstGeom>
                    <a:noFill/>
                  </pic:spPr>
                </pic:pic>
              </a:graphicData>
            </a:graphic>
          </wp:anchor>
        </w:drawing>
        <w:drawing>
          <wp:anchor simplePos="0" relativeHeight="251657728" behindDoc="1" locked="0" layoutInCell="0" allowOverlap="1">
            <wp:simplePos x="0" y="0"/>
            <wp:positionH relativeFrom="column">
              <wp:posOffset>1711960</wp:posOffset>
            </wp:positionH>
            <wp:positionV relativeFrom="paragraph">
              <wp:posOffset>-1637030</wp:posOffset>
            </wp:positionV>
            <wp:extent cx="1800225" cy="825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1800225" cy="8255"/>
                    </a:xfrm>
                    <a:prstGeom prst="rect">
                      <a:avLst/>
                    </a:prstGeom>
                    <a:noFill/>
                  </pic:spPr>
                </pic:pic>
              </a:graphicData>
            </a:graphic>
          </wp:anchor>
        </w:drawing>
        <w:drawing>
          <wp:anchor simplePos="0" relativeHeight="251657728" behindDoc="1" locked="0" layoutInCell="0" allowOverlap="1">
            <wp:simplePos x="0" y="0"/>
            <wp:positionH relativeFrom="column">
              <wp:posOffset>1317625</wp:posOffset>
            </wp:positionH>
            <wp:positionV relativeFrom="paragraph">
              <wp:posOffset>-951230</wp:posOffset>
            </wp:positionV>
            <wp:extent cx="3831590" cy="88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3831590"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-1036955</wp:posOffset>
            </wp:positionV>
            <wp:extent cx="361950" cy="889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361950" cy="8890"/>
                    </a:xfrm>
                    <a:prstGeom prst="rect">
                      <a:avLst/>
                    </a:prstGeom>
                    <a:noFill/>
                  </pic:spPr>
                </pic:pic>
              </a:graphicData>
            </a:graphic>
          </wp:anchor>
        </w:drawing>
        <w:drawing>
          <wp:anchor simplePos="0" relativeHeight="251657728" behindDoc="1" locked="0" layoutInCell="0" allowOverlap="1">
            <wp:simplePos x="0" y="0"/>
            <wp:positionH relativeFrom="column">
              <wp:posOffset>494665</wp:posOffset>
            </wp:positionH>
            <wp:positionV relativeFrom="paragraph">
              <wp:posOffset>-814070</wp:posOffset>
            </wp:positionV>
            <wp:extent cx="34290" cy="825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3203575</wp:posOffset>
            </wp:positionH>
            <wp:positionV relativeFrom="paragraph">
              <wp:posOffset>-814070</wp:posOffset>
            </wp:positionV>
            <wp:extent cx="3454400" cy="825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34544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-676910</wp:posOffset>
            </wp:positionV>
            <wp:extent cx="3549015" cy="889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3549015" cy="8890"/>
                    </a:xfrm>
                    <a:prstGeom prst="rect">
                      <a:avLst/>
                    </a:prstGeom>
                    <a:noFill/>
                  </pic:spPr>
                </pic:pic>
              </a:graphicData>
            </a:graphic>
          </wp:anchor>
        </w:drawing>
        <w:drawing>
          <wp:anchor simplePos="0" relativeHeight="251657728" behindDoc="1" locked="0" layoutInCell="0" allowOverlap="1">
            <wp:simplePos x="0" y="0"/>
            <wp:positionH relativeFrom="column">
              <wp:posOffset>4120515</wp:posOffset>
            </wp:positionH>
            <wp:positionV relativeFrom="paragraph">
              <wp:posOffset>-539750</wp:posOffset>
            </wp:positionV>
            <wp:extent cx="2760345" cy="889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276034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-402590</wp:posOffset>
            </wp:positionV>
            <wp:extent cx="6635115" cy="825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663511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-265430</wp:posOffset>
            </wp:positionV>
            <wp:extent cx="360045" cy="889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360045" cy="8890"/>
                    </a:xfrm>
                    <a:prstGeom prst="rect">
                      <a:avLst/>
                    </a:prstGeom>
                    <a:noFill/>
                  </pic:spPr>
                </pic:pic>
              </a:graphicData>
            </a:graphic>
          </wp:anchor>
        </w:drawing>
        <w:drawing>
          <wp:anchor simplePos="0" relativeHeight="251657728" behindDoc="1" locked="0" layoutInCell="0" allowOverlap="1">
            <wp:simplePos x="0" y="0"/>
            <wp:positionH relativeFrom="column">
              <wp:posOffset>1711960</wp:posOffset>
            </wp:positionH>
            <wp:positionV relativeFrom="paragraph">
              <wp:posOffset>-265430</wp:posOffset>
            </wp:positionV>
            <wp:extent cx="865505" cy="889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865505" cy="8890"/>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000"/>
          </w:cols>
          <w:pgMar w:left="440" w:top="270" w:right="459" w:bottom="1440" w:gutter="0" w:footer="0" w:header="0"/>
        </w:sectPr>
      </w:pPr>
    </w:p>
    <w:bookmarkStart w:id="269" w:name="page270"/>
    <w:bookmarkEnd w:id="269"/>
    <w:p>
      <w:pPr>
        <w:ind w:right="20" w:firstLine="436"/>
        <w:spacing w:after="0" w:line="252" w:lineRule="auto"/>
        <w:tabs>
          <w:tab w:leader="none" w:pos="695" w:val="left"/>
        </w:tabs>
        <w:numPr>
          <w:ilvl w:val="0"/>
          <w:numId w:val="284"/>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event that an Erroneous Payment (or portion thereof) is not recovered by the Administrative Agent for any reason, after demand therefor by the Administrative Agent in accordance with immediately preceding clause (c), from any Lender that is a Payment Recipient or an Affiliate of a Payment Recipient (such unrecovered amount as to such Lender, an “Erroneous Payment Return Deficiency”), then at the sole discretion of the Administrative Agent and upon the Administrative Agent’s written notice to such Lender (i) such Lender shall be deemed to have made a cashless assignment of the full face amount of the portion of its Loans (but not its Commitments) of the relevant Type with respect to which such Erroneous Payment was made (the “Erroneous Payment Impacted Class”) to the Administrative Agent or, at the option of the Administrative Agent, the Administrative Agent’s applicable lending affiliate in an amount that is equal to the Erroneous Payment Return Deficiency (or such lesser amount as the Administrative Agent may specify) (such assignment of the Loans (but not Commitments) of the Erroneous Payment Impacted Class, the “Erroneous Payment Deficiency Assignment”) plus any accrued and unpaid interest on such assigned amount, without further consent or approval of any party hereto and without any payment by the Administrative Agent or its applicable lending affiliate as the assignee of such Erroneous Payment Deficiency Assignment. The parties hereto acknowledge and agree that (1) any assignment contemplated in this clause (d) shall be made without any requirement for any payment or other consideration paid by the applicable assignee or received by the assignor, (2) the provisions of this clause (d) shall govern in the event of any conflict with the terms and conditions of Section 12.6 and (3) the Administrative Agent may reflect such assignments in the Register without further consent or action by any other Person.</w:t>
      </w:r>
    </w:p>
    <w:p>
      <w:pPr>
        <w:spacing w:after="0" w:line="197" w:lineRule="exact"/>
        <w:rPr>
          <w:rFonts w:ascii="Times New Roman" w:cs="Times New Roman" w:eastAsia="Times New Roman" w:hAnsi="Times New Roman"/>
          <w:sz w:val="18"/>
          <w:szCs w:val="18"/>
          <w:u w:val="single" w:color="auto"/>
          <w:color w:val="0000FF"/>
        </w:rPr>
      </w:pPr>
    </w:p>
    <w:p>
      <w:pPr>
        <w:ind w:firstLine="436"/>
        <w:spacing w:after="0" w:line="253" w:lineRule="auto"/>
        <w:tabs>
          <w:tab w:leader="none" w:pos="685" w:val="left"/>
        </w:tabs>
        <w:numPr>
          <w:ilvl w:val="0"/>
          <w:numId w:val="284"/>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FF0000"/>
          <w:strike w:val="1"/>
        </w:rPr>
        <w:t>(c) The Borrower and each other Loan Party</w:t>
      </w:r>
      <w:r>
        <w:rPr>
          <w:rFonts w:ascii="Times New Roman" w:cs="Times New Roman" w:eastAsia="Times New Roman" w:hAnsi="Times New Roman"/>
          <w:sz w:val="18"/>
          <w:szCs w:val="18"/>
          <w:u w:val="single" w:color="auto"/>
          <w:color w:val="0000FF"/>
        </w:rPr>
        <w:t>Each party hereto</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hereby</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agree</w:t>
      </w:r>
      <w:r>
        <w:rPr>
          <w:rFonts w:ascii="Times New Roman" w:cs="Times New Roman" w:eastAsia="Times New Roman" w:hAnsi="Times New Roman"/>
          <w:sz w:val="18"/>
          <w:szCs w:val="18"/>
          <w:u w:val="single" w:color="auto"/>
          <w:color w:val="0000FF"/>
        </w:rPr>
        <w:t>agrees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that (</w:t>
      </w:r>
      <w:r>
        <w:rPr>
          <w:rFonts w:ascii="Times New Roman" w:cs="Times New Roman" w:eastAsia="Times New Roman" w:hAnsi="Times New Roman"/>
          <w:sz w:val="18"/>
          <w:szCs w:val="18"/>
          <w:color w:val="FF0000"/>
          <w:strike w:val="1"/>
        </w:rPr>
        <w:t>i</w:t>
      </w:r>
      <w:r>
        <w:rPr>
          <w:rFonts w:ascii="Times New Roman" w:cs="Times New Roman" w:eastAsia="Times New Roman" w:hAnsi="Times New Roman"/>
          <w:sz w:val="18"/>
          <w:szCs w:val="18"/>
          <w:u w:val="single" w:color="auto"/>
          <w:color w:val="0000FF"/>
        </w:rPr>
        <w:t>x</w:t>
      </w:r>
      <w:r>
        <w:rPr>
          <w:rFonts w:ascii="Times New Roman" w:cs="Times New Roman" w:eastAsia="Times New Roman" w:hAnsi="Times New Roman"/>
          <w:sz w:val="18"/>
          <w:szCs w:val="18"/>
          <w:color w:val="000000"/>
        </w:rPr>
        <w:t>) in the event an Erroneous Payment (or portion</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thereof) is not recovered from any </w:t>
      </w:r>
      <w:r>
        <w:rPr>
          <w:rFonts w:ascii="Times New Roman" w:cs="Times New Roman" w:eastAsia="Times New Roman" w:hAnsi="Times New Roman"/>
          <w:sz w:val="18"/>
          <w:szCs w:val="18"/>
          <w:color w:val="FF0000"/>
          <w:strike w:val="1"/>
        </w:rPr>
        <w:t>Lender</w:t>
      </w:r>
      <w:r>
        <w:rPr>
          <w:rFonts w:ascii="Times New Roman" w:cs="Times New Roman" w:eastAsia="Times New Roman" w:hAnsi="Times New Roman"/>
          <w:sz w:val="18"/>
          <w:szCs w:val="18"/>
          <w:u w:val="single" w:color="auto"/>
          <w:color w:val="0000FF"/>
        </w:rPr>
        <w:t>Payment Recipient</w:t>
      </w:r>
      <w:r>
        <w:rPr>
          <w:rFonts w:ascii="Times New Roman" w:cs="Times New Roman" w:eastAsia="Times New Roman" w:hAnsi="Times New Roman"/>
          <w:sz w:val="18"/>
          <w:szCs w:val="18"/>
          <w:color w:val="000000"/>
        </w:rPr>
        <w:t xml:space="preserve"> that has received such Erroneous Payment (or portion thereof) for any reason, the Administrative Agent </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00"/>
        </w:rPr>
        <w:t xml:space="preserve"> shall be subrogated to all the rights of such </w:t>
      </w:r>
      <w:r>
        <w:rPr>
          <w:rFonts w:ascii="Times New Roman" w:cs="Times New Roman" w:eastAsia="Times New Roman" w:hAnsi="Times New Roman"/>
          <w:sz w:val="18"/>
          <w:szCs w:val="18"/>
          <w:color w:val="FF0000"/>
          <w:strike w:val="1"/>
        </w:rPr>
        <w:t>Lender</w:t>
      </w:r>
      <w:r>
        <w:rPr>
          <w:rFonts w:ascii="Times New Roman" w:cs="Times New Roman" w:eastAsia="Times New Roman" w:hAnsi="Times New Roman"/>
          <w:sz w:val="18"/>
          <w:szCs w:val="18"/>
          <w:u w:val="single" w:color="auto"/>
          <w:color w:val="0000FF"/>
        </w:rPr>
        <w:t>Payment Recipient</w:t>
      </w:r>
      <w:r>
        <w:rPr>
          <w:rFonts w:ascii="Times New Roman" w:cs="Times New Roman" w:eastAsia="Times New Roman" w:hAnsi="Times New Roman"/>
          <w:sz w:val="18"/>
          <w:szCs w:val="18"/>
          <w:color w:val="000000"/>
        </w:rPr>
        <w:t xml:space="preserve"> with respect to such amount and (</w:t>
      </w:r>
      <w:r>
        <w:rPr>
          <w:rFonts w:ascii="Times New Roman" w:cs="Times New Roman" w:eastAsia="Times New Roman" w:hAnsi="Times New Roman"/>
          <w:sz w:val="18"/>
          <w:szCs w:val="18"/>
          <w:color w:val="FF0000"/>
          <w:strike w:val="1"/>
        </w:rPr>
        <w:t>ii)</w:t>
      </w:r>
      <w:r>
        <w:rPr>
          <w:rFonts w:ascii="Times New Roman" w:cs="Times New Roman" w:eastAsia="Times New Roman" w:hAnsi="Times New Roman"/>
          <w:sz w:val="18"/>
          <w:szCs w:val="18"/>
          <w:u w:val="single" w:color="auto"/>
          <w:color w:val="0000FF"/>
        </w:rPr>
        <w:t>2) is authorized to</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set off, net and apply any and all amounts at any time owing to such Payment Recipient under any Loan Document, or otherwise payable or distributable by the Administrative Agent to such Payment Recipient from any source, against any amount due to the Administrative Agent under this Section 11.10 or under the indemnification provisions of this Agreement, (y) the receipt of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 Erroneous Payment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shall not pay, prepay, repay</w:t>
      </w:r>
      <w:r>
        <w:rPr>
          <w:rFonts w:ascii="Times New Roman" w:cs="Times New Roman" w:eastAsia="Times New Roman" w:hAnsi="Times New Roman"/>
          <w:sz w:val="18"/>
          <w:szCs w:val="18"/>
          <w:u w:val="single" w:color="auto"/>
          <w:color w:val="0000FF"/>
        </w:rPr>
        <w:t>by a Payment Recipient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shall not for the purpose of this Agreement be treated as a payment, prepayment, repayment</w:t>
      </w:r>
      <w:r>
        <w:rPr>
          <w:rFonts w:ascii="Times New Roman" w:cs="Times New Roman" w:eastAsia="Times New Roman" w:hAnsi="Times New Roman"/>
          <w:sz w:val="18"/>
          <w:szCs w:val="18"/>
          <w:color w:val="000000"/>
        </w:rPr>
        <w:t>, discharge or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otherwise satisfy</w:t>
      </w:r>
      <w:r>
        <w:rPr>
          <w:rFonts w:ascii="Times New Roman" w:cs="Times New Roman" w:eastAsia="Times New Roman" w:hAnsi="Times New Roman"/>
          <w:sz w:val="18"/>
          <w:szCs w:val="18"/>
          <w:u w:val="single" w:color="auto"/>
          <w:color w:val="0000FF"/>
        </w:rPr>
        <w:t>other satisfaction of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Obligations owed by the Borrower or any other Loan Party, except</w:t>
      </w:r>
      <w:r>
        <w:rPr>
          <w:rFonts w:ascii="Times New Roman" w:cs="Times New Roman" w:eastAsia="Times New Roman" w:hAnsi="Times New Roman"/>
          <w:sz w:val="18"/>
          <w:szCs w:val="18"/>
          <w:u w:val="single" w:color="auto"/>
          <w:color w:val="0000FF"/>
        </w:rPr>
        <w:t>, in each case,</w:t>
      </w:r>
      <w:r>
        <w:rPr>
          <w:rFonts w:ascii="Times New Roman" w:cs="Times New Roman" w:eastAsia="Times New Roman" w:hAnsi="Times New Roman"/>
          <w:sz w:val="18"/>
          <w:szCs w:val="18"/>
          <w:color w:val="000000"/>
        </w:rPr>
        <w:t xml:space="preserve"> to the extent such Erroneous Payment is, and solely with respect to the amount of such Erroneous Payment that is, comprised of funds </w:t>
      </w:r>
      <w:r>
        <w:rPr>
          <w:rFonts w:ascii="Times New Roman" w:cs="Times New Roman" w:eastAsia="Times New Roman" w:hAnsi="Times New Roman"/>
          <w:sz w:val="18"/>
          <w:szCs w:val="18"/>
          <w:color w:val="FF0000"/>
          <w:strike w:val="1"/>
        </w:rPr>
        <w:t>of</w:t>
      </w:r>
      <w:r>
        <w:rPr>
          <w:rFonts w:ascii="Times New Roman" w:cs="Times New Roman" w:eastAsia="Times New Roman" w:hAnsi="Times New Roman"/>
          <w:sz w:val="18"/>
          <w:szCs w:val="18"/>
          <w:u w:val="single" w:color="auto"/>
          <w:color w:val="0000FF"/>
        </w:rPr>
        <w:t>received by the Administrative Agent from</w:t>
      </w:r>
      <w:r>
        <w:rPr>
          <w:rFonts w:ascii="Times New Roman" w:cs="Times New Roman" w:eastAsia="Times New Roman" w:hAnsi="Times New Roman"/>
          <w:sz w:val="18"/>
          <w:szCs w:val="18"/>
          <w:color w:val="000000"/>
        </w:rPr>
        <w:t xml:space="preserve"> the Borrower or any other Loan Party</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0000FF"/>
        </w:rPr>
        <w:t>for</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the purpose of making a payment on the Obligations and (z) to the extent that an Erroneous Payment was in any way or at any time credited as payment or satisfaction of any of the Obligations, the Obligations or any part thereof that were so credited, and all rights of the Payment Recipient, as the case may be, shall be reinstated and continue in full force and effect as if such payment or satisfaction had never been received.</w:t>
      </w:r>
    </w:p>
    <w:p>
      <w:pPr>
        <w:spacing w:after="0" w:line="189" w:lineRule="exact"/>
        <w:rPr>
          <w:rFonts w:ascii="Times New Roman" w:cs="Times New Roman" w:eastAsia="Times New Roman" w:hAnsi="Times New Roman"/>
          <w:sz w:val="18"/>
          <w:szCs w:val="18"/>
          <w:u w:val="single" w:color="auto"/>
          <w:color w:val="0000FF"/>
        </w:rPr>
      </w:pPr>
    </w:p>
    <w:p>
      <w:pPr>
        <w:ind w:right="20" w:firstLine="436"/>
        <w:spacing w:after="0" w:line="266" w:lineRule="auto"/>
        <w:tabs>
          <w:tab w:leader="none" w:pos="665" w:val="left"/>
        </w:tabs>
        <w:numPr>
          <w:ilvl w:val="0"/>
          <w:numId w:val="284"/>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FF0000"/>
          <w:strike w:val="1"/>
        </w:rPr>
        <w:t>(d)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Each party’s obligations under this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00"/>
        </w:rPr>
        <w:t>Section 11.10</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shall survive the resignation or replacement of the Administrative Agent or any transfer of</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rights</w:t>
      </w:r>
      <w:r>
        <w:rPr>
          <w:rFonts w:ascii="Times New Roman" w:cs="Times New Roman" w:eastAsia="Times New Roman" w:hAnsi="Times New Roman"/>
          <w:sz w:val="18"/>
          <w:szCs w:val="18"/>
          <w:u w:val="single" w:color="auto"/>
          <w:color w:val="0000FF"/>
        </w:rPr>
        <w:t>right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or obligations by, or the replacement of, a Lender, the termination of the Commitments or the repayment, satisfaction or discharge of all</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Obligations (or any portion thereof) under any Loan Document.</w:t>
      </w:r>
    </w:p>
    <w:p>
      <w:pPr>
        <w:spacing w:after="0" w:line="175" w:lineRule="exact"/>
        <w:rPr>
          <w:rFonts w:ascii="Times New Roman" w:cs="Times New Roman" w:eastAsia="Times New Roman" w:hAnsi="Times New Roman"/>
          <w:sz w:val="18"/>
          <w:szCs w:val="18"/>
          <w:u w:val="single" w:color="auto"/>
          <w:color w:val="0000FF"/>
        </w:rPr>
      </w:pPr>
    </w:p>
    <w:p>
      <w:pPr>
        <w:ind w:right="40" w:firstLine="436"/>
        <w:spacing w:after="0" w:line="282" w:lineRule="auto"/>
        <w:tabs>
          <w:tab w:leader="none" w:pos="695" w:val="left"/>
        </w:tabs>
        <w:numPr>
          <w:ilvl w:val="0"/>
          <w:numId w:val="284"/>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Nothing in this Section 11.10 will constitute a waiver or release of any claim of the Administrative Agent hereunder arising from any Payment Recipient’s receipt of an Erroneous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-4540250</wp:posOffset>
            </wp:positionV>
            <wp:extent cx="6694805" cy="825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-4403090</wp:posOffset>
            </wp:positionV>
            <wp:extent cx="6720840" cy="825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672084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-4265930</wp:posOffset>
            </wp:positionV>
            <wp:extent cx="6549390" cy="825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65493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-4128770</wp:posOffset>
            </wp:positionV>
            <wp:extent cx="6677660" cy="825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66776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-3991610</wp:posOffset>
            </wp:positionV>
            <wp:extent cx="6729095" cy="825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672909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-3854450</wp:posOffset>
            </wp:positionV>
            <wp:extent cx="6446520" cy="889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644652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-3717290</wp:posOffset>
            </wp:positionV>
            <wp:extent cx="6960870" cy="825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69608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-3580130</wp:posOffset>
            </wp:positionV>
            <wp:extent cx="6831965" cy="825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683196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-3442970</wp:posOffset>
            </wp:positionV>
            <wp:extent cx="6720840" cy="825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672084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-3305810</wp:posOffset>
            </wp:positionV>
            <wp:extent cx="6840855" cy="825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68408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-3168650</wp:posOffset>
            </wp:positionV>
            <wp:extent cx="6866255" cy="889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68662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-3031490</wp:posOffset>
            </wp:positionV>
            <wp:extent cx="6849110" cy="889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684911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-2894330</wp:posOffset>
            </wp:positionV>
            <wp:extent cx="6823710" cy="825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68237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-2757170</wp:posOffset>
            </wp:positionV>
            <wp:extent cx="2468880" cy="825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246888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-2482850</wp:posOffset>
            </wp:positionV>
            <wp:extent cx="154305" cy="825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2457450</wp:posOffset>
            </wp:positionH>
            <wp:positionV relativeFrom="paragraph">
              <wp:posOffset>-2482850</wp:posOffset>
            </wp:positionV>
            <wp:extent cx="805815" cy="825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805815" cy="8255"/>
                    </a:xfrm>
                    <a:prstGeom prst="rect">
                      <a:avLst/>
                    </a:prstGeom>
                    <a:noFill/>
                  </pic:spPr>
                </pic:pic>
              </a:graphicData>
            </a:graphic>
          </wp:anchor>
        </w:drawing>
        <w:drawing>
          <wp:anchor simplePos="0" relativeHeight="251657728" behindDoc="1" locked="0" layoutInCell="0" allowOverlap="1">
            <wp:simplePos x="0" y="0"/>
            <wp:positionH relativeFrom="column">
              <wp:posOffset>3880485</wp:posOffset>
            </wp:positionH>
            <wp:positionV relativeFrom="paragraph">
              <wp:posOffset>-2482850</wp:posOffset>
            </wp:positionV>
            <wp:extent cx="291465" cy="825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291465" cy="8255"/>
                    </a:xfrm>
                    <a:prstGeom prst="rect">
                      <a:avLst/>
                    </a:prstGeom>
                    <a:noFill/>
                  </pic:spPr>
                </pic:pic>
              </a:graphicData>
            </a:graphic>
          </wp:anchor>
        </w:drawing>
        <w:drawing>
          <wp:anchor simplePos="0" relativeHeight="251657728" behindDoc="1" locked="0" layoutInCell="0" allowOverlap="1">
            <wp:simplePos x="0" y="0"/>
            <wp:positionH relativeFrom="column">
              <wp:posOffset>4472305</wp:posOffset>
            </wp:positionH>
            <wp:positionV relativeFrom="paragraph">
              <wp:posOffset>-2482850</wp:posOffset>
            </wp:positionV>
            <wp:extent cx="51435" cy="825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1917700</wp:posOffset>
            </wp:positionH>
            <wp:positionV relativeFrom="paragraph">
              <wp:posOffset>-2345690</wp:posOffset>
            </wp:positionV>
            <wp:extent cx="865505" cy="889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865505" cy="8890"/>
                    </a:xfrm>
                    <a:prstGeom prst="rect">
                      <a:avLst/>
                    </a:prstGeom>
                    <a:noFill/>
                  </pic:spPr>
                </pic:pic>
              </a:graphicData>
            </a:graphic>
          </wp:anchor>
        </w:drawing>
        <w:drawing>
          <wp:anchor simplePos="0" relativeHeight="251657728" behindDoc="1" locked="0" layoutInCell="0" allowOverlap="1">
            <wp:simplePos x="0" y="0"/>
            <wp:positionH relativeFrom="column">
              <wp:posOffset>1017270</wp:posOffset>
            </wp:positionH>
            <wp:positionV relativeFrom="paragraph">
              <wp:posOffset>-2208530</wp:posOffset>
            </wp:positionV>
            <wp:extent cx="162560" cy="825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3495040</wp:posOffset>
            </wp:positionH>
            <wp:positionV relativeFrom="paragraph">
              <wp:posOffset>-2208530</wp:posOffset>
            </wp:positionV>
            <wp:extent cx="865505" cy="825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865505" cy="8255"/>
                    </a:xfrm>
                    <a:prstGeom prst="rect">
                      <a:avLst/>
                    </a:prstGeom>
                    <a:noFill/>
                  </pic:spPr>
                </pic:pic>
              </a:graphicData>
            </a:graphic>
          </wp:anchor>
        </w:drawing>
        <w:drawing>
          <wp:anchor simplePos="0" relativeHeight="251657728" behindDoc="1" locked="0" layoutInCell="0" allowOverlap="1">
            <wp:simplePos x="0" y="0"/>
            <wp:positionH relativeFrom="column">
              <wp:posOffset>6032500</wp:posOffset>
            </wp:positionH>
            <wp:positionV relativeFrom="paragraph">
              <wp:posOffset>-2208530</wp:posOffset>
            </wp:positionV>
            <wp:extent cx="831215" cy="825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83121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-2071370</wp:posOffset>
            </wp:positionV>
            <wp:extent cx="6986270" cy="825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69862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-1934210</wp:posOffset>
            </wp:positionV>
            <wp:extent cx="6909435" cy="825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69094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-1797050</wp:posOffset>
            </wp:positionV>
            <wp:extent cx="3480435" cy="825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3480435" cy="8255"/>
                    </a:xfrm>
                    <a:prstGeom prst="rect">
                      <a:avLst/>
                    </a:prstGeom>
                    <a:noFill/>
                  </pic:spPr>
                </pic:pic>
              </a:graphicData>
            </a:graphic>
          </wp:anchor>
        </w:drawing>
        <w:drawing>
          <wp:anchor simplePos="0" relativeHeight="251657728" behindDoc="1" locked="0" layoutInCell="0" allowOverlap="1">
            <wp:simplePos x="0" y="0"/>
            <wp:positionH relativeFrom="column">
              <wp:posOffset>5817870</wp:posOffset>
            </wp:positionH>
            <wp:positionV relativeFrom="paragraph">
              <wp:posOffset>-1797050</wp:posOffset>
            </wp:positionV>
            <wp:extent cx="1080135" cy="825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10801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-1659890</wp:posOffset>
            </wp:positionV>
            <wp:extent cx="6523355" cy="825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6523355" cy="8255"/>
                    </a:xfrm>
                    <a:prstGeom prst="rect">
                      <a:avLst/>
                    </a:prstGeom>
                    <a:noFill/>
                  </pic:spPr>
                </pic:pic>
              </a:graphicData>
            </a:graphic>
          </wp:anchor>
        </w:drawing>
        <w:drawing>
          <wp:anchor simplePos="0" relativeHeight="251657728" behindDoc="1" locked="0" layoutInCell="0" allowOverlap="1">
            <wp:simplePos x="0" y="0"/>
            <wp:positionH relativeFrom="column">
              <wp:posOffset>3049270</wp:posOffset>
            </wp:positionH>
            <wp:positionV relativeFrom="paragraph">
              <wp:posOffset>-1522730</wp:posOffset>
            </wp:positionV>
            <wp:extent cx="634365" cy="889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634365" cy="8890"/>
                    </a:xfrm>
                    <a:prstGeom prst="rect">
                      <a:avLst/>
                    </a:prstGeom>
                    <a:noFill/>
                  </pic:spPr>
                </pic:pic>
              </a:graphicData>
            </a:graphic>
          </wp:anchor>
        </w:drawing>
        <w:drawing>
          <wp:anchor simplePos="0" relativeHeight="251657728" behindDoc="1" locked="0" layoutInCell="0" allowOverlap="1">
            <wp:simplePos x="0" y="0"/>
            <wp:positionH relativeFrom="column">
              <wp:posOffset>2997835</wp:posOffset>
            </wp:positionH>
            <wp:positionV relativeFrom="paragraph">
              <wp:posOffset>-1385570</wp:posOffset>
            </wp:positionV>
            <wp:extent cx="1962785" cy="825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1962785" cy="8255"/>
                    </a:xfrm>
                    <a:prstGeom prst="rect">
                      <a:avLst/>
                    </a:prstGeom>
                    <a:noFill/>
                  </pic:spPr>
                </pic:pic>
              </a:graphicData>
            </a:graphic>
          </wp:anchor>
        </w:drawing>
        <w:drawing>
          <wp:anchor simplePos="0" relativeHeight="251657728" behindDoc="1" locked="0" layoutInCell="0" allowOverlap="1">
            <wp:simplePos x="0" y="0"/>
            <wp:positionH relativeFrom="column">
              <wp:posOffset>6735445</wp:posOffset>
            </wp:positionH>
            <wp:positionV relativeFrom="paragraph">
              <wp:posOffset>-1385570</wp:posOffset>
            </wp:positionV>
            <wp:extent cx="163195" cy="825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6736715</wp:posOffset>
            </wp:positionH>
            <wp:positionV relativeFrom="paragraph">
              <wp:posOffset>-1419860</wp:posOffset>
            </wp:positionV>
            <wp:extent cx="161925" cy="825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1619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-1248410</wp:posOffset>
            </wp:positionV>
            <wp:extent cx="6943725" cy="825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69437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-1111250</wp:posOffset>
            </wp:positionV>
            <wp:extent cx="6814820" cy="825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681482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-974090</wp:posOffset>
            </wp:positionV>
            <wp:extent cx="5597525" cy="825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559752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-699770</wp:posOffset>
            </wp:positionV>
            <wp:extent cx="137160" cy="825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254635</wp:posOffset>
            </wp:positionH>
            <wp:positionV relativeFrom="paragraph">
              <wp:posOffset>-562610</wp:posOffset>
            </wp:positionV>
            <wp:extent cx="222885" cy="889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-151130</wp:posOffset>
            </wp:positionV>
            <wp:extent cx="6677660" cy="825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66776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2065655" cy="825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000"/>
          </w:cols>
          <w:pgMar w:left="440" w:top="270" w:right="459" w:bottom="1440" w:gutter="0" w:footer="0" w:header="0"/>
        </w:sectPr>
      </w:pPr>
    </w:p>
    <w:bookmarkStart w:id="270" w:name="page271"/>
    <w:bookmarkEnd w:id="270"/>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XII. Miscellaneous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12.1. Notices.</w:t>
      </w:r>
    </w:p>
    <w:p>
      <w:pPr>
        <w:spacing w:after="0" w:line="121"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Unless otherwise provided herein (including without limitation as provided in Section 8.5.), communications provided for hereunder shall be in writing and shall be mailed, sent via electronic mail, or delivered as follows:</w:t>
      </w:r>
    </w:p>
    <w:p>
      <w:pPr>
        <w:spacing w:after="0" w:line="2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to the Borrower:</w:t>
      </w:r>
    </w:p>
    <w:p>
      <w:pPr>
        <w:spacing w:after="0" w:line="1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Federal Realty OP LP</w:t>
      </w:r>
    </w:p>
    <w:p>
      <w:pPr>
        <w:spacing w:after="0" w:line="2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FF0000"/>
          <w:strike w:val="1"/>
        </w:rPr>
        <w:t>1626 East Jefferson Street</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u w:val="single" w:color="auto"/>
          <w:color w:val="0000FF"/>
        </w:rPr>
        <w:t>909 Rose Avenue, Suite 200</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FF0000"/>
          <w:strike w:val="1"/>
        </w:rPr>
        <w:t>Rockville</w:t>
      </w:r>
      <w:r>
        <w:rPr>
          <w:rFonts w:ascii="Times New Roman" w:cs="Times New Roman" w:eastAsia="Times New Roman" w:hAnsi="Times New Roman"/>
          <w:sz w:val="18"/>
          <w:szCs w:val="18"/>
          <w:u w:val="single" w:color="auto"/>
          <w:color w:val="0000FF"/>
        </w:rPr>
        <w:t>North Bethesda</w:t>
      </w:r>
      <w:r>
        <w:rPr>
          <w:rFonts w:ascii="Times New Roman" w:cs="Times New Roman" w:eastAsia="Times New Roman" w:hAnsi="Times New Roman"/>
          <w:sz w:val="18"/>
          <w:szCs w:val="18"/>
          <w:color w:val="000000"/>
        </w:rPr>
        <w:t>, Maryland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20852-4041</w:t>
      </w:r>
      <w:r>
        <w:rPr>
          <w:rFonts w:ascii="Times New Roman" w:cs="Times New Roman" w:eastAsia="Times New Roman" w:hAnsi="Times New Roman"/>
          <w:sz w:val="18"/>
          <w:szCs w:val="18"/>
          <w:u w:val="single" w:color="auto"/>
          <w:color w:val="0000FF"/>
        </w:rPr>
        <w:t>20852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-121920</wp:posOffset>
            </wp:positionV>
            <wp:extent cx="1294130" cy="825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1294130" cy="8255"/>
                    </a:xfrm>
                    <a:prstGeom prst="rect">
                      <a:avLst/>
                    </a:prstGeom>
                    <a:noFill/>
                  </pic:spPr>
                </pic:pic>
              </a:graphicData>
            </a:graphic>
          </wp:anchor>
        </w:drawing>
      </w:r>
    </w:p>
    <w:p>
      <w:pPr>
        <w:ind w:left="860"/>
        <w:spacing w:after="0"/>
        <w:rPr>
          <w:sz w:val="20"/>
          <w:szCs w:val="20"/>
          <w:color w:val="auto"/>
        </w:rPr>
      </w:pPr>
      <w:r>
        <w:rPr>
          <w:rFonts w:ascii="Times New Roman" w:cs="Times New Roman" w:eastAsia="Times New Roman" w:hAnsi="Times New Roman"/>
          <w:sz w:val="18"/>
          <w:szCs w:val="18"/>
          <w:color w:val="auto"/>
        </w:rPr>
        <w:t>Attn: Chief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991870</wp:posOffset>
            </wp:positionH>
            <wp:positionV relativeFrom="paragraph">
              <wp:posOffset>-121920</wp:posOffset>
            </wp:positionV>
            <wp:extent cx="711200" cy="825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711200" cy="8255"/>
                    </a:xfrm>
                    <a:prstGeom prst="rect">
                      <a:avLst/>
                    </a:prstGeom>
                    <a:noFill/>
                  </pic:spPr>
                </pic:pic>
              </a:graphicData>
            </a:graphic>
          </wp:anchor>
        </w:drawing>
        <w:drawing>
          <wp:anchor simplePos="0" relativeHeight="251657728" behindDoc="1" locked="0" layoutInCell="0" allowOverlap="1">
            <wp:simplePos x="0" y="0"/>
            <wp:positionH relativeFrom="column">
              <wp:posOffset>2783205</wp:posOffset>
            </wp:positionH>
            <wp:positionV relativeFrom="paragraph">
              <wp:posOffset>-121920</wp:posOffset>
            </wp:positionV>
            <wp:extent cx="291465" cy="825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ind w:left="860"/>
        <w:spacing w:after="0"/>
        <w:rPr>
          <w:sz w:val="20"/>
          <w:szCs w:val="20"/>
          <w:color w:val="auto"/>
        </w:rPr>
      </w:pPr>
      <w:r>
        <w:rPr>
          <w:rFonts w:ascii="Times New Roman" w:cs="Times New Roman" w:eastAsia="Times New Roman" w:hAnsi="Times New Roman"/>
          <w:sz w:val="18"/>
          <w:szCs w:val="18"/>
          <w:color w:val="auto"/>
        </w:rPr>
        <w:t xml:space="preserve">Telephone: (301) </w:t>
      </w:r>
      <w:r>
        <w:rPr>
          <w:rFonts w:ascii="Times New Roman" w:cs="Times New Roman" w:eastAsia="Times New Roman" w:hAnsi="Times New Roman"/>
          <w:sz w:val="18"/>
          <w:szCs w:val="18"/>
          <w:color w:val="FF0000"/>
          <w:strike w:val="1"/>
        </w:rPr>
        <w:t>998-8318</w:t>
      </w:r>
      <w:r>
        <w:rPr>
          <w:rFonts w:ascii="Times New Roman" w:cs="Times New Roman" w:eastAsia="Times New Roman" w:hAnsi="Times New Roman"/>
          <w:sz w:val="18"/>
          <w:szCs w:val="18"/>
          <w:u w:val="single" w:color="auto"/>
          <w:color w:val="0000FF"/>
        </w:rPr>
        <w:t>998-8143</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Email: msolis@federalrealty.com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-121920</wp:posOffset>
            </wp:positionV>
            <wp:extent cx="437515" cy="825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437515" cy="8255"/>
                    </a:xfrm>
                    <a:prstGeom prst="rect">
                      <a:avLst/>
                    </a:prstGeom>
                    <a:noFill/>
                  </pic:spPr>
                </pic:pic>
              </a:graphicData>
            </a:graphic>
          </wp:anchor>
        </w:drawing>
      </w:r>
    </w:p>
    <w:p>
      <w:pPr>
        <w:spacing w:after="0" w:line="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and for all notices (other than notices solely under Article II), with copies to:</w:t>
      </w:r>
    </w:p>
    <w:p>
      <w:pPr>
        <w:spacing w:after="0" w:line="1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Federal Realty OP LP</w:t>
      </w:r>
    </w:p>
    <w:p>
      <w:pPr>
        <w:spacing w:after="0" w:line="2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FF0000"/>
          <w:strike w:val="1"/>
        </w:rPr>
        <w:t>1626 East Jefferson Street</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u w:val="single" w:color="auto"/>
          <w:color w:val="0000FF"/>
        </w:rPr>
        <w:t>909 Rose Avenue, Suite 200</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FF0000"/>
          <w:strike w:val="1"/>
        </w:rPr>
        <w:t>Rockville</w:t>
      </w:r>
      <w:r>
        <w:rPr>
          <w:rFonts w:ascii="Times New Roman" w:cs="Times New Roman" w:eastAsia="Times New Roman" w:hAnsi="Times New Roman"/>
          <w:sz w:val="18"/>
          <w:szCs w:val="18"/>
          <w:u w:val="single" w:color="auto"/>
          <w:color w:val="0000FF"/>
        </w:rPr>
        <w:t>North Bethesda</w:t>
      </w:r>
      <w:r>
        <w:rPr>
          <w:rFonts w:ascii="Times New Roman" w:cs="Times New Roman" w:eastAsia="Times New Roman" w:hAnsi="Times New Roman"/>
          <w:sz w:val="18"/>
          <w:szCs w:val="18"/>
          <w:color w:val="000000"/>
        </w:rPr>
        <w:t>, Maryland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20852-4041</w:t>
      </w:r>
      <w:r>
        <w:rPr>
          <w:rFonts w:ascii="Times New Roman" w:cs="Times New Roman" w:eastAsia="Times New Roman" w:hAnsi="Times New Roman"/>
          <w:sz w:val="18"/>
          <w:szCs w:val="18"/>
          <w:u w:val="single" w:color="auto"/>
          <w:color w:val="0000FF"/>
        </w:rPr>
        <w:t>20852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-121920</wp:posOffset>
            </wp:positionV>
            <wp:extent cx="1294130" cy="825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1294130" cy="8255"/>
                    </a:xfrm>
                    <a:prstGeom prst="rect">
                      <a:avLst/>
                    </a:prstGeom>
                    <a:noFill/>
                  </pic:spPr>
                </pic:pic>
              </a:graphicData>
            </a:graphic>
          </wp:anchor>
        </w:drawing>
      </w:r>
    </w:p>
    <w:p>
      <w:pPr>
        <w:ind w:left="860"/>
        <w:spacing w:after="0"/>
        <w:rPr>
          <w:sz w:val="20"/>
          <w:szCs w:val="20"/>
          <w:color w:val="auto"/>
        </w:rPr>
      </w:pPr>
      <w:r>
        <w:rPr>
          <w:rFonts w:ascii="Times New Roman" w:cs="Times New Roman" w:eastAsia="Times New Roman" w:hAnsi="Times New Roman"/>
          <w:sz w:val="18"/>
          <w:szCs w:val="18"/>
          <w:color w:val="auto"/>
        </w:rPr>
        <w:t>Attn: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991870</wp:posOffset>
            </wp:positionH>
            <wp:positionV relativeFrom="paragraph">
              <wp:posOffset>-121920</wp:posOffset>
            </wp:positionV>
            <wp:extent cx="711200" cy="889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711200" cy="8890"/>
                    </a:xfrm>
                    <a:prstGeom prst="rect">
                      <a:avLst/>
                    </a:prstGeom>
                    <a:noFill/>
                  </pic:spPr>
                </pic:pic>
              </a:graphicData>
            </a:graphic>
          </wp:anchor>
        </w:drawing>
        <w:drawing>
          <wp:anchor simplePos="0" relativeHeight="251657728" behindDoc="1" locked="0" layoutInCell="0" allowOverlap="1">
            <wp:simplePos x="0" y="0"/>
            <wp:positionH relativeFrom="column">
              <wp:posOffset>2783205</wp:posOffset>
            </wp:positionH>
            <wp:positionV relativeFrom="paragraph">
              <wp:posOffset>-121920</wp:posOffset>
            </wp:positionV>
            <wp:extent cx="291465" cy="889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ind w:left="860"/>
        <w:spacing w:after="0"/>
        <w:rPr>
          <w:sz w:val="20"/>
          <w:szCs w:val="20"/>
          <w:color w:val="auto"/>
        </w:rPr>
      </w:pPr>
      <w:r>
        <w:rPr>
          <w:rFonts w:ascii="Times New Roman" w:cs="Times New Roman" w:eastAsia="Times New Roman" w:hAnsi="Times New Roman"/>
          <w:sz w:val="18"/>
          <w:szCs w:val="18"/>
          <w:color w:val="auto"/>
        </w:rPr>
        <w:t>Telephone: (301) 998-8100</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Email: dbecker@federalrealty.com and legal@federalrealty.com</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and</w:t>
      </w:r>
    </w:p>
    <w:p>
      <w:pPr>
        <w:spacing w:after="0" w:line="1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Pillsbury Winthrop Shaw Pittman LLP</w:t>
      </w:r>
    </w:p>
    <w:p>
      <w:pPr>
        <w:spacing w:after="0" w:line="2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1200 Seventeenth Street NW</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Washington, DC 20036</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Attn: Justin J. Bintrim, Esq.</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Telephone: (202) 663-8364</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Email: justin.bintrim@pillsburylaw.com</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to the Administrative Agent:</w:t>
      </w:r>
    </w:p>
    <w:p>
      <w:pPr>
        <w:spacing w:after="0" w:line="1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PNC Bank, National Association</w:t>
      </w:r>
    </w:p>
    <w:p>
      <w:pPr>
        <w:ind w:left="860"/>
        <w:spacing w:after="0" w:line="196" w:lineRule="auto"/>
        <w:rPr>
          <w:sz w:val="20"/>
          <w:szCs w:val="20"/>
          <w:color w:val="auto"/>
        </w:rPr>
      </w:pPr>
      <w:r>
        <w:rPr>
          <w:rFonts w:ascii="Times New Roman" w:cs="Times New Roman" w:eastAsia="Times New Roman" w:hAnsi="Times New Roman"/>
          <w:sz w:val="18"/>
          <w:szCs w:val="18"/>
          <w:color w:val="auto"/>
        </w:rPr>
        <w:t>800 17</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Street NW, 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Mailstop: C6-CPNC-03-04</w:t>
      </w:r>
    </w:p>
    <w:p>
      <w:pPr>
        <w:spacing w:after="0" w:line="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Washington, DC 20006</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Attn: Katie Chowdhry</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Telephone: (202) 835-5316</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Email: katie.chowdhry@pnc.com</w:t>
      </w:r>
    </w:p>
    <w:p>
      <w:pPr>
        <w:spacing w:after="0" w:line="9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with a copy to:</w:t>
      </w:r>
    </w:p>
    <w:p>
      <w:pPr>
        <w:spacing w:after="0" w:line="15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0760"/>
          </w:cols>
          <w:pgMar w:left="440" w:top="266" w:right="699" w:bottom="1440" w:gutter="0" w:footer="0" w:header="0"/>
        </w:sectPr>
      </w:pPr>
    </w:p>
    <w:bookmarkStart w:id="271" w:name="page272"/>
    <w:bookmarkEnd w:id="271"/>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PNC Bank, National Association</w:t>
      </w:r>
    </w:p>
    <w:p>
      <w:pPr>
        <w:spacing w:after="0" w:line="2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500 First Avenue, Fourth Floor</w:t>
      </w:r>
    </w:p>
    <w:p>
      <w:pPr>
        <w:spacing w:after="0" w:line="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Mailstop: P7 PFSC-04-I</w:t>
      </w:r>
    </w:p>
    <w:p>
      <w:pPr>
        <w:spacing w:after="0" w:line="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Pittsburgh, PA 15219</w:t>
      </w:r>
    </w:p>
    <w:p>
      <w:pPr>
        <w:spacing w:after="0" w:line="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Attn: Tim DeVita</w:t>
      </w:r>
    </w:p>
    <w:p>
      <w:pPr>
        <w:spacing w:after="0" w:line="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Telephone: (412) 762-4163</w:t>
      </w:r>
    </w:p>
    <w:p>
      <w:pPr>
        <w:spacing w:after="0" w:line="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Email: timothy.devita@pnc.com</w:t>
      </w:r>
    </w:p>
    <w:p>
      <w:pPr>
        <w:spacing w:after="0" w:line="9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If to any other Lender:</w:t>
      </w:r>
    </w:p>
    <w:p>
      <w:pPr>
        <w:spacing w:after="0" w:line="117"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18"/>
          <w:szCs w:val="18"/>
          <w:color w:val="auto"/>
        </w:rPr>
        <w:t>To such Lender’s address or electronic mail address as set forth in the applicable Administrative Questionnaire</w:t>
      </w:r>
    </w:p>
    <w:p>
      <w:pPr>
        <w:spacing w:after="0" w:line="117" w:lineRule="exact"/>
        <w:rPr>
          <w:sz w:val="20"/>
          <w:szCs w:val="20"/>
          <w:color w:val="auto"/>
        </w:rPr>
      </w:pPr>
    </w:p>
    <w:p>
      <w:pPr>
        <w:ind w:left="4" w:right="20"/>
        <w:spacing w:after="0" w:line="268" w:lineRule="auto"/>
        <w:rPr>
          <w:sz w:val="20"/>
          <w:szCs w:val="20"/>
          <w:color w:val="auto"/>
        </w:rPr>
      </w:pPr>
      <w:r>
        <w:rPr>
          <w:rFonts w:ascii="Times New Roman" w:cs="Times New Roman" w:eastAsia="Times New Roman" w:hAnsi="Times New Roman"/>
          <w:sz w:val="17"/>
          <w:szCs w:val="17"/>
          <w:color w:val="auto"/>
        </w:rPr>
        <w:t>or, as to each party at such other address as shall be designated by such party in a written notice to the other parties delivered in compliance with this Section; provided, a Lender shall only be required to give notice of any such other address to the Administrative Agent and the Borrower. All such notices and other communications shall be effective (i) if mailed, upon receipt; (ii) if delivered via electronic mail, upon the sender’s receipt of an acknowledgement from the intended recipient (such as by the “return receipt requested” function, as available, return e-mail or other written acknowledgement); provided that, if such electronic mail is not sent during normal business hours of the recipient, such electronic mail shall be deemed to have been sent at the opening of business of the next business day of the recipient; (iii) if hand delivered or sent by overnight courier, when delivered; or (iv) if delivered in accordance with Section 8.5. to the extent applicable; provided, however, that, in the case of the immediately preceding clauses (i),</w:t>
      </w:r>
    </w:p>
    <w:p>
      <w:pPr>
        <w:spacing w:after="0" w:line="2" w:lineRule="exact"/>
        <w:rPr>
          <w:sz w:val="20"/>
          <w:szCs w:val="20"/>
          <w:color w:val="auto"/>
        </w:rPr>
      </w:pPr>
    </w:p>
    <w:p>
      <w:pPr>
        <w:ind w:left="4" w:hanging="4"/>
        <w:spacing w:after="0" w:line="252" w:lineRule="auto"/>
        <w:tabs>
          <w:tab w:leader="none" w:pos="269"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(iii), non-receipt of any communication as of the result of any change of address of which the sending party was not notified or as the result of a refusal to accept delivery shall be deemed receipt of such communication. Notwithstanding the immediately preceding sentence, all notices or communications to the Administrative Agent or any Lender under Article II. shall be effective only when actually received. None of the Administrative Agent or any Lender shall incur any liability to any Loan Party (nor shall the Administrative Agent incur any liability to the Lenders) for acting upon any notice via electronic mail referred to in this Agreement which the Administrative Agent or such Lender, as the case may be, believes in good faith to have been given by a Person authorized to deliver such notice or for otherwise acting in good faith hereunder. Failure of a Person designated to get a copy of a notice to receive such copy shall not affect the validity of notice properly given to another Person.</w:t>
      </w:r>
    </w:p>
    <w:p>
      <w:pPr>
        <w:spacing w:after="0" w:line="29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12.2. Expenses.</w:t>
      </w:r>
    </w:p>
    <w:p>
      <w:pPr>
        <w:spacing w:after="0" w:line="121"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The Borrower agrees (a) to pay or reimburse each of the Arrangers and the Administrative Agent for all of its respective reasonable out-of-pocket costs and expenses incurred in connection with the preparation, syndication, negotiation and execution of, and any amendment, supplement or modification to, any of the Loan Documents (including due diligence expenses and reasonable travel expenses related to closing), and the consummation of the transactions contemplated hereby and thereby, including the reasonable fees and disbursements of counsel to the Administrative Agent and all costs and expenses of the Administrative Agent in connection with the use of IntraLinks, SyndTrak or other similar information transmission systems in connection with the Loan Documents, (b) to pay or reimburse the Administrative Agent and the Lenders for all their reasonable costs and expenses incurred in connection with the “workout” or enforcement or preservation of any rights under the Loan Documents and the Fee Letter, including the reasonable fees and disbursements of their respective counsel (including the allocated fees and expenses of in-house counsel to the extent in substitution for, and not in duplication of, outside counsel) and any payments in indemnification or otherwise payable by the Lenders to the Administrative Agent pursuant to the Loan Documents; provided, however, that the Borrower shall not be required to pay the expenses of more than one counsel to the Administrative Agent and one separate counsel for the Lenders (in addition</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004"/>
          </w:cols>
          <w:pgMar w:left="436" w:top="270" w:right="459" w:bottom="1440" w:gutter="0" w:footer="0" w:header="0"/>
        </w:sectPr>
      </w:pPr>
    </w:p>
    <w:bookmarkStart w:id="272" w:name="page273"/>
    <w:bookmarkEnd w:id="272"/>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expenses for any appropriate local or special counsel) in connection with such workout or enforcement or preservation unless the Lenders reasonably determine that joint representation is not appropriate under the circumstances, (c) to pay, and indemnify and hold harmless the Administrative Agent and the Lenders from, any and all recording and filing fees and any and all liabilities with respect to, or resulting from any failure to pay or delay in paying, documentary, stamp, excise and other similar taxes, if any, which may be payable or determined to be payable in connection with the execution and delivery of any of the Loan Documents, or consummation of any amendment, supplement or modification of, or any waiver or consent under or in respect of, any Loan Document and (d) to the extent not already covered by any of the preceding subsections, to pay or reimburse the fees and disbursements of counsel to the Administrative Agent and any Lender incurred in connection with the representation of the Administrative Agent or such Lender in any matter relating to or arising out of any bankruptcy or other proceeding of the type described in Sections 10.1.(e) or 10.1.(f), including, without limitation (i) any motion for relief from any stay or similar order, (ii) the negotiation, preparation, execution and delivery of any document relating to the Obligations and (iii) the negotiation and preparation of any debtor-in-possession financing or any plan of reorganization of the Borrower or any other Loan Party, whether proposed by the Borrower, such Loan Party, the Lenders or any other Person, and whether such fees and expenses are incurred prior to, during or after the commencement of such proceeding or the confirmation or conclusion of any such proceeding; provided, however, that the Borrower shall not be required to pay the expenses of more than one counsel to the Administrative Agent and one separate counsel for the Lenders (in addition to expenses for any appropriate local or special counsel) in connection with such bankruptcy or proceeding unless the Lenders reasonably determine that joint representation is not appropriate under the circumstances. If the Borrower shall fail to pay any amounts required to be paid by it pursuant to this Section, the Administrative Agent and/or the Lenders may pay such amounts on behalf of the Borrower and such amounts shall be deemed to be Obligations owing hereunder.</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12.3. Stamp, Intangible and Recording Taxes.</w:t>
      </w:r>
    </w:p>
    <w:p>
      <w:pPr>
        <w:spacing w:after="0" w:line="121"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The Borrower will pay any and all stamp, excise, intangible, registration, recordation and similar taxes, fees or charges and shall indemnify the Administrative Agent and each Lender against any and all liabilities with respect to or resulting from any delay in the payment or omission to pay any such taxes, fees or charges, which may be payable or determined to be payable in connection with the execution, delivery, recording, performance or enforcement of this Agreement, the Notes and any of the other Loan Documents, the amendment, supplement, modification or waiver of or consent under this Agreement, the Notes or any of the other Loan Documents or the perfection of any rights or Liens under this Agreement, the Notes or any of the other Loan Documents.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12.4. Setoff.</w:t>
      </w:r>
    </w:p>
    <w:p>
      <w:pPr>
        <w:spacing w:after="0" w:line="121" w:lineRule="exact"/>
        <w:rPr>
          <w:sz w:val="20"/>
          <w:szCs w:val="20"/>
          <w:color w:val="auto"/>
        </w:rPr>
      </w:pPr>
    </w:p>
    <w:p>
      <w:pPr>
        <w:ind w:right="20" w:firstLine="440"/>
        <w:spacing w:after="0" w:line="252" w:lineRule="auto"/>
        <w:rPr>
          <w:sz w:val="20"/>
          <w:szCs w:val="20"/>
          <w:color w:val="auto"/>
        </w:rPr>
      </w:pPr>
      <w:r>
        <w:rPr>
          <w:rFonts w:ascii="Times New Roman" w:cs="Times New Roman" w:eastAsia="Times New Roman" w:hAnsi="Times New Roman"/>
          <w:sz w:val="18"/>
          <w:szCs w:val="18"/>
          <w:color w:val="auto"/>
        </w:rPr>
        <w:t>Subject to Section 3.3. and in addition to any rights now or hereafter granted under Applicable Law and not by way of limitation of any such rights, the Borrower hereby authorizes the Administrative Agent, each Lender and each Affiliate of the Administrative Agent or any Lender, at any time or from time to time during the continuance of an Event of Default, without prior notice to the Borrower or to any other Person, any such notice being hereby expressly waived, but in the case of a Lender or an Affiliate of a Lender, subject to receipt of the prior written consent of the Requisite Lenders exercised in their sole discretion, to set off and to appropriate and to apply any and all deposits (general or special, including, but not limited to, indebtedness evidenced by certificates of deposit, whether matured or unmatured) and any other indebtedness at any time held or owing by the Administrative Agent, such Lender or any Affiliate of the Administrative Agent or such Lender, to or for the credit or the account of the Borrower against and on account of any of the Obligations then due and payable, irrespective of whether or not any or all of the Loans and all other Obligations have been declared to be, or have otherwise become, due and payable as permitted by Section 10.2. Notwithstanding anything to the contrary in this Section, if any Defaulting Lender shall exercise any such right of setoff, (x) all amounts so set off shall be paid over immediately to the Administrative Agent for further application in accordance with the provisions of Section 3.9. 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reasonable detail the Obligations owing to such Defaulting Lender as to which it exercised such right of setoff.</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000"/>
          </w:cols>
          <w:pgMar w:left="440" w:top="270" w:right="459" w:bottom="1440" w:gutter="0" w:footer="0" w:header="0"/>
        </w:sectPr>
      </w:pPr>
    </w:p>
    <w:bookmarkStart w:id="273" w:name="page274"/>
    <w:bookmarkEnd w:id="27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12.5. Litigation; Jurisdiction; Other Matters; Waivers.</w:t>
      </w:r>
    </w:p>
    <w:p>
      <w:pPr>
        <w:spacing w:after="0" w:line="121" w:lineRule="exact"/>
        <w:rPr>
          <w:sz w:val="20"/>
          <w:szCs w:val="20"/>
          <w:color w:val="auto"/>
        </w:rPr>
      </w:pPr>
    </w:p>
    <w:p>
      <w:pPr>
        <w:ind w:right="100" w:firstLine="436"/>
        <w:spacing w:after="0" w:line="254" w:lineRule="auto"/>
        <w:tabs>
          <w:tab w:leader="none" w:pos="685"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HERETO ACKNOWLEDGES THAT ANY DISPUTE OR CONTROVERSY BETWEEN OR AMONG THE BORROWER, THE ADMINISTRATIVE AGENT OR ANY OF THE LENDERS WOULD BE BASED ON DIFFICULT AND COMPLEX ISSUES OF LAW AND FACT AND WOULD RESULT IN DELAY AND EXPENSE TO THE PARTIES. ACCORDINGLY, TO THE EXTENT PERMITTED BY APPLICABLE LAW, EACH OF THE LENDERS, THE ADMINISTRATIVE AGENT AND THE BORROWER HEREBY WAIVES ITS RIGHT TO A TRIAL BY JURY IN ANY ACTION OR PROCEEDING OF ANY KIND OR NATURE IN ANY COURT OR TRIBUNAL IN WHICH AN ACTION MAY BE COMMENCED BY OR AGAINST ANY PARTY HERETO ARISING OUT OF THIS AGREEMENT, ANY OTHER LOAN DOCUMENT OR THE FEE LETTER OR BY REASON OF ANY OTHER SUIT, CAUSE OF ACTION OR DISPUTE WHATSOEVER BETWEEN OR AMONG THE BORROWER, THE ADMINISTRATIVE AGENT OR ANY OF THE LENDERS OF ANY KIND OR NATURE RELATING TO ANY OF THE LOAN DOCUMENTS.</w:t>
      </w:r>
    </w:p>
    <w:p>
      <w:pPr>
        <w:spacing w:after="0" w:line="188" w:lineRule="exact"/>
        <w:rPr>
          <w:rFonts w:ascii="Times New Roman" w:cs="Times New Roman" w:eastAsia="Times New Roman" w:hAnsi="Times New Roman"/>
          <w:sz w:val="18"/>
          <w:szCs w:val="18"/>
          <w:color w:val="auto"/>
        </w:rPr>
      </w:pPr>
    </w:p>
    <w:p>
      <w:pPr>
        <w:ind w:firstLine="436"/>
        <w:spacing w:after="0" w:line="252" w:lineRule="auto"/>
        <w:tabs>
          <w:tab w:leader="none" w:pos="695"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IRREVOCABLY AND UNCONDITIONALLY AGREES THAT IT WILL NOT COMMENCE ANY ACTION, LITIGATION OR PROCEEDING OF ANY KIND OR DESCRIPTION, WHETHER IN LAW OR EQUITY, WHETHER IN CONTRACT OR IN TORT OR OTHERWISE, AGAINST THE ADMINISTRATIVE AGENT, ANY LENDER OR ANY RELATED PARTY OF THE FOREGOING IN ANY WAY RELATING TO THIS AGREEMENT OR ANY OTHER LOAN DOCUMENT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ADMINISTRATIVE AGENT, ANY LENDER MAY OTHERWISE HAVE TO BRING ANY ACTION OR PROCEEDING RELATING TO THIS AGREEMENT OR ANY OTHER LOAN DOCUMENT AGAINST THE BORROWER OR ITS PROPERTIES IN THE COURTS OF ANY JURISDICTION. EACH PARTY FURTHER WAIVES ANY OBJECTION THAT IT MAY NOW OR HEREAFTER HAVE TO THE VENUE OF ANY SUCH ACTION OR PROCEEDING IN ANY SUCH COURT OR THAT SUCH ACTION OR PROCEEDING WAS BROUGHT IN AN INCONVENIENT FORUM AND EACH AGREES NOT TO PLEAD OR CLAIM THE SAME.</w:t>
      </w:r>
    </w:p>
    <w:p>
      <w:pPr>
        <w:spacing w:after="0" w:line="193" w:lineRule="exact"/>
        <w:rPr>
          <w:rFonts w:ascii="Times New Roman" w:cs="Times New Roman" w:eastAsia="Times New Roman" w:hAnsi="Times New Roman"/>
          <w:sz w:val="18"/>
          <w:szCs w:val="18"/>
          <w:color w:val="auto"/>
        </w:rPr>
      </w:pPr>
    </w:p>
    <w:p>
      <w:pPr>
        <w:ind w:right="100" w:firstLine="436"/>
        <w:spacing w:after="0" w:line="261" w:lineRule="auto"/>
        <w:tabs>
          <w:tab w:leader="none" w:pos="685"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SECTION HAVE BEEN CONSIDERED BY EACH PARTY WITH THE ADVICE OF COUNSEL AND WITH A FULL UNDERSTANDING OF THE LEGAL CONSEQUENCES THEREOF, AND SHALL SURVIVE THE PAYMENT OF THE LOANS AND ALL OTHER AMOUNTS PAYABLE HEREUNDER OR UNDER THE OTHER LOAN DOCUMENTS, AND THE TERMINATION OF THIS AGREEMENT.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000"/>
          </w:cols>
          <w:pgMar w:left="440" w:top="266" w:right="459" w:bottom="1440" w:gutter="0" w:footer="0" w:header="0"/>
        </w:sectPr>
      </w:pPr>
    </w:p>
    <w:bookmarkStart w:id="274" w:name="page275"/>
    <w:bookmarkEnd w:id="27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12.6. Successors and Assigns.</w:t>
      </w:r>
    </w:p>
    <w:p>
      <w:pPr>
        <w:spacing w:after="0" w:line="121" w:lineRule="exact"/>
        <w:rPr>
          <w:sz w:val="20"/>
          <w:szCs w:val="20"/>
          <w:color w:val="auto"/>
        </w:rPr>
      </w:pPr>
    </w:p>
    <w:p>
      <w:pPr>
        <w:ind w:firstLine="436"/>
        <w:spacing w:after="0" w:line="253" w:lineRule="auto"/>
        <w:tabs>
          <w:tab w:leader="none" w:pos="685"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 Generally</w:t>
      </w:r>
      <w:r>
        <w:rPr>
          <w:rFonts w:ascii="Times New Roman" w:cs="Times New Roman" w:eastAsia="Times New Roman" w:hAnsi="Times New Roman"/>
          <w:sz w:val="18"/>
          <w:szCs w:val="18"/>
          <w:color w:val="auto"/>
        </w:rPr>
        <w:t>. The provisions of this Agreement shall be binding upon and inure to the benefit of the parties hereto and their respective successors and assigns permitted hereby, except that neither the Borrower nor any other Loan Party may assign or otherwise transfer any of its rights or obligations hereunder without the prior written consent of the Administrative Agent and each Lender and no Lender may assign or otherwise transfer any of its rights or obligations hereunder except (i) to an Eligible Assignee in accordance with the provisions of the immediately following subsection (b), (ii) by way of participation in accordance with the provisions of the immediately following subsection (d) or (iii) by way of pledge or assignment of a security interest subject to the restrictions of the immediately following subsection (f) (and, subject to the last sentence of the immediately following subsection (b),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the immediately following subsection (d) and, to the extent expressly set forth herein, the Related Parties of the Administrative Agent and the Lenders) any legal or equitable right, remedy or claim under or by reason of this Agreement.</w:t>
      </w:r>
    </w:p>
    <w:p>
      <w:pPr>
        <w:spacing w:after="0" w:line="194" w:lineRule="exact"/>
        <w:rPr>
          <w:rFonts w:ascii="Times New Roman" w:cs="Times New Roman" w:eastAsia="Times New Roman" w:hAnsi="Times New Roman"/>
          <w:sz w:val="18"/>
          <w:szCs w:val="18"/>
          <w:color w:val="auto"/>
        </w:rPr>
      </w:pPr>
    </w:p>
    <w:p>
      <w:pPr>
        <w:jc w:val="both"/>
        <w:ind w:right="240" w:firstLine="436"/>
        <w:spacing w:after="0" w:line="266" w:lineRule="auto"/>
        <w:tabs>
          <w:tab w:leader="none" w:pos="695"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Assignments by Lenders</w:t>
      </w:r>
      <w:r>
        <w:rPr>
          <w:rFonts w:ascii="Times New Roman" w:cs="Times New Roman" w:eastAsia="Times New Roman" w:hAnsi="Times New Roman"/>
          <w:sz w:val="18"/>
          <w:szCs w:val="18"/>
          <w:color w:val="auto"/>
        </w:rPr>
        <w:t xml:space="preserve">. Any Lender may at any time assign to one or more Eligible Assignees all or a portion of its rights and obligations under this Agreement (including all or a portion of its Commitment and the Loans at the time owing to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assignment shall be subject to the following conditions:</w:t>
      </w:r>
    </w:p>
    <w:p>
      <w:pPr>
        <w:spacing w:after="0" w:line="67"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1"/>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Minimum Amounts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980" w:right="140" w:firstLine="408"/>
        <w:spacing w:after="0" w:line="282" w:lineRule="auto"/>
        <w:tabs>
          <w:tab w:leader="none" w:pos="1676" w:val="left"/>
        </w:tabs>
        <w:numPr>
          <w:ilvl w:val="2"/>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assignment of the entire remaining amount of an assigning Lender’s Loan at the time owing to it or, in the case of an assignment to a Lender, an Affiliate of a Lender or an Approved Fund, no minimum amount need be assigned; and</w:t>
      </w:r>
    </w:p>
    <w:p>
      <w:pPr>
        <w:spacing w:after="0" w:line="53" w:lineRule="exact"/>
        <w:rPr>
          <w:rFonts w:ascii="Times New Roman" w:cs="Times New Roman" w:eastAsia="Times New Roman" w:hAnsi="Times New Roman"/>
          <w:sz w:val="18"/>
          <w:szCs w:val="18"/>
          <w:color w:val="auto"/>
        </w:rPr>
      </w:pPr>
    </w:p>
    <w:p>
      <w:pPr>
        <w:ind w:left="980" w:right="20" w:firstLine="408"/>
        <w:spacing w:after="0" w:line="253" w:lineRule="auto"/>
        <w:tabs>
          <w:tab w:leader="none" w:pos="1666" w:val="left"/>
        </w:tabs>
        <w:numPr>
          <w:ilvl w:val="2"/>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case not described in the immediately preceding subsection (A), the aggregate amount of the principal outstanding balance of the Loan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unless each of the Administrative Agent and, so long as no Event of Default shall exist, the Borrower otherwise consents (each such consent not to be unreasonably withheld or delayed with it being agreed that the Borrower’s withholding of consent to an assignment which would result in the Borrower having to pay amounts under Section 3.10. in an amount that the Borrower reasonably deems to be a significant amount shall be deemed reasonable); provided, however, that if, after giving effect to such assignment, the outstanding principal balance of the Loan held by such assigning Lender would be less than $5,000,000, then such assigning Lender shall assign the entire amount of its Loan at the time owing to it unless the Administrative Agent and Borrower agree otherwise.</w:t>
      </w:r>
    </w:p>
    <w:p>
      <w:pPr>
        <w:spacing w:after="0" w:line="86" w:lineRule="exact"/>
        <w:rPr>
          <w:rFonts w:ascii="Times New Roman" w:cs="Times New Roman" w:eastAsia="Times New Roman" w:hAnsi="Times New Roman"/>
          <w:sz w:val="18"/>
          <w:szCs w:val="18"/>
          <w:color w:val="auto"/>
        </w:rPr>
      </w:pPr>
    </w:p>
    <w:p>
      <w:pPr>
        <w:ind w:left="440" w:right="360" w:firstLine="419"/>
        <w:spacing w:after="0" w:line="282" w:lineRule="auto"/>
        <w:tabs>
          <w:tab w:leader="none" w:pos="1128" w:val="left"/>
        </w:tabs>
        <w:numPr>
          <w:ilvl w:val="1"/>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Proportionate Amounts</w:t>
      </w:r>
      <w:r>
        <w:rPr>
          <w:rFonts w:ascii="Times New Roman" w:cs="Times New Roman" w:eastAsia="Times New Roman" w:hAnsi="Times New Roman"/>
          <w:sz w:val="18"/>
          <w:szCs w:val="18"/>
          <w:color w:val="auto"/>
        </w:rPr>
        <w:t>. Each partial assignment shall be made as an assignment of a proportionate part of all the assigning Lender’s rights and obligations under this Agreement with respect to the Loan.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020"/>
          </w:cols>
          <w:pgMar w:left="440" w:top="266" w:right="439" w:bottom="1440" w:gutter="0" w:footer="0" w:header="0"/>
        </w:sectPr>
      </w:pPr>
    </w:p>
    <w:bookmarkStart w:id="275" w:name="page276"/>
    <w:bookmarkEnd w:id="275"/>
    <w:p>
      <w:pPr>
        <w:ind w:left="440" w:right="60" w:firstLine="419"/>
        <w:spacing w:after="0" w:line="282" w:lineRule="auto"/>
        <w:tabs>
          <w:tab w:leader="none" w:pos="1178"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Required Consents</w:t>
      </w:r>
      <w:r>
        <w:rPr>
          <w:rFonts w:ascii="Times New Roman" w:cs="Times New Roman" w:eastAsia="Times New Roman" w:hAnsi="Times New Roman"/>
          <w:sz w:val="18"/>
          <w:szCs w:val="18"/>
          <w:color w:val="auto"/>
        </w:rPr>
        <w:t>. No consent shall be required for any assignment except to the extent required by clause (i)(B) of this subsection (b) and, in addition:</w:t>
      </w:r>
    </w:p>
    <w:p>
      <w:pPr>
        <w:spacing w:after="0" w:line="53" w:lineRule="exact"/>
        <w:rPr>
          <w:rFonts w:ascii="Times New Roman" w:cs="Times New Roman" w:eastAsia="Times New Roman" w:hAnsi="Times New Roman"/>
          <w:sz w:val="18"/>
          <w:szCs w:val="18"/>
          <w:color w:val="auto"/>
        </w:rPr>
      </w:pPr>
    </w:p>
    <w:p>
      <w:pPr>
        <w:ind w:left="980" w:right="40" w:firstLine="408"/>
        <w:spacing w:after="0" w:line="256" w:lineRule="auto"/>
        <w:tabs>
          <w:tab w:leader="none" w:pos="1676" w:val="left"/>
        </w:tabs>
        <w:numPr>
          <w:ilvl w:val="1"/>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of the Borrower (such consent not to be unreasonably withheld or delayed with it being agreed that the Borrower’s withholding of consent to an assignment which would result in the Borrower having to pay amounts under Section 3.10. in an amount that the Borrower reasonably deems to be a significant amount shall be deemed reasonable) shall be required unless (x) an Event of Default shall exist at the time of such assignment or (y) such assignment is to a Lender, an Affiliate of a Lender or an Approved Fund; provided that the Borrower shall be deemed to have consented to any such assignment unless it shall object thereto by written notice to the Administrative Agent within 5 Business Days after having received notice thereof; and</w:t>
      </w:r>
    </w:p>
    <w:p>
      <w:pPr>
        <w:spacing w:after="0" w:line="79" w:lineRule="exact"/>
        <w:rPr>
          <w:rFonts w:ascii="Times New Roman" w:cs="Times New Roman" w:eastAsia="Times New Roman" w:hAnsi="Times New Roman"/>
          <w:sz w:val="18"/>
          <w:szCs w:val="18"/>
          <w:color w:val="auto"/>
        </w:rPr>
      </w:pPr>
    </w:p>
    <w:p>
      <w:pPr>
        <w:ind w:left="980" w:right="500" w:firstLine="408"/>
        <w:spacing w:after="0" w:line="266" w:lineRule="auto"/>
        <w:tabs>
          <w:tab w:leader="none" w:pos="1666" w:val="left"/>
        </w:tabs>
        <w:numPr>
          <w:ilvl w:val="1"/>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of the Administrative Agent (such consent not to be unreasonably withheld or delayed) shall be required for assignments in respect of a Loan if such assignment is to a Person that is not already a Lender holding a Loan, an Affiliate of such a Lender or an Approved Fund with respect to such a Lender.</w:t>
      </w:r>
    </w:p>
    <w:p>
      <w:pPr>
        <w:spacing w:after="0" w:line="67" w:lineRule="exact"/>
        <w:rPr>
          <w:rFonts w:ascii="Times New Roman" w:cs="Times New Roman" w:eastAsia="Times New Roman" w:hAnsi="Times New Roman"/>
          <w:sz w:val="18"/>
          <w:szCs w:val="18"/>
          <w:color w:val="auto"/>
        </w:rPr>
      </w:pPr>
    </w:p>
    <w:p>
      <w:pPr>
        <w:ind w:left="440" w:right="20" w:firstLine="419"/>
        <w:spacing w:after="0" w:line="256" w:lineRule="auto"/>
        <w:tabs>
          <w:tab w:leader="none" w:pos="1168"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 and Assumption; Notes</w:t>
      </w:r>
      <w:r>
        <w:rPr>
          <w:rFonts w:ascii="Times New Roman" w:cs="Times New Roman" w:eastAsia="Times New Roman" w:hAnsi="Times New Roman"/>
          <w:sz w:val="18"/>
          <w:szCs w:val="18"/>
          <w:color w:val="auto"/>
        </w:rPr>
        <w:t>. The parties to each assignment (including an assigning Defaulting Lender) shall execute and deliver to the Administrative Agent an Assignment and Assumption, together with a processing and recordation fee of $4,500 (or $7,500 with respect to an assignment by a Defaulting Lender payable by the assigning Lender (unless otherwise agreed between the assigning Lender and the assignee) for each assignment, and the assignee, if it is not a Lender, shall deliver to the Administrative Agent an Administrative Questionnaire. If requested by the assigning Lender or the Assignee, upon the consummation of any assignment, the assigning Lender, the Administrative Agent and the Borrower shall make appropriate arrangements so that new Notes are issued to the Assignee and such assigning Lender, as appropriate.</w:t>
      </w:r>
    </w:p>
    <w:p>
      <w:pPr>
        <w:spacing w:after="0" w:line="79" w:lineRule="exact"/>
        <w:rPr>
          <w:rFonts w:ascii="Times New Roman" w:cs="Times New Roman" w:eastAsia="Times New Roman" w:hAnsi="Times New Roman"/>
          <w:sz w:val="18"/>
          <w:szCs w:val="18"/>
          <w:color w:val="auto"/>
        </w:rPr>
      </w:pPr>
    </w:p>
    <w:p>
      <w:pPr>
        <w:ind w:left="440" w:firstLine="419"/>
        <w:spacing w:after="0" w:line="282" w:lineRule="auto"/>
        <w:tabs>
          <w:tab w:leader="none" w:pos="1118"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Assignment to Borrower</w:t>
      </w:r>
      <w:r>
        <w:rPr>
          <w:rFonts w:ascii="Times New Roman" w:cs="Times New Roman" w:eastAsia="Times New Roman" w:hAnsi="Times New Roman"/>
          <w:sz w:val="18"/>
          <w:szCs w:val="18"/>
          <w:color w:val="auto"/>
        </w:rPr>
        <w:t>. No such assignment shall be made to a Defaulting Lender, the Borrower or any of the Borrower’s Affiliates or Subsidiaries.</w:t>
      </w:r>
    </w:p>
    <w:p>
      <w:pPr>
        <w:spacing w:after="0" w:line="53"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Assignment to Natural Persons</w:t>
      </w:r>
      <w:r>
        <w:rPr>
          <w:rFonts w:ascii="Times New Roman" w:cs="Times New Roman" w:eastAsia="Times New Roman" w:hAnsi="Times New Roman"/>
          <w:sz w:val="18"/>
          <w:szCs w:val="18"/>
          <w:color w:val="auto"/>
        </w:rPr>
        <w:t>. No such assignment shall be made to a natural person.</w:t>
      </w:r>
    </w:p>
    <w:p>
      <w:pPr>
        <w:spacing w:after="0" w:line="117" w:lineRule="exact"/>
        <w:rPr>
          <w:rFonts w:ascii="Times New Roman" w:cs="Times New Roman" w:eastAsia="Times New Roman" w:hAnsi="Times New Roman"/>
          <w:sz w:val="18"/>
          <w:szCs w:val="18"/>
          <w:color w:val="auto"/>
        </w:rPr>
      </w:pPr>
    </w:p>
    <w:p>
      <w:pPr>
        <w:jc w:val="both"/>
        <w:ind w:left="440" w:right="40" w:firstLine="419"/>
        <w:spacing w:after="0" w:line="261" w:lineRule="auto"/>
        <w:tabs>
          <w:tab w:leader="none" w:pos="1218"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Assignments by Specified Derivatives Provider</w:t>
      </w:r>
      <w:r>
        <w:rPr>
          <w:rFonts w:ascii="Times New Roman" w:cs="Times New Roman" w:eastAsia="Times New Roman" w:hAnsi="Times New Roman"/>
          <w:sz w:val="18"/>
          <w:szCs w:val="18"/>
          <w:color w:val="auto"/>
        </w:rPr>
        <w:t>. If the assigning Lender (or its Affiliate) is a Specified Derivatives Provider and if after giving effect to such assignment such Lender will hold no further Loans under this Agreement, such Lender shall undertake such assignment only contemporaneously with an assignment by such Lender (or its Affiliate, as the case may be) of all of its Specified Derivatives Contracts to the Assignee or another Lender (or Affiliate thereof).</w:t>
      </w:r>
    </w:p>
    <w:p>
      <w:pPr>
        <w:spacing w:after="0" w:line="180"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Subject to acceptance and recording thereof by the Administrative Agent pursuant to the immediately following subsection (c),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4.4., 12.2. and 12.10. and the other provisions of this Agreement and the other Loan Documents as provided in Section 12.11. with respect to facts and circumstances having occurred prior to the effective date of such assignment. Any assignment or transfer by a Lender of rights or obligations under this Agreement that does not comply with this paragraph shall be treated for purposes of this Agreement as a sale by such Lender of a participation in such rights and obligations in accordance with the immediately following subsection (d).</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0980"/>
          </w:cols>
          <w:pgMar w:left="440" w:top="270" w:right="479" w:bottom="1440" w:gutter="0" w:footer="0" w:header="0"/>
        </w:sectPr>
      </w:pPr>
    </w:p>
    <w:bookmarkStart w:id="276" w:name="page277"/>
    <w:bookmarkEnd w:id="276"/>
    <w:p>
      <w:pPr>
        <w:ind w:left="-20" w:firstLine="436"/>
        <w:spacing w:after="0" w:line="252" w:lineRule="auto"/>
        <w:tabs>
          <w:tab w:leader="none" w:pos="665"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Register</w:t>
      </w:r>
      <w:r>
        <w:rPr>
          <w:rFonts w:ascii="Times New Roman" w:cs="Times New Roman" w:eastAsia="Times New Roman" w:hAnsi="Times New Roman"/>
          <w:sz w:val="18"/>
          <w:szCs w:val="18"/>
          <w:color w:val="auto"/>
        </w:rPr>
        <w:t>. The Administrative Agent, acting solely for this purpose as a non-fiduciary agent of the Borrower, shall maintain at the Principal Office a copy of each Assignment and Assumption delivered to it and a register for the recordation of the names and addresses of the Lenders, and the principal amounts of the Loans owing to, each Lender pursuant to the terms hereof from time to time (the “</w:t>
      </w: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 In the absence of manifest error, the entries in the Register shall be conclusive, and the Borrower, the Administrative Agent and the Lenders may treat each Person whose name is recorded in the Register pursuant to the terms hereof as a Lender hereunder for all purposes of this Agreement, notwithstanding notice to the contrary. The Register shall be available for inspection by the Borrower and any Lender, at any reasonable time and from time to time upon reasonable prior notice. Each Lender that sells a participation as described in Section 12.6(d) shall, acting solely for this purpose as an agent of the Borrower, maintain a register on which it enters the name and address of each Participant and the principal amounts (and stated interest) of each Participant’s interest in the Loans or other obligations under this Agreement (the “</w:t>
      </w:r>
      <w:r>
        <w:rPr>
          <w:rFonts w:ascii="Times New Roman" w:cs="Times New Roman" w:eastAsia="Times New Roman" w:hAnsi="Times New Roman"/>
          <w:sz w:val="18"/>
          <w:szCs w:val="18"/>
          <w:b w:val="1"/>
          <w:bCs w:val="1"/>
          <w:color w:val="auto"/>
        </w:rPr>
        <w:t>Participant Register</w:t>
      </w:r>
      <w:r>
        <w:rPr>
          <w:rFonts w:ascii="Times New Roman" w:cs="Times New Roman" w:eastAsia="Times New Roman" w:hAnsi="Times New Roman"/>
          <w:sz w:val="18"/>
          <w:szCs w:val="18"/>
          <w:color w:val="auto"/>
        </w:rPr>
        <w:t>”); provided that no Lender shall have any obligation to disclose all or any portion of the Participant Register to any Person (including the identity of any Participant or any information relating to a Participant’s interest in any Commitments, Loans, or its other obligations under this Agreement) except to the extent that such disclosure is necessary to establish that such Commitment, Loan, or other obligation is in registered form under Section 5f.103-1(c) of the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w:t>
      </w:r>
    </w:p>
    <w:p>
      <w:pPr>
        <w:spacing w:after="0" w:line="197" w:lineRule="exact"/>
        <w:rPr>
          <w:rFonts w:ascii="Times New Roman" w:cs="Times New Roman" w:eastAsia="Times New Roman" w:hAnsi="Times New Roman"/>
          <w:sz w:val="18"/>
          <w:szCs w:val="18"/>
          <w:color w:val="auto"/>
        </w:rPr>
      </w:pPr>
    </w:p>
    <w:p>
      <w:pPr>
        <w:ind w:left="-20" w:firstLine="436"/>
        <w:spacing w:after="0" w:line="252" w:lineRule="auto"/>
        <w:tabs>
          <w:tab w:leader="none" w:pos="675"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Participations</w:t>
      </w:r>
      <w:r>
        <w:rPr>
          <w:rFonts w:ascii="Times New Roman" w:cs="Times New Roman" w:eastAsia="Times New Roman" w:hAnsi="Times New Roman"/>
          <w:sz w:val="18"/>
          <w:szCs w:val="18"/>
          <w:color w:val="auto"/>
        </w:rPr>
        <w:t>. Any Lender may at any time, without the consent of, or notice to, the Borrower or the Administrative Agent, sell participations to any Person (other than a natural person or the Borrower or any of the Borrower’s Affiliates or Subsidiaries) (each, a “</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 in all or a portion of such Lender’s rights and/or obligations under this Agreement (including all or a portion of the Loans owing to it); provided that (i) such Lender’s obligations under this Agreement shall remain unchanged, (ii) such Lender shall remain solely responsible to the other parties hereto for the performance of such obligations and (iii) the Borrower, the Administrative Agent and the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and responsibility to enforce this Agreement, including, without limitation, the right to approve any amendment, modification or waiver of any provision of this Agreement; provided that such agreement or instrument may provide that such Lender will not, without the consent of the Participant, agree to (w) increase such Lender’s Loan to the extent subject to the participation, (x) extend the date fixed for the payment of principal on the Loans or portions thereof owing to such Lender to the extent subject to such participation except as set forth in Section 2.13., (y) reduce the rate at which interest is payable thereon or (z) release any Guarantor from its Obligations under the Guaranty (except as otherwise permitted under Section 7.14.(c)). Subject to the immediately following subsection (e), the Borrower agrees that each Participant shall be entitled to the benefits of Sections 3.10., 4.1., and 4.4., to the same extent as if it were a Lender and had acquired its interest by assignment pursuant to paragraph (b) of this Section.</w:t>
      </w:r>
    </w:p>
    <w:p>
      <w:pPr>
        <w:spacing w:after="0" w:line="197" w:lineRule="exact"/>
        <w:rPr>
          <w:rFonts w:ascii="Times New Roman" w:cs="Times New Roman" w:eastAsia="Times New Roman" w:hAnsi="Times New Roman"/>
          <w:sz w:val="18"/>
          <w:szCs w:val="18"/>
          <w:color w:val="auto"/>
        </w:rPr>
      </w:pPr>
    </w:p>
    <w:p>
      <w:pPr>
        <w:ind w:left="-20" w:right="220" w:firstLine="436"/>
        <w:spacing w:after="0" w:line="258" w:lineRule="auto"/>
        <w:tabs>
          <w:tab w:leader="none" w:pos="665"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upon Participant Rights</w:t>
      </w:r>
      <w:r>
        <w:rPr>
          <w:rFonts w:ascii="Times New Roman" w:cs="Times New Roman" w:eastAsia="Times New Roman" w:hAnsi="Times New Roman"/>
          <w:sz w:val="18"/>
          <w:szCs w:val="18"/>
          <w:color w:val="auto"/>
        </w:rPr>
        <w:t>. A Participant shall not be entitled to receive any greater payment under Sections 3.10. and 4.1. than the applicable Lender would have been entitled to receive with respect to the participation sold to such Participant, unless the sale of the participation to such Participant is made with the Borrower’s prior written consent. A Participant shall not be entitled to the benefits of Section 3.10. unless the Borrower is notified of the participation sold to such Participant and such Participant agrees, for the benefit of the Borrower and the Administrative Agent, to comply with Section 3.10.(c) as though it were a Lender.</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0960"/>
          </w:cols>
          <w:pgMar w:left="460" w:top="270" w:right="479" w:bottom="1440" w:gutter="0" w:footer="0" w:header="0"/>
        </w:sectPr>
      </w:pPr>
    </w:p>
    <w:bookmarkStart w:id="277" w:name="page278"/>
    <w:bookmarkEnd w:id="277"/>
    <w:p>
      <w:pPr>
        <w:ind w:left="4" w:right="80" w:firstLine="436"/>
        <w:spacing w:after="0" w:line="289" w:lineRule="auto"/>
        <w:tabs>
          <w:tab w:leader="none" w:pos="669" w:val="left"/>
        </w:tabs>
        <w:numPr>
          <w:ilvl w:val="0"/>
          <w:numId w:val="2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Certain Pledges</w:t>
      </w:r>
      <w:r>
        <w:rPr>
          <w:rFonts w:ascii="Times New Roman" w:cs="Times New Roman" w:eastAsia="Times New Roman" w:hAnsi="Times New Roman"/>
          <w:sz w:val="17"/>
          <w:szCs w:val="17"/>
          <w:color w:val="auto"/>
        </w:rPr>
        <w:t>. Any Lender may at any time pledge or assign a security interest in all or any portion of its rights under this Agreement to secure obligations of such Lender, including any pledge or assignment to secure obligations to a Federal Reserve Bank; provided that no such pledge or assignment shall release such Lender from any of its obligations hereunder or substitute any such pledgee or assignee for such Lender as a party hereto.</w:t>
      </w:r>
    </w:p>
    <w:p>
      <w:pPr>
        <w:spacing w:after="0" w:line="157" w:lineRule="exact"/>
        <w:rPr>
          <w:rFonts w:ascii="Times New Roman" w:cs="Times New Roman" w:eastAsia="Times New Roman" w:hAnsi="Times New Roman"/>
          <w:sz w:val="17"/>
          <w:szCs w:val="17"/>
          <w:color w:val="auto"/>
        </w:rPr>
      </w:pPr>
    </w:p>
    <w:p>
      <w:pPr>
        <w:ind w:left="4" w:firstLine="436"/>
        <w:spacing w:after="0" w:line="266" w:lineRule="auto"/>
        <w:tabs>
          <w:tab w:leader="none" w:pos="699"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Registration</w:t>
      </w:r>
      <w:r>
        <w:rPr>
          <w:rFonts w:ascii="Times New Roman" w:cs="Times New Roman" w:eastAsia="Times New Roman" w:hAnsi="Times New Roman"/>
          <w:sz w:val="18"/>
          <w:szCs w:val="18"/>
          <w:color w:val="auto"/>
        </w:rPr>
        <w:t>. Each Lender agrees that, without the prior written consent of the Borrower and the Administrative Agent, it will not make any assignment hereunder in any manner or under any circumstances that would require registration or qualification of, or filings in respect of, any Loan or Note under the Securities Act or any other securities laws of the United States of America or of any other jurisdiction.</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12.7. Amendments and Waivers.</w:t>
      </w:r>
    </w:p>
    <w:p>
      <w:pPr>
        <w:spacing w:after="0" w:line="121" w:lineRule="exact"/>
        <w:rPr>
          <w:sz w:val="20"/>
          <w:szCs w:val="20"/>
          <w:color w:val="auto"/>
        </w:rPr>
      </w:pPr>
    </w:p>
    <w:p>
      <w:pPr>
        <w:jc w:val="both"/>
        <w:ind w:left="4" w:right="180" w:firstLine="436"/>
        <w:spacing w:after="0" w:line="276" w:lineRule="auto"/>
        <w:tabs>
          <w:tab w:leader="none" w:pos="689" w:val="left"/>
        </w:tabs>
        <w:numPr>
          <w:ilvl w:val="1"/>
          <w:numId w:val="2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Generally</w:t>
      </w:r>
      <w:r>
        <w:rPr>
          <w:rFonts w:ascii="Times New Roman" w:cs="Times New Roman" w:eastAsia="Times New Roman" w:hAnsi="Times New Roman"/>
          <w:sz w:val="17"/>
          <w:szCs w:val="17"/>
          <w:color w:val="auto"/>
        </w:rPr>
        <w:t>. Except as otherwise expressly provided in this Agreement, (i) any consent or approval required or permitted by this Agreement or any other Loan Document to be given by the Lenders may be given, (ii) any term of this Agreement or of any other Loan Document may be amended,</w:t>
      </w:r>
    </w:p>
    <w:p>
      <w:pPr>
        <w:ind w:left="4" w:right="220" w:hanging="4"/>
        <w:spacing w:after="0" w:line="253" w:lineRule="auto"/>
        <w:tabs>
          <w:tab w:leader="none" w:pos="319"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or observance by the Borrower, any other Loan Party or any other Subsidiary of any terms of this Agreement or such other Loan Document may be waived, and (iv) the continuance of any Default or Event of Default may be waived (either generally or in a particular instance and either retroactively or prospectively) with, but only with, the written consent of the Requisite Lenders (or the Administrative Agent at the written direction of the Requisite Lenders), and, in the case of an amendment to any Loan Document, the written consent of each Loan Party which is party thereto.</w:t>
      </w:r>
    </w:p>
    <w:p>
      <w:pPr>
        <w:spacing w:after="0" w:line="78"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Intentionally Omitted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firstLine="436"/>
        <w:spacing w:after="0" w:line="266" w:lineRule="auto"/>
        <w:tabs>
          <w:tab w:leader="none" w:pos="689" w:val="left"/>
        </w:tabs>
        <w:numPr>
          <w:ilvl w:val="1"/>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 of Lenders Directly Affected</w:t>
      </w:r>
      <w:r>
        <w:rPr>
          <w:rFonts w:ascii="Times New Roman" w:cs="Times New Roman" w:eastAsia="Times New Roman" w:hAnsi="Times New Roman"/>
          <w:sz w:val="18"/>
          <w:szCs w:val="18"/>
          <w:color w:val="auto"/>
        </w:rPr>
        <w:t>. In addition to the foregoing requirements, no amendment, waiver or consent shall, unless in writing, and signed by each of the Lenders directly and adversely affected thereby (or the Administrative Agent at the written direction of such Lenders), do any of the following:</w:t>
      </w:r>
    </w:p>
    <w:p>
      <w:pPr>
        <w:spacing w:after="0" w:line="67" w:lineRule="exact"/>
        <w:rPr>
          <w:rFonts w:ascii="Times New Roman" w:cs="Times New Roman" w:eastAsia="Times New Roman" w:hAnsi="Times New Roman"/>
          <w:sz w:val="18"/>
          <w:szCs w:val="18"/>
          <w:color w:val="auto"/>
        </w:rPr>
      </w:pPr>
    </w:p>
    <w:p>
      <w:pPr>
        <w:ind w:left="1084" w:hanging="221"/>
        <w:spacing w:after="0"/>
        <w:tabs>
          <w:tab w:leader="none" w:pos="1084" w:val="left"/>
        </w:tabs>
        <w:numPr>
          <w:ilvl w:val="2"/>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such Lenders to any additional obligations;</w:t>
      </w:r>
    </w:p>
    <w:p>
      <w:pPr>
        <w:spacing w:after="0" w:line="117" w:lineRule="exact"/>
        <w:rPr>
          <w:rFonts w:ascii="Times New Roman" w:cs="Times New Roman" w:eastAsia="Times New Roman" w:hAnsi="Times New Roman"/>
          <w:sz w:val="18"/>
          <w:szCs w:val="18"/>
          <w:color w:val="auto"/>
        </w:rPr>
      </w:pPr>
    </w:p>
    <w:p>
      <w:pPr>
        <w:ind w:left="444" w:right="280" w:firstLine="419"/>
        <w:spacing w:after="0" w:line="282" w:lineRule="auto"/>
        <w:tabs>
          <w:tab w:leader="none" w:pos="1132" w:val="left"/>
        </w:tabs>
        <w:numPr>
          <w:ilvl w:val="2"/>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interest that has accrued or the rates of interest that will be charged on the outstanding principal amount of, any Loans or other Obligations owing to such Lenders;</w:t>
      </w:r>
    </w:p>
    <w:p>
      <w:pPr>
        <w:spacing w:after="0" w:line="53" w:lineRule="exact"/>
        <w:rPr>
          <w:rFonts w:ascii="Times New Roman" w:cs="Times New Roman" w:eastAsia="Times New Roman" w:hAnsi="Times New Roman"/>
          <w:sz w:val="18"/>
          <w:szCs w:val="18"/>
          <w:color w:val="auto"/>
        </w:rPr>
      </w:pPr>
    </w:p>
    <w:p>
      <w:pPr>
        <w:ind w:left="1184" w:hanging="321"/>
        <w:spacing w:after="0"/>
        <w:tabs>
          <w:tab w:leader="none" w:pos="1184" w:val="left"/>
        </w:tabs>
        <w:numPr>
          <w:ilvl w:val="2"/>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any Fees payable to such Lenders hereunder;</w:t>
      </w:r>
    </w:p>
    <w:p>
      <w:pPr>
        <w:spacing w:after="0" w:line="117" w:lineRule="exact"/>
        <w:rPr>
          <w:rFonts w:ascii="Times New Roman" w:cs="Times New Roman" w:eastAsia="Times New Roman" w:hAnsi="Times New Roman"/>
          <w:sz w:val="18"/>
          <w:szCs w:val="18"/>
          <w:color w:val="auto"/>
        </w:rPr>
      </w:pPr>
    </w:p>
    <w:p>
      <w:pPr>
        <w:ind w:left="444" w:right="100" w:firstLine="419"/>
        <w:spacing w:after="0" w:line="282" w:lineRule="auto"/>
        <w:tabs>
          <w:tab w:leader="none" w:pos="1172" w:val="left"/>
        </w:tabs>
        <w:numPr>
          <w:ilvl w:val="2"/>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the definition of “Maturity Date” (except in accordance with Section 2.13.), otherwise postpone any date fixed for any payment of principal of, or interest on, any Loans or for the payment of Fees or any other Obligations;</w:t>
      </w:r>
    </w:p>
    <w:p>
      <w:pPr>
        <w:spacing w:after="0" w:line="53" w:lineRule="exact"/>
        <w:rPr>
          <w:rFonts w:ascii="Times New Roman" w:cs="Times New Roman" w:eastAsia="Times New Roman" w:hAnsi="Times New Roman"/>
          <w:sz w:val="18"/>
          <w:szCs w:val="18"/>
          <w:color w:val="auto"/>
        </w:rPr>
      </w:pPr>
    </w:p>
    <w:p>
      <w:pPr>
        <w:ind w:left="1124" w:hanging="261"/>
        <w:spacing w:after="0"/>
        <w:tabs>
          <w:tab w:leader="none" w:pos="1124" w:val="left"/>
        </w:tabs>
        <w:numPr>
          <w:ilvl w:val="2"/>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the definition of “Credit Percentage” or amend or otherwise modify the provisions of Section 3.2. or Section 10.5.;</w:t>
      </w:r>
    </w:p>
    <w:p>
      <w:pPr>
        <w:spacing w:after="0" w:line="117" w:lineRule="exact"/>
        <w:rPr>
          <w:rFonts w:ascii="Times New Roman" w:cs="Times New Roman" w:eastAsia="Times New Roman" w:hAnsi="Times New Roman"/>
          <w:sz w:val="18"/>
          <w:szCs w:val="18"/>
          <w:color w:val="auto"/>
        </w:rPr>
      </w:pPr>
    </w:p>
    <w:p>
      <w:pPr>
        <w:ind w:left="444" w:right="780" w:firstLine="419"/>
        <w:spacing w:after="0" w:line="282" w:lineRule="auto"/>
        <w:tabs>
          <w:tab w:leader="none" w:pos="1172" w:val="left"/>
        </w:tabs>
        <w:numPr>
          <w:ilvl w:val="2"/>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this Section or amend the definitions of the terms used in this Agreement or the other Loan Documents insofar as such definitions affect the substance of this Section;</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004"/>
          </w:cols>
          <w:pgMar w:left="436" w:top="270" w:right="459" w:bottom="1440" w:gutter="0" w:footer="0" w:header="0"/>
        </w:sectPr>
      </w:pPr>
    </w:p>
    <w:bookmarkStart w:id="278" w:name="page279"/>
    <w:bookmarkEnd w:id="278"/>
    <w:p>
      <w:pPr>
        <w:ind w:left="440" w:right="40" w:firstLine="419"/>
        <w:spacing w:after="0" w:line="282" w:lineRule="auto"/>
        <w:tabs>
          <w:tab w:leader="none" w:pos="1218" w:val="left"/>
        </w:tabs>
        <w:numPr>
          <w:ilvl w:val="1"/>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modify the definition of the term “Requisite Lenders” or modify in any other manner the number or percentage of the Lenders required to make any determinations or waive any rights hereunder or to modify any provision hereof;</w:t>
      </w:r>
    </w:p>
    <w:p>
      <w:pPr>
        <w:spacing w:after="0" w:line="53" w:lineRule="exact"/>
        <w:rPr>
          <w:rFonts w:ascii="Times New Roman" w:cs="Times New Roman" w:eastAsia="Times New Roman" w:hAnsi="Times New Roman"/>
          <w:sz w:val="18"/>
          <w:szCs w:val="18"/>
          <w:color w:val="auto"/>
        </w:rPr>
      </w:pPr>
    </w:p>
    <w:p>
      <w:pPr>
        <w:ind w:left="1260" w:hanging="401"/>
        <w:spacing w:after="0"/>
        <w:tabs>
          <w:tab w:leader="none" w:pos="1260" w:val="left"/>
        </w:tabs>
        <w:numPr>
          <w:ilvl w:val="1"/>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any Guarantor from its obligations under the Guaranty except as contemplated by Section 7.14.(c); or</w:t>
      </w:r>
    </w:p>
    <w:p>
      <w:pPr>
        <w:spacing w:after="0" w:line="117"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1"/>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or Event of Default under Section 10.1.(a), except as provided in Section 10.7.</w:t>
      </w:r>
    </w:p>
    <w:p>
      <w:pPr>
        <w:spacing w:after="0" w:line="225" w:lineRule="exact"/>
        <w:rPr>
          <w:rFonts w:ascii="Times New Roman" w:cs="Times New Roman" w:eastAsia="Times New Roman" w:hAnsi="Times New Roman"/>
          <w:sz w:val="18"/>
          <w:szCs w:val="18"/>
          <w:color w:val="auto"/>
        </w:rPr>
      </w:pPr>
    </w:p>
    <w:p>
      <w:pPr>
        <w:ind w:right="20" w:firstLine="436"/>
        <w:spacing w:after="0" w:line="254" w:lineRule="auto"/>
        <w:tabs>
          <w:tab w:leader="none" w:pos="695"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of Administrative Agent’s Duties, Etc</w:t>
      </w:r>
      <w:r>
        <w:rPr>
          <w:rFonts w:ascii="Times New Roman" w:cs="Times New Roman" w:eastAsia="Times New Roman" w:hAnsi="Times New Roman"/>
          <w:sz w:val="18"/>
          <w:szCs w:val="18"/>
          <w:color w:val="auto"/>
        </w:rPr>
        <w:t>. No amendment, waiver or consent unless in writing and signed by the Administrative Agent, in addition to the Lenders required hereinabove to take such action, shall affect the rights or duties of the Administrative Agent under this Agreement or any of the other Loan Documents. Any amendment, waiver or consent with respect to any Loan Document that increases the liabilities or obligations of a Specified Derivatives Provider shall, in addition to the Lenders required hereinabove to take such action, require the consent of the Lender that is (or having an Affiliate that is) such Specified Derivatives Provider. No waiver shall extend to or affect any obligation not expressly waived or impair any right consequent thereon and any amendment, waiver or consent shall be effective only in the specific instance and for the specific purpose set forth therein. No course of dealing or delay or omission on the part of the Administrative Agent or any Lender in exercising any right shall operate as a waiver thereof or otherwise be prejudicial thereto. Except as otherwise explicitly provided for herein or in any other Loan Document, no notice to or demand upon the Borrower shall entitle the Borrower to other or further notice or demand in similar or other circumstances.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12.8. Nonliability of Administrative Agent and Lenders.</w:t>
      </w:r>
    </w:p>
    <w:p>
      <w:pPr>
        <w:spacing w:after="0" w:line="121"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The relationship between the Borrower, on the one hand, and the Lenders and the Administrative Agent, on the other hand, shall be solely that of borrower and lender. Neither the Administrative Agent, nor any Lender shall have any fiduciary responsibilities to the Borrower and no provision in this Agreement or in any of the other Loan Documents, and no course of dealing between or among any of the parties hereto, shall be deemed to create any fiduciary duty owing by the Administrative Agent or any Lender to any Lender, the Borrower, any Subsidiary or any other Loan Party. Neither the Administrative Agent nor any Lender undertakes any responsibility to the Borrower to review or inform the Borrower of any matter in connection with any phase of the Borrower’s business or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12.9. Confidentiality.</w:t>
      </w:r>
    </w:p>
    <w:p>
      <w:pPr>
        <w:spacing w:after="0" w:line="121"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The Administrative Agent and each Lender shall use reasonable efforts to maintain the confidentiality of all information about Borrower, the other Loan Parties and other Subsidiaries, and the Properties thereof and their operations, affairs and financial condition, not generally disclosed to the public, which is furnished to the Administrative Agent or any Lender by the Borrower, any other Loan Party, any other Subsidiary or Affiliate of Borrower, any other Loan Party, or any other Subsidiary pursuant to the provisions of this Agreement or any other Loan Document in accordance with its customary procedure for handling confidential information of this nature and in accordance with safe and sound banking practice, but in any event, the Administrative Agent and the Lenders may make disclosure: (a) to any of their respective Affiliates and its and its Affiliates’ respective partners, directors, officers, employees, agents, advisors</w:t>
      </w:r>
      <w:r>
        <w:rPr>
          <w:rFonts w:ascii="Times New Roman" w:cs="Times New Roman" w:eastAsia="Times New Roman" w:hAnsi="Times New Roman"/>
          <w:sz w:val="18"/>
          <w:szCs w:val="18"/>
          <w:u w:val="single" w:color="auto"/>
          <w:color w:val="0000FF"/>
        </w:rPr>
        <w:t>, consultants, service providers</w:t>
      </w:r>
      <w:r>
        <w:rPr>
          <w:rFonts w:ascii="Times New Roman" w:cs="Times New Roman" w:eastAsia="Times New Roman" w:hAnsi="Times New Roman"/>
          <w:sz w:val="18"/>
          <w:szCs w:val="18"/>
          <w:color w:val="auto"/>
        </w:rPr>
        <w:t xml:space="preserve"> and other representatives (provided they shall agree to keep such information confidential in accordance with the terms of this Section 12.9.); (b) as reasonably requested by any bona fide prospective assignee, Participant or other transferee in connection with the contemplated transfer of any Loan or participations therein (provided they shall agree to keep such information confidential in accordance with the terms of this Section); (c) as required or requested by any Governmental Authority or representative thereof or pursuant to legal process or in connection with any legal proceedings or as otherwise required by Applicable Law; (d) to the Administrative Agent’s or such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2131695</wp:posOffset>
            </wp:positionH>
            <wp:positionV relativeFrom="paragraph">
              <wp:posOffset>-681990</wp:posOffset>
            </wp:positionV>
            <wp:extent cx="1414145" cy="825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0980"/>
          </w:cols>
          <w:pgMar w:left="440" w:top="270" w:right="479" w:bottom="1440" w:gutter="0" w:footer="0" w:header="0"/>
        </w:sectPr>
      </w:pPr>
    </w:p>
    <w:bookmarkStart w:id="279" w:name="page280"/>
    <w:bookmarkEnd w:id="279"/>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independent auditors, consultants and service providers, and other professional advisors (provided they shall be notified of the confidential nature of the information); (e) after the happening and during the continuance of an Event of Default hereunder or under any other Loan Document (or Specified Derivatives Contract), to any other Person, as necessary for the exercise by the Administrative Agent or the Lenders (or a Specified Derivatives Provider) of rights and remedies hereunder or under any of the other Loan Documents (or Specified Derivatives Contract); (f) to bank trade publications (such information to consist of deal terms and other information customarily found in such publications), (g) upon Borrower’s prior consent (which consent shall not be unreasonably withheld), to any actual or prospective contractual counter-parties (or its advisors) to any swap or similar hedging agreement or to any rating agency; (h) to any other party hereto; (i) upon Borrower’s prior written consent, to any other Person; and (j) to the extent such information (i) becomes publicly available other than as a result of a breach by such party of this Section actually known by the Administrative Agent and the Lenders to be a breach of this section, or (ii) becomes available to the Administrative Agent or any Lender or any Affiliate of the Administrative Agent or any Lender on a nonconfidential basis from a source other than the Borrower or any Affiliate of the Borrower unless the Administrative Agent or such Lender has actual knowledge that such information became nonconfidential as a result of a breach of a confidential arrangement with the Borrower or such Loan Party. Notwithstanding the foregoing, the Administrative Agent and each Lender may disclose any such confidential information, without notice to the Borrower or any other Loan Party, to Governmental Authorities or similar authority (including any self-regulatory authority, such as the National Association of Insurance Commissioners) having or purporting to have jurisdiction over it in connection with any regulatory examination of the Administrative Agent or such Lender or in accordance with the regulatory compliance policy of the Administrative Agent or such Lender.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its own confidential information.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12.10. Indemnification.</w:t>
      </w:r>
    </w:p>
    <w:p>
      <w:pPr>
        <w:spacing w:after="0" w:line="121" w:lineRule="exact"/>
        <w:rPr>
          <w:sz w:val="20"/>
          <w:szCs w:val="20"/>
          <w:color w:val="auto"/>
        </w:rPr>
      </w:pPr>
    </w:p>
    <w:p>
      <w:pPr>
        <w:ind w:right="40" w:firstLine="436"/>
        <w:spacing w:after="0" w:line="252" w:lineRule="auto"/>
        <w:tabs>
          <w:tab w:leader="none" w:pos="682"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and hereby agrees to indemnify, defend and hold harmless the Administrative Agent, the Lenders, all of the Affiliates of each of the Administrative Agent or any of the Lenders, and their respective directors, officers, shareholders, agents, employees and counsel (each referred to herein as an “</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from and against any and all of the following (collectively, the “</w:t>
      </w:r>
      <w:r>
        <w:rPr>
          <w:rFonts w:ascii="Times New Roman" w:cs="Times New Roman" w:eastAsia="Times New Roman" w:hAnsi="Times New Roman"/>
          <w:sz w:val="18"/>
          <w:szCs w:val="18"/>
          <w:b w:val="1"/>
          <w:bCs w:val="1"/>
          <w:color w:val="auto"/>
        </w:rPr>
        <w:t>Indemnified Costs</w:t>
      </w:r>
      <w:r>
        <w:rPr>
          <w:rFonts w:ascii="Times New Roman" w:cs="Times New Roman" w:eastAsia="Times New Roman" w:hAnsi="Times New Roman"/>
          <w:sz w:val="18"/>
          <w:szCs w:val="18"/>
          <w:color w:val="auto"/>
        </w:rPr>
        <w:t>”): losses, costs, claims, penalties, damages, liabilities, deficiencies, judgments or reasonable expenses of every kind and nature (including, without limitation, amounts paid in settlement, court costs and the reasonable fees and disbursements of counsel incurred in connection with any litigation, investigation, claim or proceeding or any advice rendered in connection therewith, but excluding Indemnified Costs indemnification in respect of which is specifically covered by Section 3.10. or 4.1. or expressly excluded from the coverage of such Sections) incurred by an Indemnified Party in connection with, arising out of, or by reason of, any suit, cause of action, claim, arbitration, investigation or settlement, consent decree or other proceeding (the foregoing referred to herein as an “</w:t>
      </w:r>
      <w:r>
        <w:rPr>
          <w:rFonts w:ascii="Times New Roman" w:cs="Times New Roman" w:eastAsia="Times New Roman" w:hAnsi="Times New Roman"/>
          <w:sz w:val="18"/>
          <w:szCs w:val="18"/>
          <w:b w:val="1"/>
          <w:bCs w:val="1"/>
          <w:color w:val="auto"/>
        </w:rPr>
        <w:t>Indemnity Proceeding</w:t>
      </w:r>
      <w:r>
        <w:rPr>
          <w:rFonts w:ascii="Times New Roman" w:cs="Times New Roman" w:eastAsia="Times New Roman" w:hAnsi="Times New Roman"/>
          <w:sz w:val="18"/>
          <w:szCs w:val="18"/>
          <w:color w:val="auto"/>
        </w:rPr>
        <w:t>”) which is in any way related directly or indirectly to: (i) this Agreement or any other Loan Document or the transactions contemplated thereby; (ii) the making of any Loans hereunder; (iii) any actual or proposed use by the Borrower of the proceeds of the Loans; (iv) the Administrative Agent’s or any Lender’s entering into this Agreement; (v) the fact that the Administrative Agent and the Lenders have established the credit facility evidenced hereby in favor of the Borrower; (vi) the fact that the Administrative Agent and the Lenders are creditors of the Borrower and have or are alleged to have information regarding the financial condition, strategic plans or business operations of the Borrower and the Subsidiaries; (vii) the fact that the Administrative Agent and the Lenders are material creditors of the Borrower and are alleged to influence directly or indirectly the business decisions or affairs of the Borrower and the Subsidiaries or their financial condition; (viii) the exercise of any right or remedy the Administrative Agent or the Lenders may have under this Agreement or the other Loan Documents; (ix) any civil penalty or fine assessed by OFAC against, and all reasonable costs and expenses (including counsel fees and disbursements) incurred in connection</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000"/>
          </w:cols>
          <w:pgMar w:left="440" w:top="270" w:right="459" w:bottom="1440" w:gutter="0" w:footer="0" w:header="0"/>
        </w:sectPr>
      </w:pPr>
    </w:p>
    <w:bookmarkStart w:id="280" w:name="page281"/>
    <w:bookmarkEnd w:id="280"/>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 defense thereof by, the Administrative Agent or any Lender as a result of conduct of the Borrower, any other Loan Party or any other Subsidiary that violates a sanction administered or enforced by OFAC; or (x) any violation or non-compliance by the Borrower or any Subsidiary of any Applicable Law (including any Environmental Law) including, but not limited to, any Indemnity Proceeding commenced by (A) the Internal Revenue Service or state taxing authority or (B) any Governmental Authority or other Person under any Environmental Law, including any Indemnity Proceeding commenced by a Governmental Authority or other Person seeking remedial or other action to cause the Borrower or its Subsidiaries (or its respective properties) (or the Administrative Agent and/or the Lenders as successors to the Borrower) to be in compliance with such Environmental Laws; provided, however, that the Borrower shall not be obligated to indemnify any Indemnified Party for (A) any acts or omissions of such Indemnified Party in connection with matters described in this subjection to the extent arising from the gross negligence or willful misconduct of such Indemnified Party, as determined by a court of competent jurisdiction in a final, non-appealable judgment or (B) Indemnified Costs to the extent arising directly out of or resulting directly from claims of one or more Indemnified Parties against another Indemnified Party (other than claims of the Indemnified Parties against the Administrative Agent acting in such capacity). This section shall not apply with respect to Taxes other than any Taxes that represent losses, claims or damages arising from any non-Tax claim. Each Indemnified Party shall be obligated to refund or return any amounts paid by the Borrower under this paragraph to such Indemnified Party to the extent such Indemnified Party was not actually entitled to payment of such amounts in accordance with the terms hereof as determined by such Indemnified Party in its sole discretion exercised in good faith.</w:t>
      </w:r>
    </w:p>
    <w:p>
      <w:pPr>
        <w:spacing w:after="0" w:line="197" w:lineRule="exact"/>
        <w:rPr>
          <w:sz w:val="20"/>
          <w:szCs w:val="20"/>
          <w:color w:val="auto"/>
        </w:rPr>
      </w:pPr>
    </w:p>
    <w:p>
      <w:pPr>
        <w:ind w:right="20" w:firstLine="436"/>
        <w:spacing w:after="0" w:line="254" w:lineRule="auto"/>
        <w:tabs>
          <w:tab w:leader="none" w:pos="695"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indemnification obligations under this Section shall apply to all Indemnity Proceedings arising out of, or related to, the foregoing whether or not an Indemnified Party is a named party in such Indemnity Proceeding. In this connection, this indemnification shall cover all Indemnified Costs of any Indemnified Party in connection with any deposition of any Indemnified Party or compliance with any subpoena (including any subpoena requesting the production of documents). This indemnification shall, among other things, apply to any Indemnity Proceeding commenced by other creditors of the Borrower or any Subsidiary, any shareholder of the Borrower or any Subsidiary (whether such shareholder(s) are prosecuting such Indemnity Proceeding in their individual capacity or derivatively on behalf of the Borrower), any account debtor of the Borrower or any Subsidiary or by any Governmental Authority. If indemnification is to be sought hereunder by an Indemnified Party, then such Indemnified Party shall promptly notify the Borrower of the commencement of any Indemnity Proceeding; provided, however, that the failure to so notify the Borrower shall not otherwise relieve the Borrower from any liability that it may have to such Indemnified Party pursuant to this Section 12.10.</w:t>
      </w:r>
    </w:p>
    <w:p>
      <w:pPr>
        <w:spacing w:after="0" w:line="188" w:lineRule="exact"/>
        <w:rPr>
          <w:rFonts w:ascii="Times New Roman" w:cs="Times New Roman" w:eastAsia="Times New Roman" w:hAnsi="Times New Roman"/>
          <w:sz w:val="18"/>
          <w:szCs w:val="18"/>
          <w:color w:val="auto"/>
        </w:rPr>
      </w:pPr>
    </w:p>
    <w:p>
      <w:pPr>
        <w:ind w:firstLine="436"/>
        <w:spacing w:after="0" w:line="282" w:lineRule="auto"/>
        <w:tabs>
          <w:tab w:leader="none" w:pos="685"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indemnification shall apply to any Indemnity Proceeding arising during the pendency of any bankruptcy proceeding filed by or against the Borrower and/or any Subsidiary.</w:t>
      </w:r>
    </w:p>
    <w:p>
      <w:pPr>
        <w:spacing w:after="0" w:line="161" w:lineRule="exact"/>
        <w:rPr>
          <w:rFonts w:ascii="Times New Roman" w:cs="Times New Roman" w:eastAsia="Times New Roman" w:hAnsi="Times New Roman"/>
          <w:sz w:val="18"/>
          <w:szCs w:val="18"/>
          <w:color w:val="auto"/>
        </w:rPr>
      </w:pPr>
    </w:p>
    <w:p>
      <w:pPr>
        <w:ind w:right="220" w:firstLine="436"/>
        <w:spacing w:after="0" w:line="261" w:lineRule="auto"/>
        <w:tabs>
          <w:tab w:leader="none" w:pos="695"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out-of-pocket fees and expenses of, and all amounts paid to third-persons by, an Indemnified Party shall be advanced by the Borrower at the request of such Indemnified Party notwithstanding any claim or assertion by the Borrower that such Indemnified Party is not entitled to indemnification hereunder upon receipt of an undertaking by such Indemnified Party that such Indemnified Party will reimburse the Borrower if it is actually and finally determined by a court of competent jurisdiction that such Indemnified Party is not so entitled to indemnification hereunder.</w:t>
      </w:r>
    </w:p>
    <w:p>
      <w:pPr>
        <w:spacing w:after="0" w:line="179" w:lineRule="exact"/>
        <w:rPr>
          <w:rFonts w:ascii="Times New Roman" w:cs="Times New Roman" w:eastAsia="Times New Roman" w:hAnsi="Times New Roman"/>
          <w:sz w:val="18"/>
          <w:szCs w:val="18"/>
          <w:color w:val="auto"/>
        </w:rPr>
      </w:pPr>
    </w:p>
    <w:p>
      <w:pPr>
        <w:ind w:right="180" w:firstLine="436"/>
        <w:spacing w:after="0" w:line="258" w:lineRule="auto"/>
        <w:tabs>
          <w:tab w:leader="none" w:pos="685"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Indemnified Party may conduct its own investigation and defense of, and may formulate its own strategy with respect to, any Indemnity Proceeding covered by this Section and, as provided above, all Indemnified Costs incurred by such Indemnified Party shall be reimbursed by the Borrower. No action taken by legal counsel chosen by an Indemnified Party in investigating or defending against any such Indemnity Proceeding shall vitiate or in any way impair the obligations and duties of the Borrower hereunder to indemnify and hold harmless each such Indemnified Party; provided, however, that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000"/>
          </w:cols>
          <w:pgMar w:left="440" w:top="270" w:right="459" w:bottom="1440" w:gutter="0" w:footer="0" w:header="0"/>
        </w:sectPr>
      </w:pPr>
    </w:p>
    <w:bookmarkStart w:id="281" w:name="page282"/>
    <w:bookmarkEnd w:id="281"/>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(i) the Borrower is required to indemnify an Indemnified Party pursuant hereto and (ii) the Borrower has provided evidence reasonably satisfactory to such Indemnified Party that the Borrower has the financial wherewithal to reimburse such Indemnified Party for any amount paid by such Indemnified Party with respect to such Indemnity Proceeding, such Indemnified Party shall not settle or compromise any such Indemnity Proceeding without the prior written consent of the Borrower (which consent shall not be unreasonably withheld or delayed). Notwithstanding the foregoing, an Indemnified Party may settle or compromise any such Indemnity Proceeding without the prior written consent of the Borrower where (x) no monetary relief is sought against such Indemnified Party in such Indemnity Proceeding, (y) there is an allegation of a violation of law by such Indemnified Party, or (z) the proposed settlement or compromise would otherwise be disadvantageous to such Indemnified Party as determined by it in its sole discretion.</w:t>
      </w:r>
    </w:p>
    <w:p>
      <w:pPr>
        <w:spacing w:after="0" w:line="189" w:lineRule="exact"/>
        <w:rPr>
          <w:sz w:val="20"/>
          <w:szCs w:val="20"/>
          <w:color w:val="auto"/>
        </w:rPr>
      </w:pPr>
    </w:p>
    <w:p>
      <w:pPr>
        <w:ind w:right="340" w:firstLine="436"/>
        <w:spacing w:after="0" w:line="282" w:lineRule="auto"/>
        <w:tabs>
          <w:tab w:leader="none" w:pos="665"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to the extent that the obligations of the Borrower under this Section are unenforceable for any reason, the Borrower hereby agrees to make the maximum contribution to the payment and satisfaction of such obligations which is permissible under Applicable Law.</w:t>
      </w:r>
    </w:p>
    <w:p>
      <w:pPr>
        <w:spacing w:after="0" w:line="161" w:lineRule="exact"/>
        <w:rPr>
          <w:rFonts w:ascii="Times New Roman" w:cs="Times New Roman" w:eastAsia="Times New Roman" w:hAnsi="Times New Roman"/>
          <w:sz w:val="18"/>
          <w:szCs w:val="18"/>
          <w:color w:val="auto"/>
        </w:rPr>
      </w:pPr>
    </w:p>
    <w:p>
      <w:pPr>
        <w:ind w:firstLine="436"/>
        <w:spacing w:after="0" w:line="266" w:lineRule="auto"/>
        <w:tabs>
          <w:tab w:leader="none" w:pos="695"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obligations under this Section shall survive any termination of this Agreement and the other Loan Documents and the payment in full in cash of the Obligations, and are in addition to, and not in substitution of, any of the other obligations set forth in this Agreement or any other Loan Document to which it is a party.</w:t>
      </w:r>
    </w:p>
    <w:p>
      <w:pPr>
        <w:spacing w:after="0" w:line="17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References in this Section 12.10. to “Lender” or “Lenders” shall be deemed to include such Persons (and their Affiliates) in their capacity as Specified Derivatives Providers.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12.11. Termination; Survival.</w:t>
      </w:r>
    </w:p>
    <w:p>
      <w:pPr>
        <w:spacing w:after="0" w:line="121"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This Agreement shall terminate at such time as all Obligations (other than obligations which survive as provided in the following sentence) have been paid and satisfied in full. The indemnities to which the Administrative Agent and the Lenders are entitled under the provisions of Sections 3.10., 4.1., 4.4., 11.6., 12.2. and 12.10. and any other provision of this Agreement and the other Loan Documents, and the provisions of Section 12.5., shall continue in full force and effect and shall protect the Administrative Agent and the Lenders (i) notwithstanding any termination of this Agreement, or of the other Loan Documents, against events arising after such termination as well as before and (ii) at all times after any such party ceases to be a party to this Agreement with respect to all matters and events existing on or prior to the date such party ceased to be a party to this Agreement.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12.12. Severability of Provisions.</w:t>
      </w:r>
    </w:p>
    <w:p>
      <w:pPr>
        <w:spacing w:after="0" w:line="121" w:lineRule="exact"/>
        <w:rPr>
          <w:sz w:val="20"/>
          <w:szCs w:val="20"/>
          <w:color w:val="auto"/>
        </w:rPr>
      </w:pPr>
    </w:p>
    <w:p>
      <w:pPr>
        <w:jc w:val="both"/>
        <w:ind w:right="140" w:firstLine="440"/>
        <w:spacing w:after="0" w:line="266" w:lineRule="auto"/>
        <w:rPr>
          <w:sz w:val="20"/>
          <w:szCs w:val="20"/>
          <w:color w:val="auto"/>
        </w:rPr>
      </w:pPr>
      <w:r>
        <w:rPr>
          <w:rFonts w:ascii="Times New Roman" w:cs="Times New Roman" w:eastAsia="Times New Roman" w:hAnsi="Times New Roman"/>
          <w:sz w:val="18"/>
          <w:szCs w:val="18"/>
          <w:color w:val="auto"/>
        </w:rPr>
        <w:t>Any provision of this Agreement which is prohibited or unenforceable in any jurisdiction shall, as to such jurisdiction, be ineffective only to the extent of such prohibition or unenforceability without invalidating the remainder of such provision or the remaining provisions or affecting the validity or enforceability of such provision in any other jurisdiction.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12.13. GOVERNING LAW.</w:t>
      </w:r>
    </w:p>
    <w:p>
      <w:pPr>
        <w:spacing w:after="0" w:line="121"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THIS AGREEMENT SHALL BE GOVERNED BY, AND CONSTRUED IN ACCORDANCE WITH, THE LAWS OF THE STATE OF NEW YORK APPLICABLE TO CONTRACTS EXECUTED, AND TO BE FULLY PERFORMED, IN SUCH STATE.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12.14. Counterparts</w:t>
      </w:r>
      <w:r>
        <w:rPr>
          <w:rFonts w:ascii="Times New Roman" w:cs="Times New Roman" w:eastAsia="Times New Roman" w:hAnsi="Times New Roman"/>
          <w:sz w:val="18"/>
          <w:szCs w:val="18"/>
          <w:b w:val="1"/>
          <w:bCs w:val="1"/>
          <w:u w:val="single" w:color="auto"/>
          <w:color w:val="0000FF"/>
        </w:rPr>
        <w:t>; Integration; Effectiveness</w:t>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1351915</wp:posOffset>
            </wp:positionH>
            <wp:positionV relativeFrom="paragraph">
              <wp:posOffset>28575</wp:posOffset>
            </wp:positionV>
            <wp:extent cx="1320165" cy="825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101"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FF0000"/>
          <w:strike w:val="1"/>
        </w:rPr>
        <w:t>To facilitate execution, this Agreement and any amendments, waivers, consents or supplements may be executed in any number of counterparts as may be convenient or required (which may be effectively delivered by facsimile, in portable document format (“PDF”) or other similar electronic means). It shall not be necessary that the signature of, or on behalf of, each party, or that the signature of all persons required to bind any party, appear on each counterpart. All counterparts shall collectively constitute a single document. It shall not be necessary in making proof of this document to produce or account for more than a single counterpart containing the respective signatures of, or on behalf of, each of the parties hereto.</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000"/>
          </w:cols>
          <w:pgMar w:left="440" w:top="270" w:right="459" w:bottom="1440" w:gutter="0" w:footer="0" w:header="0"/>
        </w:sectPr>
      </w:pPr>
    </w:p>
    <w:bookmarkStart w:id="282" w:name="page283"/>
    <w:bookmarkEnd w:id="282"/>
    <w:p>
      <w:pPr>
        <w:ind w:right="20" w:firstLine="440"/>
        <w:spacing w:after="0" w:line="254" w:lineRule="auto"/>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Agreement may be executed in counterparts (and by different parties hereto in different counterparts), each of which shall constitute an original, but all of which when taken together shall constitute a single contract. This Agreement and the other Loan Documents, and any separate letter agreements with respect to fees payable to the Administrative Agent and/or the Arranger, constitute the entire contract among the parties relating to the subject matter hereof and supersede any and all previous agreements and understandings, oral or written, relating to the subject matter hereof. Except as provided in Section 5.1,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by facsimile or in electronic (i.e., “pdf” or “tif”) format shall be effective as delivery of a manually executed counterpart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-955040</wp:posOffset>
            </wp:positionV>
            <wp:extent cx="6395085" cy="825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639508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-817880</wp:posOffset>
            </wp:positionV>
            <wp:extent cx="6900545" cy="825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69005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-680720</wp:posOffset>
            </wp:positionV>
            <wp:extent cx="6909435" cy="889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690943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-543560</wp:posOffset>
            </wp:positionV>
            <wp:extent cx="6943725" cy="889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694372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-406400</wp:posOffset>
            </wp:positionV>
            <wp:extent cx="6386195" cy="825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638619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-269240</wp:posOffset>
            </wp:positionV>
            <wp:extent cx="6926580" cy="825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-132080</wp:posOffset>
            </wp:positionV>
            <wp:extent cx="6978015" cy="825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697801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4445</wp:posOffset>
            </wp:positionV>
            <wp:extent cx="2366010" cy="825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12.15. Obligations with Respect to Loan Parties.</w:t>
      </w:r>
    </w:p>
    <w:p>
      <w:pPr>
        <w:spacing w:after="0" w:line="121" w:lineRule="exact"/>
        <w:rPr>
          <w:sz w:val="20"/>
          <w:szCs w:val="20"/>
          <w:color w:val="auto"/>
        </w:rPr>
      </w:pPr>
    </w:p>
    <w:p>
      <w:pPr>
        <w:jc w:val="both"/>
        <w:ind w:right="40" w:firstLine="440"/>
        <w:spacing w:after="0" w:line="258" w:lineRule="auto"/>
        <w:rPr>
          <w:sz w:val="20"/>
          <w:szCs w:val="20"/>
          <w:color w:val="auto"/>
        </w:rPr>
      </w:pPr>
      <w:r>
        <w:rPr>
          <w:rFonts w:ascii="Times New Roman" w:cs="Times New Roman" w:eastAsia="Times New Roman" w:hAnsi="Times New Roman"/>
          <w:sz w:val="18"/>
          <w:szCs w:val="18"/>
          <w:color w:val="auto"/>
        </w:rPr>
        <w:t>The obligations of the Borrower including those obligations with respect to actions or inactions by the Parent, the General Partner or any Wholly Owned Subsidiary of the Parent and those obligations to direct or prohibit the taking of certain actions by other Loan Parties as specified herein shall be absolute and not subject to any defense the Borrower may have that the Borrower does not control the Parent, the General Partner or such Loan Parties. Any breach of any term, covenant, condition or agreement contained in this Agreement relating to the Parent, the General Partner or any Wholly Owned Subsidiary of the Parent shall be deemed to be breach of such term by the Borrower.</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12.16. Independence of Covenants.</w:t>
      </w:r>
    </w:p>
    <w:p>
      <w:pPr>
        <w:spacing w:after="0" w:line="121"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If a particular action or condition is expressly prohibited by any covenant (the “prohibiting covenant”), the fact that it would be permitted by an exception to, or be otherwise within the limitations of, another covenant shall not avoid the occurrence of a Default or an Event of Default if such action is taken or condition exists in violation of the prohibiting covenant.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12.17. Limitation of Liability.</w:t>
      </w:r>
    </w:p>
    <w:p>
      <w:pPr>
        <w:spacing w:after="0" w:line="121"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None of the Administrative Agent or any Lender, or any Affiliate, officer, director, employee, attorney, or agent of the Administrative Agent or any Lender shall have any liability with respect to, and the Borrower hereby waives, releases, and agrees not to sue any of them upon, any claim for any special, indirect, incidental, or consequential damages suffered or incurred by the Borrower in connection with, arising out of, or in any way related to, this Agreement, any of the other Loan Documents or the Fee Letter, or any of the transactions contemplated by this Agreement or any of the other Loan Documents. The Borrower shall not have any liability with respect to any claim for any special, indirect, incidental or consequential damages suffered or incurred by the Administrative Agent or any Lender (as distinct from special, indirect, incidental or consequential damages of a third party awarded against the Administrative Agent or any Lender for which the Borrower may be responsible to the extent covered by Section 12.10.) in connection with, arising out of, or in any way related to, this Agreement, any of the other Loan Documents or the Fee Letter, or any of the transactions contemplated by this Agreement or any of the other Loan Documents. The parties hereto hereby waive, release, and agree not to any other party hereto for punitive damages in respect of any claim in connection with, arising out of, or in any way related to, this Agreement, any of the other Loan Documents, the Fee Letter, or any of the transactions contemplated by this Agreement or financed hereby (other than punitive damages of a third party awarded against the Administrative Agent or any Lender for which the Borrower may be responsible to the extent covered by Section 12.10.).</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000"/>
          </w:cols>
          <w:pgMar w:left="440" w:top="270" w:right="459" w:bottom="1440" w:gutter="0" w:footer="0" w:header="0"/>
        </w:sectPr>
      </w:pPr>
    </w:p>
    <w:bookmarkStart w:id="283" w:name="page284"/>
    <w:bookmarkEnd w:id="28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12.18. Entire Agreement.</w:t>
      </w:r>
    </w:p>
    <w:p>
      <w:pPr>
        <w:spacing w:after="0" w:line="121"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This Agreement, the Notes, the other Loan Documents and the Fee Letter embody the final, entire agreement among the parties hereto and supersede any and all prior commitments, agreements, representations, and understandings, whether written or oral, relating to the subject matter hereof and thereof and may not be contradicted or varied by evidence of prior, contemporaneous, or subsequent oral agreements or discussions of the parties hereto. There are no oral agreements among the parties hereto.</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12.19. Construction.</w:t>
      </w:r>
    </w:p>
    <w:p>
      <w:pPr>
        <w:spacing w:after="0" w:line="121" w:lineRule="exact"/>
        <w:rPr>
          <w:sz w:val="20"/>
          <w:szCs w:val="20"/>
          <w:color w:val="auto"/>
        </w:rPr>
      </w:pPr>
    </w:p>
    <w:p>
      <w:pPr>
        <w:jc w:val="both"/>
        <w:ind w:right="200" w:firstLine="440"/>
        <w:spacing w:after="0" w:line="266" w:lineRule="auto"/>
        <w:rPr>
          <w:sz w:val="20"/>
          <w:szCs w:val="20"/>
          <w:color w:val="auto"/>
        </w:rPr>
      </w:pPr>
      <w:r>
        <w:rPr>
          <w:rFonts w:ascii="Times New Roman" w:cs="Times New Roman" w:eastAsia="Times New Roman" w:hAnsi="Times New Roman"/>
          <w:sz w:val="18"/>
          <w:szCs w:val="18"/>
          <w:color w:val="auto"/>
        </w:rPr>
        <w:t>The Administrative Agent, the Borrower and each Lender acknowledge that each of them has had the benefit of legal counsel of its own choice and has been afforded an opportunity to review this Agreement and the other Loan Documents with its legal counsel and that this Agreement and the other Loan Documents shall be construed as if jointly drafted by the Administrative Agent, the Borrower and each Lender.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12.20. Headings.</w:t>
      </w:r>
    </w:p>
    <w:p>
      <w:pPr>
        <w:spacing w:after="0" w:line="121"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The paragraph and section headings in this Agreement are provided for convenience of reference only and shall not affect its construction or interpretation.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12.21. Limitation of Liability of Trustees, Etc.</w:t>
      </w:r>
    </w:p>
    <w:p>
      <w:pPr>
        <w:spacing w:after="0" w:line="121"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NOTWITHSTANDING ANY OTHER PROVISION OF THIS AGREEMENT AND THE OTHER LOAN DOCUMENTS, THE AGENT AND THE LENDERS SHALL LOOK SOLELY TO THE BORROWER AND THE OTHER LOAN PARTIES FOR THE ENFORCEMENT OF ANY CLAIM AGAINST THE BORROWER AND SUCH LOAN PARTY UNDER OR IN RESPECT OF ANY OF THE LOAN DOCUMENTS AND ACCORDINGLY NEITHER THE TRUSTEES, OFFICERS, EMPLOYEES, SHAREHOLDERS NOR PARTNERS OF THE BORROWER, THE PARENT OR THE GENERAL PARTNER SHALL HAVE ANY PERSONAL LIABILITY FOR OBLIGATIONS ENTERED INTO BY OR ON BEHALF OF THE BORROWER OR ANY OTHER LOAN PARTY.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12.22. Acknowledgement and Consent to Bail-In of EEA Financial Institutions.</w:t>
      </w:r>
    </w:p>
    <w:p>
      <w:pPr>
        <w:spacing w:after="0" w:line="121"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80" w:lineRule="exact"/>
        <w:rPr>
          <w:sz w:val="20"/>
          <w:szCs w:val="20"/>
          <w:color w:val="auto"/>
        </w:rPr>
      </w:pPr>
    </w:p>
    <w:p>
      <w:pPr>
        <w:ind w:right="280" w:firstLine="436"/>
        <w:spacing w:after="0" w:line="282" w:lineRule="auto"/>
        <w:tabs>
          <w:tab w:leader="none" w:pos="685"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53"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any Bail-In Action on any such liability, including, if applicable:</w:t>
      </w:r>
    </w:p>
    <w:p>
      <w:pPr>
        <w:spacing w:after="0" w:line="117"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1"/>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full or in part or cancellation of any such liability;</w:t>
      </w:r>
    </w:p>
    <w:p>
      <w:pPr>
        <w:spacing w:after="0" w:line="117" w:lineRule="exact"/>
        <w:rPr>
          <w:rFonts w:ascii="Times New Roman" w:cs="Times New Roman" w:eastAsia="Times New Roman" w:hAnsi="Times New Roman"/>
          <w:sz w:val="18"/>
          <w:szCs w:val="18"/>
          <w:color w:val="auto"/>
        </w:rPr>
      </w:pPr>
    </w:p>
    <w:p>
      <w:pPr>
        <w:ind w:left="440" w:right="40" w:firstLine="419"/>
        <w:spacing w:after="0" w:line="266" w:lineRule="auto"/>
        <w:tabs>
          <w:tab w:leader="none" w:pos="1128" w:val="left"/>
        </w:tabs>
        <w:numPr>
          <w:ilvl w:val="1"/>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67" w:lineRule="exact"/>
        <w:rPr>
          <w:rFonts w:ascii="Times New Roman" w:cs="Times New Roman" w:eastAsia="Times New Roman" w:hAnsi="Times New Roman"/>
          <w:sz w:val="18"/>
          <w:szCs w:val="18"/>
          <w:color w:val="auto"/>
        </w:rPr>
      </w:pPr>
    </w:p>
    <w:p>
      <w:pPr>
        <w:ind w:left="440" w:right="100" w:firstLine="419"/>
        <w:spacing w:after="0" w:line="282" w:lineRule="auto"/>
        <w:tabs>
          <w:tab w:leader="none" w:pos="1178" w:val="left"/>
        </w:tabs>
        <w:numPr>
          <w:ilvl w:val="1"/>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variation of the terms of such liability in connection with the exercise of the Write-Down and Conversion Powers of the applicable Resolution Authority.</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0940"/>
          </w:cols>
          <w:pgMar w:left="440" w:top="266" w:right="519" w:bottom="1440" w:gutter="0" w:footer="0" w:header="0"/>
        </w:sectPr>
      </w:pPr>
    </w:p>
    <w:bookmarkStart w:id="284" w:name="page285"/>
    <w:bookmarkEnd w:id="28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12.23. Electronic Signatures.</w:t>
      </w:r>
    </w:p>
    <w:p>
      <w:pPr>
        <w:spacing w:after="0" w:line="121"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The words “execution,” “execute,” “signed,” “signature,” and words of like import in or related to this Agreement or any other document to be signed in connection with this Agreement and the transactions contemplated hereby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provided that notwithstanding anything contained herein to the contrary the Administrative Agent is under no obligation to agree to accept electronic signatures in any form or in any format unless expressly agreed to by the Administrative Agent pursuant to procedures approved by it.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12.24. Acknowledgement Regarding Any Supported QFCs.</w:t>
      </w:r>
    </w:p>
    <w:p>
      <w:pPr>
        <w:spacing w:after="0" w:line="121" w:lineRule="exact"/>
        <w:rPr>
          <w:sz w:val="20"/>
          <w:szCs w:val="20"/>
          <w:color w:val="auto"/>
        </w:rPr>
      </w:pPr>
    </w:p>
    <w:p>
      <w:pPr>
        <w:ind w:right="100" w:firstLine="440"/>
        <w:spacing w:after="0" w:line="255" w:lineRule="auto"/>
        <w:rPr>
          <w:sz w:val="20"/>
          <w:szCs w:val="20"/>
          <w:color w:val="auto"/>
        </w:rPr>
      </w:pPr>
      <w:r>
        <w:rPr>
          <w:rFonts w:ascii="Times New Roman" w:cs="Times New Roman" w:eastAsia="Times New Roman" w:hAnsi="Times New Roman"/>
          <w:sz w:val="18"/>
          <w:szCs w:val="18"/>
          <w:color w:val="auto"/>
        </w:rPr>
        <w:t>To the extent that the Loan Documents provide support, through a guarantee or otherwise, for a Derivatives Contract or any other agreement or instrument that is a QFC (such support, “</w:t>
      </w:r>
      <w:r>
        <w:rPr>
          <w:rFonts w:ascii="Times New Roman" w:cs="Times New Roman" w:eastAsia="Times New Roman" w:hAnsi="Times New Roman"/>
          <w:sz w:val="18"/>
          <w:szCs w:val="18"/>
          <w:b w:val="1"/>
          <w:bCs w:val="1"/>
          <w:color w:val="auto"/>
        </w:rPr>
        <w:t>QFC Credit Support</w:t>
      </w:r>
      <w:r>
        <w:rPr>
          <w:rFonts w:ascii="Times New Roman" w:cs="Times New Roman" w:eastAsia="Times New Roman" w:hAnsi="Times New Roman"/>
          <w:sz w:val="18"/>
          <w:szCs w:val="18"/>
          <w:color w:val="auto"/>
        </w:rPr>
        <w:t>” and each such QFC a “</w:t>
      </w:r>
      <w:r>
        <w:rPr>
          <w:rFonts w:ascii="Times New Roman" w:cs="Times New Roman" w:eastAsia="Times New Roman" w:hAnsi="Times New Roman"/>
          <w:sz w:val="18"/>
          <w:szCs w:val="18"/>
          <w:b w:val="1"/>
          <w:bCs w:val="1"/>
          <w:color w:val="auto"/>
        </w:rPr>
        <w:t>Supported QFC</w:t>
      </w:r>
      <w:r>
        <w:rPr>
          <w:rFonts w:ascii="Times New Roman" w:cs="Times New Roman" w:eastAsia="Times New Roman" w:hAnsi="Times New Roman"/>
          <w:sz w:val="18"/>
          <w:szCs w:val="18"/>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18"/>
          <w:szCs w:val="18"/>
          <w:b w:val="1"/>
          <w:bCs w:val="1"/>
          <w:color w:val="auto"/>
        </w:rPr>
        <w:t>U.S. Special Resolution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Regimes</w:t>
      </w:r>
      <w:r>
        <w:rPr>
          <w:rFonts w:ascii="Times New Roman" w:cs="Times New Roman" w:eastAsia="Times New Roman" w:hAnsi="Times New Roman"/>
          <w:sz w:val="18"/>
          <w:szCs w:val="18"/>
          <w:color w:val="auto"/>
        </w:rPr>
        <w:t>”) in respect of such Supported QFC and QFC Credit Support (with the provisions below applicable notwithstanding that the Loan Documents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any Supported QFC may in fact be stated to be governed by the laws of the State of New York and/or of the United States or any other state of the United States):</w:t>
      </w:r>
    </w:p>
    <w:p>
      <w:pPr>
        <w:spacing w:after="0" w:line="18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In the event a Covered Entity that is party to a Supported QFC (each, a “</w:t>
      </w:r>
      <w:r>
        <w:rPr>
          <w:rFonts w:ascii="Times New Roman" w:cs="Times New Roman" w:eastAsia="Times New Roman" w:hAnsi="Times New Roman"/>
          <w:sz w:val="18"/>
          <w:szCs w:val="18"/>
          <w:b w:val="1"/>
          <w:bCs w:val="1"/>
          <w:color w:val="auto"/>
        </w:rPr>
        <w:t>Covered Party</w:t>
      </w:r>
      <w:r>
        <w:rPr>
          <w:rFonts w:ascii="Times New Roman" w:cs="Times New Roman" w:eastAsia="Times New Roman" w:hAnsi="Times New Roman"/>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sectPr>
      <w:pgSz w:w="11900" w:h="16838" w:orient="portrait"/>
      <w:cols w:equalWidth="0" w:num="1">
        <w:col w:w="11000"/>
      </w:cols>
      <w:pgMar w:left="440" w:top="266"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5968C1C"/>
    <w:multiLevelType w:val="hybridMultilevel"/>
    <w:lvl w:ilvl="0">
      <w:lvlJc w:val="left"/>
      <w:lvlText w:val="☐"/>
      <w:numFmt w:val="bullet"/>
      <w:start w:val="1"/>
    </w:lvl>
  </w:abstractNum>
  <w:abstractNum w:abstractNumId="1">
    <w:nsid w:val="46263DEC"/>
    <w:multiLevelType w:val="hybridMultilevel"/>
    <w:lvl w:ilvl="0">
      <w:lvlJc w:val="left"/>
      <w:lvlText w:val="(%1)"/>
      <w:numFmt w:val="lowerRoman"/>
      <w:start w:val="1"/>
    </w:lvl>
  </w:abstractNum>
  <w:abstractNum w:abstractNumId="2">
    <w:nsid w:val="260D8C4A"/>
    <w:multiLevelType w:val="hybridMultilevel"/>
    <w:lvl w:ilvl="0">
      <w:lvlJc w:val="left"/>
      <w:lvlText w:val="(%1)"/>
      <w:numFmt w:val="lowerRoman"/>
      <w:start w:val="1"/>
    </w:lvl>
  </w:abstractNum>
  <w:abstractNum w:abstractNumId="3">
    <w:nsid w:val="73D4D3C4"/>
    <w:multiLevelType w:val="hybridMultilevel"/>
    <w:lvl w:ilvl="0">
      <w:lvlJc w:val="left"/>
      <w:lvlText w:val="(%1)"/>
      <w:numFmt w:val="lowerLetter"/>
      <w:start w:val="1"/>
    </w:lvl>
    <w:lvl w:ilvl="1">
      <w:lvlJc w:val="left"/>
      <w:lvlText w:val="-"/>
      <w:numFmt w:val="bullet"/>
      <w:start w:val="1"/>
    </w:lvl>
  </w:abstractNum>
  <w:abstractNum w:abstractNumId="4">
    <w:nsid w:val="746F2E30"/>
    <w:multiLevelType w:val="hybridMultilevel"/>
    <w:lvl w:ilvl="0">
      <w:lvlJc w:val="left"/>
      <w:lvlText w:val="(%1)"/>
      <w:numFmt w:val="lowerLetter"/>
      <w:start w:val="1"/>
    </w:lvl>
  </w:abstractNum>
  <w:abstractNum w:abstractNumId="5">
    <w:nsid w:val="6FDE8AF6"/>
    <w:multiLevelType w:val="hybridMultilevel"/>
    <w:lvl w:ilvl="0">
      <w:lvlJc w:val="left"/>
      <w:lvlText w:val="(%1)"/>
      <w:numFmt w:val="lowerLetter"/>
      <w:start w:val="1"/>
    </w:lvl>
  </w:abstractNum>
  <w:abstractNum w:abstractNumId="6">
    <w:nsid w:val="3FC32E20"/>
    <w:multiLevelType w:val="hybridMultilevel"/>
    <w:lvl w:ilvl="0">
      <w:lvlJc w:val="left"/>
      <w:lvlText w:val="(%1)"/>
      <w:numFmt w:val="lowerLetter"/>
      <w:start w:val="1"/>
    </w:lvl>
    <w:lvl w:ilvl="1">
      <w:lvlJc w:val="left"/>
      <w:lvlText w:val="-"/>
      <w:numFmt w:val="bullet"/>
      <w:start w:val="1"/>
    </w:lvl>
  </w:abstractNum>
  <w:abstractNum w:abstractNumId="7">
    <w:nsid w:val="49C0E823"/>
    <w:multiLevelType w:val="hybridMultilevel"/>
    <w:lvl w:ilvl="0">
      <w:lvlJc w:val="left"/>
      <w:lvlText w:val="(%1)"/>
      <w:numFmt w:val="lowerLetter"/>
      <w:start w:val="7"/>
    </w:lvl>
  </w:abstractNum>
  <w:abstractNum w:abstractNumId="8">
    <w:nsid w:val="14D53685"/>
    <w:multiLevelType w:val="hybridMultilevel"/>
    <w:lvl w:ilvl="0">
      <w:lvlJc w:val="left"/>
      <w:lvlText w:val="(%1)"/>
      <w:numFmt w:val="lowerLetter"/>
      <w:start w:val="2"/>
    </w:lvl>
  </w:abstractNum>
  <w:abstractNum w:abstractNumId="9">
    <w:nsid w:val="230F856C"/>
    <w:multiLevelType w:val="hybridMultilevel"/>
    <w:lvl w:ilvl="0">
      <w:lvlJc w:val="left"/>
      <w:lvlText w:val="(%1)"/>
      <w:numFmt w:val="lowerLetter"/>
      <w:start w:val="2"/>
    </w:lvl>
  </w:abstractNum>
  <w:abstractNum w:abstractNumId="10">
    <w:nsid w:val="6EAA85FB"/>
    <w:multiLevelType w:val="hybridMultilevel"/>
    <w:lvl w:ilvl="0">
      <w:lvlJc w:val="left"/>
      <w:lvlText w:val="(%1)"/>
      <w:numFmt w:val="lowerRoman"/>
      <w:start w:val="1"/>
    </w:lvl>
  </w:abstractNum>
  <w:abstractNum w:abstractNumId="11">
    <w:nsid w:val="3F06ECB2"/>
    <w:multiLevelType w:val="hybridMultilevel"/>
    <w:lvl w:ilvl="0">
      <w:lvlJc w:val="left"/>
      <w:lvlText w:val="(%1)"/>
      <w:numFmt w:val="lowerLetter"/>
      <w:start w:val="1"/>
    </w:lvl>
    <w:lvl w:ilvl="1">
      <w:lvlJc w:val="left"/>
      <w:lvlText w:val="-"/>
      <w:numFmt w:val="bullet"/>
      <w:start w:val="1"/>
    </w:lvl>
  </w:abstractNum>
  <w:abstractNum w:abstractNumId="12">
    <w:nsid w:val="3B594807"/>
    <w:multiLevelType w:val="hybridMultilevel"/>
    <w:lvl w:ilvl="0">
      <w:lvlJc w:val="left"/>
      <w:lvlText w:val="(%1)"/>
      <w:numFmt w:val="lowerLetter"/>
      <w:start w:val="1"/>
    </w:lvl>
  </w:abstractNum>
  <w:abstractNum w:abstractNumId="13">
    <w:nsid w:val="6CAA2304"/>
    <w:multiLevelType w:val="hybridMultilevel"/>
    <w:lvl w:ilvl="0">
      <w:lvlJc w:val="left"/>
      <w:lvlText w:val="(%1)"/>
      <w:numFmt w:val="lowerLetter"/>
      <w:start w:val="2"/>
    </w:lvl>
  </w:abstractNum>
  <w:abstractNum w:abstractNumId="14">
    <w:nsid w:val="3F7C2FF4"/>
    <w:multiLevelType w:val="hybridMultilevel"/>
    <w:lvl w:ilvl="0">
      <w:lvlJc w:val="left"/>
      <w:lvlText w:val="(%1)"/>
      <w:numFmt w:val="lowerLetter"/>
      <w:start w:val="5"/>
    </w:lvl>
  </w:abstractNum>
  <w:abstractNum w:abstractNumId="15">
    <w:nsid w:val="25413BEC"/>
    <w:multiLevelType w:val="hybridMultilevel"/>
    <w:lvl w:ilvl="0">
      <w:lvlJc w:val="left"/>
      <w:lvlText w:val="(%1)"/>
      <w:numFmt w:val="lowerLetter"/>
      <w:start w:val="1"/>
    </w:lvl>
  </w:abstractNum>
  <w:abstractNum w:abstractNumId="16">
    <w:nsid w:val="17180B0B"/>
    <w:multiLevelType w:val="hybridMultilevel"/>
    <w:lvl w:ilvl="0">
      <w:lvlJc w:val="left"/>
      <w:lvlText w:val="(%1)"/>
      <w:numFmt w:val="lowerLetter"/>
      <w:start w:val="2"/>
    </w:lvl>
  </w:abstractNum>
  <w:abstractNum w:abstractNumId="17">
    <w:nsid w:val="579328B9"/>
    <w:multiLevelType w:val="hybridMultilevel"/>
    <w:lvl w:ilvl="0">
      <w:lvlJc w:val="left"/>
      <w:lvlText w:val="(%1)"/>
      <w:numFmt w:val="lowerLetter"/>
      <w:start w:val="2"/>
    </w:lvl>
    <w:lvl w:ilvl="1">
      <w:lvlJc w:val="left"/>
      <w:lvlText w:val="-"/>
      <w:numFmt w:val="bullet"/>
      <w:start w:val="1"/>
    </w:lvl>
  </w:abstractNum>
  <w:abstractNum w:abstractNumId="18">
    <w:nsid w:val="5D205E20"/>
    <w:multiLevelType w:val="hybridMultilevel"/>
    <w:lvl w:ilvl="0">
      <w:lvlJc w:val="left"/>
      <w:lvlText w:val="%1"/>
      <w:numFmt w:val="decimal"/>
      <w:start w:val="1"/>
    </w:lvl>
    <w:lvl w:ilvl="1">
      <w:lvlJc w:val="left"/>
      <w:lvlText w:val="(%2)"/>
      <w:numFmt w:val="lowerLetter"/>
      <w:start w:val="1"/>
    </w:lvl>
  </w:abstractNum>
  <w:abstractNum w:abstractNumId="19">
    <w:nsid w:val="11CCA8BA"/>
    <w:multiLevelType w:val="hybridMultilevel"/>
    <w:lvl w:ilvl="0">
      <w:lvlJc w:val="left"/>
      <w:lvlText w:val="(%1)"/>
      <w:numFmt w:val="decimal"/>
      <w:start w:val="3"/>
    </w:lvl>
    <w:lvl w:ilvl="1">
      <w:lvlJc w:val="left"/>
      <w:lvlText w:val="%2"/>
      <w:numFmt w:val="lowerLetter"/>
      <w:start w:val="1"/>
    </w:lvl>
  </w:abstractNum>
  <w:abstractNum w:abstractNumId="20">
    <w:nsid w:val="4D32AB86"/>
    <w:multiLevelType w:val="hybridMultilevel"/>
    <w:lvl w:ilvl="0">
      <w:lvlJc w:val="left"/>
      <w:lvlText w:val="(%1)"/>
      <w:numFmt w:val="upperLetter"/>
      <w:start w:val="3"/>
    </w:lvl>
    <w:lvl w:ilvl="1">
      <w:lvlJc w:val="left"/>
      <w:lvlText w:val="-"/>
      <w:numFmt w:val="bullet"/>
      <w:start w:val="1"/>
    </w:lvl>
  </w:abstractNum>
  <w:abstractNum w:abstractNumId="21">
    <w:nsid w:val="3F07ACC3"/>
    <w:multiLevelType w:val="hybridMultilevel"/>
    <w:lvl w:ilvl="0">
      <w:lvlJc w:val="left"/>
      <w:lvlText w:val="(%1)"/>
      <w:numFmt w:val="lowerLetter"/>
      <w:start w:val="1"/>
    </w:lvl>
    <w:lvl w:ilvl="1">
      <w:lvlJc w:val="left"/>
      <w:lvlText w:val="-"/>
      <w:numFmt w:val="bullet"/>
      <w:start w:val="1"/>
    </w:lvl>
  </w:abstractNum>
  <w:abstractNum w:abstractNumId="22">
    <w:nsid w:val="6B47F63E"/>
    <w:multiLevelType w:val="hybridMultilevel"/>
    <w:lvl w:ilvl="0">
      <w:lvlJc w:val="left"/>
      <w:lvlText w:val="(%1)"/>
      <w:numFmt w:val="lowerLetter"/>
      <w:start w:val="5"/>
    </w:lvl>
    <w:lvl w:ilvl="1">
      <w:lvlJc w:val="left"/>
      <w:lvlText w:val="-"/>
      <w:numFmt w:val="bullet"/>
      <w:start w:val="1"/>
    </w:lvl>
  </w:abstractNum>
  <w:abstractNum w:abstractNumId="23">
    <w:nsid w:val="5CB44A05"/>
    <w:multiLevelType w:val="hybridMultilevel"/>
    <w:lvl w:ilvl="0">
      <w:lvlJc w:val="left"/>
      <w:lvlText w:val="(%1)"/>
      <w:numFmt w:val="lowerLetter"/>
      <w:start w:val="1"/>
    </w:lvl>
    <w:lvl w:ilvl="1">
      <w:lvlJc w:val="left"/>
      <w:lvlText w:val="(%2)"/>
      <w:numFmt w:val="lowerRoman"/>
      <w:start w:val="1"/>
    </w:lvl>
  </w:abstractNum>
  <w:abstractNum w:abstractNumId="24">
    <w:nsid w:val="16CF80F1"/>
    <w:multiLevelType w:val="hybridMultilevel"/>
    <w:lvl w:ilvl="0">
      <w:lvlJc w:val="left"/>
      <w:lvlText w:val="(%1)"/>
      <w:numFmt w:val="lowerRoman"/>
      <w:start w:val="3"/>
    </w:lvl>
  </w:abstractNum>
  <w:abstractNum w:abstractNumId="25">
    <w:nsid w:val="1C695DEC"/>
    <w:multiLevelType w:val="hybridMultilevel"/>
    <w:lvl w:ilvl="0">
      <w:lvlJc w:val="left"/>
      <w:lvlText w:val="(%1)"/>
      <w:numFmt w:val="lowerLetter"/>
      <w:start w:val="3"/>
    </w:lvl>
    <w:lvl w:ilvl="1">
      <w:lvlJc w:val="left"/>
      <w:lvlText w:val="(%2)"/>
      <w:numFmt w:val="lowerLetter"/>
      <w:start w:val="9"/>
    </w:lvl>
    <w:lvl w:ilvl="2">
      <w:lvlJc w:val="left"/>
      <w:lvlText w:val="-"/>
      <w:numFmt w:val="bullet"/>
      <w:start w:val="1"/>
    </w:lvl>
  </w:abstractNum>
  <w:abstractNum w:abstractNumId="26">
    <w:nsid w:val="3FCFAED9"/>
    <w:multiLevelType w:val="hybridMultilevel"/>
    <w:lvl w:ilvl="0">
      <w:lvlJc w:val="left"/>
      <w:lvlText w:val="(%1)"/>
      <w:numFmt w:val="lowerLetter"/>
      <w:start w:val="25"/>
    </w:lvl>
    <w:lvl w:ilvl="1">
      <w:lvlJc w:val="left"/>
      <w:lvlText w:val="%2"/>
      <w:numFmt w:val="lowerLetter"/>
      <w:start w:val="1"/>
    </w:lvl>
    <w:lvl w:ilvl="2">
      <w:lvlJc w:val="left"/>
      <w:lvlText w:val="-"/>
      <w:numFmt w:val="bullet"/>
      <w:start w:val="1"/>
    </w:lvl>
  </w:abstractNum>
  <w:abstractNum w:abstractNumId="27">
    <w:nsid w:val="F856867"/>
    <w:multiLevelType w:val="hybridMultilevel"/>
    <w:lvl w:ilvl="0">
      <w:lvlJc w:val="left"/>
      <w:lvlText w:val="(%1)"/>
      <w:numFmt w:val="lowerRoman"/>
      <w:start w:val="2"/>
    </w:lvl>
    <w:lvl w:ilvl="1">
      <w:lvlJc w:val="left"/>
      <w:lvlText w:val="(%2)"/>
      <w:numFmt w:val="upperLetter"/>
      <w:start w:val="1"/>
    </w:lvl>
  </w:abstractNum>
  <w:abstractNum w:abstractNumId="28">
    <w:nsid w:val="11B1CC33"/>
    <w:multiLevelType w:val="hybridMultilevel"/>
    <w:lvl w:ilvl="0">
      <w:lvlJc w:val="left"/>
      <w:lvlText w:val="%1"/>
      <w:numFmt w:val="decimal"/>
      <w:start w:val="1"/>
    </w:lvl>
    <w:lvl w:ilvl="1">
      <w:lvlJc w:val="left"/>
      <w:lvlText w:val="(%2)"/>
      <w:numFmt w:val="lowerLetter"/>
      <w:start w:val="4"/>
    </w:lvl>
    <w:lvl w:ilvl="2">
      <w:lvlJc w:val="left"/>
      <w:lvlText w:val="-"/>
      <w:numFmt w:val="bullet"/>
      <w:start w:val="1"/>
    </w:lvl>
  </w:abstractNum>
  <w:abstractNum w:abstractNumId="29">
    <w:nsid w:val="2E22FBB7"/>
    <w:multiLevelType w:val="hybridMultilevel"/>
    <w:lvl w:ilvl="0">
      <w:lvlJc w:val="left"/>
      <w:lvlText w:val="(%1)"/>
      <w:numFmt w:val="decimal"/>
      <w:start w:val="3"/>
    </w:lvl>
    <w:lvl w:ilvl="1">
      <w:lvlJc w:val="left"/>
      <w:lvlText w:val="%2"/>
      <w:numFmt w:val="lowerLetter"/>
      <w:start w:val="1"/>
    </w:lvl>
    <w:lvl w:ilvl="2">
      <w:lvlJc w:val="left"/>
      <w:lvlText w:val="-"/>
      <w:numFmt w:val="bullet"/>
      <w:start w:val="1"/>
    </w:lvl>
  </w:abstractNum>
  <w:abstractNum w:abstractNumId="30">
    <w:nsid w:val="29934699"/>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lvl w:ilvl="3">
      <w:lvlJc w:val="left"/>
      <w:lvlText w:val="-"/>
      <w:numFmt w:val="bullet"/>
      <w:start w:val="1"/>
    </w:lvl>
  </w:abstractNum>
  <w:abstractNum w:abstractNumId="31">
    <w:nsid w:val="77485850"/>
    <w:multiLevelType w:val="hybridMultilevel"/>
    <w:lvl w:ilvl="0">
      <w:lvlJc w:val="left"/>
      <w:lvlText w:val="(%1)"/>
      <w:numFmt w:val="lowerLetter"/>
      <w:start w:val="1"/>
    </w:lvl>
    <w:lvl w:ilvl="1">
      <w:lvlJc w:val="left"/>
      <w:lvlText w:val="-"/>
      <w:numFmt w:val="bullet"/>
      <w:start w:val="1"/>
    </w:lvl>
  </w:abstractNum>
  <w:abstractNum w:abstractNumId="32">
    <w:nsid w:val="744939A3"/>
    <w:multiLevelType w:val="hybridMultilevel"/>
    <w:lvl w:ilvl="0">
      <w:lvlJc w:val="left"/>
      <w:lvlText w:val="(%1)"/>
      <w:numFmt w:val="lowerLetter"/>
      <w:start w:val="4"/>
    </w:lvl>
    <w:lvl w:ilvl="1">
      <w:lvlJc w:val="left"/>
      <w:lvlText w:val="-"/>
      <w:numFmt w:val="bullet"/>
      <w:start w:val="1"/>
    </w:lvl>
  </w:abstractNum>
  <w:abstractNum w:abstractNumId="33">
    <w:nsid w:val="4FA0D2E3"/>
    <w:multiLevelType w:val="hybridMultilevel"/>
    <w:lvl w:ilvl="0">
      <w:lvlJc w:val="left"/>
      <w:lvlText w:val="%1"/>
      <w:numFmt w:val="lowerRoman"/>
      <w:start w:val="1"/>
    </w:lvl>
    <w:lvl w:ilvl="1">
      <w:lvlJc w:val="left"/>
      <w:lvlText w:val="(%2)"/>
      <w:numFmt w:val="lowerLetter"/>
      <w:start w:val="6"/>
    </w:lvl>
    <w:lvl w:ilvl="2">
      <w:lvlJc w:val="left"/>
      <w:lvlText w:val="-"/>
      <w:numFmt w:val="bullet"/>
      <w:start w:val="1"/>
    </w:lvl>
  </w:abstractNum>
  <w:abstractNum w:abstractNumId="34">
    <w:nsid w:val="6B1D2C14"/>
    <w:multiLevelType w:val="hybridMultilevel"/>
    <w:lvl w:ilvl="0">
      <w:lvlJc w:val="left"/>
      <w:lvlText w:val="(%1)"/>
      <w:numFmt w:val="lowerRoman"/>
      <w:start w:val="6"/>
    </w:lvl>
    <w:lvl w:ilvl="1">
      <w:lvlJc w:val="left"/>
      <w:lvlText w:val="%2"/>
      <w:numFmt w:val="lowerLetter"/>
      <w:start w:val="1"/>
    </w:lvl>
    <w:lvl w:ilvl="2">
      <w:lvlJc w:val="left"/>
      <w:lvlText w:val="-"/>
      <w:numFmt w:val="bullet"/>
      <w:start w:val="1"/>
    </w:lvl>
  </w:abstractNum>
  <w:abstractNum w:abstractNumId="35">
    <w:nsid w:val="68B867D3"/>
    <w:multiLevelType w:val="hybridMultilevel"/>
    <w:lvl w:ilvl="0">
      <w:lvlJc w:val="left"/>
      <w:lvlText w:val="(%1)"/>
      <w:numFmt w:val="lowerRoman"/>
      <w:start w:val="8"/>
    </w:lvl>
    <w:lvl w:ilvl="1">
      <w:lvlJc w:val="left"/>
      <w:lvlText w:val="%2"/>
      <w:numFmt w:val="lowerLetter"/>
      <w:start w:val="1"/>
    </w:lvl>
    <w:lvl w:ilvl="2">
      <w:lvlJc w:val="left"/>
      <w:lvlText w:val="-"/>
      <w:numFmt w:val="bullet"/>
      <w:start w:val="1"/>
    </w:lvl>
  </w:abstractNum>
  <w:abstractNum w:abstractNumId="36">
    <w:nsid w:val="3F7F5DD9"/>
    <w:multiLevelType w:val="hybridMultilevel"/>
    <w:lvl w:ilvl="0">
      <w:lvlJc w:val="left"/>
      <w:lvlText w:val="(%1)"/>
      <w:numFmt w:val="lowerLetter"/>
      <w:start w:val="8"/>
    </w:lvl>
    <w:lvl w:ilvl="1">
      <w:lvlJc w:val="left"/>
      <w:lvlText w:val="-"/>
      <w:numFmt w:val="bullet"/>
      <w:start w:val="1"/>
    </w:lvl>
  </w:abstractNum>
  <w:abstractNum w:abstractNumId="37">
    <w:nsid w:val="2AE05A34"/>
    <w:multiLevelType w:val="hybridMultilevel"/>
    <w:lvl w:ilvl="0">
      <w:lvlJc w:val="left"/>
      <w:lvlText w:val="(%1)"/>
      <w:numFmt w:val="lowerLetter"/>
      <w:start w:val="5"/>
    </w:lvl>
    <w:lvl w:ilvl="1">
      <w:lvlJc w:val="left"/>
      <w:lvlText w:val="(%2)"/>
      <w:numFmt w:val="lowerLetter"/>
      <w:start w:val="11"/>
    </w:lvl>
  </w:abstractNum>
  <w:abstractNum w:abstractNumId="38">
    <w:nsid w:val="32794FF7"/>
    <w:multiLevelType w:val="hybridMultilevel"/>
    <w:lvl w:ilvl="0">
      <w:lvlJc w:val="left"/>
      <w:lvlText w:val="(%1)"/>
      <w:numFmt w:val="lowerLetter"/>
      <w:start w:val="1"/>
    </w:lvl>
    <w:lvl w:ilvl="1">
      <w:lvlJc w:val="left"/>
      <w:lvlText w:val="-"/>
      <w:numFmt w:val="bullet"/>
      <w:start w:val="1"/>
    </w:lvl>
  </w:abstractNum>
  <w:abstractNum w:abstractNumId="39">
    <w:nsid w:val="5454945E"/>
    <w:multiLevelType w:val="hybridMultilevel"/>
    <w:lvl w:ilvl="0">
      <w:lvlJc w:val="left"/>
      <w:lvlText w:val="(%1)"/>
      <w:numFmt w:val="lowerLetter"/>
      <w:start w:val="2"/>
    </w:lvl>
    <w:lvl w:ilvl="1">
      <w:lvlJc w:val="left"/>
      <w:lvlText w:val="-"/>
      <w:numFmt w:val="bullet"/>
      <w:start w:val="1"/>
    </w:lvl>
  </w:abstractNum>
  <w:abstractNum w:abstractNumId="40">
    <w:nsid w:val="4DEFDFA0"/>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41">
    <w:nsid w:val="2123D5F2"/>
    <w:multiLevelType w:val="hybridMultilevel"/>
    <w:lvl w:ilvl="0">
      <w:lvlJc w:val="left"/>
      <w:lvlText w:val="(%1)"/>
      <w:numFmt w:val="lowerRoman"/>
      <w:start w:val="3"/>
    </w:lvl>
  </w:abstractNum>
  <w:abstractNum w:abstractNumId="42">
    <w:nsid w:val="135B8110"/>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43">
    <w:nsid w:val="94927A8"/>
    <w:multiLevelType w:val="hybridMultilevel"/>
    <w:lvl w:ilvl="0">
      <w:lvlJc w:val="left"/>
      <w:lvlText w:val="(%1)"/>
      <w:numFmt w:val="lowerRoman"/>
      <w:start w:val="3"/>
    </w:lvl>
  </w:abstractNum>
  <w:abstractNum w:abstractNumId="44">
    <w:nsid w:val="DCDF8F6"/>
    <w:multiLevelType w:val="hybridMultilevel"/>
    <w:lvl w:ilvl="0">
      <w:lvlJc w:val="left"/>
      <w:lvlText w:val="(%1)"/>
      <w:numFmt w:val="lowerLetter"/>
      <w:start w:val="1"/>
    </w:lvl>
  </w:abstractNum>
  <w:abstractNum w:abstractNumId="45">
    <w:nsid w:val="52D7B105"/>
    <w:multiLevelType w:val="hybridMultilevel"/>
    <w:lvl w:ilvl="0">
      <w:lvlJc w:val="left"/>
      <w:lvlText w:val="(%1)"/>
      <w:numFmt w:val="lowerLetter"/>
      <w:start w:val="1"/>
    </w:lvl>
  </w:abstractNum>
  <w:abstractNum w:abstractNumId="46">
    <w:nsid w:val="2E8A6394"/>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47">
    <w:nsid w:val="24E60401"/>
    <w:multiLevelType w:val="hybridMultilevel"/>
    <w:lvl w:ilvl="0">
      <w:lvlJc w:val="left"/>
      <w:lvlText w:val="(%1)"/>
      <w:numFmt w:val="lowerRoman"/>
      <w:start w:val="2"/>
    </w:lvl>
  </w:abstractNum>
  <w:abstractNum w:abstractNumId="48">
    <w:nsid w:val="2A6AD9BE"/>
    <w:multiLevelType w:val="hybridMultilevel"/>
    <w:lvl w:ilvl="0">
      <w:lvlJc w:val="left"/>
      <w:lvlText w:val="(%1)"/>
      <w:numFmt w:val="lowerLetter"/>
      <w:start w:val="1"/>
    </w:lvl>
  </w:abstractNum>
  <w:abstractNum w:abstractNumId="49">
    <w:nsid w:val="BAAC1B4"/>
    <w:multiLevelType w:val="hybridMultilevel"/>
    <w:lvl w:ilvl="0">
      <w:lvlJc w:val="left"/>
      <w:lvlText w:val="(%1)"/>
      <w:numFmt w:val="lowerLetter"/>
      <w:start w:val="1"/>
    </w:lvl>
  </w:abstractNum>
  <w:abstractNum w:abstractNumId="50">
    <w:nsid w:val="36B2ACBC"/>
    <w:multiLevelType w:val="hybridMultilevel"/>
    <w:lvl w:ilvl="0">
      <w:lvlJc w:val="left"/>
      <w:lvlText w:val="(%1)"/>
      <w:numFmt w:val="lowerRoman"/>
      <w:start w:val="3"/>
    </w:lvl>
  </w:abstractNum>
  <w:abstractNum w:abstractNumId="51">
    <w:nsid w:val="779D8544"/>
    <w:multiLevelType w:val="hybridMultilevel"/>
    <w:lvl w:ilvl="0">
      <w:lvlJc w:val="left"/>
      <w:lvlText w:val="(%1)"/>
      <w:numFmt w:val="lowerLetter"/>
      <w:start w:val="1"/>
    </w:lvl>
    <w:lvl w:ilvl="1">
      <w:lvlJc w:val="left"/>
      <w:lvlText w:val="-"/>
      <w:numFmt w:val="bullet"/>
      <w:start w:val="1"/>
    </w:lvl>
  </w:abstractNum>
  <w:abstractNum w:abstractNumId="52">
    <w:nsid w:val="4AB26E78"/>
    <w:multiLevelType w:val="hybridMultilevel"/>
    <w:lvl w:ilvl="0">
      <w:lvlJc w:val="left"/>
      <w:lvlText w:val="(%1)"/>
      <w:numFmt w:val="lowerLetter"/>
      <w:start w:val="2"/>
    </w:lvl>
  </w:abstractNum>
  <w:abstractNum w:abstractNumId="53">
    <w:nsid w:val="21FAA2FA"/>
    <w:multiLevelType w:val="hybridMultilevel"/>
    <w:lvl w:ilvl="0">
      <w:lvlJc w:val="left"/>
      <w:lvlText w:val="(%1)"/>
      <w:numFmt w:val="lowerRoman"/>
      <w:start w:val="2"/>
    </w:lvl>
  </w:abstractNum>
  <w:abstractNum w:abstractNumId="54">
    <w:nsid w:val="5451CF49"/>
    <w:multiLevelType w:val="hybridMultilevel"/>
    <w:lvl w:ilvl="0">
      <w:lvlJc w:val="left"/>
      <w:lvlText w:val="(%1)"/>
      <w:numFmt w:val="lowerLetter"/>
      <w:start w:val="1"/>
    </w:lvl>
    <w:lvl w:ilvl="1">
      <w:lvlJc w:val="left"/>
      <w:lvlText w:val="-"/>
      <w:numFmt w:val="bullet"/>
      <w:start w:val="1"/>
    </w:lvl>
  </w:abstractNum>
  <w:abstractNum w:abstractNumId="55">
    <w:nsid w:val="6181EF69"/>
    <w:multiLevelType w:val="hybridMultilevel"/>
    <w:lvl w:ilvl="0">
      <w:lvlJc w:val="left"/>
      <w:lvlText w:val="(%1)"/>
      <w:numFmt w:val="lowerLetter"/>
      <w:start w:val="4"/>
    </w:lvl>
  </w:abstractNum>
  <w:abstractNum w:abstractNumId="56">
    <w:nsid w:val="3E6400E6"/>
    <w:multiLevelType w:val="hybridMultilevel"/>
    <w:lvl w:ilvl="0">
      <w:lvlJc w:val="left"/>
      <w:lvlText w:val="(%1)"/>
      <w:numFmt w:val="lowerLetter"/>
      <w:start w:val="6"/>
    </w:lvl>
  </w:abstractNum>
  <w:abstractNum w:abstractNumId="57">
    <w:nsid w:val="14217E23"/>
    <w:multiLevelType w:val="hybridMultilevel"/>
    <w:lvl w:ilvl="0">
      <w:lvlJc w:val="left"/>
      <w:lvlText w:val="(%1)"/>
      <w:numFmt w:val="lowerLetter"/>
      <w:start w:val="1"/>
    </w:lvl>
    <w:lvl w:ilvl="1">
      <w:lvlJc w:val="left"/>
      <w:lvlText w:val="-"/>
      <w:numFmt w:val="bullet"/>
      <w:start w:val="1"/>
    </w:lvl>
  </w:abstractNum>
  <w:abstractNum w:abstractNumId="58">
    <w:nsid w:val="710757D0"/>
    <w:multiLevelType w:val="hybridMultilevel"/>
    <w:lvl w:ilvl="0">
      <w:lvlJc w:val="left"/>
      <w:lvlText w:val="(%1)"/>
      <w:numFmt w:val="lowerLetter"/>
      <w:start w:val="3"/>
    </w:lvl>
    <w:lvl w:ilvl="1">
      <w:lvlJc w:val="left"/>
      <w:lvlText w:val="(%2)"/>
      <w:numFmt w:val="lowerRoman"/>
      <w:start w:val="1"/>
    </w:lvl>
    <w:lvl w:ilvl="2">
      <w:lvlJc w:val="left"/>
      <w:lvlText w:val="-"/>
      <w:numFmt w:val="bullet"/>
      <w:start w:val="1"/>
    </w:lvl>
  </w:abstractNum>
  <w:abstractNum w:abstractNumId="59">
    <w:nsid w:val="5015CD1A"/>
    <w:multiLevelType w:val="hybridMultilevel"/>
    <w:lvl w:ilvl="0">
      <w:lvlJc w:val="left"/>
      <w:lvlText w:val="%1"/>
      <w:numFmt w:val="lowerLetter"/>
      <w:start w:val="1"/>
    </w:lvl>
    <w:lvl w:ilvl="1">
      <w:lvlJc w:val="left"/>
      <w:lvlText w:val="(%2)"/>
      <w:numFmt w:val="lowerRoman"/>
      <w:start w:val="2"/>
    </w:lvl>
    <w:lvl w:ilvl="2">
      <w:lvlJc w:val="left"/>
      <w:lvlText w:val="-"/>
      <w:numFmt w:val="bullet"/>
      <w:start w:val="1"/>
    </w:lvl>
  </w:abstractNum>
  <w:abstractNum w:abstractNumId="60">
    <w:nsid w:val="424479DA"/>
    <w:multiLevelType w:val="hybridMultilevel"/>
    <w:lvl w:ilvl="0">
      <w:lvlJc w:val="left"/>
      <w:lvlText w:val="(%1)"/>
      <w:numFmt w:val="lowerLetter"/>
      <w:start w:val="6"/>
    </w:lvl>
    <w:lvl w:ilvl="1">
      <w:lvlJc w:val="left"/>
      <w:lvlText w:val="%2"/>
      <w:numFmt w:val="lowerRoman"/>
      <w:start w:val="1"/>
    </w:lvl>
    <w:lvl w:ilvl="2">
      <w:lvlJc w:val="left"/>
      <w:lvlText w:val="-"/>
      <w:numFmt w:val="bullet"/>
      <w:start w:val="1"/>
    </w:lvl>
  </w:abstractNum>
  <w:abstractNum w:abstractNumId="61">
    <w:nsid w:val="1A9A9E69"/>
    <w:multiLevelType w:val="hybridMultilevel"/>
    <w:lvl w:ilvl="0">
      <w:lvlJc w:val="left"/>
      <w:lvlText w:val="(%1)"/>
      <w:numFmt w:val="lowerLetter"/>
      <w:start w:val="7"/>
    </w:lvl>
  </w:abstractNum>
  <w:abstractNum w:abstractNumId="62">
    <w:nsid w:val="475E256A"/>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63">
    <w:nsid w:val="368DB37E"/>
    <w:multiLevelType w:val="hybridMultilevel"/>
    <w:lvl w:ilvl="0">
      <w:lvlJc w:val="left"/>
      <w:lvlText w:val="(%1)"/>
      <w:numFmt w:val="lowerLetter"/>
      <w:start w:val="9"/>
    </w:lvl>
    <w:lvl w:ilvl="1">
      <w:lvlJc w:val="left"/>
      <w:lvlText w:val="%2"/>
      <w:numFmt w:val="lowerLetter"/>
      <w:start w:val="1"/>
    </w:lvl>
    <w:lvl w:ilvl="2">
      <w:lvlJc w:val="left"/>
      <w:lvlText w:val="-"/>
      <w:numFmt w:val="bullet"/>
      <w:start w:val="1"/>
    </w:lvl>
  </w:abstractNum>
  <w:abstractNum w:abstractNumId="64">
    <w:nsid w:val="6A3B714C"/>
    <w:multiLevelType w:val="hybridMultilevel"/>
    <w:lvl w:ilvl="0">
      <w:lvlJc w:val="left"/>
      <w:lvlText w:val="(%1)"/>
      <w:numFmt w:val="lowerLetter"/>
      <w:start w:val="6"/>
    </w:lvl>
    <w:lvl w:ilvl="1">
      <w:lvlJc w:val="left"/>
      <w:lvlText w:val="(%2)"/>
      <w:numFmt w:val="lowerRoman"/>
      <w:start w:val="1"/>
    </w:lvl>
    <w:lvl w:ilvl="2">
      <w:lvlJc w:val="left"/>
      <w:lvlText w:val="(%3)"/>
      <w:numFmt w:val="upperLetter"/>
      <w:start w:val="1"/>
    </w:lvl>
    <w:lvl w:ilvl="3">
      <w:lvlJc w:val="left"/>
      <w:lvlText w:val="-"/>
      <w:numFmt w:val="bullet"/>
      <w:start w:val="1"/>
    </w:lvl>
  </w:abstractNum>
  <w:abstractNum w:abstractNumId="65">
    <w:nsid w:val="327B517E"/>
    <w:multiLevelType w:val="hybridMultilevel"/>
    <w:lvl w:ilvl="0">
      <w:lvlJc w:val="left"/>
      <w:lvlText w:val="(%1)"/>
      <w:numFmt w:val="upperLetter"/>
      <w:start w:val="9"/>
    </w:lvl>
  </w:abstractNum>
  <w:abstractNum w:abstractNumId="66">
    <w:nsid w:val="1F461B51"/>
    <w:multiLevelType w:val="hybridMultilevel"/>
    <w:lvl w:ilvl="0">
      <w:lvlJc w:val="left"/>
      <w:lvlText w:val="(%1)"/>
      <w:numFmt w:val="upperLetter"/>
      <w:start w:val="35"/>
    </w:lvl>
  </w:abstractNum>
  <w:abstractNum w:abstractNumId="67">
    <w:nsid w:val="29BACF25"/>
    <w:multiLevelType w:val="hybridMultilevel"/>
    <w:lvl w:ilvl="0">
      <w:lvlJc w:val="left"/>
      <w:lvlText w:val="(%1)"/>
      <w:numFmt w:val="upperLetter"/>
      <w:start w:val="61"/>
    </w:lvl>
  </w:abstractNum>
  <w:abstractNum w:abstractNumId="68">
    <w:nsid w:val="5D5BABB3"/>
    <w:multiLevelType w:val="hybridMultilevel"/>
    <w:lvl w:ilvl="0">
      <w:lvlJc w:val="left"/>
      <w:lvlText w:val="(%1)"/>
      <w:numFmt w:val="upperLetter"/>
      <w:start w:val="3"/>
    </w:lvl>
    <w:lvl w:ilvl="1">
      <w:lvlJc w:val="left"/>
      <w:lvlText w:val="-"/>
      <w:numFmt w:val="bullet"/>
      <w:start w:val="1"/>
    </w:lvl>
  </w:abstractNum>
  <w:abstractNum w:abstractNumId="69">
    <w:nsid w:val="51BF6B48"/>
    <w:multiLevelType w:val="hybridMultilevel"/>
    <w:lvl w:ilvl="0">
      <w:lvlJc w:val="left"/>
      <w:lvlText w:val="(%1)"/>
      <w:numFmt w:val="upperLetter"/>
      <w:start w:val="4"/>
    </w:lvl>
  </w:abstractNum>
  <w:abstractNum w:abstractNumId="70">
    <w:nsid w:val="7E0F6384"/>
    <w:multiLevelType w:val="hybridMultilevel"/>
    <w:lvl w:ilvl="0">
      <w:lvlJc w:val="left"/>
      <w:lvlText w:val="(%1)"/>
      <w:numFmt w:val="lowerLetter"/>
      <w:start w:val="8"/>
    </w:lvl>
    <w:lvl w:ilvl="1">
      <w:lvlJc w:val="left"/>
      <w:lvlText w:val="-"/>
      <w:numFmt w:val="bullet"/>
      <w:start w:val="1"/>
    </w:lvl>
  </w:abstractNum>
  <w:abstractNum w:abstractNumId="71">
    <w:nsid w:val="2B4B8B53"/>
    <w:multiLevelType w:val="hybridMultilevel"/>
    <w:lvl w:ilvl="0">
      <w:lvlJc w:val="left"/>
      <w:lvlText w:val="(%1)"/>
      <w:numFmt w:val="lowerLetter"/>
      <w:start w:val="1"/>
    </w:lvl>
    <w:lvl w:ilvl="1">
      <w:lvlJc w:val="left"/>
      <w:lvlText w:val="-"/>
      <w:numFmt w:val="bullet"/>
      <w:start w:val="1"/>
    </w:lvl>
  </w:abstractNum>
  <w:abstractNum w:abstractNumId="72">
    <w:nsid w:val="72E3413A"/>
    <w:multiLevelType w:val="hybridMultilevel"/>
    <w:lvl w:ilvl="0">
      <w:lvlJc w:val="left"/>
      <w:lvlText w:val="%1"/>
      <w:numFmt w:val="lowerLetter"/>
      <w:start w:val="1"/>
    </w:lvl>
    <w:lvl w:ilvl="1">
      <w:lvlJc w:val="left"/>
      <w:lvlText w:val="(%2)"/>
      <w:numFmt w:val="lowerLetter"/>
      <w:start w:val="4"/>
    </w:lvl>
  </w:abstractNum>
  <w:abstractNum w:abstractNumId="73">
    <w:nsid w:val="116AE494"/>
    <w:multiLevelType w:val="hybridMultilevel"/>
    <w:lvl w:ilvl="0">
      <w:lvlJc w:val="left"/>
      <w:lvlText w:val="(%1)"/>
      <w:numFmt w:val="lowerLetter"/>
      <w:start w:val="2"/>
    </w:lvl>
    <w:lvl w:ilvl="1">
      <w:lvlJc w:val="left"/>
      <w:lvlText w:val="(%2)"/>
      <w:numFmt w:val="lowerLetter"/>
      <w:start w:val="5"/>
    </w:lvl>
  </w:abstractNum>
  <w:abstractNum w:abstractNumId="74">
    <w:nsid w:val="3494B2FB"/>
    <w:multiLevelType w:val="hybridMultilevel"/>
    <w:lvl w:ilvl="0">
      <w:lvlJc w:val="left"/>
      <w:lvlText w:val="(%1)"/>
      <w:numFmt w:val="lowerLetter"/>
      <w:start w:val="1"/>
    </w:lvl>
    <w:lvl w:ilvl="1">
      <w:lvlJc w:val="left"/>
      <w:lvlText w:val="-"/>
      <w:numFmt w:val="bullet"/>
      <w:start w:val="1"/>
    </w:lvl>
  </w:abstractNum>
  <w:abstractNum w:abstractNumId="75">
    <w:nsid w:val="B13A31"/>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76">
    <w:nsid w:val="64429599"/>
    <w:multiLevelType w:val="hybridMultilevel"/>
    <w:lvl w:ilvl="0">
      <w:lvlJc w:val="left"/>
      <w:lvlText w:val="(%1)"/>
      <w:numFmt w:val="lowerRoman"/>
      <w:start w:val="4"/>
    </w:lvl>
  </w:abstractNum>
  <w:abstractNum w:abstractNumId="77">
    <w:nsid w:val="631F1690"/>
    <w:multiLevelType w:val="hybridMultilevel"/>
    <w:lvl w:ilvl="0">
      <w:lvlJc w:val="left"/>
      <w:lvlText w:val="(%1)"/>
      <w:numFmt w:val="lowerLetter"/>
      <w:start w:val="1"/>
    </w:lvl>
  </w:abstractNum>
  <w:abstractNum w:abstractNumId="78">
    <w:nsid w:val="25973E32"/>
    <w:multiLevelType w:val="hybridMultilevel"/>
    <w:lvl w:ilvl="0">
      <w:lvlJc w:val="left"/>
      <w:lvlText w:val="(%1)"/>
      <w:numFmt w:val="lowerLetter"/>
      <w:start w:val="1"/>
    </w:lvl>
  </w:abstractNum>
  <w:abstractNum w:abstractNumId="79">
    <w:nsid w:val="EAD6F57"/>
    <w:multiLevelType w:val="hybridMultilevel"/>
    <w:lvl w:ilvl="0">
      <w:lvlJc w:val="left"/>
      <w:lvlText w:val="(%1)"/>
      <w:numFmt w:val="lowerRoman"/>
      <w:start w:val="1"/>
    </w:lvl>
  </w:abstractNum>
  <w:abstractNum w:abstractNumId="80">
    <w:nsid w:val="6EC9D844"/>
    <w:multiLevelType w:val="hybridMultilevel"/>
    <w:lvl w:ilvl="0">
      <w:lvlJc w:val="left"/>
      <w:lvlText w:val="(%1)"/>
      <w:numFmt w:val="lowerLetter"/>
      <w:start w:val="2"/>
    </w:lvl>
  </w:abstractNum>
  <w:abstractNum w:abstractNumId="81">
    <w:nsid w:val="5C49EAEE"/>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82">
    <w:nsid w:val="64AF49B"/>
    <w:multiLevelType w:val="hybridMultilevel"/>
    <w:lvl w:ilvl="0">
      <w:lvlJc w:val="left"/>
      <w:lvlText w:val="%1"/>
      <w:numFmt w:val="lowerLetter"/>
      <w:start w:val="1"/>
    </w:lvl>
    <w:lvl w:ilvl="1">
      <w:lvlJc w:val="left"/>
      <w:lvlText w:val="(%2)"/>
      <w:numFmt w:val="lowerRoman"/>
      <w:start w:val="8"/>
    </w:lvl>
    <w:lvl w:ilvl="2">
      <w:lvlJc w:val="left"/>
      <w:lvlText w:val="-"/>
      <w:numFmt w:val="bullet"/>
      <w:start w:val="1"/>
    </w:lvl>
  </w:abstractNum>
  <w:abstractNum w:abstractNumId="83">
    <w:nsid w:val="397C46BC"/>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84">
    <w:nsid w:val="7E448DE9"/>
    <w:multiLevelType w:val="hybridMultilevel"/>
    <w:lvl w:ilvl="0">
      <w:lvlJc w:val="left"/>
      <w:lvlText w:val="(%1)"/>
      <w:numFmt w:val="lowerRoman"/>
      <w:start w:val="4"/>
    </w:lvl>
  </w:abstractNum>
  <w:abstractNum w:abstractNumId="85">
    <w:nsid w:val="5A9CC3E5"/>
    <w:multiLevelType w:val="hybridMultilevel"/>
    <w:lvl w:ilvl="0">
      <w:lvlJc w:val="left"/>
      <w:lvlText w:val="(%1)"/>
      <w:numFmt w:val="lowerLetter"/>
      <w:start w:val="2"/>
    </w:lvl>
    <w:lvl w:ilvl="1">
      <w:lvlJc w:val="left"/>
      <w:lvlText w:val="-"/>
      <w:numFmt w:val="bullet"/>
      <w:start w:val="1"/>
    </w:lvl>
  </w:abstractNum>
  <w:abstractNum w:abstractNumId="86">
    <w:nsid w:val="1AFE3625"/>
    <w:multiLevelType w:val="hybridMultilevel"/>
    <w:lvl w:ilvl="0">
      <w:lvlJc w:val="left"/>
      <w:lvlText w:val="(%1)"/>
      <w:numFmt w:val="lowerLetter"/>
      <w:start w:val="1"/>
    </w:lvl>
    <w:lvl w:ilvl="1">
      <w:lvlJc w:val="left"/>
      <w:lvlText w:val="-"/>
      <w:numFmt w:val="bullet"/>
      <w:start w:val="1"/>
    </w:lvl>
  </w:abstractNum>
  <w:abstractNum w:abstractNumId="87">
    <w:nsid w:val="3CA88ECF"/>
    <w:multiLevelType w:val="hybridMultilevel"/>
    <w:lvl w:ilvl="0">
      <w:lvlJc w:val="left"/>
      <w:lvlText w:val="(%1)"/>
      <w:numFmt w:val="lowerLetter"/>
      <w:start w:val="4"/>
    </w:lvl>
    <w:lvl w:ilvl="1">
      <w:lvlJc w:val="left"/>
      <w:lvlText w:val="-"/>
      <w:numFmt w:val="bullet"/>
      <w:start w:val="1"/>
    </w:lvl>
  </w:abstractNum>
  <w:abstractNum w:abstractNumId="88">
    <w:nsid w:val="6EBE4208"/>
    <w:multiLevelType w:val="hybridMultilevel"/>
    <w:lvl w:ilvl="0">
      <w:lvlJc w:val="left"/>
      <w:lvlText w:val="(%1)"/>
      <w:numFmt w:val="lowerLetter"/>
      <w:start w:val="11"/>
    </w:lvl>
    <w:lvl w:ilvl="1">
      <w:lvlJc w:val="left"/>
      <w:lvlText w:val="(%2)"/>
      <w:numFmt w:val="lowerRoman"/>
      <w:start w:val="1"/>
    </w:lvl>
    <w:lvl w:ilvl="2">
      <w:lvlJc w:val="left"/>
      <w:lvlText w:val="-"/>
      <w:numFmt w:val="bullet"/>
      <w:start w:val="1"/>
    </w:lvl>
  </w:abstractNum>
  <w:abstractNum w:abstractNumId="89">
    <w:nsid w:val="C058DF5"/>
    <w:multiLevelType w:val="hybridMultilevel"/>
    <w:lvl w:ilvl="0">
      <w:lvlJc w:val="left"/>
      <w:lvlText w:val="%1"/>
      <w:numFmt w:val="lowerLetter"/>
      <w:start w:val="1"/>
    </w:lvl>
    <w:lvl w:ilvl="1">
      <w:lvlJc w:val="left"/>
      <w:lvlText w:val="(%2)"/>
      <w:numFmt w:val="lowerLetter"/>
      <w:start w:val="61"/>
    </w:lvl>
    <w:lvl w:ilvl="2">
      <w:lvlJc w:val="left"/>
      <w:lvlText w:val="-"/>
      <w:numFmt w:val="bullet"/>
      <w:start w:val="1"/>
    </w:lvl>
  </w:abstractNum>
  <w:abstractNum w:abstractNumId="90">
    <w:nsid w:val="CBE5BE9"/>
    <w:multiLevelType w:val="hybridMultilevel"/>
    <w:lvl w:ilvl="0">
      <w:lvlJc w:val="left"/>
      <w:lvlText w:val="(%1)"/>
      <w:numFmt w:val="lowerLetter"/>
      <w:start w:val="14"/>
    </w:lvl>
    <w:lvl w:ilvl="1">
      <w:lvlJc w:val="left"/>
      <w:lvlText w:val="%2"/>
      <w:numFmt w:val="lowerLetter"/>
      <w:start w:val="1"/>
    </w:lvl>
    <w:lvl w:ilvl="2">
      <w:lvlJc w:val="left"/>
      <w:lvlText w:val="-"/>
      <w:numFmt w:val="bullet"/>
      <w:start w:val="1"/>
    </w:lvl>
  </w:abstractNum>
  <w:abstractNum w:abstractNumId="91">
    <w:nsid w:val="3102BBE2"/>
    <w:multiLevelType w:val="hybridMultilevel"/>
    <w:lvl w:ilvl="0">
      <w:lvlJc w:val="left"/>
      <w:lvlText w:val="(%1)"/>
      <w:numFmt w:val="lowerLetter"/>
      <w:start w:val="17"/>
    </w:lvl>
    <w:lvl w:ilvl="1">
      <w:lvlJc w:val="left"/>
      <w:lvlText w:val="-"/>
      <w:numFmt w:val="bullet"/>
      <w:start w:val="1"/>
    </w:lvl>
  </w:abstractNum>
  <w:abstractNum w:abstractNumId="92">
    <w:nsid w:val="26A02C5E"/>
    <w:multiLevelType w:val="hybridMultilevel"/>
    <w:lvl w:ilvl="0">
      <w:lvlJc w:val="left"/>
      <w:lvlText w:val="(%1)"/>
      <w:numFmt w:val="lowerLetter"/>
      <w:start w:val="23"/>
    </w:lvl>
    <w:lvl w:ilvl="1">
      <w:lvlJc w:val="left"/>
      <w:lvlText w:val="(%2)"/>
      <w:numFmt w:val="lowerRoman"/>
      <w:start w:val="1"/>
    </w:lvl>
    <w:lvl w:ilvl="2">
      <w:lvlJc w:val="left"/>
      <w:lvlText w:val="-"/>
      <w:numFmt w:val="bullet"/>
      <w:start w:val="1"/>
    </w:lvl>
  </w:abstractNum>
  <w:abstractNum w:abstractNumId="93">
    <w:nsid w:val="541C8153"/>
    <w:multiLevelType w:val="hybridMultilevel"/>
    <w:lvl w:ilvl="0">
      <w:lvlJc w:val="left"/>
      <w:lvlText w:val="%1"/>
      <w:numFmt w:val="lowerLetter"/>
      <w:start w:val="1"/>
    </w:lvl>
    <w:lvl w:ilvl="1">
      <w:lvlJc w:val="left"/>
      <w:lvlText w:val="(%2)"/>
      <w:numFmt w:val="lowerRoman"/>
      <w:start w:val="4"/>
    </w:lvl>
  </w:abstractNum>
  <w:abstractNum w:abstractNumId="94">
    <w:nsid w:val="67906F60"/>
    <w:multiLevelType w:val="hybridMultilevel"/>
    <w:lvl w:ilvl="0">
      <w:lvlJc w:val="left"/>
      <w:lvlText w:val="(%1)"/>
      <w:numFmt w:val="lowerLetter"/>
      <w:start w:val="25"/>
    </w:lvl>
    <w:lvl w:ilvl="1">
      <w:lvlJc w:val="left"/>
      <w:lvlText w:val="%2"/>
      <w:numFmt w:val="lowerRoman"/>
      <w:start w:val="1"/>
    </w:lvl>
  </w:abstractNum>
  <w:abstractNum w:abstractNumId="95">
    <w:nsid w:val="10DB9DAA"/>
    <w:multiLevelType w:val="hybridMultilevel"/>
    <w:lvl w:ilvl="0">
      <w:lvlJc w:val="left"/>
      <w:lvlText w:val="(%1)"/>
      <w:numFmt w:val="lowerLetter"/>
      <w:start w:val="2"/>
    </w:lvl>
  </w:abstractNum>
  <w:abstractNum w:abstractNumId="96">
    <w:nsid w:val="697D2D2"/>
    <w:multiLevelType w:val="hybridMultilevel"/>
    <w:lvl w:ilvl="0">
      <w:lvlJc w:val="left"/>
      <w:lvlText w:val="(%1)"/>
      <w:numFmt w:val="lowerLetter"/>
      <w:start w:val="3"/>
    </w:lvl>
  </w:abstractNum>
  <w:abstractNum w:abstractNumId="97">
    <w:nsid w:val="6D68AB2"/>
    <w:multiLevelType w:val="hybridMultilevel"/>
    <w:lvl w:ilvl="0">
      <w:lvlJc w:val="left"/>
      <w:lvlText w:val="(%1)"/>
      <w:numFmt w:val="lowerLetter"/>
      <w:start w:val="1"/>
    </w:lvl>
    <w:lvl w:ilvl="1">
      <w:lvlJc w:val="left"/>
      <w:lvlText w:val="(%2)"/>
      <w:numFmt w:val="lowerLetter"/>
      <w:start w:val="24"/>
    </w:lvl>
    <w:lvl w:ilvl="2">
      <w:lvlJc w:val="left"/>
      <w:lvlText w:val="-"/>
      <w:numFmt w:val="bullet"/>
      <w:start w:val="1"/>
    </w:lvl>
  </w:abstractNum>
  <w:abstractNum w:abstractNumId="98">
    <w:nsid w:val="3A966CD0"/>
    <w:multiLevelType w:val="hybridMultilevel"/>
    <w:lvl w:ilvl="0">
      <w:lvlJc w:val="left"/>
      <w:lvlText w:val="(%1)"/>
      <w:numFmt w:val="lowerLetter"/>
      <w:start w:val="2"/>
    </w:lvl>
    <w:lvl w:ilvl="1">
      <w:lvlJc w:val="left"/>
      <w:lvlText w:val="(%2)"/>
      <w:numFmt w:val="lowerLetter"/>
      <w:start w:val="24"/>
    </w:lvl>
  </w:abstractNum>
  <w:abstractNum w:abstractNumId="99">
    <w:nsid w:val="63F37E85"/>
    <w:multiLevelType w:val="hybridMultilevel"/>
    <w:lvl w:ilvl="0">
      <w:lvlJc w:val="left"/>
      <w:lvlText w:val="(%1)"/>
      <w:numFmt w:val="lowerRoman"/>
      <w:start w:val="3"/>
    </w:lvl>
  </w:abstractNum>
  <w:abstractNum w:abstractNumId="100">
    <w:nsid w:val="5895F5FA"/>
    <w:multiLevelType w:val="hybridMultilevel"/>
    <w:lvl w:ilvl="0">
      <w:lvlJc w:val="left"/>
      <w:lvlText w:val="(%1)"/>
      <w:numFmt w:val="lowerLetter"/>
      <w:start w:val="1"/>
    </w:lvl>
    <w:lvl w:ilvl="1">
      <w:lvlJc w:val="left"/>
      <w:lvlText w:val="-"/>
      <w:numFmt w:val="bullet"/>
      <w:start w:val="1"/>
    </w:lvl>
  </w:abstractNum>
  <w:abstractNum w:abstractNumId="101">
    <w:nsid w:val="38A5D054"/>
    <w:multiLevelType w:val="hybridMultilevel"/>
    <w:lvl w:ilvl="0">
      <w:lvlJc w:val="left"/>
      <w:lvlText w:val="%1"/>
      <w:numFmt w:val="decimal"/>
      <w:start w:val="1"/>
    </w:lvl>
    <w:lvl w:ilvl="1">
      <w:lvlJc w:val="left"/>
      <w:lvlText w:val="(%2)"/>
      <w:numFmt w:val="lowerLetter"/>
      <w:start w:val="3"/>
    </w:lvl>
    <w:lvl w:ilvl="2">
      <w:lvlJc w:val="left"/>
      <w:lvlText w:val="-"/>
      <w:numFmt w:val="bullet"/>
      <w:start w:val="1"/>
    </w:lvl>
  </w:abstractNum>
  <w:abstractNum w:abstractNumId="102">
    <w:nsid w:val="F3F09D8"/>
    <w:multiLevelType w:val="hybridMultilevel"/>
    <w:lvl w:ilvl="0">
      <w:lvlJc w:val="left"/>
      <w:lvlText w:val="(%1)"/>
      <w:numFmt w:val="decimal"/>
      <w:start w:val="15"/>
    </w:lvl>
    <w:lvl w:ilvl="1">
      <w:lvlJc w:val="left"/>
      <w:lvlText w:val="(%2)"/>
      <w:numFmt w:val="lowerLetter"/>
      <w:start w:val="8"/>
    </w:lvl>
    <w:lvl w:ilvl="2">
      <w:lvlJc w:val="left"/>
      <w:lvlText w:val="-"/>
      <w:numFmt w:val="bullet"/>
      <w:start w:val="1"/>
    </w:lvl>
  </w:abstractNum>
  <w:abstractNum w:abstractNumId="103">
    <w:nsid w:val="4B793735"/>
    <w:multiLevelType w:val="hybridMultilevel"/>
    <w:lvl w:ilvl="0">
      <w:lvlJc w:val="left"/>
      <w:lvlText w:val="(%1)"/>
      <w:numFmt w:val="lowerLetter"/>
      <w:start w:val="11"/>
    </w:lvl>
    <w:lvl w:ilvl="1">
      <w:lvlJc w:val="left"/>
      <w:lvlText w:val="-"/>
      <w:numFmt w:val="bullet"/>
      <w:start w:val="1"/>
    </w:lvl>
  </w:abstractNum>
  <w:abstractNum w:abstractNumId="104">
    <w:nsid w:val="4A10B4E8"/>
    <w:multiLevelType w:val="hybridMultilevel"/>
    <w:lvl w:ilvl="0">
      <w:lvlJc w:val="left"/>
      <w:lvlText w:val="(%1)"/>
      <w:numFmt w:val="lowerLetter"/>
      <w:start w:val="20"/>
    </w:lvl>
  </w:abstractNum>
  <w:abstractNum w:abstractNumId="105">
    <w:nsid w:val="43D3BCD4"/>
    <w:multiLevelType w:val="hybridMultilevel"/>
    <w:lvl w:ilvl="0">
      <w:lvlJc w:val="left"/>
      <w:lvlText w:val="(%1)"/>
      <w:numFmt w:val="lowerLetter"/>
      <w:start w:val="1"/>
    </w:lvl>
  </w:abstractNum>
  <w:abstractNum w:abstractNumId="106">
    <w:nsid w:val="4C2A7166"/>
    <w:multiLevelType w:val="hybridMultilevel"/>
    <w:lvl w:ilvl="0">
      <w:lvlJc w:val="left"/>
      <w:lvlText w:val="(%1)"/>
      <w:numFmt w:val="lowerLetter"/>
      <w:start w:val="1"/>
    </w:lvl>
    <w:lvl w:ilvl="1">
      <w:lvlJc w:val="left"/>
      <w:lvlText w:val="-"/>
      <w:numFmt w:val="bullet"/>
      <w:start w:val="1"/>
    </w:lvl>
  </w:abstractNum>
  <w:abstractNum w:abstractNumId="107">
    <w:nsid w:val="2E534A82"/>
    <w:multiLevelType w:val="hybridMultilevel"/>
    <w:lvl w:ilvl="0">
      <w:lvlJc w:val="left"/>
      <w:lvlText w:val="(%1)"/>
      <w:numFmt w:val="lowerLetter"/>
      <w:start w:val="6"/>
    </w:lvl>
  </w:abstractNum>
  <w:abstractNum w:abstractNumId="108">
    <w:nsid w:val="26F2D364"/>
    <w:multiLevelType w:val="hybridMultilevel"/>
    <w:lvl w:ilvl="0">
      <w:lvlJc w:val="left"/>
      <w:lvlText w:val="(%1)"/>
      <w:numFmt w:val="lowerLetter"/>
      <w:start w:val="1"/>
    </w:lvl>
  </w:abstractNum>
  <w:abstractNum w:abstractNumId="109">
    <w:nsid w:val="71C1AF98"/>
    <w:multiLevelType w:val="hybridMultilevel"/>
    <w:lvl w:ilvl="0">
      <w:lvlJc w:val="left"/>
      <w:lvlText w:val="(%1)"/>
      <w:numFmt w:val="lowerLetter"/>
      <w:start w:val="2"/>
    </w:lvl>
    <w:lvl w:ilvl="1">
      <w:lvlJc w:val="left"/>
      <w:lvlText w:val="-"/>
      <w:numFmt w:val="bullet"/>
      <w:start w:val="1"/>
    </w:lvl>
  </w:abstractNum>
  <w:abstractNum w:abstractNumId="110">
    <w:nsid w:val="3D00B9D9"/>
    <w:multiLevelType w:val="hybridMultilevel"/>
    <w:lvl w:ilvl="0">
      <w:lvlJc w:val="left"/>
      <w:lvlText w:val="%1"/>
      <w:numFmt w:val="upperLetter"/>
      <w:start w:val="1"/>
    </w:lvl>
    <w:lvl w:ilvl="1">
      <w:lvlJc w:val="left"/>
      <w:lvlText w:val="(%2)"/>
      <w:numFmt w:val="lowerRoman"/>
      <w:start w:val="1"/>
    </w:lvl>
    <w:lvl w:ilvl="2">
      <w:lvlJc w:val="left"/>
      <w:lvlText w:val="-"/>
      <w:numFmt w:val="bullet"/>
      <w:start w:val="1"/>
    </w:lvl>
  </w:abstractNum>
  <w:abstractNum w:abstractNumId="111">
    <w:nsid w:val="15BCABA8"/>
    <w:multiLevelType w:val="hybridMultilevel"/>
    <w:lvl w:ilvl="0">
      <w:lvlJc w:val="left"/>
      <w:lvlText w:val="(%1)"/>
      <w:numFmt w:val="upperLetter"/>
      <w:start w:val="2"/>
    </w:lvl>
    <w:lvl w:ilvl="1">
      <w:lvlJc w:val="left"/>
      <w:lvlText w:val="(%2)"/>
      <w:numFmt w:val="lowerRoman"/>
      <w:start w:val="2"/>
    </w:lvl>
    <w:lvl w:ilvl="2">
      <w:lvlJc w:val="left"/>
      <w:lvlText w:val="-"/>
      <w:numFmt w:val="bullet"/>
      <w:start w:val="1"/>
    </w:lvl>
  </w:abstractNum>
  <w:abstractNum w:abstractNumId="112">
    <w:nsid w:val="4E0B9A87"/>
    <w:multiLevelType w:val="hybridMultilevel"/>
    <w:lvl w:ilvl="0">
      <w:lvlJc w:val="left"/>
      <w:lvlText w:val="%1"/>
      <w:numFmt w:val="upperLetter"/>
      <w:start w:val="1"/>
    </w:lvl>
    <w:lvl w:ilvl="1">
      <w:lvlJc w:val="left"/>
      <w:lvlText w:val="(%2)"/>
      <w:numFmt w:val="lowerRoman"/>
      <w:start w:val="3"/>
    </w:lvl>
  </w:abstractNum>
  <w:abstractNum w:abstractNumId="113">
    <w:nsid w:val="434BAE75"/>
    <w:multiLevelType w:val="hybridMultilevel"/>
    <w:lvl w:ilvl="0">
      <w:lvlJc w:val="left"/>
      <w:lvlText w:val="(%1)"/>
      <w:numFmt w:val="upperLetter"/>
      <w:start w:val="3"/>
    </w:lvl>
    <w:lvl w:ilvl="1">
      <w:lvlJc w:val="left"/>
      <w:lvlText w:val="(%2)"/>
      <w:numFmt w:val="lowerRoman"/>
      <w:start w:val="4"/>
    </w:lvl>
  </w:abstractNum>
  <w:abstractNum w:abstractNumId="114">
    <w:nsid w:val="4F38F265"/>
    <w:multiLevelType w:val="hybridMultilevel"/>
    <w:lvl w:ilvl="0">
      <w:lvlJc w:val="left"/>
      <w:lvlText w:val="(%1)"/>
      <w:numFmt w:val="lowerLetter"/>
      <w:start w:val="1"/>
    </w:lvl>
    <w:lvl w:ilvl="1">
      <w:lvlJc w:val="left"/>
      <w:lvlText w:val="-"/>
      <w:numFmt w:val="bullet"/>
      <w:start w:val="1"/>
    </w:lvl>
  </w:abstractNum>
  <w:abstractNum w:abstractNumId="115">
    <w:nsid w:val="4C502870"/>
    <w:multiLevelType w:val="hybridMultilevel"/>
    <w:lvl w:ilvl="0">
      <w:lvlJc w:val="left"/>
      <w:lvlText w:val="%1"/>
      <w:numFmt w:val="lowerLetter"/>
      <w:start w:val="1"/>
    </w:lvl>
    <w:lvl w:ilvl="1">
      <w:lvlJc w:val="left"/>
      <w:lvlText w:val="(%2)"/>
      <w:numFmt w:val="lowerLetter"/>
      <w:start w:val="1"/>
    </w:lvl>
  </w:abstractNum>
  <w:abstractNum w:abstractNumId="116">
    <w:nsid w:val="1DE8725A"/>
    <w:multiLevelType w:val="hybridMultilevel"/>
    <w:lvl w:ilvl="0">
      <w:lvlJc w:val="left"/>
      <w:lvlText w:val="(%1)"/>
      <w:numFmt w:val="lowerLetter"/>
      <w:start w:val="9"/>
    </w:lvl>
    <w:lvl w:ilvl="1">
      <w:lvlJc w:val="left"/>
      <w:lvlText w:val="(%2)"/>
      <w:numFmt w:val="lowerLetter"/>
      <w:start w:val="2"/>
    </w:lvl>
  </w:abstractNum>
  <w:abstractNum w:abstractNumId="117">
    <w:nsid w:val="6A37288A"/>
    <w:multiLevelType w:val="hybridMultilevel"/>
    <w:lvl w:ilvl="0">
      <w:lvlJc w:val="left"/>
      <w:lvlText w:val="(%1)"/>
      <w:numFmt w:val="decimal"/>
      <w:start w:val="2"/>
    </w:lvl>
  </w:abstractNum>
  <w:abstractNum w:abstractNumId="118">
    <w:nsid w:val="8F8B73F"/>
    <w:multiLevelType w:val="hybridMultilevel"/>
    <w:lvl w:ilvl="0">
      <w:lvlJc w:val="left"/>
      <w:lvlText w:val="(%1)"/>
      <w:numFmt w:val="decimal"/>
      <w:start w:val="4"/>
    </w:lvl>
  </w:abstractNum>
  <w:abstractNum w:abstractNumId="119">
    <w:nsid w:val="CA6B462"/>
    <w:multiLevelType w:val="hybridMultilevel"/>
    <w:lvl w:ilvl="0">
      <w:lvlJc w:val="left"/>
      <w:lvlText w:val="(%1)"/>
      <w:numFmt w:val="decimal"/>
      <w:start w:val="6"/>
    </w:lvl>
  </w:abstractNum>
  <w:abstractNum w:abstractNumId="120">
    <w:nsid w:val="763CB680"/>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121">
    <w:nsid w:val="15B71329"/>
    <w:multiLevelType w:val="hybridMultilevel"/>
    <w:lvl w:ilvl="0">
      <w:lvlJc w:val="left"/>
      <w:lvlText w:val="(%1)"/>
      <w:numFmt w:val="lowerLetter"/>
      <w:start w:val="35"/>
    </w:lvl>
    <w:lvl w:ilvl="1">
      <w:lvlJc w:val="left"/>
      <w:lvlText w:val="(%2)"/>
      <w:numFmt w:val="lowerLetter"/>
      <w:start w:val="2"/>
    </w:lvl>
    <w:lvl w:ilvl="2">
      <w:lvlJc w:val="left"/>
      <w:lvlText w:val="(%3)"/>
      <w:numFmt w:val="lowerRoman"/>
      <w:start w:val="1"/>
    </w:lvl>
    <w:lvl w:ilvl="3">
      <w:lvlJc w:val="left"/>
      <w:lvlText w:val="-"/>
      <w:numFmt w:val="bullet"/>
      <w:start w:val="1"/>
    </w:lvl>
  </w:abstractNum>
  <w:abstractNum w:abstractNumId="122">
    <w:nsid w:val="3DA97044"/>
    <w:multiLevelType w:val="hybridMultilevel"/>
    <w:lvl w:ilvl="0">
      <w:lvlJc w:val="left"/>
      <w:lvlText w:val="(%1)"/>
      <w:numFmt w:val="lowerLetter"/>
      <w:start w:val="4"/>
    </w:lvl>
    <w:lvl w:ilvl="1">
      <w:lvlJc w:val="left"/>
      <w:lvlText w:val="(%2)"/>
      <w:numFmt w:val="lowerRoman"/>
      <w:start w:val="1"/>
    </w:lvl>
  </w:abstractNum>
  <w:abstractNum w:abstractNumId="123">
    <w:nsid w:val="1CDCE2DE"/>
    <w:multiLevelType w:val="hybridMultilevel"/>
    <w:lvl w:ilvl="0">
      <w:lvlJc w:val="left"/>
      <w:lvlText w:val="%1"/>
      <w:numFmt w:val="lowerLetter"/>
      <w:start w:val="1"/>
    </w:lvl>
    <w:lvl w:ilvl="1">
      <w:lvlJc w:val="left"/>
      <w:lvlText w:val="(%2)"/>
      <w:numFmt w:val="lowerLetter"/>
      <w:start w:val="5"/>
    </w:lvl>
    <w:lvl w:ilvl="2">
      <w:lvlJc w:val="left"/>
      <w:lvlText w:val="-"/>
      <w:numFmt w:val="bullet"/>
      <w:start w:val="1"/>
    </w:lvl>
  </w:abstractNum>
  <w:abstractNum w:abstractNumId="124">
    <w:nsid w:val="69D3947C"/>
    <w:multiLevelType w:val="hybridMultilevel"/>
    <w:lvl w:ilvl="0">
      <w:lvlJc w:val="left"/>
      <w:lvlText w:val="(%1)"/>
      <w:numFmt w:val="lowerLetter"/>
      <w:start w:val="9"/>
    </w:lvl>
    <w:lvl w:ilvl="1">
      <w:lvlJc w:val="left"/>
      <w:lvlText w:val="%2"/>
      <w:numFmt w:val="lowerLetter"/>
      <w:start w:val="1"/>
    </w:lvl>
    <w:lvl w:ilvl="2">
      <w:lvlJc w:val="left"/>
      <w:lvlText w:val="-"/>
      <w:numFmt w:val="bullet"/>
      <w:start w:val="1"/>
    </w:lvl>
  </w:abstractNum>
  <w:abstractNum w:abstractNumId="125">
    <w:nsid w:val="2539DFA5"/>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lvl w:ilvl="3">
      <w:lvlJc w:val="left"/>
      <w:lvlText w:val="-"/>
      <w:numFmt w:val="bullet"/>
      <w:start w:val="1"/>
    </w:lvl>
  </w:abstractNum>
  <w:abstractNum w:abstractNumId="126">
    <w:nsid w:val="2DB88089"/>
    <w:multiLevelType w:val="hybridMultilevel"/>
    <w:lvl w:ilvl="0">
      <w:lvlJc w:val="left"/>
      <w:lvlText w:val="(%1)"/>
      <w:numFmt w:val="decimal"/>
      <w:start w:val="30"/>
    </w:lvl>
    <w:lvl w:ilvl="1">
      <w:lvlJc w:val="left"/>
      <w:lvlText w:val="(%2)"/>
      <w:numFmt w:val="lowerLetter"/>
      <w:start w:val="9"/>
    </w:lvl>
    <w:lvl w:ilvl="2">
      <w:lvlJc w:val="left"/>
      <w:lvlText w:val="(%3)"/>
      <w:numFmt w:val="lowerRoman"/>
      <w:start w:val="1"/>
    </w:lvl>
    <w:lvl w:ilvl="3">
      <w:lvlJc w:val="left"/>
      <w:lvlText w:val="-"/>
      <w:numFmt w:val="bullet"/>
      <w:start w:val="1"/>
    </w:lvl>
  </w:abstractNum>
  <w:abstractNum w:abstractNumId="127">
    <w:nsid w:val="706B674E"/>
    <w:multiLevelType w:val="hybridMultilevel"/>
    <w:lvl w:ilvl="0">
      <w:lvlJc w:val="left"/>
      <w:lvlText w:val="(%1)"/>
      <w:numFmt w:val="lowerLetter"/>
      <w:start w:val="11"/>
    </w:lvl>
    <w:lvl w:ilvl="1">
      <w:lvlJc w:val="left"/>
      <w:lvlText w:val="(%2)"/>
      <w:numFmt w:val="lowerRoman"/>
      <w:start w:val="1"/>
    </w:lvl>
  </w:abstractNum>
  <w:abstractNum w:abstractNumId="128">
    <w:nsid w:val="2C106A57"/>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29">
    <w:nsid w:val="684EED59"/>
    <w:multiLevelType w:val="hybridMultilevel"/>
    <w:lvl w:ilvl="0">
      <w:lvlJc w:val="left"/>
      <w:lvlText w:val="%1"/>
      <w:numFmt w:val="decimal"/>
      <w:start w:val="1"/>
    </w:lvl>
    <w:lvl w:ilvl="1">
      <w:lvlJc w:val="left"/>
      <w:lvlText w:val="(%2)"/>
      <w:numFmt w:val="lowerRoman"/>
      <w:start w:val="2"/>
    </w:lvl>
  </w:abstractNum>
  <w:abstractNum w:abstractNumId="130">
    <w:nsid w:val="545EE5D3"/>
    <w:multiLevelType w:val="hybridMultilevel"/>
    <w:lvl w:ilvl="0">
      <w:lvlJc w:val="left"/>
      <w:lvlText w:val="(%1)"/>
      <w:numFmt w:val="decimal"/>
      <w:start w:val="1"/>
    </w:lvl>
    <w:lvl w:ilvl="1">
      <w:lvlJc w:val="left"/>
      <w:lvlText w:val="%2"/>
      <w:numFmt w:val="lowerRoman"/>
      <w:start w:val="1"/>
    </w:lvl>
  </w:abstractNum>
  <w:abstractNum w:abstractNumId="131">
    <w:nsid w:val="4A66051"/>
    <w:multiLevelType w:val="hybridMultilevel"/>
    <w:lvl w:ilvl="0">
      <w:lvlJc w:val="left"/>
      <w:lvlText w:val="(%1)"/>
      <w:numFmt w:val="lowerLetter"/>
      <w:start w:val="2"/>
    </w:lvl>
  </w:abstractNum>
  <w:abstractNum w:abstractNumId="132">
    <w:nsid w:val="20F4BDAD"/>
    <w:multiLevelType w:val="hybridMultilevel"/>
    <w:lvl w:ilvl="0">
      <w:lvlJc w:val="left"/>
      <w:lvlText w:val="(%1)"/>
      <w:numFmt w:val="lowerLetter"/>
      <w:start w:val="1"/>
    </w:lvl>
    <w:lvl w:ilvl="1">
      <w:lvlJc w:val="left"/>
      <w:lvlText w:val="-"/>
      <w:numFmt w:val="bullet"/>
      <w:start w:val="1"/>
    </w:lvl>
  </w:abstractNum>
  <w:abstractNum w:abstractNumId="133">
    <w:nsid w:val="639DEFAC"/>
    <w:multiLevelType w:val="hybridMultilevel"/>
    <w:lvl w:ilvl="0">
      <w:lvlJc w:val="left"/>
      <w:lvlText w:val="(%1)"/>
      <w:numFmt w:val="lowerLetter"/>
      <w:start w:val="1"/>
    </w:lvl>
    <w:lvl w:ilvl="1">
      <w:lvlJc w:val="left"/>
      <w:lvlText w:val="-"/>
      <w:numFmt w:val="bullet"/>
      <w:start w:val="1"/>
    </w:lvl>
  </w:abstractNum>
  <w:abstractNum w:abstractNumId="134">
    <w:nsid w:val="501F9786"/>
    <w:multiLevelType w:val="hybridMultilevel"/>
    <w:lvl w:ilvl="0">
      <w:lvlJc w:val="left"/>
      <w:lvlText w:val="(%1)"/>
      <w:numFmt w:val="lowerLetter"/>
      <w:start w:val="6"/>
    </w:lvl>
  </w:abstractNum>
  <w:abstractNum w:abstractNumId="135">
    <w:nsid w:val="6B057295"/>
    <w:multiLevelType w:val="hybridMultilevel"/>
    <w:lvl w:ilvl="0">
      <w:lvlJc w:val="left"/>
      <w:lvlText w:val="(%1)"/>
      <w:numFmt w:val="lowerLetter"/>
      <w:start w:val="1"/>
    </w:lvl>
    <w:lvl w:ilvl="1">
      <w:lvlJc w:val="left"/>
      <w:lvlText w:val="-"/>
      <w:numFmt w:val="bullet"/>
      <w:start w:val="1"/>
    </w:lvl>
  </w:abstractNum>
  <w:abstractNum w:abstractNumId="136">
    <w:nsid w:val="2771AC80"/>
    <w:multiLevelType w:val="hybridMultilevel"/>
    <w:lvl w:ilvl="0">
      <w:lvlJc w:val="left"/>
      <w:lvlText w:val="(%1)"/>
      <w:numFmt w:val="lowerLetter"/>
      <w:start w:val="2"/>
    </w:lvl>
  </w:abstractNum>
  <w:abstractNum w:abstractNumId="137">
    <w:nsid w:val="1C4A08EC"/>
    <w:multiLevelType w:val="hybridMultilevel"/>
    <w:lvl w:ilvl="0">
      <w:lvlJc w:val="left"/>
      <w:lvlText w:val="(%1)"/>
      <w:numFmt w:val="decimal"/>
      <w:start w:val="10"/>
    </w:lvl>
    <w:lvl w:ilvl="1">
      <w:lvlJc w:val="left"/>
      <w:lvlText w:val="-"/>
      <w:numFmt w:val="bullet"/>
      <w:start w:val="1"/>
    </w:lvl>
  </w:abstractNum>
  <w:abstractNum w:abstractNumId="138">
    <w:nsid w:val="1958BD17"/>
    <w:multiLevelType w:val="hybridMultilevel"/>
    <w:lvl w:ilvl="0">
      <w:lvlJc w:val="left"/>
      <w:lvlText w:val="(%1)"/>
      <w:numFmt w:val="lowerRoman"/>
      <w:start w:val="1"/>
    </w:lvl>
    <w:lvl w:ilvl="1">
      <w:lvlJc w:val="left"/>
      <w:lvlText w:val="-"/>
      <w:numFmt w:val="bullet"/>
      <w:start w:val="1"/>
    </w:lvl>
  </w:abstractNum>
  <w:abstractNum w:abstractNumId="139">
    <w:nsid w:val="4E647FE4"/>
    <w:multiLevelType w:val="hybridMultilevel"/>
    <w:lvl w:ilvl="0">
      <w:lvlJc w:val="left"/>
      <w:lvlText w:val="(%1)"/>
      <w:numFmt w:val="lowerLetter"/>
      <w:start w:val="1"/>
    </w:lvl>
    <w:lvl w:ilvl="1">
      <w:lvlJc w:val="left"/>
      <w:lvlText w:val="-"/>
      <w:numFmt w:val="bullet"/>
      <w:start w:val="1"/>
    </w:lvl>
  </w:abstractNum>
  <w:abstractNum w:abstractNumId="140">
    <w:nsid w:val="E0BB885"/>
    <w:multiLevelType w:val="hybridMultilevel"/>
    <w:lvl w:ilvl="0">
      <w:lvlJc w:val="left"/>
      <w:lvlText w:val="(%1)"/>
      <w:numFmt w:val="lowerLetter"/>
      <w:start w:val="2"/>
    </w:lvl>
    <w:lvl w:ilvl="1">
      <w:lvlJc w:val="left"/>
      <w:lvlText w:val="-"/>
      <w:numFmt w:val="bullet"/>
      <w:start w:val="1"/>
    </w:lvl>
  </w:abstractNum>
  <w:abstractNum w:abstractNumId="141">
    <w:nsid w:val="565976F1"/>
    <w:multiLevelType w:val="hybridMultilevel"/>
    <w:lvl w:ilvl="0">
      <w:lvlJc w:val="left"/>
      <w:lvlText w:val="(%1)"/>
      <w:numFmt w:val="lowerLetter"/>
      <w:start w:val="6"/>
    </w:lvl>
  </w:abstractNum>
  <w:abstractNum w:abstractNumId="142">
    <w:nsid w:val="64212B8C"/>
    <w:multiLevelType w:val="hybridMultilevel"/>
    <w:lvl w:ilvl="0">
      <w:lvlJc w:val="left"/>
      <w:lvlText w:val="(%1)"/>
      <w:numFmt w:val="lowerRoman"/>
      <w:start w:val="1"/>
    </w:lvl>
    <w:lvl w:ilvl="1">
      <w:lvlJc w:val="left"/>
      <w:lvlText w:val="-"/>
      <w:numFmt w:val="bullet"/>
      <w:start w:val="1"/>
    </w:lvl>
  </w:abstractNum>
  <w:abstractNum w:abstractNumId="143">
    <w:nsid w:val="5C17530C"/>
    <w:multiLevelType w:val="hybridMultilevel"/>
    <w:lvl w:ilvl="0">
      <w:lvlJc w:val="left"/>
      <w:lvlText w:val="(%1)"/>
      <w:numFmt w:val="lowerLetter"/>
      <w:start w:val="1"/>
    </w:lvl>
    <w:lvl w:ilvl="1">
      <w:lvlJc w:val="left"/>
      <w:lvlText w:val="-"/>
      <w:numFmt w:val="bullet"/>
      <w:start w:val="1"/>
    </w:lvl>
  </w:abstractNum>
  <w:abstractNum w:abstractNumId="144">
    <w:nsid w:val="19A52566"/>
    <w:multiLevelType w:val="hybridMultilevel"/>
    <w:lvl w:ilvl="0">
      <w:lvlJc w:val="left"/>
      <w:lvlText w:val="(%1)"/>
      <w:numFmt w:val="lowerLetter"/>
      <w:start w:val="2"/>
    </w:lvl>
  </w:abstractNum>
  <w:abstractNum w:abstractNumId="145">
    <w:nsid w:val="335A1DF1"/>
    <w:multiLevelType w:val="hybridMultilevel"/>
    <w:lvl w:ilvl="0">
      <w:lvlJc w:val="left"/>
      <w:lvlText w:val="(%1)"/>
      <w:numFmt w:val="lowerLetter"/>
      <w:start w:val="1"/>
    </w:lvl>
    <w:lvl w:ilvl="1">
      <w:lvlJc w:val="left"/>
      <w:lvlText w:val="-"/>
      <w:numFmt w:val="bullet"/>
      <w:start w:val="1"/>
    </w:lvl>
  </w:abstractNum>
  <w:abstractNum w:abstractNumId="146">
    <w:nsid w:val="28677B7C"/>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lvl w:ilvl="3">
      <w:lvlJc w:val="left"/>
      <w:lvlText w:val="-"/>
      <w:numFmt w:val="bullet"/>
      <w:start w:val="1"/>
    </w:lvl>
  </w:abstractNum>
  <w:abstractNum w:abstractNumId="147">
    <w:nsid w:val="378D97C0"/>
    <w:multiLevelType w:val="hybridMultilevel"/>
    <w:lvl w:ilvl="0">
      <w:lvlJc w:val="left"/>
      <w:lvlText w:val="%1"/>
      <w:numFmt w:val="lowerRoman"/>
      <w:start w:val="1"/>
    </w:lvl>
    <w:lvl w:ilvl="1">
      <w:lvlJc w:val="left"/>
      <w:lvlText w:val="(%2)"/>
      <w:numFmt w:val="upperLetter"/>
      <w:start w:val="2"/>
    </w:lvl>
  </w:abstractNum>
  <w:abstractNum w:abstractNumId="148">
    <w:nsid w:val="1D91467C"/>
    <w:multiLevelType w:val="hybridMultilevel"/>
    <w:lvl w:ilvl="0">
      <w:lvlJc w:val="left"/>
      <w:lvlText w:val="(%1)"/>
      <w:numFmt w:val="lowerRoman"/>
      <w:start w:val="4"/>
    </w:lvl>
    <w:lvl w:ilvl="1">
      <w:lvlJc w:val="left"/>
      <w:lvlText w:val="%2"/>
      <w:numFmt w:val="upperLetter"/>
      <w:start w:val="1"/>
    </w:lvl>
  </w:abstractNum>
  <w:abstractNum w:abstractNumId="149">
    <w:nsid w:val="316032BB"/>
    <w:multiLevelType w:val="hybridMultilevel"/>
    <w:lvl w:ilvl="0">
      <w:lvlJc w:val="left"/>
      <w:lvlText w:val="(%1)"/>
      <w:numFmt w:val="lowerLetter"/>
      <w:start w:val="3"/>
    </w:lvl>
    <w:lvl w:ilvl="1">
      <w:lvlJc w:val="left"/>
      <w:lvlText w:val="-"/>
      <w:numFmt w:val="bullet"/>
      <w:start w:val="1"/>
    </w:lvl>
  </w:abstractNum>
  <w:abstractNum w:abstractNumId="150">
    <w:nsid w:val="44344C22"/>
    <w:multiLevelType w:val="hybridMultilevel"/>
    <w:lvl w:ilvl="0">
      <w:lvlJc w:val="left"/>
      <w:lvlText w:val="(%1)"/>
      <w:numFmt w:val="lowerLetter"/>
      <w:start w:val="4"/>
    </w:lvl>
    <w:lvl w:ilvl="1">
      <w:lvlJc w:val="left"/>
      <w:lvlText w:val="-"/>
      <w:numFmt w:val="bullet"/>
      <w:start w:val="1"/>
    </w:lvl>
  </w:abstractNum>
  <w:abstractNum w:abstractNumId="151">
    <w:nsid w:val="13CDFCFC"/>
    <w:multiLevelType w:val="hybridMultilevel"/>
    <w:lvl w:ilvl="0">
      <w:lvlJc w:val="left"/>
      <w:lvlText w:val="(%1)"/>
      <w:numFmt w:val="lowerLetter"/>
      <w:start w:val="7"/>
    </w:lvl>
    <w:lvl w:ilvl="1">
      <w:lvlJc w:val="left"/>
      <w:lvlText w:val="-"/>
      <w:numFmt w:val="bullet"/>
      <w:start w:val="1"/>
    </w:lvl>
  </w:abstractNum>
  <w:abstractNum w:abstractNumId="152">
    <w:nsid w:val="471745E4"/>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53">
    <w:nsid w:val="1DDBC66"/>
    <w:multiLevelType w:val="hybridMultilevel"/>
    <w:lvl w:ilvl="0">
      <w:lvlJc w:val="left"/>
      <w:lvlText w:val="(%1)"/>
      <w:numFmt w:val="lowerLetter"/>
      <w:start w:val="61"/>
    </w:lvl>
    <w:lvl w:ilvl="1">
      <w:lvlJc w:val="left"/>
      <w:lvlText w:val="(%2)"/>
      <w:numFmt w:val="lowerLetter"/>
      <w:start w:val="2"/>
    </w:lvl>
    <w:lvl w:ilvl="2">
      <w:lvlJc w:val="left"/>
      <w:lvlText w:val="(%3)"/>
      <w:numFmt w:val="lowerRoman"/>
      <w:start w:val="1"/>
    </w:lvl>
  </w:abstractNum>
  <w:abstractNum w:abstractNumId="154">
    <w:nsid w:val="30AADFDA"/>
    <w:multiLevelType w:val="hybridMultilevel"/>
    <w:lvl w:ilvl="0">
      <w:lvlJc w:val="left"/>
      <w:lvlText w:val="(%1)"/>
      <w:numFmt w:val="lowerRoman"/>
      <w:start w:val="6"/>
    </w:lvl>
    <w:lvl w:ilvl="1">
      <w:lvlJc w:val="left"/>
      <w:lvlText w:val="-"/>
      <w:numFmt w:val="bullet"/>
      <w:start w:val="1"/>
    </w:lvl>
  </w:abstractNum>
  <w:abstractNum w:abstractNumId="155">
    <w:nsid w:val="30EADA61"/>
    <w:multiLevelType w:val="hybridMultilevel"/>
    <w:lvl w:ilvl="0">
      <w:lvlJc w:val="left"/>
      <w:lvlText w:val="(%1)"/>
      <w:numFmt w:val="lowerLetter"/>
      <w:start w:val="4"/>
    </w:lvl>
  </w:abstractNum>
  <w:abstractNum w:abstractNumId="156">
    <w:nsid w:val="27179C0B"/>
    <w:multiLevelType w:val="hybridMultilevel"/>
    <w:lvl w:ilvl="0">
      <w:lvlJc w:val="left"/>
      <w:lvlText w:val="(%1)"/>
      <w:numFmt w:val="lowerLetter"/>
      <w:start w:val="1"/>
    </w:lvl>
    <w:lvl w:ilvl="1">
      <w:lvlJc w:val="left"/>
      <w:lvlText w:val="-"/>
      <w:numFmt w:val="bullet"/>
      <w:start w:val="1"/>
    </w:lvl>
  </w:abstractNum>
  <w:abstractNum w:abstractNumId="157">
    <w:nsid w:val="5E636063"/>
    <w:multiLevelType w:val="hybridMultilevel"/>
    <w:lvl w:ilvl="0">
      <w:lvlJc w:val="left"/>
      <w:lvlText w:val="(%1)"/>
      <w:numFmt w:val="lowerLetter"/>
      <w:start w:val="2"/>
    </w:lvl>
    <w:lvl w:ilvl="1">
      <w:lvlJc w:val="left"/>
      <w:lvlText w:val="-"/>
      <w:numFmt w:val="bullet"/>
      <w:start w:val="1"/>
    </w:lvl>
  </w:abstractNum>
  <w:abstractNum w:abstractNumId="158">
    <w:nsid w:val="215641AF"/>
    <w:multiLevelType w:val="hybridMultilevel"/>
    <w:lvl w:ilvl="0">
      <w:lvlJc w:val="left"/>
      <w:lvlText w:val="%1"/>
      <w:numFmt w:val="lowerLetter"/>
      <w:start w:val="1"/>
    </w:lvl>
    <w:lvl w:ilvl="1">
      <w:lvlJc w:val="left"/>
      <w:lvlText w:val="(%2)"/>
      <w:numFmt w:val="lowerLetter"/>
      <w:start w:val="5"/>
    </w:lvl>
  </w:abstractNum>
  <w:abstractNum w:abstractNumId="159">
    <w:nsid w:val="53280662"/>
    <w:multiLevelType w:val="hybridMultilevel"/>
    <w:lvl w:ilvl="0">
      <w:lvlJc w:val="left"/>
      <w:lvlText w:val="(%1)"/>
      <w:numFmt w:val="lowerLetter"/>
      <w:start w:val="24"/>
    </w:lvl>
    <w:lvl w:ilvl="1">
      <w:lvlJc w:val="left"/>
      <w:lvlText w:val="(%2)"/>
      <w:numFmt w:val="lowerLetter"/>
      <w:start w:val="6"/>
    </w:lvl>
  </w:abstractNum>
  <w:abstractNum w:abstractNumId="160">
    <w:nsid w:val="46B24DBC"/>
    <w:multiLevelType w:val="hybridMultilevel"/>
    <w:lvl w:ilvl="0">
      <w:lvlJc w:val="left"/>
      <w:lvlText w:val="%1"/>
      <w:numFmt w:val="upperLetter"/>
      <w:start w:val="1"/>
    </w:lvl>
    <w:lvl w:ilvl="1">
      <w:lvlJc w:val="left"/>
      <w:lvlText w:val="(%2)"/>
      <w:numFmt w:val="lowerLetter"/>
      <w:start w:val="1"/>
    </w:lvl>
    <w:lvl w:ilvl="2">
      <w:lvlJc w:val="left"/>
      <w:lvlText w:val="-"/>
      <w:numFmt w:val="bullet"/>
      <w:start w:val="1"/>
    </w:lvl>
  </w:abstractNum>
  <w:abstractNum w:abstractNumId="161">
    <w:nsid w:val="75B52783"/>
    <w:multiLevelType w:val="hybridMultilevel"/>
    <w:lvl w:ilvl="0">
      <w:lvlJc w:val="left"/>
      <w:lvlText w:val="(%1)"/>
      <w:numFmt w:val="upperLetter"/>
      <w:start w:val="1"/>
    </w:lvl>
    <w:lvl w:ilvl="1">
      <w:lvlJc w:val="left"/>
      <w:lvlText w:val="%2"/>
      <w:numFmt w:val="lowerLetter"/>
      <w:start w:val="1"/>
    </w:lvl>
    <w:lvl w:ilvl="2">
      <w:lvlJc w:val="left"/>
      <w:lvlText w:val="-"/>
      <w:numFmt w:val="bullet"/>
      <w:start w:val="1"/>
    </w:lvl>
  </w:abstractNum>
  <w:abstractNum w:abstractNumId="162">
    <w:nsid w:val="57CE66B4"/>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63">
    <w:nsid w:val="67A70B69"/>
    <w:multiLevelType w:val="hybridMultilevel"/>
    <w:lvl w:ilvl="0">
      <w:lvlJc w:val="left"/>
      <w:lvlText w:val="(%1)"/>
      <w:numFmt w:val="lowerLetter"/>
      <w:start w:val="1"/>
    </w:lvl>
  </w:abstractNum>
  <w:abstractNum w:abstractNumId="164">
    <w:nsid w:val="5953172F"/>
    <w:multiLevelType w:val="hybridMultilevel"/>
    <w:lvl w:ilvl="0">
      <w:lvlJc w:val="left"/>
      <w:lvlText w:val="(%1)"/>
      <w:numFmt w:val="lowerLetter"/>
      <w:start w:val="1"/>
    </w:lvl>
  </w:abstractNum>
  <w:abstractNum w:abstractNumId="165">
    <w:nsid w:val="27EDFE3A"/>
    <w:multiLevelType w:val="hybridMultilevel"/>
    <w:lvl w:ilvl="0">
      <w:lvlJc w:val="left"/>
      <w:lvlText w:val="(%1)"/>
      <w:numFmt w:val="lowerLetter"/>
      <w:start w:val="1"/>
    </w:lvl>
  </w:abstractNum>
  <w:abstractNum w:abstractNumId="166">
    <w:nsid w:val="52AC7DFF"/>
    <w:multiLevelType w:val="hybridMultilevel"/>
    <w:lvl w:ilvl="0">
      <w:lvlJc w:val="left"/>
      <w:lvlText w:val="(%1)"/>
      <w:numFmt w:val="lowerLetter"/>
      <w:start w:val="1"/>
    </w:lvl>
  </w:abstractNum>
  <w:abstractNum w:abstractNumId="167">
    <w:nsid w:val="C4C3AF"/>
    <w:multiLevelType w:val="hybridMultilevel"/>
    <w:lvl w:ilvl="0">
      <w:lvlJc w:val="left"/>
      <w:lvlText w:val="(%1)"/>
      <w:numFmt w:val="lowerLetter"/>
      <w:start w:val="2"/>
    </w:lvl>
  </w:abstractNum>
  <w:abstractNum w:abstractNumId="168">
    <w:nsid w:val="44380727"/>
    <w:multiLevelType w:val="hybridMultilevel"/>
    <w:lvl w:ilvl="0">
      <w:lvlJc w:val="left"/>
      <w:lvlText w:val="(%1)"/>
      <w:numFmt w:val="lowerLetter"/>
      <w:start w:val="1"/>
    </w:lvl>
  </w:abstractNum>
  <w:abstractNum w:abstractNumId="169">
    <w:nsid w:val="6C053B16"/>
    <w:multiLevelType w:val="hybridMultilevel"/>
    <w:lvl w:ilvl="0">
      <w:lvlJc w:val="left"/>
      <w:lvlText w:val="(%1)"/>
      <w:numFmt w:val="lowerLetter"/>
      <w:start w:val="7"/>
    </w:lvl>
    <w:lvl w:ilvl="1">
      <w:lvlJc w:val="left"/>
      <w:lvlText w:val="(%2)"/>
      <w:numFmt w:val="upperLetter"/>
      <w:start w:val="1"/>
    </w:lvl>
  </w:abstractNum>
  <w:abstractNum w:abstractNumId="170">
    <w:nsid w:val="4F294393"/>
    <w:multiLevelType w:val="hybridMultilevel"/>
    <w:lvl w:ilvl="0">
      <w:lvlJc w:val="left"/>
      <w:lvlText w:val="(%1)"/>
      <w:numFmt w:val="upperLetter"/>
      <w:start w:val="4"/>
    </w:lvl>
  </w:abstractNum>
  <w:abstractNum w:abstractNumId="171">
    <w:nsid w:val="5243BFAC"/>
    <w:multiLevelType w:val="hybridMultilevel"/>
    <w:lvl w:ilvl="0">
      <w:lvlJc w:val="left"/>
      <w:lvlText w:val="(%1)"/>
      <w:numFmt w:val="lowerLetter"/>
      <w:start w:val="1"/>
    </w:lvl>
  </w:abstractNum>
  <w:abstractNum w:abstractNumId="172">
    <w:nsid w:val="425EB207"/>
    <w:multiLevelType w:val="hybridMultilevel"/>
    <w:lvl w:ilvl="0">
      <w:lvlJc w:val="left"/>
      <w:lvlText w:val="(%1)"/>
      <w:numFmt w:val="lowerLetter"/>
      <w:start w:val="4"/>
    </w:lvl>
  </w:abstractNum>
  <w:abstractNum w:abstractNumId="173">
    <w:nsid w:val="334A6F1F"/>
    <w:multiLevelType w:val="hybridMultilevel"/>
    <w:lvl w:ilvl="0">
      <w:lvlJc w:val="left"/>
      <w:lvlText w:val="(%1)"/>
      <w:numFmt w:val="lowerLetter"/>
      <w:start w:val="1"/>
    </w:lvl>
  </w:abstractNum>
  <w:abstractNum w:abstractNumId="174">
    <w:nsid w:val="2E5B12B8"/>
    <w:multiLevelType w:val="hybridMultilevel"/>
    <w:lvl w:ilvl="0">
      <w:lvlJc w:val="left"/>
      <w:lvlText w:val="(%1)"/>
      <w:numFmt w:val="decimal"/>
      <w:start w:val="1"/>
    </w:lvl>
  </w:abstractNum>
  <w:abstractNum w:abstractNumId="175">
    <w:nsid w:val="5C03D76D"/>
    <w:multiLevelType w:val="hybridMultilevel"/>
    <w:lvl w:ilvl="0">
      <w:lvlJc w:val="left"/>
      <w:lvlText w:val="(%1)"/>
      <w:numFmt w:val="decimal"/>
      <w:start w:val="1"/>
    </w:lvl>
    <w:lvl w:ilvl="1">
      <w:lvlJc w:val="left"/>
      <w:lvlText w:val="(%2)"/>
      <w:numFmt w:val="lowerLetter"/>
      <w:start w:val="1"/>
    </w:lvl>
  </w:abstractNum>
  <w:abstractNum w:abstractNumId="176">
    <w:nsid w:val="66A48D11"/>
    <w:multiLevelType w:val="hybridMultilevel"/>
    <w:lvl w:ilvl="0">
      <w:lvlJc w:val="left"/>
      <w:lvlText w:val="%1"/>
      <w:numFmt w:val="decimal"/>
      <w:start w:val="1"/>
    </w:lvl>
    <w:lvl w:ilvl="1">
      <w:lvlJc w:val="left"/>
      <w:lvlText w:val="(%2)"/>
      <w:numFmt w:val="lowerLetter"/>
      <w:start w:val="2"/>
    </w:lvl>
  </w:abstractNum>
  <w:abstractNum w:abstractNumId="177">
    <w:nsid w:val="56C28E34"/>
    <w:multiLevelType w:val="hybridMultilevel"/>
    <w:lvl w:ilvl="0">
      <w:lvlJc w:val="left"/>
      <w:lvlText w:val="(%1)"/>
      <w:numFmt w:val="decimal"/>
      <w:start w:val="2"/>
    </w:lvl>
    <w:lvl w:ilvl="1">
      <w:lvlJc w:val="left"/>
      <w:lvlText w:val="%2"/>
      <w:numFmt w:val="lowerLetter"/>
      <w:start w:val="1"/>
    </w:lvl>
  </w:abstractNum>
  <w:abstractNum w:abstractNumId="178">
    <w:nsid w:val="13916F2D"/>
    <w:multiLevelType w:val="hybridMultilevel"/>
    <w:lvl w:ilvl="0">
      <w:lvlJc w:val="left"/>
      <w:lvlText w:val="(%1)"/>
      <w:numFmt w:val="lowerLetter"/>
      <w:start w:val="1"/>
    </w:lvl>
  </w:abstractNum>
  <w:abstractNum w:abstractNumId="179">
    <w:nsid w:val="435D38D"/>
    <w:multiLevelType w:val="hybridMultilevel"/>
    <w:lvl w:ilvl="0">
      <w:lvlJc w:val="left"/>
      <w:lvlText w:val="(%1)"/>
      <w:numFmt w:val="decimal"/>
      <w:start w:val="3"/>
    </w:lvl>
  </w:abstractNum>
  <w:abstractNum w:abstractNumId="180">
    <w:nsid w:val="822C0EF"/>
    <w:multiLevelType w:val="hybridMultilevel"/>
    <w:lvl w:ilvl="0">
      <w:lvlJc w:val="left"/>
      <w:lvlText w:val="(%1)"/>
      <w:numFmt w:val="lowerLetter"/>
      <w:start w:val="1"/>
    </w:lvl>
  </w:abstractNum>
  <w:abstractNum w:abstractNumId="181">
    <w:nsid w:val="57C5BB4F"/>
    <w:multiLevelType w:val="hybridMultilevel"/>
    <w:lvl w:ilvl="0">
      <w:lvlJc w:val="left"/>
      <w:lvlText w:val="(%1)"/>
      <w:numFmt w:val="lowerLetter"/>
      <w:start w:val="1"/>
    </w:lvl>
  </w:abstractNum>
  <w:abstractNum w:abstractNumId="182">
    <w:nsid w:val="1803D089"/>
    <w:multiLevelType w:val="hybridMultilevel"/>
    <w:lvl w:ilvl="0">
      <w:lvlJc w:val="left"/>
      <w:lvlText w:val="(%1)"/>
      <w:numFmt w:val="lowerLetter"/>
      <w:start w:val="1"/>
    </w:lvl>
  </w:abstractNum>
  <w:abstractNum w:abstractNumId="183">
    <w:nsid w:val="4F3A06D4"/>
    <w:multiLevelType w:val="hybridMultilevel"/>
    <w:lvl w:ilvl="0">
      <w:lvlJc w:val="left"/>
      <w:lvlText w:val="(%1)"/>
      <w:numFmt w:val="decimal"/>
      <w:start w:val="1"/>
    </w:lvl>
  </w:abstractNum>
  <w:abstractNum w:abstractNumId="184">
    <w:nsid w:val="59A377B6"/>
    <w:multiLevelType w:val="hybridMultilevel"/>
    <w:lvl w:ilvl="0">
      <w:lvlJc w:val="left"/>
      <w:lvlText w:val="(%1)"/>
      <w:numFmt w:val="lowerLetter"/>
      <w:start w:val="3"/>
    </w:lvl>
  </w:abstractNum>
  <w:abstractNum w:abstractNumId="185">
    <w:nsid w:val="48AEB063"/>
    <w:multiLevelType w:val="hybridMultilevel"/>
    <w:lvl w:ilvl="0">
      <w:lvlJc w:val="left"/>
      <w:lvlText w:val="(%1)"/>
      <w:numFmt w:val="lowerLetter"/>
      <w:start w:val="35"/>
    </w:lvl>
  </w:abstractNum>
  <w:abstractNum w:abstractNumId="186">
    <w:nsid w:val="24E135"/>
    <w:multiLevelType w:val="hybridMultilevel"/>
    <w:lvl w:ilvl="0">
      <w:lvlJc w:val="left"/>
      <w:lvlText w:val="(%1)"/>
      <w:numFmt w:val="lowerLetter"/>
      <w:start w:val="2"/>
    </w:lvl>
  </w:abstractNum>
  <w:abstractNum w:abstractNumId="187">
    <w:nsid w:val="BB13C1"/>
    <w:multiLevelType w:val="hybridMultilevel"/>
    <w:lvl w:ilvl="0">
      <w:lvlJc w:val="left"/>
      <w:lvlText w:val="(%1)"/>
      <w:numFmt w:val="lowerLetter"/>
      <w:start w:val="2"/>
    </w:lvl>
  </w:abstractNum>
  <w:abstractNum w:abstractNumId="188">
    <w:nsid w:val="271210C7"/>
    <w:multiLevelType w:val="hybridMultilevel"/>
    <w:lvl w:ilvl="0">
      <w:lvlJc w:val="left"/>
      <w:lvlText w:val="(%1)"/>
      <w:numFmt w:val="lowerRoman"/>
      <w:start w:val="1"/>
    </w:lvl>
  </w:abstractNum>
  <w:abstractNum w:abstractNumId="189">
    <w:nsid w:val="217B22E4"/>
    <w:multiLevelType w:val="hybridMultilevel"/>
    <w:lvl w:ilvl="0">
      <w:lvlJc w:val="left"/>
      <w:lvlText w:val="(%1)"/>
      <w:numFmt w:val="lowerLetter"/>
      <w:start w:val="1"/>
    </w:lvl>
  </w:abstractNum>
  <w:abstractNum w:abstractNumId="190">
    <w:nsid w:val="53E31A24"/>
    <w:multiLevelType w:val="hybridMultilevel"/>
    <w:lvl w:ilvl="0">
      <w:lvlJc w:val="left"/>
      <w:lvlText w:val="(%1)"/>
      <w:numFmt w:val="lowerLetter"/>
      <w:start w:val="2"/>
    </w:lvl>
  </w:abstractNum>
  <w:abstractNum w:abstractNumId="191">
    <w:nsid w:val="6DC45E83"/>
    <w:multiLevelType w:val="hybridMultilevel"/>
    <w:lvl w:ilvl="0">
      <w:lvlJc w:val="left"/>
      <w:lvlText w:val="(%1)"/>
      <w:numFmt w:val="lowerLetter"/>
      <w:start w:val="5"/>
    </w:lvl>
  </w:abstractNum>
  <w:abstractNum w:abstractNumId="192">
    <w:nsid w:val="17304A67"/>
    <w:multiLevelType w:val="hybridMultilevel"/>
    <w:lvl w:ilvl="0">
      <w:lvlJc w:val="left"/>
      <w:lvlText w:val="(%1)"/>
      <w:numFmt w:val="lowerLetter"/>
      <w:start w:val="1"/>
    </w:lvl>
  </w:abstractNum>
  <w:abstractNum w:abstractNumId="193">
    <w:nsid w:val="2BB180D8"/>
    <w:multiLevelType w:val="hybridMultilevel"/>
    <w:lvl w:ilvl="0">
      <w:lvlJc w:val="left"/>
      <w:lvlText w:val="(%1)"/>
      <w:numFmt w:val="lowerLetter"/>
      <w:start w:val="2"/>
    </w:lvl>
  </w:abstractNum>
  <w:abstractNum w:abstractNumId="194">
    <w:nsid w:val="556B69ED"/>
    <w:multiLevelType w:val="hybridMultilevel"/>
    <w:lvl w:ilvl="0">
      <w:lvlJc w:val="left"/>
      <w:lvlText w:val="(%1)"/>
      <w:numFmt w:val="lowerLetter"/>
      <w:start w:val="1"/>
    </w:lvl>
  </w:abstractNum>
  <w:abstractNum w:abstractNumId="195">
    <w:nsid w:val="70836196"/>
    <w:multiLevelType w:val="hybridMultilevel"/>
    <w:lvl w:ilvl="0">
      <w:lvlJc w:val="left"/>
      <w:lvlText w:val="%1"/>
      <w:numFmt w:val="decimal"/>
      <w:start w:val="1"/>
    </w:lvl>
    <w:lvl w:ilvl="1">
      <w:lvlJc w:val="left"/>
      <w:lvlText w:val="(%2)"/>
      <w:numFmt w:val="lowerLetter"/>
      <w:start w:val="2"/>
    </w:lvl>
  </w:abstractNum>
  <w:abstractNum w:abstractNumId="196">
    <w:nsid w:val="539F7F12"/>
    <w:multiLevelType w:val="hybridMultilevel"/>
    <w:lvl w:ilvl="0">
      <w:lvlJc w:val="left"/>
      <w:lvlText w:val="(%1)"/>
      <w:numFmt w:val="decimal"/>
      <w:start w:val="3"/>
    </w:lvl>
    <w:lvl w:ilvl="1">
      <w:lvlJc w:val="left"/>
      <w:lvlText w:val="%2"/>
      <w:numFmt w:val="lowerLetter"/>
      <w:start w:val="1"/>
    </w:lvl>
  </w:abstractNum>
  <w:abstractNum w:abstractNumId="197">
    <w:nsid w:val="2817E7EC"/>
    <w:multiLevelType w:val="hybridMultilevel"/>
    <w:lvl w:ilvl="0">
      <w:lvlJc w:val="left"/>
      <w:lvlText w:val="(%1)"/>
      <w:numFmt w:val="upperLetter"/>
      <w:start w:val="2"/>
    </w:lvl>
  </w:abstractNum>
  <w:abstractNum w:abstractNumId="198">
    <w:nsid w:val="71482545"/>
    <w:multiLevelType w:val="hybridMultilevel"/>
    <w:lvl w:ilvl="0">
      <w:lvlJc w:val="left"/>
      <w:lvlText w:val="(%1)"/>
      <w:numFmt w:val="lowerLetter"/>
      <w:start w:val="1"/>
    </w:lvl>
  </w:abstractNum>
  <w:abstractNum w:abstractNumId="199">
    <w:nsid w:val="17D78639"/>
    <w:multiLevelType w:val="hybridMultilevel"/>
    <w:lvl w:ilvl="0">
      <w:lvlJc w:val="left"/>
      <w:lvlText w:val="(%1)"/>
      <w:numFmt w:val="lowerLetter"/>
      <w:start w:val="2"/>
    </w:lvl>
  </w:abstractNum>
  <w:abstractNum w:abstractNumId="200">
    <w:nsid w:val="141D2302"/>
    <w:multiLevelType w:val="hybridMultilevel"/>
    <w:lvl w:ilvl="0">
      <w:lvlJc w:val="left"/>
      <w:lvlText w:val="(%1)"/>
      <w:numFmt w:val="lowerLetter"/>
      <w:start w:val="1"/>
    </w:lvl>
  </w:abstractNum>
  <w:abstractNum w:abstractNumId="201">
    <w:nsid w:val="407168D8"/>
    <w:multiLevelType w:val="hybridMultilevel"/>
    <w:lvl w:ilvl="0">
      <w:lvlJc w:val="left"/>
      <w:lvlText w:val="(%1)"/>
      <w:numFmt w:val="lowerLetter"/>
      <w:start w:val="3"/>
    </w:lvl>
  </w:abstractNum>
  <w:abstractNum w:abstractNumId="202">
    <w:nsid w:val="6A1B45E5"/>
    <w:multiLevelType w:val="hybridMultilevel"/>
    <w:lvl w:ilvl="0">
      <w:lvlJc w:val="left"/>
      <w:lvlText w:val="(%1)"/>
      <w:numFmt w:val="lowerLetter"/>
      <w:start w:val="1"/>
    </w:lvl>
    <w:lvl w:ilvl="1">
      <w:lvlJc w:val="left"/>
      <w:lvlText w:val="(%2)"/>
      <w:numFmt w:val="lowerRoman"/>
      <w:start w:val="1"/>
    </w:lvl>
  </w:abstractNum>
  <w:abstractNum w:abstractNumId="203">
    <w:nsid w:val="567BD50A"/>
    <w:multiLevelType w:val="hybridMultilevel"/>
    <w:lvl w:ilvl="0">
      <w:lvlJc w:val="left"/>
      <w:lvlText w:val="(%1)"/>
      <w:numFmt w:val="lowerLetter"/>
      <w:start w:val="2"/>
    </w:lvl>
    <w:lvl w:ilvl="1">
      <w:lvlJc w:val="left"/>
      <w:lvlText w:val="(%2)"/>
      <w:numFmt w:val="lowerRoman"/>
      <w:start w:val="1"/>
    </w:lvl>
  </w:abstractNum>
  <w:abstractNum w:abstractNumId="204">
    <w:nsid w:val="73BBD7F8"/>
    <w:multiLevelType w:val="hybridMultilevel"/>
    <w:lvl w:ilvl="0">
      <w:lvlJc w:val="left"/>
      <w:lvlText w:val="(%1)"/>
      <w:numFmt w:val="lowerRoman"/>
      <w:start w:val="3"/>
    </w:lvl>
  </w:abstractNum>
  <w:abstractNum w:abstractNumId="205">
    <w:nsid w:val="1876589D"/>
    <w:multiLevelType w:val="hybridMultilevel"/>
    <w:lvl w:ilvl="0">
      <w:lvlJc w:val="left"/>
      <w:lvlText w:val="(%1)"/>
      <w:numFmt w:val="lowerLetter"/>
      <w:start w:val="1"/>
    </w:lvl>
  </w:abstractNum>
  <w:abstractNum w:abstractNumId="206">
    <w:nsid w:val="327FAC77"/>
    <w:multiLevelType w:val="hybridMultilevel"/>
    <w:lvl w:ilvl="0">
      <w:lvlJc w:val="left"/>
      <w:lvlText w:val="(%1)"/>
      <w:numFmt w:val="lowerLetter"/>
      <w:start w:val="1"/>
    </w:lvl>
  </w:abstractNum>
  <w:abstractNum w:abstractNumId="207">
    <w:nsid w:val="5A606509"/>
    <w:multiLevelType w:val="hybridMultilevel"/>
    <w:lvl w:ilvl="0">
      <w:lvlJc w:val="left"/>
      <w:lvlText w:val="(%1)"/>
      <w:numFmt w:val="lowerLetter"/>
      <w:start w:val="1"/>
    </w:lvl>
  </w:abstractNum>
  <w:abstractNum w:abstractNumId="208">
    <w:nsid w:val="6F38E6D1"/>
    <w:multiLevelType w:val="hybridMultilevel"/>
    <w:lvl w:ilvl="0">
      <w:lvlJc w:val="left"/>
      <w:lvlText w:val="(%1)"/>
      <w:numFmt w:val="lowerLetter"/>
      <w:start w:val="2"/>
    </w:lvl>
  </w:abstractNum>
  <w:abstractNum w:abstractNumId="209">
    <w:nsid w:val="46111BA5"/>
    <w:multiLevelType w:val="hybridMultilevel"/>
    <w:lvl w:ilvl="0">
      <w:lvlJc w:val="left"/>
      <w:lvlText w:val="(%1)"/>
      <w:numFmt w:val="lowerLetter"/>
      <w:start w:val="1"/>
    </w:lvl>
  </w:abstractNum>
  <w:abstractNum w:abstractNumId="210">
    <w:nsid w:val="5E963896"/>
    <w:multiLevelType w:val="hybridMultilevel"/>
    <w:lvl w:ilvl="0">
      <w:lvlJc w:val="left"/>
      <w:lvlText w:val="(%1)"/>
      <w:numFmt w:val="lowerLetter"/>
      <w:start w:val="2"/>
    </w:lvl>
  </w:abstractNum>
  <w:abstractNum w:abstractNumId="211">
    <w:nsid w:val="775BA7C1"/>
    <w:multiLevelType w:val="hybridMultilevel"/>
    <w:lvl w:ilvl="0">
      <w:lvlJc w:val="left"/>
      <w:lvlText w:val="%1"/>
      <w:numFmt w:val="lowerLetter"/>
      <w:start w:val="1"/>
    </w:lvl>
    <w:lvl w:ilvl="1">
      <w:lvlJc w:val="left"/>
      <w:lvlText w:val="(%2)"/>
      <w:numFmt w:val="lowerLetter"/>
      <w:start w:val="2"/>
    </w:lvl>
  </w:abstractNum>
  <w:abstractNum w:abstractNumId="212">
    <w:nsid w:val="1DD6D6F4"/>
    <w:multiLevelType w:val="hybridMultilevel"/>
    <w:lvl w:ilvl="0">
      <w:lvlJc w:val="left"/>
      <w:lvlText w:val="(%1)"/>
      <w:numFmt w:val="lowerLetter"/>
      <w:start w:val="9"/>
    </w:lvl>
    <w:lvl w:ilvl="1">
      <w:lvlJc w:val="left"/>
      <w:lvlText w:val="(%2)"/>
      <w:numFmt w:val="lowerLetter"/>
      <w:start w:val="6"/>
    </w:lvl>
  </w:abstractNum>
  <w:abstractNum w:abstractNumId="213">
    <w:nsid w:val="769A091F"/>
    <w:multiLevelType w:val="hybridMultilevel"/>
    <w:lvl w:ilvl="0">
      <w:lvlJc w:val="left"/>
      <w:lvlText w:val="(%1)"/>
      <w:numFmt w:val="lowerLetter"/>
      <w:start w:val="7"/>
    </w:lvl>
    <w:lvl w:ilvl="1">
      <w:lvlJc w:val="left"/>
      <w:lvlText w:val="(%2)"/>
      <w:numFmt w:val="lowerRoman"/>
      <w:start w:val="1"/>
    </w:lvl>
    <w:lvl w:ilvl="2">
      <w:lvlJc w:val="left"/>
      <w:lvlText w:val="(%3)"/>
      <w:numFmt w:val="upperLetter"/>
      <w:start w:val="1"/>
    </w:lvl>
    <w:lvl w:ilvl="3">
      <w:lvlJc w:val="left"/>
      <w:lvlText w:val="(%4)"/>
      <w:numFmt w:val="upperLetter"/>
      <w:start w:val="9"/>
    </w:lvl>
  </w:abstractNum>
  <w:abstractNum w:abstractNumId="214">
    <w:nsid w:val="4695AE95"/>
    <w:multiLevelType w:val="hybridMultilevel"/>
    <w:lvl w:ilvl="0">
      <w:lvlJc w:val="left"/>
      <w:lvlText w:val="(%1)"/>
      <w:numFmt w:val="upperLetter"/>
      <w:start w:val="35"/>
    </w:lvl>
  </w:abstractNum>
  <w:abstractNum w:abstractNumId="215">
    <w:nsid w:val="777A4EAA"/>
    <w:multiLevelType w:val="hybridMultilevel"/>
    <w:lvl w:ilvl="0">
      <w:lvlJc w:val="left"/>
      <w:lvlText w:val="%1"/>
      <w:numFmt w:val="upperLetter"/>
      <w:start w:val="1"/>
    </w:lvl>
    <w:lvl w:ilvl="1">
      <w:lvlJc w:val="left"/>
      <w:lvlText w:val="(%2)"/>
      <w:numFmt w:val="upperLetter"/>
      <w:start w:val="61"/>
    </w:lvl>
  </w:abstractNum>
  <w:abstractNum w:abstractNumId="216">
    <w:nsid w:val="3F48B982"/>
    <w:multiLevelType w:val="hybridMultilevel"/>
    <w:lvl w:ilvl="0">
      <w:lvlJc w:val="left"/>
      <w:lvlText w:val="(%1)"/>
      <w:numFmt w:val="upperLetter"/>
      <w:start w:val="3"/>
    </w:lvl>
    <w:lvl w:ilvl="1">
      <w:lvlJc w:val="left"/>
      <w:lvlText w:val="%2"/>
      <w:numFmt w:val="upperLetter"/>
      <w:start w:val="1"/>
    </w:lvl>
  </w:abstractNum>
  <w:abstractNum w:abstractNumId="217">
    <w:nsid w:val="46BA8FCA"/>
    <w:multiLevelType w:val="hybridMultilevel"/>
    <w:lvl w:ilvl="0">
      <w:lvlJc w:val="left"/>
      <w:lvlText w:val="(%1)"/>
      <w:numFmt w:val="upperLetter"/>
      <w:start w:val="3"/>
    </w:lvl>
  </w:abstractNum>
  <w:abstractNum w:abstractNumId="218">
    <w:nsid w:val="7835626C"/>
    <w:multiLevelType w:val="hybridMultilevel"/>
    <w:lvl w:ilvl="0">
      <w:lvlJc w:val="left"/>
      <w:lvlText w:val="(%1)"/>
      <w:numFmt w:val="lowerLetter"/>
      <w:start w:val="8"/>
    </w:lvl>
  </w:abstractNum>
  <w:abstractNum w:abstractNumId="219">
    <w:nsid w:val="665ACA49"/>
    <w:multiLevelType w:val="hybridMultilevel"/>
    <w:lvl w:ilvl="0">
      <w:lvlJc w:val="left"/>
      <w:lvlText w:val="(%1)"/>
      <w:numFmt w:val="lowerLetter"/>
      <w:start w:val="1"/>
    </w:lvl>
  </w:abstractNum>
  <w:abstractNum w:abstractNumId="220">
    <w:nsid w:val="6835B2AE"/>
    <w:multiLevelType w:val="hybridMultilevel"/>
    <w:lvl w:ilvl="0">
      <w:lvlJc w:val="left"/>
      <w:lvlText w:val="(%1)"/>
      <w:numFmt w:val="lowerLetter"/>
      <w:start w:val="4"/>
    </w:lvl>
    <w:lvl w:ilvl="1">
      <w:lvlJc w:val="left"/>
      <w:lvlText w:val="(%2)"/>
      <w:numFmt w:val="lowerLetter"/>
      <w:start w:val="3"/>
    </w:lvl>
  </w:abstractNum>
  <w:abstractNum w:abstractNumId="221">
    <w:nsid w:val="4C187C90"/>
    <w:multiLevelType w:val="hybridMultilevel"/>
    <w:lvl w:ilvl="0">
      <w:lvlJc w:val="left"/>
      <w:lvlText w:val="(%1)"/>
      <w:numFmt w:val="lowerLetter"/>
      <w:start w:val="35"/>
    </w:lvl>
    <w:lvl w:ilvl="1">
      <w:lvlJc w:val="left"/>
      <w:lvlText w:val="(%2)"/>
      <w:numFmt w:val="lowerLetter"/>
      <w:start w:val="4"/>
    </w:lvl>
  </w:abstractNum>
  <w:abstractNum w:abstractNumId="222">
    <w:nsid w:val="541F28CD"/>
    <w:multiLevelType w:val="hybridMultilevel"/>
    <w:lvl w:ilvl="0">
      <w:lvlJc w:val="left"/>
      <w:lvlText w:val="(%1)"/>
      <w:numFmt w:val="lowerLetter"/>
      <w:start w:val="1"/>
    </w:lvl>
  </w:abstractNum>
  <w:abstractNum w:abstractNumId="223">
    <w:nsid w:val="7F65FD16"/>
    <w:multiLevelType w:val="hybridMultilevel"/>
    <w:lvl w:ilvl="0">
      <w:lvlJc w:val="left"/>
      <w:lvlText w:val="(%1)"/>
      <w:numFmt w:val="lowerLetter"/>
      <w:start w:val="2"/>
    </w:lvl>
    <w:lvl w:ilvl="1">
      <w:lvlJc w:val="left"/>
      <w:lvlText w:val="(%2)"/>
      <w:numFmt w:val="lowerLetter"/>
      <w:start w:val="1"/>
    </w:lvl>
    <w:lvl w:ilvl="2">
      <w:lvlJc w:val="left"/>
      <w:lvlText w:val="(%3)"/>
      <w:numFmt w:val="lowerLetter"/>
      <w:start w:val="9"/>
    </w:lvl>
  </w:abstractNum>
  <w:abstractNum w:abstractNumId="224">
    <w:nsid w:val="77C9FD68"/>
    <w:multiLevelType w:val="hybridMultilevel"/>
    <w:lvl w:ilvl="0">
      <w:lvlJc w:val="left"/>
      <w:lvlText w:val="(%1)"/>
      <w:numFmt w:val="lowerRoman"/>
      <w:start w:val="2"/>
    </w:lvl>
  </w:abstractNum>
  <w:abstractNum w:abstractNumId="225">
    <w:nsid w:val="298A92BA"/>
    <w:multiLevelType w:val="hybridMultilevel"/>
    <w:lvl w:ilvl="0">
      <w:lvlJc w:val="left"/>
      <w:lvlText w:val="%1"/>
      <w:numFmt w:val="lowerLetter"/>
      <w:start w:val="1"/>
    </w:lvl>
    <w:lvl w:ilvl="1">
      <w:lvlJc w:val="left"/>
      <w:lvlText w:val="(%2)"/>
      <w:numFmt w:val="lowerLetter"/>
      <w:start w:val="22"/>
    </w:lvl>
  </w:abstractNum>
  <w:abstractNum w:abstractNumId="226">
    <w:nsid w:val="6FE95EAC"/>
    <w:multiLevelType w:val="hybridMultilevel"/>
    <w:lvl w:ilvl="0">
      <w:lvlJc w:val="left"/>
      <w:lvlText w:val="(%1)"/>
      <w:numFmt w:val="lowerLetter"/>
      <w:start w:val="6"/>
    </w:lvl>
    <w:lvl w:ilvl="1">
      <w:lvlJc w:val="left"/>
      <w:lvlText w:val="%2"/>
      <w:numFmt w:val="lowerLetter"/>
      <w:start w:val="1"/>
    </w:lvl>
  </w:abstractNum>
  <w:abstractNum w:abstractNumId="227">
    <w:nsid w:val="4B697C7A"/>
    <w:multiLevelType w:val="hybridMultilevel"/>
    <w:lvl w:ilvl="0">
      <w:lvlJc w:val="left"/>
      <w:lvlText w:val="(%1)"/>
      <w:numFmt w:val="lowerLetter"/>
      <w:start w:val="1"/>
    </w:lvl>
  </w:abstractNum>
  <w:abstractNum w:abstractNumId="228">
    <w:nsid w:val="51A27AA6"/>
    <w:multiLevelType w:val="hybridMultilevel"/>
    <w:lvl w:ilvl="0">
      <w:lvlJc w:val="left"/>
      <w:lvlText w:val="(%1)"/>
      <w:numFmt w:val="lowerRoman"/>
      <w:start w:val="1"/>
    </w:lvl>
  </w:abstractNum>
  <w:abstractNum w:abstractNumId="229">
    <w:nsid w:val="613183F2"/>
    <w:multiLevelType w:val="hybridMultilevel"/>
    <w:lvl w:ilvl="0">
      <w:lvlJc w:val="left"/>
      <w:lvlText w:val="(%1)"/>
      <w:numFmt w:val="lowerLetter"/>
      <w:start w:val="1"/>
    </w:lvl>
    <w:lvl w:ilvl="1">
      <w:lvlJc w:val="left"/>
      <w:lvlText w:val="(%2)"/>
      <w:numFmt w:val="lowerLetter"/>
      <w:start w:val="9"/>
    </w:lvl>
  </w:abstractNum>
  <w:abstractNum w:abstractNumId="230">
    <w:nsid w:val="634102B4"/>
    <w:multiLevelType w:val="hybridMultilevel"/>
    <w:lvl w:ilvl="0">
      <w:lvlJc w:val="left"/>
      <w:lvlText w:val="(%1)"/>
      <w:numFmt w:val="lowerRoman"/>
      <w:start w:val="2"/>
    </w:lvl>
  </w:abstractNum>
  <w:abstractNum w:abstractNumId="231">
    <w:nsid w:val="65BF9DA8"/>
    <w:multiLevelType w:val="hybridMultilevel"/>
    <w:lvl w:ilvl="0">
      <w:lvlJc w:val="left"/>
      <w:lvlText w:val="%1"/>
      <w:numFmt w:val="lowerLetter"/>
      <w:start w:val="1"/>
    </w:lvl>
    <w:lvl w:ilvl="1">
      <w:lvlJc w:val="left"/>
      <w:lvlText w:val="(%2)"/>
      <w:numFmt w:val="lowerRoman"/>
      <w:start w:val="14"/>
    </w:lvl>
  </w:abstractNum>
  <w:abstractNum w:abstractNumId="232">
    <w:nsid w:val="21A2ECCA"/>
    <w:multiLevelType w:val="hybridMultilevel"/>
    <w:lvl w:ilvl="0">
      <w:lvlJc w:val="left"/>
      <w:lvlText w:val="(%1)"/>
      <w:numFmt w:val="lowerLetter"/>
      <w:start w:val="2"/>
    </w:lvl>
    <w:lvl w:ilvl="1">
      <w:lvlJc w:val="left"/>
      <w:lvlText w:val="(%2)"/>
      <w:numFmt w:val="lowerRoman"/>
      <w:start w:val="1"/>
    </w:lvl>
  </w:abstractNum>
  <w:abstractNum w:abstractNumId="233">
    <w:nsid w:val="4D5C4899"/>
    <w:multiLevelType w:val="hybridMultilevel"/>
    <w:lvl w:ilvl="0">
      <w:lvlJc w:val="left"/>
      <w:lvlText w:val="(%1)"/>
      <w:numFmt w:val="lowerLetter"/>
      <w:start w:val="1"/>
    </w:lvl>
  </w:abstractNum>
  <w:abstractNum w:abstractNumId="234">
    <w:nsid w:val="3C3B72B2"/>
    <w:multiLevelType w:val="hybridMultilevel"/>
    <w:lvl w:ilvl="0">
      <w:lvlJc w:val="left"/>
      <w:lvlText w:val="(%1)"/>
      <w:numFmt w:val="lowerLetter"/>
      <w:start w:val="3"/>
    </w:lvl>
  </w:abstractNum>
  <w:abstractNum w:abstractNumId="235">
    <w:nsid w:val="155EC4C2"/>
    <w:multiLevelType w:val="hybridMultilevel"/>
    <w:lvl w:ilvl="0">
      <w:lvlJc w:val="left"/>
      <w:lvlText w:val="(%1)"/>
      <w:numFmt w:val="lowerLetter"/>
      <w:start w:val="8"/>
    </w:lvl>
  </w:abstractNum>
  <w:abstractNum w:abstractNumId="236">
    <w:nsid w:val="65D2A137"/>
    <w:multiLevelType w:val="hybridMultilevel"/>
    <w:lvl w:ilvl="0">
      <w:lvlJc w:val="left"/>
      <w:lvlText w:val="(%1)"/>
      <w:numFmt w:val="lowerLetter"/>
      <w:start w:val="13"/>
    </w:lvl>
    <w:lvl w:ilvl="1">
      <w:lvlJc w:val="left"/>
      <w:lvlText w:val="(%2)"/>
      <w:numFmt w:val="lowerRoman"/>
      <w:start w:val="1"/>
    </w:lvl>
  </w:abstractNum>
  <w:abstractNum w:abstractNumId="237">
    <w:nsid w:val="6EBB1F2A"/>
    <w:multiLevelType w:val="hybridMultilevel"/>
    <w:lvl w:ilvl="0">
      <w:lvlJc w:val="left"/>
      <w:lvlText w:val="(%1)"/>
      <w:numFmt w:val="lowerLetter"/>
      <w:start w:val="16"/>
    </w:lvl>
  </w:abstractNum>
  <w:abstractNum w:abstractNumId="238">
    <w:nsid w:val="6FBF29CB"/>
    <w:multiLevelType w:val="hybridMultilevel"/>
    <w:lvl w:ilvl="0">
      <w:lvlJc w:val="left"/>
      <w:lvlText w:val="(%1)"/>
      <w:numFmt w:val="lowerLetter"/>
      <w:start w:val="20"/>
    </w:lvl>
    <w:lvl w:ilvl="1">
      <w:lvlJc w:val="left"/>
      <w:lvlText w:val="(%2)"/>
      <w:numFmt w:val="lowerLetter"/>
      <w:start w:val="9"/>
    </w:lvl>
  </w:abstractNum>
  <w:abstractNum w:abstractNumId="239">
    <w:nsid w:val="550B8808"/>
    <w:multiLevelType w:val="hybridMultilevel"/>
    <w:lvl w:ilvl="0">
      <w:lvlJc w:val="left"/>
      <w:lvlText w:val="%1"/>
      <w:numFmt w:val="lowerLetter"/>
      <w:start w:val="1"/>
    </w:lvl>
    <w:lvl w:ilvl="1">
      <w:lvlJc w:val="left"/>
      <w:lvlText w:val="(%2)"/>
      <w:numFmt w:val="lowerRoman"/>
      <w:start w:val="2"/>
    </w:lvl>
  </w:abstractNum>
  <w:abstractNum w:abstractNumId="240">
    <w:nsid w:val="34CC3ACF"/>
    <w:multiLevelType w:val="hybridMultilevel"/>
    <w:lvl w:ilvl="0">
      <w:lvlJc w:val="left"/>
      <w:lvlText w:val="(%1)"/>
      <w:numFmt w:val="lowerLetter"/>
      <w:start w:val="25"/>
    </w:lvl>
    <w:lvl w:ilvl="1">
      <w:lvlJc w:val="left"/>
      <w:lvlText w:val="%2"/>
      <w:numFmt w:val="lowerRoman"/>
      <w:start w:val="1"/>
    </w:lvl>
  </w:abstractNum>
  <w:abstractNum w:abstractNumId="241">
    <w:nsid w:val="4E556261"/>
    <w:multiLevelType w:val="hybridMultilevel"/>
    <w:lvl w:ilvl="0">
      <w:lvlJc w:val="left"/>
      <w:lvlText w:val="(%1)"/>
      <w:numFmt w:val="lowerLetter"/>
      <w:start w:val="2"/>
    </w:lvl>
  </w:abstractNum>
  <w:abstractNum w:abstractNumId="242">
    <w:nsid w:val="4C672FC9"/>
    <w:multiLevelType w:val="hybridMultilevel"/>
    <w:lvl w:ilvl="0">
      <w:lvlJc w:val="left"/>
      <w:lvlText w:val="(%1)"/>
      <w:numFmt w:val="lowerLetter"/>
      <w:start w:val="3"/>
    </w:lvl>
  </w:abstractNum>
  <w:abstractNum w:abstractNumId="243">
    <w:nsid w:val="52A311C3"/>
    <w:multiLevelType w:val="hybridMultilevel"/>
    <w:lvl w:ilvl="0">
      <w:lvlJc w:val="left"/>
      <w:lvlText w:val="(%1)"/>
      <w:numFmt w:val="lowerLetter"/>
      <w:start w:val="1"/>
    </w:lvl>
    <w:lvl w:ilvl="1">
      <w:lvlJc w:val="left"/>
      <w:lvlText w:val="(%2)"/>
      <w:numFmt w:val="lowerLetter"/>
      <w:start w:val="24"/>
    </w:lvl>
  </w:abstractNum>
  <w:abstractNum w:abstractNumId="244">
    <w:nsid w:val="44EF6B80"/>
    <w:multiLevelType w:val="hybridMultilevel"/>
    <w:lvl w:ilvl="0">
      <w:lvlJc w:val="left"/>
      <w:lvlText w:val="%1"/>
      <w:numFmt w:val="lowerLetter"/>
      <w:start w:val="1"/>
    </w:lvl>
    <w:lvl w:ilvl="1">
      <w:lvlJc w:val="left"/>
      <w:lvlText w:val="(%2)"/>
      <w:numFmt w:val="lowerLetter"/>
      <w:start w:val="25"/>
    </w:lvl>
    <w:lvl w:ilvl="2">
      <w:lvlJc w:val="left"/>
      <w:lvlText w:val="%3"/>
      <w:numFmt w:val="lowerLetter"/>
      <w:start w:val="1"/>
    </w:lvl>
  </w:abstractNum>
  <w:abstractNum w:abstractNumId="245">
    <w:nsid w:val="12FCDE5E"/>
    <w:multiLevelType w:val="hybridMultilevel"/>
    <w:lvl w:ilvl="0">
      <w:lvlJc w:val="left"/>
      <w:lvlText w:val="(%1)"/>
      <w:numFmt w:val="lowerLetter"/>
      <w:start w:val="2"/>
    </w:lvl>
    <w:lvl w:ilvl="1">
      <w:lvlJc w:val="left"/>
      <w:lvlText w:val="%2"/>
      <w:numFmt w:val="lowerLetter"/>
      <w:start w:val="1"/>
    </w:lvl>
    <w:lvl w:ilvl="2">
      <w:lvlJc w:val="left"/>
      <w:lvlText w:val="(%3)"/>
      <w:numFmt w:val="lowerLetter"/>
      <w:start w:val="24"/>
    </w:lvl>
  </w:abstractNum>
  <w:abstractNum w:abstractNumId="246">
    <w:nsid w:val="4A1D606E"/>
    <w:multiLevelType w:val="hybridMultilevel"/>
    <w:lvl w:ilvl="0">
      <w:lvlJc w:val="left"/>
      <w:lvlText w:val="(%1)"/>
      <w:numFmt w:val="lowerRoman"/>
      <w:start w:val="3"/>
    </w:lvl>
  </w:abstractNum>
  <w:abstractNum w:abstractNumId="247">
    <w:nsid w:val="4382503"/>
    <w:multiLevelType w:val="hybridMultilevel"/>
    <w:lvl w:ilvl="0">
      <w:lvlJc w:val="left"/>
      <w:lvlText w:val="(%1)"/>
      <w:numFmt w:val="lowerLetter"/>
      <w:start w:val="1"/>
    </w:lvl>
  </w:abstractNum>
  <w:abstractNum w:abstractNumId="248">
    <w:nsid w:val="59B76E28"/>
    <w:multiLevelType w:val="hybridMultilevel"/>
    <w:lvl w:ilvl="0">
      <w:lvlJc w:val="left"/>
      <w:lvlText w:val="%1"/>
      <w:numFmt w:val="decimal"/>
      <w:start w:val="1"/>
    </w:lvl>
    <w:lvl w:ilvl="1">
      <w:lvlJc w:val="left"/>
      <w:lvlText w:val="(%2)"/>
      <w:numFmt w:val="lowerLetter"/>
      <w:start w:val="3"/>
    </w:lvl>
  </w:abstractNum>
  <w:abstractNum w:abstractNumId="249">
    <w:nsid w:val="4252C2DA"/>
    <w:multiLevelType w:val="hybridMultilevel"/>
    <w:lvl w:ilvl="0">
      <w:lvlJc w:val="left"/>
      <w:lvlText w:val="(%1)"/>
      <w:numFmt w:val="decimal"/>
      <w:start w:val="15"/>
    </w:lvl>
    <w:lvl w:ilvl="1">
      <w:lvlJc w:val="left"/>
      <w:lvlText w:val="(%2)"/>
      <w:numFmt w:val="lowerLetter"/>
      <w:start w:val="8"/>
    </w:lvl>
  </w:abstractNum>
  <w:abstractNum w:abstractNumId="250">
    <w:nsid w:val="6A92EF4C"/>
    <w:multiLevelType w:val="hybridMultilevel"/>
    <w:lvl w:ilvl="0">
      <w:lvlJc w:val="left"/>
      <w:lvlText w:val="(%1)"/>
      <w:numFmt w:val="lowerLetter"/>
      <w:start w:val="11"/>
    </w:lvl>
  </w:abstractNum>
  <w:abstractNum w:abstractNumId="251">
    <w:nsid w:val="41ED20D7"/>
    <w:multiLevelType w:val="hybridMultilevel"/>
    <w:lvl w:ilvl="0">
      <w:lvlJc w:val="left"/>
      <w:lvlText w:val="(%1)"/>
      <w:numFmt w:val="lowerLetter"/>
      <w:start w:val="20"/>
    </w:lvl>
  </w:abstractNum>
  <w:abstractNum w:abstractNumId="252">
    <w:nsid w:val="E6B3F6A"/>
    <w:multiLevelType w:val="hybridMultilevel"/>
    <w:lvl w:ilvl="0">
      <w:lvlJc w:val="left"/>
      <w:lvlText w:val="(%1)"/>
      <w:numFmt w:val="lowerLetter"/>
      <w:start w:val="1"/>
    </w:lvl>
  </w:abstractNum>
  <w:abstractNum w:abstractNumId="253">
    <w:nsid w:val="3EB21819"/>
    <w:multiLevelType w:val="hybridMultilevel"/>
    <w:lvl w:ilvl="0">
      <w:lvlJc w:val="left"/>
      <w:lvlText w:val="(%1)"/>
      <w:numFmt w:val="lowerLetter"/>
      <w:start w:val="1"/>
    </w:lvl>
  </w:abstractNum>
  <w:abstractNum w:abstractNumId="254">
    <w:nsid w:val="41531DED"/>
    <w:multiLevelType w:val="hybridMultilevel"/>
    <w:lvl w:ilvl="0">
      <w:lvlJc w:val="left"/>
      <w:lvlText w:val="(%1)"/>
      <w:numFmt w:val="lowerRoman"/>
      <w:start w:val="1"/>
    </w:lvl>
  </w:abstractNum>
  <w:abstractNum w:abstractNumId="255">
    <w:nsid w:val="6353CD2"/>
    <w:multiLevelType w:val="hybridMultilevel"/>
    <w:lvl w:ilvl="0">
      <w:lvlJc w:val="left"/>
      <w:lvlText w:val="(%1)"/>
      <w:numFmt w:val="lowerLetter"/>
      <w:start w:val="1"/>
    </w:lvl>
  </w:abstractNum>
  <w:abstractNum w:abstractNumId="256">
    <w:nsid w:val="683CAAD3"/>
    <w:multiLevelType w:val="hybridMultilevel"/>
    <w:lvl w:ilvl="0">
      <w:lvlJc w:val="left"/>
      <w:lvlText w:val="(%1)"/>
      <w:numFmt w:val="lowerLetter"/>
      <w:start w:val="2"/>
    </w:lvl>
  </w:abstractNum>
  <w:abstractNum w:abstractNumId="257">
    <w:nsid w:val="313C7C99"/>
    <w:multiLevelType w:val="hybridMultilevel"/>
    <w:lvl w:ilvl="0">
      <w:lvlJc w:val="left"/>
      <w:lvlText w:val="%1"/>
      <w:numFmt w:val="upperLetter"/>
      <w:start w:val="1"/>
    </w:lvl>
    <w:lvl w:ilvl="1">
      <w:lvlJc w:val="left"/>
      <w:lvlText w:val="(%2)"/>
      <w:numFmt w:val="lowerRoman"/>
      <w:start w:val="1"/>
    </w:lvl>
  </w:abstractNum>
  <w:abstractNum w:abstractNumId="258">
    <w:nsid w:val="519EB94C"/>
    <w:multiLevelType w:val="hybridMultilevel"/>
    <w:lvl w:ilvl="0">
      <w:lvlJc w:val="left"/>
      <w:lvlText w:val="(%1)"/>
      <w:numFmt w:val="upperLetter"/>
      <w:start w:val="2"/>
    </w:lvl>
    <w:lvl w:ilvl="1">
      <w:lvlJc w:val="left"/>
      <w:lvlText w:val="(%2)"/>
      <w:numFmt w:val="lowerRoman"/>
      <w:start w:val="2"/>
    </w:lvl>
  </w:abstractNum>
  <w:abstractNum w:abstractNumId="259">
    <w:nsid w:val="39DF2579"/>
    <w:multiLevelType w:val="hybridMultilevel"/>
    <w:lvl w:ilvl="0">
      <w:lvlJc w:val="left"/>
      <w:lvlText w:val="%1"/>
      <w:numFmt w:val="upperLetter"/>
      <w:start w:val="1"/>
    </w:lvl>
    <w:lvl w:ilvl="1">
      <w:lvlJc w:val="left"/>
      <w:lvlText w:val="(%2)"/>
      <w:numFmt w:val="lowerRoman"/>
      <w:start w:val="4"/>
    </w:lvl>
  </w:abstractNum>
  <w:abstractNum w:abstractNumId="260">
    <w:nsid w:val="126E008B"/>
    <w:multiLevelType w:val="hybridMultilevel"/>
    <w:lvl w:ilvl="0">
      <w:lvlJc w:val="left"/>
      <w:lvlText w:val="(%1)"/>
      <w:numFmt w:val="lowerLetter"/>
      <w:start w:val="1"/>
    </w:lvl>
  </w:abstractNum>
  <w:abstractNum w:abstractNumId="261">
    <w:nsid w:val="34DFBC00"/>
    <w:multiLevelType w:val="hybridMultilevel"/>
    <w:lvl w:ilvl="0">
      <w:lvlJc w:val="left"/>
      <w:lvlText w:val="%1"/>
      <w:numFmt w:val="lowerLetter"/>
      <w:start w:val="1"/>
    </w:lvl>
    <w:lvl w:ilvl="1">
      <w:lvlJc w:val="left"/>
      <w:lvlText w:val="(%2)"/>
      <w:numFmt w:val="lowerLetter"/>
      <w:start w:val="1"/>
    </w:lvl>
  </w:abstractNum>
  <w:abstractNum w:abstractNumId="262">
    <w:nsid w:val="1F9EC322"/>
    <w:multiLevelType w:val="hybridMultilevel"/>
    <w:lvl w:ilvl="0">
      <w:lvlJc w:val="left"/>
      <w:lvlText w:val="(%1)"/>
      <w:numFmt w:val="lowerLetter"/>
      <w:start w:val="9"/>
    </w:lvl>
    <w:lvl w:ilvl="1">
      <w:lvlJc w:val="left"/>
      <w:lvlText w:val="(%2)"/>
      <w:numFmt w:val="lowerLetter"/>
      <w:start w:val="2"/>
    </w:lvl>
  </w:abstractNum>
  <w:abstractNum w:abstractNumId="263">
    <w:nsid w:val="3410ED56"/>
    <w:multiLevelType w:val="hybridMultilevel"/>
    <w:lvl w:ilvl="0">
      <w:lvlJc w:val="left"/>
      <w:lvlText w:val="(%1)"/>
      <w:numFmt w:val="decimal"/>
      <w:start w:val="2"/>
    </w:lvl>
  </w:abstractNum>
  <w:abstractNum w:abstractNumId="264">
    <w:nsid w:val="23C049A"/>
    <w:multiLevelType w:val="hybridMultilevel"/>
    <w:lvl w:ilvl="0">
      <w:lvlJc w:val="left"/>
      <w:lvlText w:val="(%1)"/>
      <w:numFmt w:val="decimal"/>
      <w:start w:val="4"/>
    </w:lvl>
  </w:abstractNum>
  <w:abstractNum w:abstractNumId="265">
    <w:nsid w:val="5BDA35D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66">
    <w:nsid w:val="496FB218"/>
    <w:multiLevelType w:val="hybridMultilevel"/>
    <w:lvl w:ilvl="0">
      <w:lvlJc w:val="left"/>
      <w:lvlText w:val="(%1)"/>
      <w:numFmt w:val="decimal"/>
      <w:start w:val="5"/>
    </w:lvl>
    <w:lvl w:ilvl="1">
      <w:lvlJc w:val="left"/>
      <w:lvlText w:val="(%2)"/>
      <w:numFmt w:val="lowerLetter"/>
      <w:start w:val="2"/>
    </w:lvl>
    <w:lvl w:ilvl="2">
      <w:lvlJc w:val="left"/>
      <w:lvlText w:val="(%3)"/>
      <w:numFmt w:val="lowerRoman"/>
      <w:start w:val="1"/>
    </w:lvl>
  </w:abstractNum>
  <w:abstractNum w:abstractNumId="267">
    <w:nsid w:val="680EA5D1"/>
    <w:multiLevelType w:val="hybridMultilevel"/>
    <w:lvl w:ilvl="0">
      <w:lvlJc w:val="left"/>
      <w:lvlText w:val="(%1)"/>
      <w:numFmt w:val="lowerRoman"/>
      <w:start w:val="3"/>
    </w:lvl>
  </w:abstractNum>
  <w:abstractNum w:abstractNumId="268">
    <w:nsid w:val="4A9554FE"/>
    <w:multiLevelType w:val="hybridMultilevel"/>
    <w:lvl w:ilvl="0">
      <w:lvlJc w:val="left"/>
      <w:lvlText w:val="%1"/>
      <w:numFmt w:val="lowerRoman"/>
      <w:start w:val="1"/>
    </w:lvl>
    <w:lvl w:ilvl="1">
      <w:lvlJc w:val="left"/>
      <w:lvlText w:val="(%2)"/>
      <w:numFmt w:val="lowerLetter"/>
      <w:start w:val="5"/>
    </w:lvl>
  </w:abstractNum>
  <w:abstractNum w:abstractNumId="269">
    <w:nsid w:val="392EDBE4"/>
    <w:multiLevelType w:val="hybridMultilevel"/>
    <w:lvl w:ilvl="0">
      <w:lvlJc w:val="left"/>
      <w:lvlText w:val="(%1)"/>
      <w:numFmt w:val="lowerRoman"/>
      <w:start w:val="1"/>
    </w:lvl>
    <w:lvl w:ilvl="1">
      <w:lvlJc w:val="left"/>
      <w:lvlText w:val="%2"/>
      <w:numFmt w:val="lowerLetter"/>
      <w:start w:val="1"/>
    </w:lvl>
  </w:abstractNum>
  <w:abstractNum w:abstractNumId="270">
    <w:nsid w:val="3D1A2DD9"/>
    <w:multiLevelType w:val="hybridMultilevel"/>
    <w:lvl w:ilvl="0">
      <w:lvlJc w:val="left"/>
      <w:lvlText w:val="(%1)"/>
      <w:numFmt w:val="lowerRoman"/>
      <w:start w:val="6"/>
    </w:lvl>
    <w:lvl w:ilvl="1">
      <w:lvlJc w:val="left"/>
      <w:lvlText w:val="(%2)"/>
      <w:numFmt w:val="lowerLetter"/>
      <w:start w:val="6"/>
    </w:lvl>
  </w:abstractNum>
  <w:abstractNum w:abstractNumId="271">
    <w:nsid w:val="7F618FCD"/>
    <w:multiLevelType w:val="hybridMultilevel"/>
    <w:lvl w:ilvl="0">
      <w:lvlJc w:val="left"/>
      <w:lvlText w:val="%1"/>
      <w:numFmt w:val="decimal"/>
      <w:start w:val="1"/>
    </w:lvl>
    <w:lvl w:ilvl="1">
      <w:lvlJc w:val="left"/>
      <w:lvlText w:val="(%2)"/>
      <w:numFmt w:val="lowerLetter"/>
      <w:start w:val="7"/>
    </w:lvl>
    <w:lvl w:ilvl="2">
      <w:lvlJc w:val="left"/>
      <w:lvlText w:val="%3"/>
      <w:numFmt w:val="lowerRoman"/>
      <w:start w:val="1"/>
    </w:lvl>
  </w:abstractNum>
  <w:abstractNum w:abstractNumId="272">
    <w:nsid w:val="7843E45"/>
    <w:multiLevelType w:val="hybridMultilevel"/>
    <w:lvl w:ilvl="0">
      <w:lvlJc w:val="left"/>
      <w:lvlText w:val="(%1)"/>
      <w:numFmt w:val="decimal"/>
      <w:start w:val="30"/>
    </w:lvl>
    <w:lvl w:ilvl="1">
      <w:lvlJc w:val="left"/>
      <w:lvlText w:val="(%2)"/>
      <w:numFmt w:val="lowerLetter"/>
      <w:start w:val="9"/>
    </w:lvl>
    <w:lvl w:ilvl="2">
      <w:lvlJc w:val="left"/>
      <w:lvlText w:val="(%3)"/>
      <w:numFmt w:val="lowerRoman"/>
      <w:start w:val="1"/>
    </w:lvl>
  </w:abstractNum>
  <w:abstractNum w:abstractNumId="273">
    <w:nsid w:val="9815DA3"/>
    <w:multiLevelType w:val="hybridMultilevel"/>
    <w:lvl w:ilvl="0">
      <w:lvlJc w:val="left"/>
      <w:lvlText w:val="(%1)"/>
      <w:numFmt w:val="lowerRoman"/>
      <w:start w:val="2"/>
    </w:lvl>
  </w:abstractNum>
  <w:abstractNum w:abstractNumId="274">
    <w:nsid w:val="5204A191"/>
    <w:multiLevelType w:val="hybridMultilevel"/>
    <w:lvl w:ilvl="0">
      <w:lvlJc w:val="left"/>
      <w:lvlText w:val="(%1)"/>
      <w:numFmt w:val="lowerLetter"/>
      <w:start w:val="1"/>
    </w:lvl>
    <w:lvl w:ilvl="1">
      <w:lvlJc w:val="left"/>
      <w:lvlText w:val="(%2)"/>
      <w:numFmt w:val="lowerRoman"/>
      <w:start w:val="1"/>
    </w:lvl>
  </w:abstractNum>
  <w:abstractNum w:abstractNumId="275">
    <w:nsid w:val="4C73A9C6"/>
    <w:multiLevelType w:val="hybridMultilevel"/>
    <w:lvl w:ilvl="0">
      <w:lvlJc w:val="left"/>
      <w:lvlText w:val="(%1)"/>
      <w:numFmt w:val="lowerLetter"/>
      <w:start w:val="5"/>
    </w:lvl>
  </w:abstractNum>
  <w:abstractNum w:abstractNumId="276">
    <w:nsid w:val="1C7E3C01"/>
    <w:multiLevelType w:val="hybridMultilevel"/>
    <w:lvl w:ilvl="0">
      <w:lvlJc w:val="left"/>
      <w:lvlText w:val="(%1)"/>
      <w:numFmt w:val="lowerLetter"/>
      <w:start w:val="1"/>
    </w:lvl>
  </w:abstractNum>
  <w:abstractNum w:abstractNumId="277">
    <w:nsid w:val="1C2201FF"/>
    <w:multiLevelType w:val="hybridMultilevel"/>
    <w:lvl w:ilvl="0">
      <w:lvlJc w:val="left"/>
      <w:lvlText w:val="(%1)"/>
      <w:numFmt w:val="lowerLetter"/>
      <w:start w:val="4"/>
    </w:lvl>
  </w:abstractNum>
  <w:abstractNum w:abstractNumId="278">
    <w:nsid w:val="50ABCEC9"/>
    <w:multiLevelType w:val="hybridMultilevel"/>
    <w:lvl w:ilvl="0">
      <w:lvlJc w:val="left"/>
      <w:lvlText w:val="(%1)"/>
      <w:numFmt w:val="lowerLetter"/>
      <w:start w:val="1"/>
    </w:lvl>
  </w:abstractNum>
  <w:abstractNum w:abstractNumId="279">
    <w:nsid w:val="7635AA2A"/>
    <w:multiLevelType w:val="hybridMultilevel"/>
    <w:lvl w:ilvl="0">
      <w:lvlJc w:val="left"/>
      <w:lvlText w:val="(%1)"/>
      <w:numFmt w:val="decimal"/>
      <w:start w:val="10"/>
    </w:lvl>
  </w:abstractNum>
  <w:abstractNum w:abstractNumId="280">
    <w:nsid w:val="5E74C4D9"/>
    <w:multiLevelType w:val="hybridMultilevel"/>
    <w:lvl w:ilvl="0">
      <w:lvlJc w:val="left"/>
      <w:lvlText w:val="(%1)"/>
      <w:numFmt w:val="decimal"/>
      <w:start w:val="1"/>
    </w:lvl>
  </w:abstractNum>
  <w:abstractNum w:abstractNumId="281">
    <w:nsid w:val="3B3EBE15"/>
    <w:multiLevelType w:val="hybridMultilevel"/>
    <w:lvl w:ilvl="0">
      <w:lvlJc w:val="left"/>
      <w:lvlText w:val="(%1)"/>
      <w:numFmt w:val="lowerLetter"/>
      <w:start w:val="1"/>
    </w:lvl>
  </w:abstractNum>
  <w:abstractNum w:abstractNumId="282">
    <w:nsid w:val="3822CB01"/>
    <w:multiLevelType w:val="hybridMultilevel"/>
    <w:lvl w:ilvl="0">
      <w:lvlJc w:val="left"/>
      <w:lvlText w:val="(%1)"/>
      <w:numFmt w:val="lowerLetter"/>
      <w:start w:val="2"/>
    </w:lvl>
  </w:abstractNum>
  <w:abstractNum w:abstractNumId="283">
    <w:nsid w:val="6CE00443"/>
    <w:multiLevelType w:val="hybridMultilevel"/>
    <w:lvl w:ilvl="0">
      <w:lvlJc w:val="left"/>
      <w:lvlText w:val="(%1)"/>
      <w:numFmt w:val="lowerLetter"/>
      <w:start w:val="4"/>
    </w:lvl>
  </w:abstractNum>
  <w:abstractNum w:abstractNumId="284">
    <w:nsid w:val="79F0D62F"/>
    <w:multiLevelType w:val="hybridMultilevel"/>
    <w:lvl w:ilvl="0">
      <w:lvlJc w:val="left"/>
      <w:lvlText w:val="(%1)"/>
      <w:numFmt w:val="lowerRoman"/>
      <w:start w:val="2"/>
    </w:lvl>
  </w:abstractNum>
  <w:abstractNum w:abstractNumId="285">
    <w:nsid w:val="7975E8EE"/>
    <w:multiLevelType w:val="hybridMultilevel"/>
    <w:lvl w:ilvl="0">
      <w:lvlJc w:val="left"/>
      <w:lvlText w:val="(%1)"/>
      <w:numFmt w:val="lowerLetter"/>
      <w:start w:val="1"/>
    </w:lvl>
  </w:abstractNum>
  <w:abstractNum w:abstractNumId="286">
    <w:nsid w:val="7315411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87">
    <w:nsid w:val="622D8102"/>
    <w:multiLevelType w:val="hybridMultilevel"/>
    <w:lvl w:ilvl="0">
      <w:lvlJc w:val="left"/>
      <w:lvlText w:val="(%1)"/>
      <w:numFmt w:val="lowerRoman"/>
      <w:start w:val="3"/>
    </w:lvl>
    <w:lvl w:ilvl="1">
      <w:lvlJc w:val="left"/>
      <w:lvlText w:val="(%2)"/>
      <w:numFmt w:val="upperLetter"/>
      <w:start w:val="1"/>
    </w:lvl>
  </w:abstractNum>
  <w:abstractNum w:abstractNumId="288">
    <w:nsid w:val="2AB26587"/>
    <w:multiLevelType w:val="hybridMultilevel"/>
    <w:lvl w:ilvl="0">
      <w:lvlJc w:val="left"/>
      <w:lvlText w:val="(%1)"/>
      <w:numFmt w:val="lowerLetter"/>
      <w:start w:val="3"/>
    </w:lvl>
  </w:abstractNum>
  <w:abstractNum w:abstractNumId="289">
    <w:nsid w:val="44B3FA61"/>
    <w:multiLevelType w:val="hybridMultilevel"/>
    <w:lvl w:ilvl="0">
      <w:lvlJc w:val="left"/>
      <w:lvlText w:val="(%1)"/>
      <w:numFmt w:val="lowerLetter"/>
      <w:start w:val="6"/>
    </w:lvl>
  </w:abstractNum>
  <w:abstractNum w:abstractNumId="290">
    <w:nsid w:val="1C0CA67C"/>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291">
    <w:nsid w:val="3D206613"/>
    <w:multiLevelType w:val="hybridMultilevel"/>
    <w:lvl w:ilvl="0">
      <w:lvlJc w:val="left"/>
      <w:lvlText w:val="(%1)"/>
      <w:numFmt w:val="lowerLetter"/>
      <w:start w:val="61"/>
    </w:lvl>
    <w:lvl w:ilvl="1">
      <w:lvlJc w:val="left"/>
      <w:lvlText w:val="(%2)"/>
      <w:numFmt w:val="lowerLetter"/>
      <w:start w:val="2"/>
    </w:lvl>
    <w:lvl w:ilvl="2">
      <w:lvlJc w:val="left"/>
      <w:lvlText w:val="(%3)"/>
      <w:numFmt w:val="lowerRoman"/>
      <w:start w:val="1"/>
    </w:lvl>
  </w:abstractNum>
  <w:abstractNum w:abstractNumId="292">
    <w:nsid w:val="7993B662"/>
    <w:multiLevelType w:val="hybridMultilevel"/>
    <w:lvl w:ilvl="0">
      <w:lvlJc w:val="left"/>
      <w:lvlText w:val="%1"/>
      <w:numFmt w:val="lowerLetter"/>
      <w:start w:val="1"/>
    </w:lvl>
    <w:lvl w:ilvl="1">
      <w:lvlJc w:val="left"/>
      <w:lvlText w:val="(%2)"/>
      <w:numFmt w:val="lowerRoman"/>
      <w:start w:val="7"/>
    </w:lvl>
  </w:abstractNum>
  <w:abstractNum w:abstractNumId="293">
    <w:nsid w:val="3BAB699E"/>
    <w:multiLevelType w:val="hybridMultilevel"/>
    <w:lvl w:ilvl="0">
      <w:lvlJc w:val="left"/>
      <w:lvlText w:val="(%1)"/>
      <w:numFmt w:val="lowerLetter"/>
      <w:start w:val="4"/>
    </w:lvl>
    <w:lvl w:ilvl="1">
      <w:lvlJc w:val="left"/>
      <w:lvlText w:val="%2"/>
      <w:numFmt w:val="lowerRoman"/>
      <w:start w:val="1"/>
    </w:lvl>
  </w:abstractNum>
  <w:abstractNum w:abstractNumId="294">
    <w:nsid w:val="71315369"/>
    <w:multiLevelType w:val="hybridMultilevel"/>
    <w:lvl w:ilvl="0">
      <w:lvlJc w:val="left"/>
      <w:lvlText w:val="(%1)"/>
      <w:numFmt w:val="lowerLetter"/>
      <w:start w:val="1"/>
    </w:lvl>
  </w:abstractNum>
  <w:abstractNum w:abstractNumId="295">
    <w:nsid w:val="7BCFBAFC"/>
    <w:multiLevelType w:val="hybridMultilevel"/>
    <w:lvl w:ilvl="0">
      <w:lvlJc w:val="left"/>
      <w:lvlText w:val="(%1)"/>
      <w:numFmt w:val="lowerLetter"/>
      <w:start w:val="2"/>
    </w:lvl>
  </w:abstractNum>
  <w:abstractNum w:abstractNumId="296">
    <w:nsid w:val="17859F72"/>
    <w:multiLevelType w:val="hybridMultilevel"/>
    <w:lvl w:ilvl="0">
      <w:lvlJc w:val="left"/>
      <w:lvlText w:val="(%1)"/>
      <w:numFmt w:val="lowerLetter"/>
      <w:start w:val="6"/>
    </w:lvl>
  </w:abstractNum>
  <w:abstractNum w:abstractNumId="297">
    <w:nsid w:val="3AA10581"/>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jpe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2022-10-11T08:08:45Z</dcterms:created>
  <dcterms:modified xsi:type="dcterms:W3CDTF">2022-10-11T08:08:45Z</dcterms:modified>
</cp:coreProperties>
</file>