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19"/>
        <w:spacing w:after="0" w:line="238" w:lineRule="auto"/>
        <w:rPr>
          <w:sz w:val="20"/>
          <w:szCs w:val="20"/>
          <w:color w:val="auto"/>
        </w:rPr>
      </w:pPr>
      <w:r>
        <w:rPr>
          <w:rFonts w:ascii="Courier New" w:cs="Courier New" w:eastAsia="Courier New" w:hAnsi="Courier New"/>
          <w:sz w:val="18"/>
          <w:szCs w:val="18"/>
          <w:color w:val="auto"/>
        </w:rPr>
        <w:t>WASHINGTON, DC 20549</w:t>
      </w:r>
    </w:p>
    <w:p>
      <w:pPr>
        <w:ind w:left="29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CURRENT REPORT</w:t>
      </w:r>
    </w:p>
    <w:p>
      <w:pPr>
        <w:ind w:left="168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1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Date of report (Date of earliest event reported): November 23, 1999</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FEDERAL REALTY INVESTMENT TRUST</w:t>
      </w:r>
    </w:p>
    <w:p>
      <w:pPr>
        <w:ind w:left="2100"/>
        <w:spacing w:after="0" w:line="238" w:lineRule="auto"/>
        <w:rPr>
          <w:sz w:val="20"/>
          <w:szCs w:val="20"/>
          <w:color w:val="auto"/>
        </w:rPr>
      </w:pPr>
      <w:r>
        <w:rPr>
          <w:rFonts w:ascii="Courier New" w:cs="Courier New" w:eastAsia="Courier New" w:hAnsi="Courier New"/>
          <w:sz w:val="18"/>
          <w:szCs w:val="18"/>
          <w:color w:val="auto"/>
        </w:rPr>
        <w:t>-------------------------------</w:t>
      </w:r>
    </w:p>
    <w:p>
      <w:pPr>
        <w:ind w:left="1040"/>
        <w:spacing w:after="0"/>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3"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Maryland</w:t>
            </w:r>
          </w:p>
        </w:tc>
        <w:tc>
          <w:tcPr>
            <w:tcW w:w="2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1-7533</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52-0782497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tabs>
          <w:tab w:leader="none" w:pos="3880" w:val="left"/>
          <w:tab w:leader="none" w:pos="566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740"/>
        <w:spacing w:after="0"/>
        <w:tabs>
          <w:tab w:leader="none" w:pos="3880" w:val="left"/>
          <w:tab w:leader="none" w:pos="546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40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6"/>
          <w:szCs w:val="16"/>
          <w:color w:val="auto"/>
        </w:rPr>
        <w:t>20852-4041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spacing w:after="0"/>
        <w:tabs>
          <w:tab w:leader="none" w:pos="64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9" w:lineRule="exact"/>
        <w:rPr>
          <w:sz w:val="24"/>
          <w:szCs w:val="24"/>
          <w:color w:val="auto"/>
        </w:rPr>
      </w:pPr>
    </w:p>
    <w:p>
      <w:pPr>
        <w:jc w:val="right"/>
        <w:ind w:left="20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(301) 998-8100 --------------</w:t>
      </w:r>
    </w:p>
    <w:p>
      <w:pPr>
        <w:spacing w:after="0" w:line="203"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Not Applicable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0"/>
        <w:spacing w:after="0"/>
        <w:rPr>
          <w:sz w:val="20"/>
          <w:szCs w:val="20"/>
          <w:color w:val="auto"/>
        </w:rPr>
      </w:pPr>
      <w:r>
        <w:rPr>
          <w:rFonts w:ascii="Courier New" w:cs="Courier New" w:eastAsia="Courier New" w:hAnsi="Courier New"/>
          <w:sz w:val="18"/>
          <w:szCs w:val="18"/>
          <w:color w:val="auto"/>
        </w:rPr>
        <w:t>Exhibit Index is on page 1.</w:t>
      </w:r>
    </w:p>
    <w:p>
      <w:pPr>
        <w:sectPr>
          <w:pgSz w:w="11900" w:h="16838" w:orient="portrait"/>
          <w:cols w:equalWidth="0" w:num="1">
            <w:col w:w="9679"/>
          </w:cols>
          <w:pgMar w:left="78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Attached as exhibits to this form are the documents listed at Item 7(c).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Exhibit</w:t>
      </w:r>
    </w:p>
    <w:p>
      <w:pPr>
        <w:ind w:left="54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ind w:left="2120" w:hanging="1585"/>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1580" w:right="1779" w:hanging="1052"/>
        <w:spacing w:after="0" w:line="237" w:lineRule="auto"/>
        <w:tabs>
          <w:tab w:leader="none" w:pos="15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Underwriting Agreement, dated as of November 23, 1999, by and among Federal Realty Investment Trust and the several Underwriters named therein, for whom Goldman, Sachs &amp; Co., J.P. Morgan Securities Inc., First Union Securities, Inc., PNC Capital Markets, Inc. and Warburg Dillon Read LLC will act as representatives.</w:t>
      </w:r>
    </w:p>
    <w:p>
      <w:pPr>
        <w:spacing w:after="0" w:line="204"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Form of $175,000,000 8 3/4% Notes due December 1, 2009.</w:t>
      </w:r>
    </w:p>
    <w:p>
      <w:pPr>
        <w:spacing w:after="0" w:line="207" w:lineRule="exact"/>
        <w:rPr>
          <w:sz w:val="20"/>
          <w:szCs w:val="20"/>
          <w:color w:val="auto"/>
        </w:rPr>
      </w:pPr>
    </w:p>
    <w:p>
      <w:pPr>
        <w:ind w:left="1580" w:right="1779" w:hanging="1052"/>
        <w:spacing w:after="0" w:line="235" w:lineRule="auto"/>
        <w:tabs>
          <w:tab w:leader="none" w:pos="15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Hogan &amp; Hartson L.L.P. as to the validity of the notes being issued.</w:t>
      </w:r>
    </w:p>
    <w:p>
      <w:pPr>
        <w:spacing w:after="0" w:line="203"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spacing w:after="0" w:line="207" w:lineRule="exact"/>
        <w:rPr>
          <w:sz w:val="20"/>
          <w:szCs w:val="20"/>
          <w:color w:val="auto"/>
        </w:rPr>
      </w:pPr>
    </w:p>
    <w:p>
      <w:pPr>
        <w:ind w:left="1580" w:right="1999" w:hanging="1052"/>
        <w:spacing w:after="0" w:line="235" w:lineRule="auto"/>
        <w:tabs>
          <w:tab w:leader="none" w:pos="15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Consent of Hogan &amp; Hartson L.L.P. regarding the validity of the notes being issued (included in Exhibit 5.1).</w:t>
      </w:r>
    </w:p>
    <w:p>
      <w:pPr>
        <w:spacing w:after="0" w:line="208" w:lineRule="exact"/>
        <w:rPr>
          <w:sz w:val="20"/>
          <w:szCs w:val="20"/>
          <w:color w:val="auto"/>
        </w:rPr>
      </w:pPr>
    </w:p>
    <w:p>
      <w:pPr>
        <w:ind w:left="1580" w:right="1999" w:hanging="1052"/>
        <w:spacing w:after="0" w:line="235" w:lineRule="auto"/>
        <w:tabs>
          <w:tab w:leader="none" w:pos="15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Consent of Hogan &amp; Hartson L.L.P. regarding certain tax matters (included in Exhibit 8.1).</w:t>
      </w:r>
    </w:p>
    <w:p>
      <w:pPr>
        <w:spacing w:after="0" w:line="203"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from Moody's Investors Service, dated November 15,</w:t>
      </w:r>
    </w:p>
    <w:p>
      <w:pPr>
        <w:ind w:left="1580"/>
        <w:spacing w:after="0" w:line="238" w:lineRule="auto"/>
        <w:rPr>
          <w:sz w:val="20"/>
          <w:szCs w:val="20"/>
          <w:color w:val="auto"/>
        </w:rPr>
      </w:pPr>
      <w:r>
        <w:rPr>
          <w:rFonts w:ascii="Courier New" w:cs="Courier New" w:eastAsia="Courier New" w:hAnsi="Courier New"/>
          <w:sz w:val="18"/>
          <w:szCs w:val="18"/>
          <w:color w:val="auto"/>
        </w:rPr>
        <w:t>1999.</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from Standard &amp; Poor's, dated November 16, 1999.</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FEDERAL REALTY INVESTMENT TRUST</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29, 1999</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Nancy J. Herman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Nancy J. Herman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4">
            <w:col w:w="540" w:space="200"/>
            <w:col w:w="2340" w:space="720"/>
            <w:col w:w="320" w:space="200"/>
            <w:col w:w="5899"/>
          </w:cols>
          <w:pgMar w:left="24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100" w:type="dxa"/>
            <w:vAlign w:val="bottom"/>
          </w:tcPr>
          <w:p>
            <w:pPr>
              <w:spacing w:after="0"/>
              <w:rPr>
                <w:sz w:val="24"/>
                <w:szCs w:val="24"/>
                <w:color w:val="auto"/>
              </w:rPr>
            </w:pPr>
          </w:p>
        </w:tc>
        <w:tc>
          <w:tcPr>
            <w:tcW w:w="4900" w:type="dxa"/>
            <w:vAlign w:val="bottom"/>
          </w:tcPr>
          <w:p>
            <w:pPr>
              <w:ind w:left="4360"/>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2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Description</w:t>
            </w:r>
          </w:p>
        </w:tc>
        <w:tc>
          <w:tcPr>
            <w:tcW w:w="4900" w:type="dxa"/>
            <w:vAlign w:val="bottom"/>
          </w:tcPr>
          <w:p>
            <w:pPr>
              <w:ind w:left="4360"/>
              <w:spacing w:after="0" w:line="203" w:lineRule="exact"/>
              <w:rPr>
                <w:sz w:val="20"/>
                <w:szCs w:val="20"/>
                <w:color w:val="auto"/>
              </w:rPr>
            </w:pPr>
            <w:r>
              <w:rPr>
                <w:rFonts w:ascii="Courier New" w:cs="Courier New" w:eastAsia="Courier New" w:hAnsi="Courier New"/>
                <w:sz w:val="18"/>
                <w:szCs w:val="18"/>
                <w:color w:val="auto"/>
              </w:rPr>
              <w:t>No.</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4900" w:type="dxa"/>
            <w:vAlign w:val="bottom"/>
          </w:tcPr>
          <w:p>
            <w:pPr>
              <w:ind w:left="4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Underwriting Agreement, dated as of November 23, 1999, by and</w:t>
            </w:r>
          </w:p>
        </w:tc>
      </w:tr>
      <w:tr>
        <w:trPr>
          <w:trHeight w:val="203"/>
        </w:trPr>
        <w:tc>
          <w:tcPr>
            <w:tcW w:w="90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among Federal Realty Investment Trust and the several</w:t>
            </w:r>
          </w:p>
        </w:tc>
      </w:tr>
      <w:tr>
        <w:trPr>
          <w:trHeight w:val="203"/>
        </w:trPr>
        <w:tc>
          <w:tcPr>
            <w:tcW w:w="900" w:type="dxa"/>
            <w:vAlign w:val="bottom"/>
          </w:tcPr>
          <w:p>
            <w:pPr>
              <w:spacing w:after="0"/>
              <w:rPr>
                <w:sz w:val="17"/>
                <w:szCs w:val="17"/>
                <w:color w:val="auto"/>
              </w:rPr>
            </w:pPr>
          </w:p>
        </w:tc>
        <w:tc>
          <w:tcPr>
            <w:tcW w:w="2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Underwriters named</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therein, for whom Goldman, Sachs &amp; Co., J.P.</w:t>
            </w:r>
          </w:p>
        </w:tc>
      </w:tr>
      <w:tr>
        <w:trPr>
          <w:trHeight w:val="203"/>
        </w:trPr>
        <w:tc>
          <w:tcPr>
            <w:tcW w:w="90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Morgan Securities Inc., First Union Securities, Inc., PNC Capital</w:t>
            </w:r>
          </w:p>
        </w:tc>
      </w:tr>
      <w:tr>
        <w:trPr>
          <w:trHeight w:val="203"/>
        </w:trPr>
        <w:tc>
          <w:tcPr>
            <w:tcW w:w="90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Markets, Inc. and Warburg Dillon Read LLC will act as</w:t>
            </w:r>
          </w:p>
        </w:tc>
      </w:tr>
      <w:tr>
        <w:trPr>
          <w:trHeight w:val="203"/>
        </w:trPr>
        <w:tc>
          <w:tcPr>
            <w:tcW w:w="900" w:type="dxa"/>
            <w:vAlign w:val="bottom"/>
          </w:tcPr>
          <w:p>
            <w:pPr>
              <w:spacing w:after="0"/>
              <w:rPr>
                <w:sz w:val="17"/>
                <w:szCs w:val="17"/>
                <w:color w:val="auto"/>
              </w:rPr>
            </w:pPr>
          </w:p>
        </w:tc>
        <w:tc>
          <w:tcPr>
            <w:tcW w:w="2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representatives.</w:t>
            </w:r>
          </w:p>
        </w:tc>
        <w:tc>
          <w:tcPr>
            <w:tcW w:w="490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Form of $175,000,000 8 3/4% Notes due December 1, 2009.</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2100" w:type="dxa"/>
            <w:vAlign w:val="bottom"/>
          </w:tcPr>
          <w:p>
            <w:pPr>
              <w:ind w:left="140"/>
              <w:spacing w:after="0"/>
              <w:rPr>
                <w:sz w:val="20"/>
                <w:szCs w:val="20"/>
                <w:color w:val="auto"/>
              </w:rPr>
            </w:pPr>
            <w:r>
              <w:rPr>
                <w:rFonts w:ascii="Courier New" w:cs="Courier New" w:eastAsia="Courier New" w:hAnsi="Courier New"/>
                <w:sz w:val="18"/>
                <w:szCs w:val="18"/>
                <w:color w:val="auto"/>
                <w:w w:val="99"/>
              </w:rPr>
              <w:t>Opinion of Hogan &amp;</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w w:val="97"/>
              </w:rPr>
              <w:t>Hartson L.L.P. as to the validity of the notes</w:t>
            </w:r>
          </w:p>
        </w:tc>
      </w:tr>
      <w:tr>
        <w:trPr>
          <w:trHeight w:val="203"/>
        </w:trPr>
        <w:tc>
          <w:tcPr>
            <w:tcW w:w="900" w:type="dxa"/>
            <w:vAlign w:val="bottom"/>
          </w:tcPr>
          <w:p>
            <w:pPr>
              <w:spacing w:after="0"/>
              <w:rPr>
                <w:sz w:val="17"/>
                <w:szCs w:val="17"/>
                <w:color w:val="auto"/>
              </w:rPr>
            </w:pPr>
          </w:p>
        </w:tc>
        <w:tc>
          <w:tcPr>
            <w:tcW w:w="2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being issued.</w:t>
            </w:r>
          </w:p>
        </w:tc>
        <w:tc>
          <w:tcPr>
            <w:tcW w:w="490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2100" w:type="dxa"/>
            <w:vAlign w:val="bottom"/>
          </w:tcPr>
          <w:p>
            <w:pPr>
              <w:ind w:left="140"/>
              <w:spacing w:after="0"/>
              <w:rPr>
                <w:sz w:val="20"/>
                <w:szCs w:val="20"/>
                <w:color w:val="auto"/>
              </w:rPr>
            </w:pPr>
            <w:r>
              <w:rPr>
                <w:rFonts w:ascii="Courier New" w:cs="Courier New" w:eastAsia="Courier New" w:hAnsi="Courier New"/>
                <w:sz w:val="18"/>
                <w:szCs w:val="18"/>
                <w:color w:val="auto"/>
                <w:w w:val="99"/>
              </w:rPr>
              <w:t>Opinion of Hogan &amp;</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Hartson L.L.P regarding certain tax matters.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2100" w:type="dxa"/>
            <w:vAlign w:val="bottom"/>
          </w:tcPr>
          <w:p>
            <w:pPr>
              <w:ind w:left="140"/>
              <w:spacing w:after="0"/>
              <w:rPr>
                <w:sz w:val="20"/>
                <w:szCs w:val="20"/>
                <w:color w:val="auto"/>
              </w:rPr>
            </w:pPr>
            <w:r>
              <w:rPr>
                <w:rFonts w:ascii="Courier New" w:cs="Courier New" w:eastAsia="Courier New" w:hAnsi="Courier New"/>
                <w:sz w:val="18"/>
                <w:szCs w:val="18"/>
                <w:color w:val="auto"/>
                <w:w w:val="99"/>
              </w:rPr>
              <w:t>Consent of Hogan &amp;</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Hartson L.L.P. regarding the validity of the</w:t>
            </w:r>
          </w:p>
        </w:tc>
      </w:tr>
      <w:tr>
        <w:trPr>
          <w:trHeight w:val="203"/>
        </w:trPr>
        <w:tc>
          <w:tcPr>
            <w:tcW w:w="900" w:type="dxa"/>
            <w:vAlign w:val="bottom"/>
          </w:tcPr>
          <w:p>
            <w:pPr>
              <w:spacing w:after="0"/>
              <w:rPr>
                <w:sz w:val="17"/>
                <w:szCs w:val="17"/>
                <w:color w:val="auto"/>
              </w:rPr>
            </w:pPr>
          </w:p>
        </w:tc>
        <w:tc>
          <w:tcPr>
            <w:tcW w:w="2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notes being issued</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(included in Exhibit 5.1).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2100" w:type="dxa"/>
            <w:vAlign w:val="bottom"/>
          </w:tcPr>
          <w:p>
            <w:pPr>
              <w:ind w:left="140"/>
              <w:spacing w:after="0"/>
              <w:rPr>
                <w:sz w:val="20"/>
                <w:szCs w:val="20"/>
                <w:color w:val="auto"/>
              </w:rPr>
            </w:pPr>
            <w:r>
              <w:rPr>
                <w:rFonts w:ascii="Courier New" w:cs="Courier New" w:eastAsia="Courier New" w:hAnsi="Courier New"/>
                <w:sz w:val="18"/>
                <w:szCs w:val="18"/>
                <w:color w:val="auto"/>
                <w:w w:val="99"/>
              </w:rPr>
              <w:t>Consent of Hogan &amp;</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Hartson L.L.P. regarding certain tax matters</w:t>
            </w:r>
          </w:p>
        </w:tc>
      </w:tr>
      <w:tr>
        <w:trPr>
          <w:trHeight w:val="203"/>
        </w:trPr>
        <w:tc>
          <w:tcPr>
            <w:tcW w:w="90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(included in Exhibit 8.1).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2100" w:type="dxa"/>
            <w:vAlign w:val="bottom"/>
          </w:tcPr>
          <w:p>
            <w:pPr>
              <w:ind w:left="140"/>
              <w:spacing w:after="0"/>
              <w:rPr>
                <w:sz w:val="20"/>
                <w:szCs w:val="20"/>
                <w:color w:val="auto"/>
              </w:rPr>
            </w:pPr>
            <w:r>
              <w:rPr>
                <w:rFonts w:ascii="Courier New" w:cs="Courier New" w:eastAsia="Courier New" w:hAnsi="Courier New"/>
                <w:sz w:val="18"/>
                <w:szCs w:val="18"/>
                <w:color w:val="auto"/>
                <w:w w:val="99"/>
              </w:rPr>
              <w:t>Press release from</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w w:val="99"/>
              </w:rPr>
              <w:t>Moody's Investors Service, dated November 15,</w:t>
            </w:r>
          </w:p>
        </w:tc>
      </w:tr>
      <w:tr>
        <w:trPr>
          <w:trHeight w:val="203"/>
        </w:trPr>
        <w:tc>
          <w:tcPr>
            <w:tcW w:w="900" w:type="dxa"/>
            <w:vAlign w:val="bottom"/>
          </w:tcPr>
          <w:p>
            <w:pPr>
              <w:spacing w:after="0"/>
              <w:rPr>
                <w:sz w:val="17"/>
                <w:szCs w:val="17"/>
                <w:color w:val="auto"/>
              </w:rPr>
            </w:pPr>
          </w:p>
        </w:tc>
        <w:tc>
          <w:tcPr>
            <w:tcW w:w="2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1999.</w:t>
            </w:r>
          </w:p>
        </w:tc>
        <w:tc>
          <w:tcPr>
            <w:tcW w:w="490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2100" w:type="dxa"/>
            <w:vAlign w:val="bottom"/>
          </w:tcPr>
          <w:p>
            <w:pPr>
              <w:ind w:left="140"/>
              <w:spacing w:after="0"/>
              <w:rPr>
                <w:sz w:val="20"/>
                <w:szCs w:val="20"/>
                <w:color w:val="auto"/>
              </w:rPr>
            </w:pPr>
            <w:r>
              <w:rPr>
                <w:rFonts w:ascii="Courier New" w:cs="Courier New" w:eastAsia="Courier New" w:hAnsi="Courier New"/>
                <w:sz w:val="18"/>
                <w:szCs w:val="18"/>
                <w:color w:val="auto"/>
                <w:w w:val="99"/>
              </w:rPr>
              <w:t>Press release from</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Standard &amp; Poor's, dated November 16, 1999.</w:t>
            </w:r>
          </w:p>
        </w:tc>
      </w:tr>
    </w:tbl>
    <w:p>
      <w:pPr>
        <w:sectPr>
          <w:pgSz w:w="11900" w:h="16838" w:orient="portrait"/>
          <w:cols w:equalWidth="0" w:num="1">
            <w:col w:w="9679"/>
          </w:cols>
          <w:pgMar w:left="78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November 23,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37" w:lineRule="auto"/>
        <w:rPr>
          <w:sz w:val="20"/>
          <w:szCs w:val="20"/>
          <w:color w:val="auto"/>
        </w:rPr>
      </w:pPr>
      <w:r>
        <w:rPr>
          <w:rFonts w:ascii="Courier New" w:cs="Courier New" w:eastAsia="Courier New" w:hAnsi="Courier New"/>
          <w:sz w:val="18"/>
          <w:szCs w:val="18"/>
          <w:color w:val="auto"/>
        </w:rPr>
        <w:t>PNC CAPITAL MARKETS, INC.</w:t>
      </w:r>
    </w:p>
    <w:p>
      <w:pPr>
        <w:spacing w:after="0" w:line="238" w:lineRule="auto"/>
        <w:rPr>
          <w:sz w:val="20"/>
          <w:szCs w:val="20"/>
          <w:color w:val="auto"/>
        </w:rPr>
      </w:pPr>
      <w:r>
        <w:rPr>
          <w:rFonts w:ascii="Courier New" w:cs="Courier New" w:eastAsia="Courier New" w:hAnsi="Courier New"/>
          <w:sz w:val="18"/>
          <w:szCs w:val="18"/>
          <w:color w:val="auto"/>
        </w:rPr>
        <w:t>WARBURG DILLON READ LLC</w:t>
      </w:r>
    </w:p>
    <w:p>
      <w:pPr>
        <w:ind w:left="220"/>
        <w:spacing w:after="0"/>
        <w:rPr>
          <w:sz w:val="20"/>
          <w:szCs w:val="20"/>
          <w:color w:val="auto"/>
        </w:rPr>
      </w:pPr>
      <w:r>
        <w:rPr>
          <w:rFonts w:ascii="Courier New" w:cs="Courier New" w:eastAsia="Courier New" w:hAnsi="Courier New"/>
          <w:sz w:val="18"/>
          <w:szCs w:val="18"/>
          <w:color w:val="auto"/>
        </w:rPr>
        <w:t>as Representatives of the several Underwriters</w:t>
      </w:r>
    </w:p>
    <w:p>
      <w:pPr>
        <w:ind w:left="220"/>
        <w:spacing w:after="0" w:line="237" w:lineRule="auto"/>
        <w:rPr>
          <w:sz w:val="20"/>
          <w:szCs w:val="20"/>
          <w:color w:val="auto"/>
        </w:rPr>
      </w:pPr>
      <w:r>
        <w:rPr>
          <w:rFonts w:ascii="Courier New" w:cs="Courier New" w:eastAsia="Courier New" w:hAnsi="Courier New"/>
          <w:sz w:val="18"/>
          <w:szCs w:val="18"/>
          <w:color w:val="auto"/>
        </w:rPr>
        <w:t>c/o J.P. Morgan Securities Inc.</w:t>
      </w:r>
    </w:p>
    <w:p>
      <w:pPr>
        <w:ind w:left="220"/>
        <w:spacing w:after="0"/>
        <w:rPr>
          <w:sz w:val="20"/>
          <w:szCs w:val="20"/>
          <w:color w:val="auto"/>
        </w:rPr>
      </w:pPr>
      <w:r>
        <w:rPr>
          <w:rFonts w:ascii="Courier New" w:cs="Courier New" w:eastAsia="Courier New" w:hAnsi="Courier New"/>
          <w:sz w:val="18"/>
          <w:szCs w:val="18"/>
          <w:color w:val="auto"/>
        </w:rPr>
        <w:t>60 Wall Street</w:t>
      </w: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10260-0060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Federal Realty Investment Trust, a Maryland real estate investment trust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207" w:lineRule="exact"/>
        <w:rPr>
          <w:sz w:val="20"/>
          <w:szCs w:val="20"/>
          <w:color w:val="auto"/>
        </w:rPr>
      </w:pPr>
    </w:p>
    <w:p>
      <w:pPr>
        <w:ind w:right="1879" w:firstLine="535"/>
        <w:spacing w:after="0" w:line="271" w:lineRule="auto"/>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w:t>
      </w:r>
    </w:p>
    <w:p>
      <w:pPr>
        <w:sectPr>
          <w:pgSz w:w="11900" w:h="16838" w:orient="portrait"/>
          <w:cols w:equalWidth="0" w:num="1">
            <w:col w:w="10219"/>
          </w:cols>
          <w:pgMar w:left="240" w:top="541" w:right="1440" w:bottom="1440" w:gutter="0" w:footer="0" w:header="0"/>
        </w:sectPr>
      </w:pPr>
    </w:p>
    <w:bookmarkStart w:id="5" w:name="page6"/>
    <w:bookmarkEnd w:id="5"/>
    <w:p>
      <w:pPr>
        <w:ind w:right="1779"/>
        <w:spacing w:after="0" w:line="238" w:lineRule="auto"/>
        <w:rPr>
          <w:sz w:val="20"/>
          <w:szCs w:val="20"/>
          <w:color w:val="auto"/>
        </w:rPr>
      </w:pPr>
      <w:r>
        <w:rPr>
          <w:rFonts w:ascii="Courier New" w:cs="Courier New" w:eastAsia="Courier New" w:hAnsi="Courier New"/>
          <w:sz w:val="18"/>
          <w:szCs w:val="18"/>
          <w:color w:val="auto"/>
        </w:rPr>
        <w:t>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210" w:lineRule="exact"/>
        <w:rPr>
          <w:sz w:val="20"/>
          <w:szCs w:val="20"/>
          <w:color w:val="auto"/>
        </w:rPr>
      </w:pPr>
    </w:p>
    <w:p>
      <w:pPr>
        <w:ind w:right="2199" w:firstLine="535"/>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represents and warrants to, and agrees with, each of the Underwriters that:</w:t>
      </w:r>
    </w:p>
    <w:p>
      <w:pPr>
        <w:spacing w:after="0" w:line="208" w:lineRule="exact"/>
        <w:rPr>
          <w:rFonts w:ascii="Courier New" w:cs="Courier New" w:eastAsia="Courier New" w:hAnsi="Courier New"/>
          <w:sz w:val="18"/>
          <w:szCs w:val="18"/>
          <w:color w:val="auto"/>
        </w:rPr>
      </w:pPr>
    </w:p>
    <w:p>
      <w:pPr>
        <w:ind w:left="540" w:right="1779" w:firstLine="521"/>
        <w:spacing w:after="0" w:line="269" w:lineRule="auto"/>
        <w:tabs>
          <w:tab w:leader="none" w:pos="1488"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on Form S-3 (File No. 333-63619) (the "Registration Statement") in respect of the Securities have been filed with the Securities and Exchange Commission (the "Commission"); the Registration Statement and any post-effective amendments thereto, each in the form heretofore delivered or to be delivered to the Representatives and, excluding exhibits to such registration statement, but including all documents incorporated by reference in the prospectuses contained therein, to the Representatives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documents with respect to the Registration Statement or documents incorporated by reference therein have heretofore been filed or transmitted for filing with the Commission (other than prospectuses filed pursuant to Rule 424(b) under the Act, each in the form heretofore delivered to the Representatives); and no stop orders suspending the effectiveness of the Registration Statement, any post-effective amendments thereto or the Rule 462(b) Registration Statement, if any, have been issued and no proceedings for that purpose have been initiated or threatened by the Commission (any preliminary prospectus included in the Registration Statement or filed with the Commission pursuant to Rule 424(a) under the Act is hereinafter called a "Preliminary Prospectus"; the various parts of the Registration Statement and the Rule 462(b) Registration Statement, if any, including all exhibits thereto and the documents incorporated by reference in the prospectuses contained in the Registration Statement at the time such part of the registration statements became effective but</w:t>
      </w: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 w:name="page7"/>
    <w:bookmarkEnd w:id="6"/>
    <w:p>
      <w:pPr>
        <w:ind w:right="1779"/>
        <w:spacing w:after="0" w:line="238" w:lineRule="auto"/>
        <w:rPr>
          <w:sz w:val="20"/>
          <w:szCs w:val="20"/>
          <w:color w:val="auto"/>
        </w:rPr>
      </w:pPr>
      <w:r>
        <w:rPr>
          <w:rFonts w:ascii="Courier New" w:cs="Courier New" w:eastAsia="Courier New" w:hAnsi="Courier New"/>
          <w:sz w:val="18"/>
          <w:szCs w:val="18"/>
          <w:color w:val="auto"/>
        </w:rPr>
        <w:t>excluding Form T-1, each as amended at the time such part of the Registration Statement became effective or such part of the Rule 462(b) Registration Statement, if any, became or hereafter becomes effective, are hereinafter collectively called the "Registration Statement"; the prospectus relating to the Securities,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214" w:lineRule="exact"/>
        <w:rPr>
          <w:sz w:val="20"/>
          <w:szCs w:val="20"/>
          <w:color w:val="auto"/>
        </w:rPr>
      </w:pPr>
    </w:p>
    <w:p>
      <w:pPr>
        <w:ind w:right="1779" w:firstLine="521"/>
        <w:spacing w:after="0" w:line="238"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23" w:right="1440" w:bottom="1440" w:gutter="0" w:footer="0" w:header="0"/>
        </w:sectPr>
      </w:pPr>
    </w:p>
    <w:bookmarkStart w:id="7" w:name="page8"/>
    <w:bookmarkEnd w:id="7"/>
    <w:p>
      <w:pPr>
        <w:ind w:right="1879"/>
        <w:spacing w:after="0" w:line="236" w:lineRule="auto"/>
        <w:rPr>
          <w:sz w:val="20"/>
          <w:szCs w:val="20"/>
          <w:color w:val="auto"/>
        </w:rPr>
      </w:pPr>
      <w:r>
        <w:rPr>
          <w:rFonts w:ascii="Courier New" w:cs="Courier New" w:eastAsia="Courier New" w:hAnsi="Courier New"/>
          <w:sz w:val="18"/>
          <w:szCs w:val="18"/>
          <w:color w:val="auto"/>
        </w:rPr>
        <w:t>Underwriter of Designated Securities through the Representatives expressly for use in the Prospectus as amended or supplemented relating to such Securities;</w:t>
      </w:r>
    </w:p>
    <w:p>
      <w:pPr>
        <w:spacing w:after="0" w:line="209" w:lineRule="exact"/>
        <w:rPr>
          <w:sz w:val="20"/>
          <w:szCs w:val="20"/>
          <w:color w:val="auto"/>
        </w:rPr>
      </w:pPr>
    </w:p>
    <w:p>
      <w:pPr>
        <w:ind w:right="1879" w:firstLine="521"/>
        <w:spacing w:after="0" w:line="238"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208" w:lineRule="exact"/>
        <w:rPr>
          <w:rFonts w:ascii="Courier New" w:cs="Courier New" w:eastAsia="Courier New" w:hAnsi="Courier New"/>
          <w:sz w:val="18"/>
          <w:szCs w:val="18"/>
          <w:color w:val="auto"/>
        </w:rPr>
      </w:pPr>
    </w:p>
    <w:p>
      <w:pPr>
        <w:ind w:right="1779" w:firstLine="521"/>
        <w:spacing w:after="0" w:line="269"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limited partnerships, general partnerships, limited liability corporations, or joint ventures as the case may be, in good standing under the laws of the jurisdictions of their organization (except for joint ventures, which have no good standing certificate requirements), with full power and authority to own, lease and operate their properties and conduct their businesses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is fully paid and non-assessable and is owned by the Company, except as otherwise denoted in Annex III hereto, free and clear of all pledges, liens, encumbrances, claims, security interests and defects;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79"/>
          </w:cols>
          <w:pgMar w:left="780" w:top="723" w:right="1440" w:bottom="1440" w:gutter="0" w:footer="0" w:header="0"/>
        </w:sectPr>
      </w:pPr>
    </w:p>
    <w:bookmarkStart w:id="8" w:name="page9"/>
    <w:bookmarkEnd w:id="8"/>
    <w:p>
      <w:pPr>
        <w:ind w:left="-521" w:right="1779" w:firstLine="521"/>
        <w:spacing w:after="0" w:line="238" w:lineRule="auto"/>
        <w:tabs>
          <w:tab w:leader="none" w:pos="4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date as of which information is given in the Prospectus, there has not been any change in the consolidated capital stock (except for issuances of Common Shares pursuant to the Company's employee benefit plans and the Company's Dividend Reinvestment and Share Purchase Plan)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Prospectus;</w:t>
      </w:r>
    </w:p>
    <w:p>
      <w:pPr>
        <w:spacing w:after="0" w:line="208"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an authorized capitalization as set forth in the Prospectus, and all of the issued shares of capital stock of the Company have been duly and validly authorized and issued and are fully paid and, except as set forth in the Prospectus under the captions "Description of Common Shares--Shareholder Liability" and "Description of Preferred Shares--Shareholder Liability", non-assessable;</w:t>
      </w:r>
    </w:p>
    <w:p>
      <w:pPr>
        <w:spacing w:after="0" w:line="209" w:lineRule="exact"/>
        <w:rPr>
          <w:rFonts w:ascii="Courier New" w:cs="Courier New" w:eastAsia="Courier New" w:hAnsi="Courier New"/>
          <w:sz w:val="18"/>
          <w:szCs w:val="18"/>
          <w:color w:val="auto"/>
        </w:rPr>
      </w:pPr>
    </w:p>
    <w:p>
      <w:pPr>
        <w:ind w:left="-521" w:right="1779" w:firstLine="521"/>
        <w:spacing w:after="0" w:line="269" w:lineRule="auto"/>
        <w:tabs>
          <w:tab w:leader="none" w:pos="4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and validly authorized, and, when Designated Securities are issued and delivered pursuant to this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Prospectus as amended or supplemented with respect to such Designated Securities;</w:t>
      </w:r>
    </w:p>
    <w:p>
      <w:pPr>
        <w:spacing w:after="0" w:line="395" w:lineRule="exact"/>
        <w:rPr>
          <w:rFonts w:ascii="Courier New" w:cs="Courier New" w:eastAsia="Courier New" w:hAnsi="Courier New"/>
          <w:sz w:val="16"/>
          <w:szCs w:val="16"/>
          <w:color w:val="auto"/>
        </w:rPr>
      </w:pPr>
    </w:p>
    <w:p>
      <w:pPr>
        <w:ind w:left="-521" w:right="1999" w:firstLine="521"/>
        <w:spacing w:after="0" w:line="237" w:lineRule="auto"/>
        <w:tabs>
          <w:tab w:leader="none" w:pos="4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 and sale of the Securities and the compliance by the Company with all of the provisions of the Securities, the Indenture,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w:t>
      </w:r>
    </w:p>
    <w:p>
      <w:pPr>
        <w:spacing w:after="0" w:line="207"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8"/>
          </w:cols>
          <w:pgMar w:left="1301" w:top="723" w:right="1440" w:bottom="1440" w:gutter="0" w:footer="0" w:header="0"/>
        </w:sectPr>
      </w:pPr>
    </w:p>
    <w:bookmarkStart w:id="9" w:name="page10"/>
    <w:bookmarkEnd w:id="9"/>
    <w:p>
      <w:pPr>
        <w:ind w:right="1779"/>
        <w:spacing w:after="0" w:line="269" w:lineRule="auto"/>
        <w:rPr>
          <w:sz w:val="20"/>
          <w:szCs w:val="20"/>
          <w:color w:val="auto"/>
        </w:rPr>
      </w:pPr>
      <w:r>
        <w:rPr>
          <w:rFonts w:ascii="Courier New" w:cs="Courier New" w:eastAsia="Courier New" w:hAnsi="Courier New"/>
          <w:sz w:val="16"/>
          <w:szCs w:val="16"/>
          <w:color w:val="auto"/>
        </w:rPr>
        <w:t>Company or any of the Entities is bound or to which any of the property or assets of the Company or any of the Entities is subject, nor will such action result in any violation of the provisions of the Declaration of Trust or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or any Pricing Agreement or the Indenture, except such as have been, or will have been prior to the Time of Delivery, obtained under the Act and the Trust Indenture Act and except for the listing of the Designated Securities on the New York Stock Exchange, Inc. ("NYSE") or other stock exchanges and such consents, approvals, authorizations, registrations or qualifications as may be required under state securities or Blue Sky laws in connection with the purchase and distribution of the Securities by the Underwriters;</w:t>
      </w:r>
    </w:p>
    <w:p>
      <w:pPr>
        <w:spacing w:after="0" w:line="396" w:lineRule="exact"/>
        <w:rPr>
          <w:sz w:val="20"/>
          <w:szCs w:val="20"/>
          <w:color w:val="auto"/>
        </w:rPr>
      </w:pPr>
    </w:p>
    <w:p>
      <w:pPr>
        <w:ind w:right="1779" w:firstLine="521"/>
        <w:spacing w:after="0" w:line="271" w:lineRule="auto"/>
        <w:tabs>
          <w:tab w:leader="none" w:pos="94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183" w:lineRule="exact"/>
        <w:rPr>
          <w:rFonts w:ascii="Courier New" w:cs="Courier New" w:eastAsia="Courier New" w:hAnsi="Courier New"/>
          <w:sz w:val="16"/>
          <w:szCs w:val="16"/>
          <w:color w:val="auto"/>
        </w:rPr>
      </w:pPr>
    </w:p>
    <w:p>
      <w:pPr>
        <w:ind w:right="1779" w:firstLine="521"/>
        <w:spacing w:after="0" w:line="270" w:lineRule="auto"/>
        <w:tabs>
          <w:tab w:leader="none" w:pos="94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of the Company and the Entities, together with related Designated Securities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included in the Prospectus present fairly the information shown therein and have been compiled on a basis consistent with the consolidated financial statements incorporated by reference therein;</w:t>
      </w:r>
    </w:p>
    <w:p>
      <w:pPr>
        <w:spacing w:after="0" w:line="186" w:lineRule="exact"/>
        <w:rPr>
          <w:rFonts w:ascii="Courier New" w:cs="Courier New" w:eastAsia="Courier New" w:hAnsi="Courier New"/>
          <w:sz w:val="16"/>
          <w:szCs w:val="16"/>
          <w:color w:val="auto"/>
        </w:rPr>
      </w:pPr>
    </w:p>
    <w:p>
      <w:pPr>
        <w:ind w:right="1779" w:firstLine="521"/>
        <w:spacing w:after="0" w:line="272" w:lineRule="auto"/>
        <w:tabs>
          <w:tab w:leader="none" w:pos="94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Entities have good and marketable title to, or valid and enforceable leasehold estates in, all items of real and personal property referred to in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723" w:right="1440" w:bottom="1440" w:gutter="0" w:footer="0" w:header="0"/>
        </w:sectPr>
      </w:pPr>
    </w:p>
    <w:bookmarkStart w:id="10" w:name="page11"/>
    <w:bookmarkEnd w:id="10"/>
    <w:p>
      <w:pPr>
        <w:ind w:left="-521" w:right="1779" w:firstLine="521"/>
        <w:spacing w:after="0" w:line="237" w:lineRule="auto"/>
        <w:tabs>
          <w:tab w:leader="none" w:pos="4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209"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209" w:lineRule="exact"/>
        <w:rPr>
          <w:rFonts w:ascii="Courier New" w:cs="Courier New" w:eastAsia="Courier New" w:hAnsi="Courier New"/>
          <w:sz w:val="18"/>
          <w:szCs w:val="18"/>
          <w:color w:val="auto"/>
        </w:rPr>
      </w:pPr>
    </w:p>
    <w:p>
      <w:pPr>
        <w:ind w:left="-521" w:right="1879" w:firstLine="521"/>
        <w:spacing w:after="0" w:line="237" w:lineRule="auto"/>
        <w:tabs>
          <w:tab w:leader="none" w:pos="4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Thornton LLP who has certified the consolidated financial statements filed with the Commission as part of, or incorporated by reference in, the Registration Statement and Prospectus, and Arthur Andersen LLP who was appointed as the Trust's independent accountants effective May 5, 1999, are each independent public accountants as required by the Securities Act</w:t>
      </w:r>
    </w:p>
    <w:p>
      <w:pPr>
        <w:spacing w:after="0" w:line="209" w:lineRule="exact"/>
        <w:rPr>
          <w:rFonts w:ascii="Courier New" w:cs="Courier New" w:eastAsia="Courier New" w:hAnsi="Courier New"/>
          <w:sz w:val="18"/>
          <w:szCs w:val="18"/>
          <w:color w:val="auto"/>
        </w:rPr>
      </w:pPr>
    </w:p>
    <w:p>
      <w:pPr>
        <w:ind w:left="-521" w:right="1879" w:firstLine="521"/>
        <w:spacing w:after="0" w:line="237" w:lineRule="auto"/>
        <w:tabs>
          <w:tab w:leader="none" w:pos="4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for use of registration statements on Form S-3 set forth in the General Instructions on Form S-3 have been satisfied and the Company is entitled to use such form for the transaction contemplated herein;</w:t>
      </w:r>
    </w:p>
    <w:p>
      <w:pPr>
        <w:spacing w:after="0" w:line="207" w:lineRule="exact"/>
        <w:rPr>
          <w:rFonts w:ascii="Courier New" w:cs="Courier New" w:eastAsia="Courier New" w:hAnsi="Courier New"/>
          <w:sz w:val="18"/>
          <w:szCs w:val="18"/>
          <w:color w:val="auto"/>
        </w:rPr>
      </w:pPr>
    </w:p>
    <w:p>
      <w:pPr>
        <w:ind w:left="-521" w:right="1779" w:firstLine="521"/>
        <w:spacing w:after="0" w:line="238" w:lineRule="auto"/>
        <w:tabs>
          <w:tab w:leader="none" w:pos="4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207"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w:t>
      </w:r>
    </w:p>
    <w:p>
      <w:pPr>
        <w:spacing w:after="0" w:line="205"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8"/>
          </w:cols>
          <w:pgMar w:left="1301" w:top="723" w:right="1440" w:bottom="1440" w:gutter="0" w:footer="0" w:header="0"/>
        </w:sectPr>
      </w:pPr>
    </w:p>
    <w:bookmarkStart w:id="11" w:name="page12"/>
    <w:bookmarkEnd w:id="11"/>
    <w:p>
      <w:pPr>
        <w:ind w:left="5" w:right="1999"/>
        <w:spacing w:after="0" w:line="235" w:lineRule="auto"/>
        <w:rPr>
          <w:sz w:val="20"/>
          <w:szCs w:val="20"/>
          <w:color w:val="auto"/>
        </w:rPr>
      </w:pPr>
      <w:r>
        <w:rPr>
          <w:rFonts w:ascii="Courier New" w:cs="Courier New" w:eastAsia="Courier New" w:hAnsi="Courier New"/>
          <w:sz w:val="18"/>
          <w:szCs w:val="18"/>
          <w:color w:val="auto"/>
        </w:rPr>
        <w:t>company" nor a company "controlled" by an "investment company" within the meaning of the Investment Company Act of 1940, as amended.</w:t>
      </w:r>
    </w:p>
    <w:p>
      <w:pPr>
        <w:spacing w:after="0" w:line="208" w:lineRule="exact"/>
        <w:rPr>
          <w:sz w:val="20"/>
          <w:szCs w:val="20"/>
          <w:color w:val="auto"/>
        </w:rPr>
      </w:pPr>
    </w:p>
    <w:p>
      <w:pPr>
        <w:ind w:left="-535" w:right="1779" w:firstLine="535"/>
        <w:spacing w:after="0" w:line="237" w:lineRule="auto"/>
        <w:tabs>
          <w:tab w:leader="none" w:pos="30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208" w:lineRule="exact"/>
        <w:rPr>
          <w:rFonts w:ascii="Courier New" w:cs="Courier New" w:eastAsia="Courier New" w:hAnsi="Courier New"/>
          <w:sz w:val="18"/>
          <w:szCs w:val="18"/>
          <w:color w:val="auto"/>
        </w:rPr>
      </w:pPr>
    </w:p>
    <w:p>
      <w:pPr>
        <w:ind w:left="-535" w:right="1779" w:firstLine="535"/>
        <w:spacing w:after="0" w:line="270" w:lineRule="auto"/>
        <w:tabs>
          <w:tab w:leader="none" w:pos="30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Securities to be purchased by each Underwriter pursuant to the Pricing Agreement relating thereto, in the form specified in such Pricing Agreement, and in such authorized denominations and registered in such names as the Representatives may request upon at least twenty-four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86" w:lineRule="exact"/>
        <w:rPr>
          <w:rFonts w:ascii="Courier New" w:cs="Courier New" w:eastAsia="Courier New" w:hAnsi="Courier New"/>
          <w:sz w:val="16"/>
          <w:szCs w:val="16"/>
          <w:color w:val="auto"/>
        </w:rPr>
      </w:pPr>
    </w:p>
    <w:p>
      <w:pPr>
        <w:ind w:left="-535" w:right="2419" w:firstLine="535"/>
        <w:spacing w:after="0" w:line="235" w:lineRule="auto"/>
        <w:tabs>
          <w:tab w:leader="none" w:pos="30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with each of the Underwriters of any Designated Securities:</w:t>
      </w:r>
    </w:p>
    <w:p>
      <w:pPr>
        <w:spacing w:after="0" w:line="208" w:lineRule="exact"/>
        <w:rPr>
          <w:rFonts w:ascii="Courier New" w:cs="Courier New" w:eastAsia="Courier New" w:hAnsi="Courier New"/>
          <w:sz w:val="18"/>
          <w:szCs w:val="18"/>
          <w:color w:val="auto"/>
        </w:rPr>
      </w:pPr>
    </w:p>
    <w:p>
      <w:pPr>
        <w:ind w:left="5" w:right="1779" w:firstLine="521"/>
        <w:spacing w:after="0" w:line="269" w:lineRule="auto"/>
        <w:tabs>
          <w:tab w:leader="none" w:pos="95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does not elect to rely on Rule 434 under the Act, immediately following execution and delivery of the applicable Pricing Agreement, to prepare the Prospectus as amended and supplemented in relation to the applicable Designated Securities in a form approved by the Representatives and to file such Prospectus pursuant to Rule 424(b) under the Act not later than the Commission's close of business on the business day following the execution and delivery of the Pricing Agreement relating to the applicable Designated Securities or, if applicable, such earlier time as may be required by Rule 424(b), or if the Company elects to rely on Rule 434 under the Act, immediately following execution and delivery of the applicable Pricing Agreement, to prepare an abbreviated term sheet relating to the Designated Securities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 the Pricing Agreement relating to such Securities and prior to the Time of Delivery for such Securities which shall be reasonably disapproved by the Representatives for such Securities promptly after reasonable notice thereof; to advise the Representatives promptly of any such amendment or supplement after such Time of Delivery and furnish the Representatives with copies thereof; to file promptly all reports and any definitive</w:t>
      </w:r>
    </w:p>
    <w:p>
      <w:pPr>
        <w:spacing w:after="0" w:line="200" w:lineRule="exact"/>
        <w:rPr>
          <w:sz w:val="20"/>
          <w:szCs w:val="20"/>
          <w:color w:val="auto"/>
        </w:rPr>
      </w:pPr>
    </w:p>
    <w:p>
      <w:pPr>
        <w:spacing w:after="0" w:line="388"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684"/>
          </w:cols>
          <w:pgMar w:left="775" w:top="723" w:right="1440" w:bottom="1440" w:gutter="0" w:footer="0" w:header="0"/>
        </w:sectPr>
      </w:pPr>
    </w:p>
    <w:bookmarkStart w:id="12" w:name="page13"/>
    <w:bookmarkEnd w:id="12"/>
    <w:p>
      <w:pPr>
        <w:ind w:right="1779"/>
        <w:spacing w:after="0" w:line="269" w:lineRule="auto"/>
        <w:rPr>
          <w:sz w:val="20"/>
          <w:szCs w:val="20"/>
          <w:color w:val="auto"/>
        </w:rPr>
      </w:pPr>
      <w:r>
        <w:rPr>
          <w:rFonts w:ascii="Courier New" w:cs="Courier New" w:eastAsia="Courier New" w:hAnsi="Courier New"/>
          <w:sz w:val="16"/>
          <w:szCs w:val="16"/>
          <w:color w:val="auto"/>
        </w:rPr>
        <w:t>proxy or information statements required to be filed by the Company with the Commission pursuant to Section 13(a), 13(c), 14 or 15(d) of the Exchange Act for so long as the delivery of a prospectus is required in connection with the offering or sale of such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use promptly its best efforts to obtain its withdrawal;</w:t>
      </w:r>
    </w:p>
    <w:p>
      <w:pPr>
        <w:spacing w:after="0" w:line="200" w:lineRule="exact"/>
        <w:rPr>
          <w:sz w:val="20"/>
          <w:szCs w:val="20"/>
          <w:color w:val="auto"/>
        </w:rPr>
      </w:pPr>
    </w:p>
    <w:p>
      <w:pPr>
        <w:spacing w:after="0" w:line="399" w:lineRule="exact"/>
        <w:rPr>
          <w:sz w:val="20"/>
          <w:szCs w:val="20"/>
          <w:color w:val="auto"/>
        </w:rPr>
      </w:pPr>
    </w:p>
    <w:p>
      <w:pPr>
        <w:ind w:right="1779" w:firstLine="521"/>
        <w:spacing w:after="0" w:line="237"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from time to time to take such action as the Representatives may reasonably request to qualify such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Securities, provided that in connection therewith the Company shall not be required to qualify as a foreign corporation or to file a general consent to service of process in any jurisdiction;</w:t>
      </w:r>
    </w:p>
    <w:p>
      <w:pPr>
        <w:spacing w:after="0" w:line="213" w:lineRule="exact"/>
        <w:rPr>
          <w:rFonts w:ascii="Courier New" w:cs="Courier New" w:eastAsia="Courier New" w:hAnsi="Courier New"/>
          <w:sz w:val="18"/>
          <w:szCs w:val="18"/>
          <w:color w:val="auto"/>
        </w:rPr>
      </w:pPr>
    </w:p>
    <w:p>
      <w:pPr>
        <w:ind w:right="1879" w:firstLine="521"/>
        <w:spacing w:after="0" w:line="269" w:lineRule="auto"/>
        <w:tabs>
          <w:tab w:leader="none" w:pos="94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10:00 a.m. New York City time, on the New York business day next succeeding the date of the applicable Pricing Agreement and from time to time, to furnish the Underwriters with copies of the Prospectus in New York City as amended or supplemented in such quantities as the Representatives may reasonably request, and, if the delivery of a prospectus is required at any time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79"/>
          </w:cols>
          <w:pgMar w:left="780" w:top="723" w:right="1440" w:bottom="1440" w:gutter="0" w:footer="0" w:header="0"/>
        </w:sectPr>
      </w:pPr>
    </w:p>
    <w:bookmarkStart w:id="13" w:name="page14"/>
    <w:bookmarkEnd w:id="13"/>
    <w:p>
      <w:pPr>
        <w:ind w:left="532" w:right="1879" w:firstLine="521"/>
        <w:spacing w:after="0" w:line="272" w:lineRule="auto"/>
        <w:tabs>
          <w:tab w:leader="none" w:pos="1480"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185" w:lineRule="exact"/>
        <w:rPr>
          <w:rFonts w:ascii="Courier New" w:cs="Courier New" w:eastAsia="Courier New" w:hAnsi="Courier New"/>
          <w:sz w:val="16"/>
          <w:szCs w:val="16"/>
          <w:color w:val="auto"/>
        </w:rPr>
      </w:pPr>
    </w:p>
    <w:p>
      <w:pPr>
        <w:ind w:left="532" w:right="1779" w:firstLine="521"/>
        <w:spacing w:after="0" w:line="237"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beginning from the date of the Pricing Agreement for such Designated Securities and continuing to and including the earlier of (i) the termination of trading restrictions for such Designated Securities, as notified to the Company by the Representatives and (ii) the Time of Delivery for such Designated Securities, not to offer, sell, contract to sell or otherwise issue any debt securities of the Company which mature more than one year after such Time of Delivery and which are substantially similar to such Designated Securities, without the prior written consent of the Representatives;</w:t>
      </w:r>
    </w:p>
    <w:p>
      <w:pPr>
        <w:spacing w:after="0" w:line="213" w:lineRule="exact"/>
        <w:rPr>
          <w:rFonts w:ascii="Courier New" w:cs="Courier New" w:eastAsia="Courier New" w:hAnsi="Courier New"/>
          <w:sz w:val="18"/>
          <w:szCs w:val="18"/>
          <w:color w:val="auto"/>
        </w:rPr>
      </w:pPr>
    </w:p>
    <w:p>
      <w:pPr>
        <w:ind w:left="532" w:right="1779" w:firstLine="521"/>
        <w:spacing w:after="0" w:line="236"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the net proceeds received by it from the sale of the Securities in the manner specified in the Prospectus under the caption "Use of Proceeds"; and</w:t>
      </w:r>
    </w:p>
    <w:p>
      <w:pPr>
        <w:spacing w:after="0" w:line="208" w:lineRule="exact"/>
        <w:rPr>
          <w:rFonts w:ascii="Courier New" w:cs="Courier New" w:eastAsia="Courier New" w:hAnsi="Courier New"/>
          <w:sz w:val="18"/>
          <w:szCs w:val="18"/>
          <w:color w:val="auto"/>
        </w:rPr>
      </w:pPr>
    </w:p>
    <w:p>
      <w:pPr>
        <w:ind w:left="532" w:right="1879" w:firstLine="521"/>
        <w:spacing w:after="0" w:line="236"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to qualify as a "real estate investment trust" under the Code, and to use its best efforts to continue to meet the requirements to qualify as a "real estate investment trust".</w:t>
      </w:r>
    </w:p>
    <w:p>
      <w:pPr>
        <w:spacing w:after="0" w:line="208" w:lineRule="exact"/>
        <w:rPr>
          <w:rFonts w:ascii="Courier New" w:cs="Courier New" w:eastAsia="Courier New" w:hAnsi="Courier New"/>
          <w:sz w:val="18"/>
          <w:szCs w:val="18"/>
          <w:color w:val="auto"/>
        </w:rPr>
      </w:pPr>
    </w:p>
    <w:p>
      <w:pPr>
        <w:ind w:left="-8" w:right="1879" w:firstLine="535"/>
        <w:spacing w:after="0" w:line="269" w:lineRule="auto"/>
        <w:tabs>
          <w:tab w:leader="none" w:pos="83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the cost of preparing the Securities;</w:t>
      </w:r>
    </w:p>
    <w:p>
      <w:pPr>
        <w:spacing w:after="0" w:line="191" w:lineRule="exact"/>
        <w:rPr>
          <w:rFonts w:ascii="Courier New" w:cs="Courier New" w:eastAsia="Courier New" w:hAnsi="Courier New"/>
          <w:sz w:val="16"/>
          <w:szCs w:val="16"/>
          <w:color w:val="auto"/>
        </w:rPr>
      </w:pPr>
    </w:p>
    <w:p>
      <w:pPr>
        <w:ind w:left="-8" w:right="1879" w:firstLine="8"/>
        <w:spacing w:after="0" w:line="237" w:lineRule="auto"/>
        <w:tabs>
          <w:tab w:leader="none" w:pos="62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and expenses of any Trustee and any agent of any Trustee and the fees and disbursements of counsel for any Trustee in connection with any Indenture and the Securities; and (viii) all other costs and expenses incident to the performance of its obligations hereunder which are not otherwise specifically provided for in this Section. It is understood, however, that, except as provided in this Section, Section 8 and Section 11 hereof, the Underwriters will pay all</w:t>
      </w: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1"/>
          </w:cols>
          <w:pgMar w:left="248" w:top="723" w:right="1440" w:bottom="1440" w:gutter="0" w:footer="0" w:header="0"/>
        </w:sectPr>
      </w:pPr>
    </w:p>
    <w:bookmarkStart w:id="14" w:name="page15"/>
    <w:bookmarkEnd w:id="14"/>
    <w:p>
      <w:pPr>
        <w:jc w:val="both"/>
        <w:ind w:right="1999"/>
        <w:spacing w:after="0" w:line="236" w:lineRule="auto"/>
        <w:rPr>
          <w:sz w:val="20"/>
          <w:szCs w:val="20"/>
          <w:color w:val="auto"/>
        </w:rPr>
      </w:pPr>
      <w:r>
        <w:rPr>
          <w:rFonts w:ascii="Courier New" w:cs="Courier New" w:eastAsia="Courier New" w:hAnsi="Courier New"/>
          <w:sz w:val="18"/>
          <w:szCs w:val="18"/>
          <w:color w:val="auto"/>
        </w:rPr>
        <w:t>of their own costs and expenses, including the fees of their counsel, transfer taxes on resale of any of the Securities by them, and any advertising expenses connected with any offers they may make.</w:t>
      </w:r>
    </w:p>
    <w:p>
      <w:pPr>
        <w:spacing w:after="0" w:line="209" w:lineRule="exact"/>
        <w:rPr>
          <w:sz w:val="20"/>
          <w:szCs w:val="20"/>
          <w:color w:val="auto"/>
        </w:rPr>
      </w:pPr>
    </w:p>
    <w:p>
      <w:pPr>
        <w:ind w:right="1999" w:firstLine="535"/>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in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213"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214"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Brown &amp; Wood LLP, counsel for the Underwriters, shall have furnished to the Representatives such opinion or opinions, dated the Time of Delivery for such Designated Securities, with respect to the organization of the Company, the validity of the Indenture, the Registration Statement, the Prospectus as amended or supplemented and other related matters as the Underwriters may reasonably request, and such counsel shall have received such papers and information as they may reasonably request to enable them to pass upon such matters;</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Hogan &amp; Hartson L.L.P., counsel for the Company, shall have furnished to the Representatives their written opinion, dated the Time of Delivery for such Designated Securities, in form and substance satisfactory to the Representatives, to the effect that:</w:t>
      </w:r>
    </w:p>
    <w:p>
      <w:pPr>
        <w:spacing w:after="0" w:line="207" w:lineRule="exact"/>
        <w:rPr>
          <w:rFonts w:ascii="Courier New" w:cs="Courier New" w:eastAsia="Courier New" w:hAnsi="Courier New"/>
          <w:sz w:val="18"/>
          <w:szCs w:val="18"/>
          <w:color w:val="auto"/>
        </w:rPr>
      </w:pPr>
    </w:p>
    <w:p>
      <w:pPr>
        <w:ind w:left="1060" w:right="1879" w:firstLine="528"/>
        <w:spacing w:after="0" w:line="270" w:lineRule="auto"/>
        <w:tabs>
          <w:tab w:leader="none" w:pos="2008"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organized and is validly existing as a real estate investment trust in good standing under the laws of the state of Maryland, with full power and authority to own its properties and conduct its business as described in the Prospectus; the Entities have been duly organized and are validly existing as corporations, limited partnerships, general partnerships, limited liability corporations, or joint ventures as the case may be, in good standing under the laws of the jurisdictions of their organization (except for joint ventures, which have no good standing certificate requirements); the Entities have power and authority to own their properties and conduct their businesses as described</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5" w:name="page16"/>
    <w:bookmarkEnd w:id="15"/>
    <w:p>
      <w:pPr>
        <w:ind w:right="1779"/>
        <w:spacing w:after="0" w:line="269" w:lineRule="auto"/>
        <w:rPr>
          <w:sz w:val="20"/>
          <w:szCs w:val="20"/>
          <w:color w:val="auto"/>
        </w:rPr>
      </w:pPr>
      <w:r>
        <w:rPr>
          <w:rFonts w:ascii="Courier New" w:cs="Courier New" w:eastAsia="Courier New" w:hAnsi="Courier New"/>
          <w:sz w:val="16"/>
          <w:szCs w:val="16"/>
          <w:color w:val="auto"/>
        </w:rPr>
        <w:t>in the Prospectus; to the best of such counsel's knowledge, except as otherwise denoted in Annex III hereto, all of the equity interests in the Entities are owned by the Company and, to the best of such counsel's knowledge, no options, warrants or other rights to convert any obligations into partnership or other ownership interests in the Entities are outstanding; all of the issued and outstanding stock of each Entity that is a corporation has been duly authorized and validly issued, is fully paid and non-assessable and is owned by the Company, except as otherwise denoted in Annex III hereto, free and clear of all pledges, liens, encumbrances, claims and security interests; the Company and the Entities are duly qualified to transact business in all jurisdictions in which the Company and the Entities are, to such counsel's knowledge,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 and the conditions for use of a registration statement on Form S-3 have been satisfied;</w:t>
      </w:r>
    </w:p>
    <w:p>
      <w:pPr>
        <w:spacing w:after="0" w:line="395" w:lineRule="exact"/>
        <w:rPr>
          <w:sz w:val="20"/>
          <w:szCs w:val="20"/>
          <w:color w:val="auto"/>
        </w:rPr>
      </w:pPr>
    </w:p>
    <w:p>
      <w:pPr>
        <w:ind w:right="2519" w:firstLine="528"/>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right="1779" w:firstLine="528"/>
        <w:spacing w:after="0" w:line="237" w:lineRule="auto"/>
        <w:tabs>
          <w:tab w:leader="none" w:pos="11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Designated Securities have been duly authorized, executed, authenticated, issued and delivered and constitute valid and legally binding obligations of the Company entitled to the benefits provided by the Indenture; and the Designated Securities and the Indenture conform to the descriptions thereof in the Prospectus as amended or supplemented;</w:t>
      </w:r>
    </w:p>
    <w:p>
      <w:pPr>
        <w:spacing w:after="0" w:line="209" w:lineRule="exact"/>
        <w:rPr>
          <w:rFonts w:ascii="Courier New" w:cs="Courier New" w:eastAsia="Courier New" w:hAnsi="Courier New"/>
          <w:sz w:val="18"/>
          <w:szCs w:val="18"/>
          <w:color w:val="auto"/>
        </w:rPr>
      </w:pPr>
    </w:p>
    <w:p>
      <w:pPr>
        <w:ind w:right="1779" w:firstLine="528"/>
        <w:spacing w:after="0" w:line="237"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has been duly authorized, executed and delivered by the parties thereto and constitutes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has been duly qualified under the Trust Indenture Act;</w:t>
      </w:r>
    </w:p>
    <w:p>
      <w:pPr>
        <w:spacing w:after="0" w:line="211" w:lineRule="exact"/>
        <w:rPr>
          <w:rFonts w:ascii="Courier New" w:cs="Courier New" w:eastAsia="Courier New" w:hAnsi="Courier New"/>
          <w:sz w:val="18"/>
          <w:szCs w:val="18"/>
          <w:color w:val="auto"/>
        </w:rPr>
      </w:pPr>
    </w:p>
    <w:p>
      <w:pPr>
        <w:ind w:right="1779" w:firstLine="528"/>
        <w:spacing w:after="0" w:line="237"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 and sale of the Designated Securities being delivered at such Time of Delivery and the compliance by the Company with all of the provisions of the Designated Securities, the Indenture, this Agreement and the Pricing Agreement with respect to the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known to such counsel to which the Company or any of the Entities is a party or by which the Company or any of the Entities is bound or to which</w:t>
      </w:r>
    </w:p>
    <w:p>
      <w:pPr>
        <w:spacing w:after="0" w:line="21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159"/>
          </w:cols>
          <w:pgMar w:left="1300" w:top="723" w:right="1440" w:bottom="1440" w:gutter="0" w:footer="0" w:header="0"/>
        </w:sectPr>
      </w:pPr>
    </w:p>
    <w:bookmarkStart w:id="16" w:name="page17"/>
    <w:bookmarkEnd w:id="16"/>
    <w:p>
      <w:pPr>
        <w:ind w:right="1779"/>
        <w:spacing w:after="0" w:line="272" w:lineRule="auto"/>
        <w:rPr>
          <w:sz w:val="20"/>
          <w:szCs w:val="20"/>
          <w:color w:val="auto"/>
        </w:rPr>
      </w:pPr>
      <w:r>
        <w:rPr>
          <w:rFonts w:ascii="Courier New" w:cs="Courier New" w:eastAsia="Courier New" w:hAnsi="Courier New"/>
          <w:sz w:val="16"/>
          <w:szCs w:val="16"/>
          <w:color w:val="auto"/>
        </w:rPr>
        <w:t>any of the property or assets of the Company or any of the Entities is subject, nor will such actions result in any violation of the provisions of the Declaration of Trust or By-laws of the Company or any statute or any order, rule or regulation known to such counsel of any court or governmental agency or body having jurisdiction over the Company or any of the Entities or any of their respective properties;</w:t>
      </w:r>
    </w:p>
    <w:p>
      <w:pPr>
        <w:spacing w:after="0" w:line="186" w:lineRule="exact"/>
        <w:rPr>
          <w:sz w:val="20"/>
          <w:szCs w:val="20"/>
          <w:color w:val="auto"/>
        </w:rPr>
      </w:pPr>
    </w:p>
    <w:p>
      <w:pPr>
        <w:ind w:right="1879" w:firstLine="528"/>
        <w:spacing w:after="0" w:line="270" w:lineRule="auto"/>
        <w:tabs>
          <w:tab w:leader="none" w:pos="10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registration or qualification of or with any court or governmental agency or body is required for the issue and sale of the Designated Securities being delivered at such Time of Delivery or the consummation by the Company of the transactions contemplated by this Agreement or the Pricing Agreement or the Indenture, except such as have been obtained under the Act and the Trust Indenture Act and except for the listing of the Designated Securities on the NYSE, or other stock exchanges and such consents, approvals, authorizations, registrations or qualifications as may be required under state securities or Blue Sky laws in connection with the purchase and distribution of the Designated Securities by the Underwriters;</w:t>
      </w:r>
    </w:p>
    <w:p>
      <w:pPr>
        <w:spacing w:after="0" w:line="390" w:lineRule="exact"/>
        <w:rPr>
          <w:rFonts w:ascii="Courier New" w:cs="Courier New" w:eastAsia="Courier New" w:hAnsi="Courier New"/>
          <w:sz w:val="16"/>
          <w:szCs w:val="16"/>
          <w:color w:val="auto"/>
        </w:rPr>
      </w:pPr>
    </w:p>
    <w:p>
      <w:pPr>
        <w:ind w:right="1779" w:firstLine="528"/>
        <w:spacing w:after="0" w:line="269" w:lineRule="auto"/>
        <w:tabs>
          <w:tab w:leader="none" w:pos="11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 they have no reason to believe that any of such documents, when they became effective or were so filed, as the case may be, contained, in the case of a registration statement which became effective under the Act, an untrue statement of a material 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 and</w:t>
      </w:r>
    </w:p>
    <w:p>
      <w:pPr>
        <w:spacing w:after="0" w:line="395" w:lineRule="exact"/>
        <w:rPr>
          <w:rFonts w:ascii="Courier New" w:cs="Courier New" w:eastAsia="Courier New" w:hAnsi="Courier New"/>
          <w:sz w:val="16"/>
          <w:szCs w:val="16"/>
          <w:color w:val="auto"/>
        </w:rPr>
      </w:pPr>
    </w:p>
    <w:p>
      <w:pPr>
        <w:ind w:right="1879" w:firstLine="528"/>
        <w:spacing w:after="0" w:line="237"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the Prospectus as amended or supplemented and any further amendments and supplements thereto made by the Company prior to the Time of Delivery for the Designated Securities (other than the financial statements and related schedules therein, as to which such counsel need express no opinion) comply as to form in all material respects with the requirements of the Act and the Trust Indenture Act and the rules and regulations thereunder; if applicable, the Rule 434 Prospectus complies as to form in all material respects with the requirements of Rule 434 under the Act; they have no reason to believe that, as of its effective date, the Registration Statement or any further</w:t>
      </w:r>
    </w:p>
    <w:p>
      <w:pPr>
        <w:spacing w:after="0" w:line="21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159"/>
          </w:cols>
          <w:pgMar w:left="1300" w:top="723" w:right="1440" w:bottom="1440" w:gutter="0" w:footer="0" w:header="0"/>
        </w:sectPr>
      </w:pPr>
    </w:p>
    <w:bookmarkStart w:id="17" w:name="page18"/>
    <w:bookmarkEnd w:id="17"/>
    <w:p>
      <w:pPr>
        <w:ind w:right="1779"/>
        <w:spacing w:after="0" w:line="238" w:lineRule="auto"/>
        <w:rPr>
          <w:sz w:val="20"/>
          <w:szCs w:val="20"/>
          <w:color w:val="auto"/>
        </w:rPr>
      </w:pPr>
      <w:r>
        <w:rPr>
          <w:rFonts w:ascii="Courier New" w:cs="Courier New" w:eastAsia="Courier New" w:hAnsi="Courier New"/>
          <w:sz w:val="18"/>
          <w:szCs w:val="18"/>
          <w:color w:val="auto"/>
        </w:rPr>
        <w:t>amendment thereto made by the Company prior to the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as to which such counsel need express no opinion) contained an untrue statement of a material fact or omitted to state a material fact necessary to make the statements therein, in light of the circumstances in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as to which such counsel need express no opinion) contains an untrue statement of a material fact or omits to state a material fact necessary to make the statements therein, in light of the circumstances in which they were made, not misleading; and they do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21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delivering such opinion, counsel shall be entitled to rely in respect of the opinion in this clause upon opinions of local counsel and in respect of certain matters of fact upon certificates of officers of the Company, provided that such counsel shall state that they believe that both you and they are justified in relying upon such opinions and certificates.</w:t>
      </w:r>
    </w:p>
    <w:p>
      <w:pPr>
        <w:spacing w:after="0" w:line="210" w:lineRule="exact"/>
        <w:rPr>
          <w:sz w:val="20"/>
          <w:szCs w:val="20"/>
          <w:color w:val="auto"/>
        </w:rPr>
      </w:pPr>
    </w:p>
    <w:p>
      <w:pPr>
        <w:ind w:left="-1060" w:right="1879" w:firstLine="1061"/>
        <w:spacing w:after="0" w:line="238" w:lineRule="auto"/>
        <w:tabs>
          <w:tab w:leader="none" w:pos="41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above opinion, the Underwriters shall have received the opinion or opinions of Hogan &amp; Hartson L.L.P., Tax Counsel to the Company, dated the Time of Delivery for such Designated Securities, in form and substance satisfactory to the Underwriters, to the effect that (1) the Company is and has been organized and operated in conformity with the requirements for qualification and taxation as a real estate investment trust ("REIT") under the Code since its taxable year ended December 31, 1994, and the Company's current and proposed method of operation (as described in the Prospectus and Prospectus Supplement and as represented by the Company) will enable the Company to continue to meet the requirements for qualification and taxation as a REIT for its taxable year ending December 31, 1999, and thereafter and (2) the discussions in the Prospectus and Prospectus Supplement, each under the caption "Federal Income Tax Considerations," to the extent that they discuss matters of law or</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159"/>
          </w:cols>
          <w:pgMar w:left="1300" w:top="723" w:right="1440" w:bottom="1440" w:gutter="0" w:footer="0" w:header="0"/>
        </w:sectPr>
      </w:pPr>
    </w:p>
    <w:bookmarkStart w:id="18" w:name="page19"/>
    <w:bookmarkEnd w:id="18"/>
    <w:p>
      <w:pPr>
        <w:ind w:right="1999"/>
        <w:spacing w:after="0" w:line="235" w:lineRule="auto"/>
        <w:rPr>
          <w:sz w:val="20"/>
          <w:szCs w:val="20"/>
          <w:color w:val="auto"/>
        </w:rPr>
      </w:pPr>
      <w:r>
        <w:rPr>
          <w:rFonts w:ascii="Courier New" w:cs="Courier New" w:eastAsia="Courier New" w:hAnsi="Courier New"/>
          <w:sz w:val="18"/>
          <w:szCs w:val="18"/>
          <w:color w:val="auto"/>
        </w:rPr>
        <w:t>legal conclusions or purport to describe certain provisions of the federal tax laws, are correct summaries of the matters discussed therein.</w:t>
      </w:r>
    </w:p>
    <w:p>
      <w:pPr>
        <w:spacing w:after="0" w:line="208" w:lineRule="exact"/>
        <w:rPr>
          <w:sz w:val="20"/>
          <w:szCs w:val="20"/>
          <w:color w:val="auto"/>
        </w:rPr>
      </w:pPr>
    </w:p>
    <w:p>
      <w:pPr>
        <w:ind w:right="1779" w:firstLine="535"/>
        <w:spacing w:after="0" w:line="270" w:lineRule="auto"/>
        <w:tabs>
          <w:tab w:leader="none" w:pos="94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Pricing Agreement for such Designated Securities and at the Time of Delivery for such Designated Securities, the independent accountants of the Company who have certified the financial statements of the Company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 reference in the Registration Statement, if the date of such report is later than such effective date, and a letter dated such Time of Delivery, respectively, to the effect set forth in Annex II hereto, and with respect to such letter dated such Time of Delivery, as to such other matters as the Representatives may reasonably request and in form and substance satisfactory to the Representatives;</w:t>
      </w:r>
    </w:p>
    <w:p>
      <w:pPr>
        <w:spacing w:after="0" w:line="186"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capital stock or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Prospectus as amended or supplemented;</w:t>
      </w:r>
    </w:p>
    <w:p>
      <w:pPr>
        <w:spacing w:after="0" w:line="395"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after the date of the Pricing Agreement relating to the</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Securities there shall not have occurred any of the following: (i) a suspension or material limitation in trading in securities generally on the NYSE;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ind w:left="5" w:right="1999" w:hanging="5"/>
        <w:spacing w:after="0" w:line="268" w:lineRule="auto"/>
        <w:tabs>
          <w:tab w:leader="none" w:pos="53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suspension or material limitation in trading in the Company's securities on the NYSE; (iii) a general moratorium on commercial banking activities in New York declared by either Federal or New York State authorities; or (iv) the outbreak or escalation of hostilities involving the United States or the declaration by the United States of a national emergency or war if the effect of any such event specified in this Clause</w:t>
      </w:r>
    </w:p>
    <w:p>
      <w:pPr>
        <w:spacing w:after="0" w:line="1" w:lineRule="exact"/>
        <w:rPr>
          <w:rFonts w:ascii="Courier New" w:cs="Courier New" w:eastAsia="Courier New" w:hAnsi="Courier New"/>
          <w:sz w:val="16"/>
          <w:szCs w:val="16"/>
          <w:color w:val="auto"/>
        </w:rPr>
      </w:pPr>
    </w:p>
    <w:p>
      <w:pPr>
        <w:ind w:left="5" w:right="2099" w:hanging="5"/>
        <w:spacing w:after="0" w:line="237" w:lineRule="auto"/>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judgment of the Representatives makes it impracticable or inadvisable to proceed with the public offering or the delivery of the Designated Securities on the terms and in the manner contemplated in the Prospectus as amended or supplemented;</w:t>
      </w:r>
    </w:p>
    <w:p>
      <w:pPr>
        <w:spacing w:after="0" w:line="207"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complied with the provisions of Section 5(c) hereof with respect to the furnishing of prospectuses on the New York business day next succeeding the date of the applicable Pricing Agreement; and</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furnished or caused to be furnished to the Representatives at the Time of Delivery for the Designated Securities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the Representatives may reasonably request.</w:t>
      </w:r>
    </w:p>
    <w:p>
      <w:pPr>
        <w:spacing w:after="0" w:line="214" w:lineRule="exact"/>
        <w:rPr>
          <w:sz w:val="20"/>
          <w:szCs w:val="20"/>
          <w:color w:val="auto"/>
        </w:rPr>
      </w:pPr>
    </w:p>
    <w:p>
      <w:pPr>
        <w:ind w:left="-535" w:right="1779" w:firstLine="535"/>
        <w:spacing w:after="0" w:line="269" w:lineRule="auto"/>
        <w:tabs>
          <w:tab w:leader="none" w:pos="51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expressly for use in the Prospectus as amended or supplemented relating to such Securities.</w:t>
      </w:r>
    </w:p>
    <w:p>
      <w:pPr>
        <w:spacing w:after="0" w:line="200" w:lineRule="exact"/>
        <w:rPr>
          <w:sz w:val="20"/>
          <w:szCs w:val="20"/>
          <w:color w:val="auto"/>
        </w:rPr>
      </w:pPr>
    </w:p>
    <w:p>
      <w:pPr>
        <w:spacing w:after="0" w:line="38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84"/>
          </w:cols>
          <w:pgMar w:left="775" w:top="723" w:right="1440" w:bottom="1440" w:gutter="0" w:footer="0" w:header="0"/>
        </w:sectPr>
      </w:pPr>
    </w:p>
    <w:bookmarkStart w:id="20" w:name="page21"/>
    <w:bookmarkEnd w:id="20"/>
    <w:p>
      <w:pPr>
        <w:ind w:left="5" w:right="1779" w:firstLine="521"/>
        <w:spacing w:after="0" w:line="269" w:lineRule="auto"/>
        <w:tabs>
          <w:tab w:leader="none" w:pos="95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expressly for use therein; and will reimburse the Company for any legal or other expenses reasonably incurred by the Company in connection with investigating or defending any such action or claim as such expenses are incurred.</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945" w:hanging="419"/>
        <w:spacing w:after="0"/>
        <w:tabs>
          <w:tab w:leader="none" w:pos="94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indemnified party under subsection</w:t>
      </w:r>
    </w:p>
    <w:p>
      <w:pPr>
        <w:spacing w:after="0" w:line="4" w:lineRule="exact"/>
        <w:rPr>
          <w:rFonts w:ascii="Courier New" w:cs="Courier New" w:eastAsia="Courier New" w:hAnsi="Courier New"/>
          <w:sz w:val="18"/>
          <w:szCs w:val="18"/>
          <w:color w:val="auto"/>
        </w:rPr>
      </w:pPr>
    </w:p>
    <w:p>
      <w:pPr>
        <w:ind w:left="5" w:right="1779" w:hanging="5"/>
        <w:spacing w:after="0" w:line="269" w:lineRule="auto"/>
        <w:tabs>
          <w:tab w:leader="none" w:pos="42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945" w:hanging="419"/>
        <w:spacing w:after="0"/>
        <w:tabs>
          <w:tab w:leader="none" w:pos="945"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indemnification provided for in this Section 8 is</w:t>
      </w:r>
    </w:p>
    <w:p>
      <w:pPr>
        <w:spacing w:after="0" w:line="4" w:lineRule="exact"/>
        <w:rPr>
          <w:rFonts w:ascii="Courier New" w:cs="Courier New" w:eastAsia="Courier New" w:hAnsi="Courier New"/>
          <w:sz w:val="18"/>
          <w:szCs w:val="18"/>
          <w:color w:val="auto"/>
        </w:rPr>
      </w:pPr>
    </w:p>
    <w:p>
      <w:pPr>
        <w:ind w:left="5"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84"/>
          </w:cols>
          <w:pgMar w:left="775" w:top="723" w:right="1440" w:bottom="1440" w:gutter="0" w:footer="0" w:header="0"/>
        </w:sectPr>
      </w:pPr>
    </w:p>
    <w:bookmarkStart w:id="21" w:name="page22"/>
    <w:bookmarkEnd w:id="21"/>
    <w:p>
      <w:pPr>
        <w:ind w:right="1779"/>
        <w:spacing w:after="0" w:line="268" w:lineRule="auto"/>
        <w:rPr>
          <w:sz w:val="20"/>
          <w:szCs w:val="20"/>
          <w:color w:val="auto"/>
        </w:rPr>
      </w:pPr>
      <w:r>
        <w:rPr>
          <w:rFonts w:ascii="Courier New" w:cs="Courier New" w:eastAsia="Courier New" w:hAnsi="Courier New"/>
          <w:sz w:val="16"/>
          <w:szCs w:val="16"/>
          <w:color w:val="auto"/>
        </w:rPr>
        <w:t>claims, damages or liabilities (or actions in respect thereof) in such proportion as is appropriate to reflect the relative benefits received by the Company on the one hand and each Underwriter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each Underwriter on the other in connection with the statements or omissions which resulted in such losses, claims, damages or liabilities (or actions in respect thereof), as well as any other relevant equitable considerations. The relative benefits received by the Company on the one hand and each Underwriter shall be deemed to be in the same proportion as the total net proceeds from such offering (before deducting expenses) received by the Company and the total discounts and commissions received by each Underwriter in respect thereof bear to the aggregate offering price of such Designated Securities.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 on the other and the parties' relative intent, knowledge, access to information and opportunity to correct or prevent such statement or omission. The Company and the Underwriter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99" w:firstLine="521"/>
        <w:spacing w:after="0" w:line="236"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Company under this Section 8 shall be in addition to any liability which the Company may otherwise have and shall extend,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679"/>
          </w:cols>
          <w:pgMar w:left="780" w:top="723" w:right="1440" w:bottom="1440" w:gutter="0" w:footer="0" w:header="0"/>
        </w:sectPr>
      </w:pPr>
    </w:p>
    <w:bookmarkStart w:id="22" w:name="page23"/>
    <w:bookmarkEnd w:id="22"/>
    <w:p>
      <w:pPr>
        <w:ind w:left="5" w:right="1779"/>
        <w:spacing w:after="0" w:line="237" w:lineRule="auto"/>
        <w:rPr>
          <w:sz w:val="20"/>
          <w:szCs w:val="20"/>
          <w:color w:val="auto"/>
        </w:rPr>
      </w:pPr>
      <w:r>
        <w:rPr>
          <w:rFonts w:ascii="Courier New" w:cs="Courier New" w:eastAsia="Courier New" w:hAnsi="Courier New"/>
          <w:sz w:val="18"/>
          <w:szCs w:val="18"/>
          <w:color w:val="auto"/>
        </w:rPr>
        <w:t>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trustee of the Company and to each person, if any, who controls the Company within the meaning of the Act.</w:t>
      </w:r>
    </w:p>
    <w:p>
      <w:pPr>
        <w:spacing w:after="0" w:line="211" w:lineRule="exact"/>
        <w:rPr>
          <w:sz w:val="20"/>
          <w:szCs w:val="20"/>
          <w:color w:val="auto"/>
        </w:rPr>
      </w:pPr>
    </w:p>
    <w:p>
      <w:pPr>
        <w:ind w:left="-535" w:right="1779" w:firstLine="535"/>
        <w:spacing w:after="0" w:line="238" w:lineRule="auto"/>
        <w:tabs>
          <w:tab w:leader="none" w:pos="30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If any Underwriter shall default in its obligation to purchase the Designated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211" w:lineRule="exact"/>
        <w:rPr>
          <w:sz w:val="20"/>
          <w:szCs w:val="20"/>
          <w:color w:val="auto"/>
        </w:rPr>
      </w:pPr>
    </w:p>
    <w:p>
      <w:pPr>
        <w:ind w:left="5" w:right="1779" w:firstLine="311"/>
        <w:spacing w:after="0" w:line="270" w:lineRule="auto"/>
        <w:tabs>
          <w:tab w:leader="none" w:pos="74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then the Company shall have the right to require each non-defaulting Underwriter to purchase the principal amount of Designated Securities which such Underwriter agreed to purchase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380" w:lineRule="exact"/>
        <w:rPr>
          <w:rFonts w:ascii="Courier New" w:cs="Courier New" w:eastAsia="Courier New" w:hAnsi="Courier New"/>
          <w:sz w:val="16"/>
          <w:szCs w:val="16"/>
          <w:color w:val="auto"/>
        </w:rPr>
      </w:pPr>
    </w:p>
    <w:p>
      <w:pPr>
        <w:ind w:left="745" w:hanging="429"/>
        <w:spacing w:after="0"/>
        <w:tabs>
          <w:tab w:leader="none" w:pos="74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after giving effect to any arrangements for the purchase of</w:t>
      </w:r>
    </w:p>
    <w:p>
      <w:pPr>
        <w:spacing w:after="0" w:line="4" w:lineRule="exact"/>
        <w:rPr>
          <w:sz w:val="20"/>
          <w:szCs w:val="20"/>
          <w:color w:val="auto"/>
        </w:rPr>
      </w:pPr>
    </w:p>
    <w:p>
      <w:pPr>
        <w:ind w:left="5" w:right="2099"/>
        <w:spacing w:after="0" w:line="235" w:lineRule="auto"/>
        <w:rPr>
          <w:sz w:val="20"/>
          <w:szCs w:val="20"/>
          <w:color w:val="auto"/>
        </w:rPr>
      </w:pPr>
      <w:r>
        <w:rPr>
          <w:rFonts w:ascii="Courier New" w:cs="Courier New" w:eastAsia="Courier New" w:hAnsi="Courier New"/>
          <w:sz w:val="18"/>
          <w:szCs w:val="18"/>
          <w:color w:val="auto"/>
        </w:rPr>
        <w:t>the Designated Securities of a defaulting Underwriter or Underwriters by the</w:t>
      </w:r>
    </w:p>
    <w:p>
      <w:pPr>
        <w:spacing w:after="0" w:line="203"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684"/>
          </w:cols>
          <w:pgMar w:left="775" w:top="722" w:right="1440" w:bottom="1440" w:gutter="0" w:footer="0" w:header="0"/>
        </w:sectPr>
      </w:pPr>
    </w:p>
    <w:bookmarkStart w:id="23" w:name="page24"/>
    <w:bookmarkEnd w:id="23"/>
    <w:p>
      <w:pPr>
        <w:ind w:left="540" w:right="1779"/>
        <w:spacing w:after="0" w:line="238" w:lineRule="auto"/>
        <w:rPr>
          <w:sz w:val="20"/>
          <w:szCs w:val="20"/>
          <w:color w:val="auto"/>
        </w:rPr>
      </w:pPr>
      <w:r>
        <w:rPr>
          <w:rFonts w:ascii="Courier New" w:cs="Courier New" w:eastAsia="Courier New" w:hAnsi="Courier New"/>
          <w:sz w:val="18"/>
          <w:szCs w:val="18"/>
          <w:color w:val="auto"/>
        </w:rPr>
        <w:t>Representatives and the Company as provided in subsection (a) above, the aggregate principal amount of Designated Securities which remains unpurchased exceeds one-tenth of the aggregate principal amount of the Designated Securities, as referred to in subsection (b) above, or if the Company shall not exercise the right described in subsection (b) above to require non-defaulting Underwriters to purchase Designated Securities of a defaulting Underwriter or Underwriters, then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207" w:lineRule="exact"/>
        <w:rPr>
          <w:sz w:val="20"/>
          <w:szCs w:val="20"/>
          <w:color w:val="auto"/>
        </w:rPr>
      </w:pPr>
    </w:p>
    <w:p>
      <w:pPr>
        <w:ind w:right="1779" w:firstLine="535"/>
        <w:spacing w:after="0" w:line="237"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212"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Agreement shall be terminated as a result of any of the conditions set forth in Section 7 hereof (other than Section 7(h)(i), (iii) or (iv)) not being satisfied, the Company will reimburse the Underwriters through the Representatives for all out-of-pocket expenses approved in writing by the Representatives, including fees and disbursements to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Steven J. Guttman; provided, however, that any notice to an Underwriter pursuant to Section 8(c) hereof shall be delivered or sent by mail, telex or facsimile transmission to such</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4" w:name="page25"/>
    <w:bookmarkEnd w:id="24"/>
    <w:p>
      <w:pPr>
        <w:ind w:right="2199"/>
        <w:spacing w:after="0" w:line="237" w:lineRule="auto"/>
        <w:rPr>
          <w:sz w:val="20"/>
          <w:szCs w:val="20"/>
          <w:color w:val="auto"/>
        </w:rPr>
      </w:pPr>
      <w:r>
        <w:rPr>
          <w:rFonts w:ascii="Courier New" w:cs="Courier New" w:eastAsia="Courier New" w:hAnsi="Courier New"/>
          <w:sz w:val="18"/>
          <w:szCs w:val="18"/>
          <w:color w:val="auto"/>
        </w:rPr>
        <w:t>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207" w:lineRule="exact"/>
        <w:rPr>
          <w:sz w:val="20"/>
          <w:szCs w:val="20"/>
          <w:color w:val="auto"/>
        </w:rPr>
      </w:pPr>
    </w:p>
    <w:p>
      <w:pPr>
        <w:ind w:right="1779" w:firstLine="535"/>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shall be binding upon, and inure solely to the benefit of, the Underwriters, the Company and, to the extent provided in Section 8 and Section 10 hereof, the officers and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shall be of the essence of each Pricing Agreement. As used herein, "business day" shall mean any day when the Commission's office in Washington, D.C. is open for business. 15. This Agreement and each Pricing Agreement shall be governed by and construed in accordance with the laws of the State of New York.</w:t>
      </w:r>
    </w:p>
    <w:p>
      <w:pPr>
        <w:spacing w:after="0" w:line="209" w:lineRule="exact"/>
        <w:rPr>
          <w:sz w:val="20"/>
          <w:szCs w:val="20"/>
          <w:color w:val="auto"/>
        </w:rPr>
      </w:pPr>
    </w:p>
    <w:p>
      <w:pPr>
        <w:ind w:right="1779" w:firstLine="535"/>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5" w:name="page26"/>
    <w:bookmarkEnd w:id="25"/>
    <w:p>
      <w:pPr>
        <w:ind w:right="1779" w:firstLine="527"/>
        <w:spacing w:after="0" w:line="236" w:lineRule="auto"/>
        <w:rPr>
          <w:sz w:val="20"/>
          <w:szCs w:val="20"/>
          <w:color w:val="auto"/>
        </w:rPr>
      </w:pPr>
      <w:r>
        <w:rPr>
          <w:rFonts w:ascii="Courier New" w:cs="Courier New" w:eastAsia="Courier New" w:hAnsi="Courier New"/>
          <w:sz w:val="18"/>
          <w:szCs w:val="18"/>
          <w:color w:val="auto"/>
        </w:rPr>
        <w:t>If the foregoing is in accordance with your understanding, please sign and return to us one for the Trust and each of the Representatives plus one for each counsel counterparts hereof.</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Nancy J. Herman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Nancy J. Herman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Title: V.P.-General Counsel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rPr>
          <w:sz w:val="20"/>
          <w:szCs w:val="20"/>
          <w:color w:val="auto"/>
        </w:rPr>
      </w:pPr>
      <w:r>
        <w:rPr>
          <w:rFonts w:ascii="Courier New" w:cs="Courier New" w:eastAsia="Courier New" w:hAnsi="Courier New"/>
          <w:sz w:val="18"/>
          <w:szCs w:val="18"/>
          <w:color w:val="auto"/>
        </w:rPr>
        <w:t>FIRST UNION SECURITIES, INC.</w:t>
      </w:r>
    </w:p>
    <w:p>
      <w:pPr>
        <w:spacing w:after="0" w:line="237" w:lineRule="auto"/>
        <w:rPr>
          <w:sz w:val="20"/>
          <w:szCs w:val="20"/>
          <w:color w:val="auto"/>
        </w:rPr>
      </w:pPr>
      <w:r>
        <w:rPr>
          <w:rFonts w:ascii="Courier New" w:cs="Courier New" w:eastAsia="Courier New" w:hAnsi="Courier New"/>
          <w:sz w:val="18"/>
          <w:szCs w:val="18"/>
          <w:color w:val="auto"/>
        </w:rPr>
        <w:t>PNC CAPITAL MARKETS, INC.</w:t>
      </w:r>
    </w:p>
    <w:p>
      <w:pPr>
        <w:spacing w:after="0" w:line="238" w:lineRule="auto"/>
        <w:rPr>
          <w:sz w:val="20"/>
          <w:szCs w:val="20"/>
          <w:color w:val="auto"/>
        </w:rPr>
      </w:pPr>
      <w:r>
        <w:rPr>
          <w:rFonts w:ascii="Courier New" w:cs="Courier New" w:eastAsia="Courier New" w:hAnsi="Courier New"/>
          <w:sz w:val="18"/>
          <w:szCs w:val="18"/>
          <w:color w:val="auto"/>
        </w:rPr>
        <w:t>WARBURG DILLON READ LLC</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Goldman, Sachs &amp; Co.</w:t>
      </w:r>
    </w:p>
    <w:p>
      <w:pPr>
        <w:ind w:left="540"/>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line="202" w:lineRule="exact"/>
        <w:rPr>
          <w:sz w:val="20"/>
          <w:szCs w:val="20"/>
          <w:color w:val="auto"/>
        </w:rPr>
      </w:pPr>
    </w:p>
    <w:p>
      <w:pPr>
        <w:spacing w:after="0"/>
        <w:tabs>
          <w:tab w:leader="none" w:pos="520" w:val="left"/>
          <w:tab w:leader="none" w:pos="10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Goldman, Sachs &amp; Co.</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J.P. Morgan Securities Inc.</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Nordlinger</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Robert Nordlinger</w:t>
      </w:r>
    </w:p>
    <w:p>
      <w:pPr>
        <w:ind w:left="54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38" w:lineRule="auto"/>
        <w:rPr>
          <w:sz w:val="20"/>
          <w:szCs w:val="20"/>
          <w:color w:val="auto"/>
        </w:rPr>
      </w:pPr>
      <w:r>
        <w:rPr>
          <w:rFonts w:ascii="Courier New" w:cs="Courier New" w:eastAsia="Courier New" w:hAnsi="Courier New"/>
          <w:sz w:val="18"/>
          <w:szCs w:val="18"/>
          <w:color w:val="auto"/>
        </w:rPr>
        <w:t>For themselves and as Representatives</w:t>
      </w:r>
    </w:p>
    <w:p>
      <w:pPr>
        <w:spacing w:after="0"/>
        <w:rPr>
          <w:sz w:val="20"/>
          <w:szCs w:val="20"/>
          <w:color w:val="auto"/>
        </w:rPr>
      </w:pPr>
      <w:r>
        <w:rPr>
          <w:rFonts w:ascii="Courier New" w:cs="Courier New" w:eastAsia="Courier New" w:hAnsi="Courier New"/>
          <w:sz w:val="18"/>
          <w:szCs w:val="18"/>
          <w:color w:val="auto"/>
        </w:rPr>
        <w:t>of the other Underwriters named in</w:t>
      </w:r>
    </w:p>
    <w:p>
      <w:pPr>
        <w:spacing w:after="0" w:line="237" w:lineRule="auto"/>
        <w:rPr>
          <w:sz w:val="20"/>
          <w:szCs w:val="20"/>
          <w:color w:val="auto"/>
        </w:rPr>
      </w:pPr>
      <w:r>
        <w:rPr>
          <w:rFonts w:ascii="Courier New" w:cs="Courier New" w:eastAsia="Courier New" w:hAnsi="Courier New"/>
          <w:sz w:val="18"/>
          <w:szCs w:val="18"/>
          <w:color w:val="auto"/>
        </w:rPr>
        <w:t>Schedule I of Annex I hereto.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Pricing Agreement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 Representatives of the several</w:t>
      </w:r>
    </w:p>
    <w:p>
      <w:pPr>
        <w:ind w:left="120"/>
        <w:spacing w:after="0" w:line="238" w:lineRule="auto"/>
        <w:rPr>
          <w:sz w:val="20"/>
          <w:szCs w:val="20"/>
          <w:color w:val="auto"/>
        </w:rPr>
      </w:pPr>
      <w:r>
        <w:rPr>
          <w:rFonts w:ascii="Courier New" w:cs="Courier New" w:eastAsia="Courier New" w:hAnsi="Courier New"/>
          <w:sz w:val="18"/>
          <w:szCs w:val="18"/>
          <w:color w:val="auto"/>
        </w:rPr>
        <w:t>Underwriters named in Schedule I hereto,</w:t>
      </w:r>
    </w:p>
    <w:p>
      <w:pPr>
        <w:spacing w:after="0"/>
        <w:rPr>
          <w:sz w:val="20"/>
          <w:szCs w:val="20"/>
          <w:color w:val="auto"/>
        </w:rPr>
      </w:pPr>
      <w:r>
        <w:rPr>
          <w:rFonts w:ascii="Courier New" w:cs="Courier New" w:eastAsia="Courier New" w:hAnsi="Courier New"/>
          <w:sz w:val="18"/>
          <w:szCs w:val="18"/>
          <w:color w:val="auto"/>
        </w:rPr>
        <w:t>[Name and address of Representative]</w:t>
      </w:r>
    </w:p>
    <w:p>
      <w:pPr>
        <w:spacing w:after="0" w:line="200"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_________________, 199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Federal Realty Investment Trust, a real estate investment trust organized under the laws of the State of Maryland (the "Company"), proposes, subject to the terms and conditions stated herein and in the Underwriting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 __, 1999 (the "Underwriting Agreement"), between the Company on</w:t>
      </w:r>
    </w:p>
    <w:p>
      <w:pPr>
        <w:spacing w:after="0" w:line="2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one hand and [names of Representatives] on the other hand, to issue and sell to the Underwriters named in Schedule I hereto (the "Underwriters") the Securities specified in Schedules I and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200" w:lineRule="exact"/>
        <w:rPr>
          <w:sz w:val="20"/>
          <w:szCs w:val="20"/>
          <w:color w:val="auto"/>
        </w:rPr>
      </w:pPr>
    </w:p>
    <w:p>
      <w:pPr>
        <w:spacing w:after="0" w:line="39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w:t>
      </w:r>
    </w:p>
    <w:p>
      <w:pPr>
        <w:sectPr>
          <w:pgSz w:w="11900" w:h="16838" w:orient="portrait"/>
          <w:cols w:equalWidth="0" w:num="1">
            <w:col w:w="10219"/>
          </w:cols>
          <w:pgMar w:left="240" w:top="717"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to purchase from the Company, at the time and place and at the purchase price to the Underwriters set forth in Schedule II hereto, the principal amount of Designated Securities set forth opposite the name of such Underwriter in Schedule I hereto.</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[one for the Company and each of the Representatives plus one for each counsel]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38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Title: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UNDERWRITER]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8" w:name="page29"/>
    <w:bookmarkEnd w:id="28"/>
    <w:p>
      <w:pPr>
        <w:ind w:left="336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9999"/>
          </w:cols>
          <w:pgMar w:left="46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UNDERWRITER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Number of</w:t>
      </w:r>
    </w:p>
    <w:p>
      <w:pPr>
        <w:ind w:left="640"/>
        <w:spacing w:after="0" w:line="238" w:lineRule="auto"/>
        <w:rPr>
          <w:sz w:val="20"/>
          <w:szCs w:val="20"/>
          <w:color w:val="auto"/>
        </w:rPr>
      </w:pPr>
      <w:r>
        <w:rPr>
          <w:rFonts w:ascii="Courier New" w:cs="Courier New" w:eastAsia="Courier New" w:hAnsi="Courier New"/>
          <w:sz w:val="18"/>
          <w:szCs w:val="18"/>
          <w:color w:val="auto"/>
        </w:rPr>
        <w:t>Designated Securities</w:t>
      </w:r>
    </w:p>
    <w:p>
      <w:pPr>
        <w:ind w:left="640"/>
        <w:spacing w:after="0"/>
        <w:rPr>
          <w:sz w:val="20"/>
          <w:szCs w:val="20"/>
          <w:color w:val="auto"/>
        </w:rPr>
      </w:pPr>
      <w:r>
        <w:rPr>
          <w:rFonts w:ascii="Courier New" w:cs="Courier New" w:eastAsia="Courier New" w:hAnsi="Courier New"/>
          <w:sz w:val="18"/>
          <w:szCs w:val="18"/>
          <w:color w:val="auto"/>
        </w:rPr>
        <w:t>to be Purchased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00" w:space="720"/>
            <w:col w:w="5579"/>
          </w:cols>
          <w:pgMar w:left="460" w:top="723" w:right="1440" w:bottom="1440" w:gutter="0" w:footer="0" w:header="0"/>
          <w:type w:val="continuous"/>
        </w:sectPr>
      </w:pPr>
    </w:p>
    <w:p>
      <w:pPr>
        <w:spacing w:after="0" w:line="22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540" w:space="720"/>
            <w:col w:w="4739"/>
          </w:cols>
          <w:pgMar w:left="460" w:top="723"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4540" w:space="720"/>
            <w:col w:w="4739"/>
          </w:cols>
          <w:pgMar w:left="460" w:top="723" w:right="1440" w:bottom="1440" w:gutter="0" w:footer="0" w:header="0"/>
          <w:type w:val="continuous"/>
        </w:sectPr>
      </w:pPr>
    </w:p>
    <w:bookmarkStart w:id="29" w:name="page30"/>
    <w:bookmarkEnd w:id="29"/>
    <w:p>
      <w:pPr>
        <w:ind w:left="3580"/>
        <w:spacing w:after="0"/>
        <w:rPr>
          <w:sz w:val="20"/>
          <w:szCs w:val="20"/>
          <w:color w:val="auto"/>
        </w:rPr>
      </w:pPr>
      <w:r>
        <w:rPr>
          <w:rFonts w:ascii="Courier New" w:cs="Courier New" w:eastAsia="Courier New" w:hAnsi="Courier New"/>
          <w:sz w:val="18"/>
          <w:szCs w:val="18"/>
          <w:color w:val="auto"/>
        </w:rPr>
        <w:t>SCHEDULE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Designated Securities:</w:t>
      </w:r>
    </w:p>
    <w:p>
      <w:pPr>
        <w:spacing w:after="0" w:line="207" w:lineRule="exact"/>
        <w:rPr>
          <w:sz w:val="20"/>
          <w:szCs w:val="20"/>
          <w:color w:val="auto"/>
        </w:rPr>
      </w:pPr>
    </w:p>
    <w:p>
      <w:pPr>
        <w:ind w:right="2319" w:firstLine="535"/>
        <w:spacing w:after="0" w:line="235" w:lineRule="auto"/>
        <w:tabs>
          <w:tab w:leader="none" w:pos="73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[Senior] [Subordinated] [Floating Rate] [Zero Coupon] [Designated Securities]</w:t>
      </w:r>
    </w:p>
    <w:p>
      <w:pPr>
        <w:spacing w:after="0" w:line="203"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[Debentures] due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principal amount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to Public:</w:t>
      </w:r>
    </w:p>
    <w:p>
      <w:pPr>
        <w:spacing w:after="0" w:line="207" w:lineRule="exact"/>
        <w:rPr>
          <w:sz w:val="20"/>
          <w:szCs w:val="20"/>
          <w:color w:val="auto"/>
        </w:rPr>
      </w:pPr>
    </w:p>
    <w:p>
      <w:pPr>
        <w:ind w:left="540" w:right="2519" w:hanging="5"/>
        <w:spacing w:after="0" w:line="235" w:lineRule="auto"/>
        <w:tabs>
          <w:tab w:leader="none" w:pos="75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principal amount of the Designated Securities, plus accrued interest from to</w:t>
      </w:r>
    </w:p>
    <w:p>
      <w:pPr>
        <w:spacing w:after="0" w:line="203" w:lineRule="exact"/>
        <w:rPr>
          <w:sz w:val="20"/>
          <w:szCs w:val="20"/>
          <w:color w:val="auto"/>
        </w:rPr>
      </w:pPr>
    </w:p>
    <w:p>
      <w:pPr>
        <w:ind w:left="420"/>
        <w:spacing w:after="0"/>
        <w:tabs>
          <w:tab w:leader="none" w:pos="5040" w:val="left"/>
          <w:tab w:leader="none" w:pos="5880" w:val="left"/>
        </w:tabs>
        <w:rPr>
          <w:sz w:val="20"/>
          <w:szCs w:val="20"/>
          <w:color w:val="auto"/>
        </w:rPr>
      </w:pPr>
      <w:r>
        <w:rPr>
          <w:rFonts w:ascii="Courier New" w:cs="Courier New" w:eastAsia="Courier New" w:hAnsi="Courier New"/>
          <w:sz w:val="18"/>
          <w:szCs w:val="18"/>
          <w:color w:val="auto"/>
        </w:rPr>
        <w:t>[and accrued amortization, if any, from</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 by Underwriters:</w:t>
      </w:r>
    </w:p>
    <w:p>
      <w:pPr>
        <w:spacing w:after="0" w:line="207" w:lineRule="exact"/>
        <w:rPr>
          <w:sz w:val="20"/>
          <w:szCs w:val="20"/>
          <w:color w:val="auto"/>
        </w:rPr>
      </w:pPr>
    </w:p>
    <w:p>
      <w:pPr>
        <w:ind w:left="540" w:right="2519" w:hanging="5"/>
        <w:spacing w:after="0" w:line="235" w:lineRule="auto"/>
        <w:tabs>
          <w:tab w:leader="none" w:pos="75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principal amount of the Designated Securities, plus accrued interest from to</w:t>
      </w:r>
    </w:p>
    <w:p>
      <w:pPr>
        <w:spacing w:after="0" w:line="203" w:lineRule="exact"/>
        <w:rPr>
          <w:sz w:val="20"/>
          <w:szCs w:val="20"/>
          <w:color w:val="auto"/>
        </w:rPr>
      </w:pPr>
    </w:p>
    <w:p>
      <w:pPr>
        <w:ind w:left="420"/>
        <w:spacing w:after="0"/>
        <w:tabs>
          <w:tab w:leader="none" w:pos="5040" w:val="left"/>
          <w:tab w:leader="none" w:pos="5880" w:val="left"/>
        </w:tabs>
        <w:rPr>
          <w:sz w:val="20"/>
          <w:szCs w:val="20"/>
          <w:color w:val="auto"/>
        </w:rPr>
      </w:pPr>
      <w:r>
        <w:rPr>
          <w:rFonts w:ascii="Courier New" w:cs="Courier New" w:eastAsia="Courier New" w:hAnsi="Courier New"/>
          <w:sz w:val="18"/>
          <w:szCs w:val="18"/>
          <w:color w:val="auto"/>
        </w:rPr>
        <w:t>[and accrued amortization, if any, from</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Specified funds for payment of purchase price:</w:t>
      </w:r>
    </w:p>
    <w:p>
      <w:pPr>
        <w:ind w:left="420"/>
        <w:spacing w:after="0" w:line="238" w:lineRule="auto"/>
        <w:rPr>
          <w:sz w:val="20"/>
          <w:szCs w:val="20"/>
          <w:color w:val="auto"/>
        </w:rPr>
      </w:pPr>
      <w:r>
        <w:rPr>
          <w:rFonts w:ascii="Courier New" w:cs="Courier New" w:eastAsia="Courier New" w:hAnsi="Courier New"/>
          <w:sz w:val="18"/>
          <w:szCs w:val="18"/>
          <w:color w:val="auto"/>
        </w:rPr>
        <w:t>[New York] Clearing House funds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Indenture 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between the Company and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as Trustee</w:t>
      </w:r>
    </w:p>
    <w:p>
      <w:pPr>
        <w:spacing w:after="0" w:line="16" w:lineRule="exact"/>
        <w:rPr>
          <w:sz w:val="20"/>
          <w:szCs w:val="20"/>
          <w:color w:val="auto"/>
        </w:rPr>
      </w:pPr>
    </w:p>
    <w:p>
      <w:pPr>
        <w:sectPr>
          <w:pgSz w:w="11900" w:h="16838" w:orient="portrait"/>
          <w:cols w:equalWidth="0" w:num="4">
            <w:col w:w="2980" w:space="720"/>
            <w:col w:w="420" w:space="200"/>
            <w:col w:w="2640" w:space="220"/>
            <w:col w:w="303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Maturity: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 %] [Zero Coupon] [See Floating Rate Provisions]</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Payment Dates:</w:t>
      </w:r>
    </w:p>
    <w:p>
      <w:pPr>
        <w:ind w:left="420"/>
        <w:spacing w:after="0" w:line="238" w:lineRule="auto"/>
        <w:rPr>
          <w:sz w:val="20"/>
          <w:szCs w:val="20"/>
          <w:color w:val="auto"/>
        </w:rPr>
      </w:pPr>
      <w:r>
        <w:rPr>
          <w:rFonts w:ascii="Courier New" w:cs="Courier New" w:eastAsia="Courier New" w:hAnsi="Courier New"/>
          <w:sz w:val="18"/>
          <w:szCs w:val="18"/>
          <w:color w:val="auto"/>
        </w:rPr>
        <w:t>[months and dates]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Provisions: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 provisions for redemption]</w:t>
      </w:r>
    </w:p>
    <w:p>
      <w:pPr>
        <w:spacing w:after="0" w:line="4" w:lineRule="exact"/>
        <w:rPr>
          <w:sz w:val="20"/>
          <w:szCs w:val="20"/>
          <w:color w:val="auto"/>
        </w:rPr>
      </w:pPr>
    </w:p>
    <w:p>
      <w:pPr>
        <w:ind w:left="420" w:right="2419"/>
        <w:spacing w:after="0" w:line="268" w:lineRule="auto"/>
        <w:rPr>
          <w:sz w:val="20"/>
          <w:szCs w:val="20"/>
          <w:color w:val="auto"/>
        </w:rPr>
      </w:pPr>
      <w:r>
        <w:rPr>
          <w:rFonts w:ascii="Courier New" w:cs="Courier New" w:eastAsia="Courier New" w:hAnsi="Courier New"/>
          <w:sz w:val="16"/>
          <w:szCs w:val="16"/>
          <w:color w:val="auto"/>
        </w:rPr>
        <w:t>[The Designated Securities may be redeemed, otherwise than through the sinking fund, in whole or in part at the option of the Company, in the</w:t>
      </w:r>
    </w:p>
    <w:p>
      <w:pPr>
        <w:ind w:left="420"/>
        <w:spacing w:after="0"/>
        <w:tabs>
          <w:tab w:leader="none" w:pos="2300" w:val="left"/>
        </w:tabs>
        <w:rPr>
          <w:sz w:val="20"/>
          <w:szCs w:val="20"/>
          <w:color w:val="auto"/>
        </w:rPr>
      </w:pPr>
      <w:r>
        <w:rPr>
          <w:rFonts w:ascii="Courier New" w:cs="Courier New" w:eastAsia="Courier New" w:hAnsi="Courier New"/>
          <w:sz w:val="18"/>
          <w:szCs w:val="18"/>
          <w:color w:val="auto"/>
        </w:rPr>
        <w:t>amount of [$]</w:t>
      </w:r>
      <w:r>
        <w:rPr>
          <w:sz w:val="20"/>
          <w:szCs w:val="20"/>
          <w:color w:val="auto"/>
        </w:rPr>
        <w:tab/>
      </w:r>
      <w:r>
        <w:rPr>
          <w:rFonts w:ascii="Courier New" w:cs="Courier New" w:eastAsia="Courier New" w:hAnsi="Courier New"/>
          <w:sz w:val="16"/>
          <w:szCs w:val="16"/>
          <w:color w:val="auto"/>
        </w:rPr>
        <w:t>or an integral multiple thereof,</w:t>
      </w:r>
    </w:p>
    <w:p>
      <w:pPr>
        <w:sectPr>
          <w:pgSz w:w="11900" w:h="16838" w:orient="portrait"/>
          <w:cols w:equalWidth="0" w:num="1">
            <w:col w:w="10219"/>
          </w:cols>
          <w:pgMar w:left="240" w:top="717" w:right="1440" w:bottom="1440" w:gutter="0" w:footer="0" w:header="0"/>
          <w:type w:val="continuous"/>
        </w:sectPr>
      </w:pPr>
    </w:p>
    <w:bookmarkStart w:id="30" w:name="page31"/>
    <w:bookmarkEnd w:id="30"/>
    <w:p>
      <w:pPr>
        <w:ind w:left="540"/>
        <w:spacing w:after="0"/>
        <w:tabs>
          <w:tab w:leader="none" w:pos="2840" w:val="left"/>
        </w:tabs>
        <w:rPr>
          <w:sz w:val="20"/>
          <w:szCs w:val="20"/>
          <w:color w:val="auto"/>
        </w:rPr>
      </w:pPr>
      <w:r>
        <w:rPr>
          <w:rFonts w:ascii="Courier New" w:cs="Courier New" w:eastAsia="Courier New" w:hAnsi="Courier New"/>
          <w:sz w:val="18"/>
          <w:szCs w:val="18"/>
          <w:color w:val="auto"/>
        </w:rPr>
        <w:t>[on or after</w:t>
      </w:r>
      <w:r>
        <w:rPr>
          <w:sz w:val="20"/>
          <w:szCs w:val="20"/>
          <w:color w:val="auto"/>
        </w:rPr>
        <w:tab/>
      </w:r>
      <w:r>
        <w:rPr>
          <w:rFonts w:ascii="Courier New" w:cs="Courier New" w:eastAsia="Courier New" w:hAnsi="Courier New"/>
          <w:sz w:val="16"/>
          <w:szCs w:val="16"/>
          <w:color w:val="auto"/>
        </w:rPr>
        <w:t>, at the following redemption prices (expressed in</w:t>
      </w:r>
    </w:p>
    <w:p>
      <w:pPr>
        <w:ind w:left="540"/>
        <w:spacing w:after="0" w:line="238" w:lineRule="auto"/>
        <w:tabs>
          <w:tab w:leader="none" w:pos="4200" w:val="left"/>
          <w:tab w:leader="none" w:pos="7880" w:val="left"/>
        </w:tabs>
        <w:rPr>
          <w:sz w:val="20"/>
          <w:szCs w:val="20"/>
          <w:color w:val="auto"/>
        </w:rPr>
      </w:pPr>
      <w:r>
        <w:rPr>
          <w:rFonts w:ascii="Courier New" w:cs="Courier New" w:eastAsia="Courier New" w:hAnsi="Courier New"/>
          <w:sz w:val="18"/>
          <w:szCs w:val="18"/>
          <w:color w:val="auto"/>
        </w:rPr>
        <w:t>percentages of principal amount).</w:t>
        <w:tab/>
        <w:t>If [redeemed on or before</w:t>
      </w:r>
      <w:r>
        <w:rPr>
          <w:sz w:val="20"/>
          <w:szCs w:val="20"/>
          <w:color w:val="auto"/>
        </w:rPr>
        <w:tab/>
      </w:r>
      <w:r>
        <w:rPr>
          <w:rFonts w:ascii="Courier New" w:cs="Courier New" w:eastAsia="Courier New" w:hAnsi="Courier New"/>
          <w:sz w:val="18"/>
          <w:szCs w:val="18"/>
          <w:color w:val="auto"/>
        </w:rPr>
        <w:t>,</w:t>
      </w:r>
    </w:p>
    <w:p>
      <w:pPr>
        <w:ind w:left="540"/>
        <w:spacing w:after="0"/>
        <w:tabs>
          <w:tab w:leader="none" w:pos="7260" w:val="left"/>
        </w:tabs>
        <w:rPr>
          <w:sz w:val="20"/>
          <w:szCs w:val="20"/>
          <w:color w:val="auto"/>
        </w:rPr>
      </w:pPr>
      <w:r>
        <w:rPr>
          <w:rFonts w:ascii="Courier New" w:cs="Courier New" w:eastAsia="Courier New" w:hAnsi="Courier New"/>
          <w:sz w:val="18"/>
          <w:szCs w:val="18"/>
          <w:color w:val="auto"/>
        </w:rPr>
        <w:t>%, and if] redeemed during the 12-month period beginning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Year</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60" w:space="720"/>
            <w:col w:w="483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and thereafter at 100% of their principal amount, together in each case with accrued interest to the redemption date.]</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260" w:type="dxa"/>
            <w:vAlign w:val="bottom"/>
            <w:gridSpan w:val="2"/>
          </w:tcPr>
          <w:p>
            <w:pPr>
              <w:spacing w:after="0"/>
              <w:rPr>
                <w:sz w:val="20"/>
                <w:szCs w:val="20"/>
                <w:color w:val="auto"/>
              </w:rPr>
            </w:pPr>
            <w:r>
              <w:rPr>
                <w:rFonts w:ascii="Courier New" w:cs="Courier New" w:eastAsia="Courier New" w:hAnsi="Courier New"/>
                <w:sz w:val="18"/>
                <w:szCs w:val="18"/>
                <w:color w:val="auto"/>
                <w:w w:val="98"/>
              </w:rPr>
              <w:t>[on any interest payment date falling on</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or after</w:t>
            </w:r>
          </w:p>
        </w:tc>
        <w:tc>
          <w:tcPr>
            <w:tcW w:w="320" w:type="dxa"/>
            <w:vAlign w:val="bottom"/>
          </w:tcPr>
          <w:p>
            <w:pPr>
              <w:spacing w:after="0"/>
              <w:rPr>
                <w:sz w:val="17"/>
                <w:szCs w:val="17"/>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 at</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the</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election of the</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Company, at a redemption</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price equal</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 the principal</w:t>
            </w:r>
          </w:p>
        </w:tc>
        <w:tc>
          <w:tcPr>
            <w:tcW w:w="360" w:type="dxa"/>
            <w:vAlign w:val="bottom"/>
          </w:tcPr>
          <w:p>
            <w:pPr>
              <w:spacing w:after="0"/>
              <w:rPr>
                <w:sz w:val="17"/>
                <w:szCs w:val="17"/>
                <w:color w:val="auto"/>
              </w:rPr>
            </w:pP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amount thereof,</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plus accrued interest to</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date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redemption.]</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207" w:lineRule="exact"/>
        <w:rPr>
          <w:sz w:val="20"/>
          <w:szCs w:val="20"/>
          <w:color w:val="auto"/>
        </w:rPr>
      </w:pPr>
    </w:p>
    <w:p>
      <w:pPr>
        <w:ind w:left="540" w:right="2099"/>
        <w:spacing w:after="0" w:line="290" w:lineRule="auto"/>
        <w:rPr>
          <w:sz w:val="20"/>
          <w:szCs w:val="20"/>
          <w:color w:val="auto"/>
        </w:rPr>
      </w:pPr>
      <w:r>
        <w:rPr>
          <w:rFonts w:ascii="Courier New" w:cs="Courier New" w:eastAsia="Courier New" w:hAnsi="Courier New"/>
          <w:sz w:val="16"/>
          <w:szCs w:val="16"/>
          <w:color w:val="auto"/>
        </w:rPr>
        <w:t>[Other possible redemption provisions, such as mandatory redemption upon occurrence of certain events or redemption for changes in tax law]</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[Restriction on refunding]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 Provisions: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sinking fund provisions]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Designated Securities are entitled to the benefit of a sinking fund to</w:t>
      </w:r>
    </w:p>
    <w:p>
      <w:pPr>
        <w:spacing w:after="0" w:line="21"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retire [$] principal amount of Designated Securities on in each of the years through at 100% of their principal amount plus accrued interest] [,together with [cumulative] [noncumulative] redemptions at the option of the Company to retire an additional [$] principal amount of Designated Securities in the years through at 100% of their principal amount plus accrued interest].</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Securities are extendable debt Securities, insert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Extendable provisions: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Securities are repayable on , [insert date and years], at the option of the holder, at their principal amount with accrued interest. Initial annual interest rate will be %, and thereafter annual interest rate will be adjusted on , and to a rate not less than % of the effective annual interest rate on U.S. Treasury obligations with -year maturities as of the [insert</w:t>
      </w:r>
    </w:p>
    <w:p>
      <w:pPr>
        <w:spacing w:after="0" w:line="7" w:lineRule="exact"/>
        <w:rPr>
          <w:sz w:val="20"/>
          <w:szCs w:val="20"/>
          <w:color w:val="auto"/>
        </w:rPr>
      </w:pPr>
    </w:p>
    <w:p>
      <w:pPr>
        <w:ind w:left="1060" w:right="2099"/>
        <w:spacing w:after="0" w:line="235" w:lineRule="auto"/>
        <w:rPr>
          <w:sz w:val="20"/>
          <w:szCs w:val="20"/>
          <w:color w:val="auto"/>
        </w:rPr>
      </w:pPr>
      <w:r>
        <w:rPr>
          <w:rFonts w:ascii="Courier New" w:cs="Courier New" w:eastAsia="Courier New" w:hAnsi="Courier New"/>
          <w:sz w:val="18"/>
          <w:szCs w:val="18"/>
          <w:color w:val="auto"/>
        </w:rPr>
        <w:t>date 15 days prior to maturity date] prior to such [insert maturity date].]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Securities are Floating Rate debt Securities, insert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Floating rate provisions: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type w:val="continuous"/>
        </w:sectPr>
      </w:pPr>
    </w:p>
    <w:bookmarkStart w:id="31" w:name="page32"/>
    <w:bookmarkEnd w:id="31"/>
    <w:tbl>
      <w:tblPr>
        <w:tblLayout w:type="fixed"/>
        <w:tblInd w:w="1060" w:type="dxa"/>
        <w:tblCellMar>
          <w:top w:w="0" w:type="dxa"/>
          <w:left w:w="0" w:type="dxa"/>
          <w:bottom w:w="0" w:type="dxa"/>
          <w:right w:w="0" w:type="dxa"/>
        </w:tblCellMar>
      </w:tblPr>
      <w:tr>
        <w:trPr>
          <w:trHeight w:val="204"/>
        </w:trPr>
        <w:tc>
          <w:tcPr>
            <w:tcW w:w="3960" w:type="dxa"/>
            <w:vAlign w:val="bottom"/>
            <w:gridSpan w:val="4"/>
          </w:tcPr>
          <w:p>
            <w:pPr>
              <w:spacing w:after="0"/>
              <w:rPr>
                <w:sz w:val="20"/>
                <w:szCs w:val="20"/>
                <w:color w:val="auto"/>
              </w:rPr>
            </w:pPr>
            <w:r>
              <w:rPr>
                <w:rFonts w:ascii="Courier New" w:cs="Courier New" w:eastAsia="Courier New" w:hAnsi="Courier New"/>
                <w:sz w:val="18"/>
                <w:szCs w:val="18"/>
                <w:color w:val="auto"/>
              </w:rPr>
              <w:t>Initial annual interest rate will be</w:t>
            </w:r>
          </w:p>
        </w:tc>
        <w:tc>
          <w:tcPr>
            <w:tcW w:w="260" w:type="dxa"/>
            <w:vAlign w:val="bottom"/>
          </w:tcPr>
          <w:p>
            <w:pPr>
              <w:spacing w:after="0"/>
              <w:rPr>
                <w:sz w:val="17"/>
                <w:szCs w:val="17"/>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 through</w:t>
            </w:r>
          </w:p>
        </w:tc>
        <w:tc>
          <w:tcPr>
            <w:tcW w:w="460" w:type="dxa"/>
            <w:vAlign w:val="bottom"/>
          </w:tcPr>
          <w:p>
            <w:pPr>
              <w:spacing w:after="0"/>
              <w:rPr>
                <w:sz w:val="17"/>
                <w:szCs w:val="17"/>
                <w:color w:val="auto"/>
              </w:rPr>
            </w:pPr>
          </w:p>
        </w:tc>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[and</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thereafter will</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 adjusted</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[monthly]</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9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 [to</w:t>
            </w:r>
          </w:p>
        </w:tc>
        <w:tc>
          <w:tcPr>
            <w:tcW w:w="2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 annual rate of</w:t>
            </w:r>
          </w:p>
        </w:tc>
        <w:tc>
          <w:tcPr>
            <w:tcW w:w="34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 above the average rate for</w:t>
            </w:r>
          </w:p>
        </w:tc>
      </w:tr>
      <w:tr>
        <w:trPr>
          <w:trHeight w:val="203"/>
        </w:trPr>
        <w:tc>
          <w:tcPr>
            <w:tcW w:w="7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-year [month] [securities] [certificates of deposit] issued by</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2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9"/>
              </w:rPr>
              <w:t>[insert names</w:t>
            </w:r>
          </w:p>
        </w:tc>
        <w:tc>
          <w:tcPr>
            <w:tcW w:w="44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9"/>
              </w:rPr>
              <w:t>of banks],] [and the annual interest rate</w:t>
            </w: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[thereafter] [from</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through</w:t>
            </w:r>
          </w:p>
        </w:tc>
        <w:tc>
          <w:tcPr>
            <w:tcW w:w="260" w:type="dxa"/>
            <w:vAlign w:val="bottom"/>
          </w:tcPr>
          <w:p>
            <w:pPr>
              <w:spacing w:after="0"/>
              <w:rPr>
                <w:sz w:val="17"/>
                <w:szCs w:val="17"/>
                <w:color w:val="auto"/>
              </w:rPr>
            </w:pPr>
          </w:p>
        </w:tc>
        <w:tc>
          <w:tcPr>
            <w:tcW w:w="31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 will be the interest</w:t>
            </w:r>
          </w:p>
        </w:tc>
      </w:tr>
      <w:tr>
        <w:trPr>
          <w:trHeight w:val="203"/>
        </w:trPr>
        <w:tc>
          <w:tcPr>
            <w:tcW w:w="7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yield equivalent of the weekly average per annum market discount rate</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3540" w:type="dxa"/>
            <w:vAlign w:val="bottom"/>
            <w:gridSpan w:val="4"/>
          </w:tcPr>
          <w:p>
            <w:pPr>
              <w:ind w:left="700"/>
              <w:spacing w:after="0" w:line="203" w:lineRule="exact"/>
              <w:rPr>
                <w:sz w:val="20"/>
                <w:szCs w:val="20"/>
                <w:color w:val="auto"/>
              </w:rPr>
            </w:pPr>
            <w:r>
              <w:rPr>
                <w:rFonts w:ascii="Courier New" w:cs="Courier New" w:eastAsia="Courier New" w:hAnsi="Courier New"/>
                <w:sz w:val="18"/>
                <w:szCs w:val="18"/>
                <w:color w:val="auto"/>
              </w:rPr>
              <w:t>-month Treasury bills plus</w:t>
            </w:r>
          </w:p>
        </w:tc>
        <w:tc>
          <w:tcPr>
            <w:tcW w:w="31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 of Interest Differential</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excess, if</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 of (i)</w:t>
            </w:r>
          </w:p>
        </w:tc>
        <w:tc>
          <w:tcPr>
            <w:tcW w:w="44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then current weekly average per annum</w:t>
            </w: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secondary market yield for</w:t>
            </w:r>
          </w:p>
        </w:tc>
        <w:tc>
          <w:tcPr>
            <w:tcW w:w="448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w w:val="97"/>
              </w:rPr>
              <w:t>-month certificates of deposit over (ii)</w:t>
            </w: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then current interest yield</w:t>
            </w:r>
          </w:p>
        </w:tc>
        <w:tc>
          <w:tcPr>
            <w:tcW w:w="44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6"/>
              </w:rPr>
              <w:t>equivalent of the weekly average per annum</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market discount</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rate for</w:t>
            </w:r>
          </w:p>
        </w:tc>
        <w:tc>
          <w:tcPr>
            <w:tcW w:w="4480" w:type="dxa"/>
            <w:vAlign w:val="bottom"/>
            <w:gridSpan w:val="5"/>
          </w:tcPr>
          <w:p>
            <w:pPr>
              <w:ind w:left="480"/>
              <w:spacing w:after="0" w:line="203" w:lineRule="exact"/>
              <w:rPr>
                <w:sz w:val="20"/>
                <w:szCs w:val="20"/>
                <w:color w:val="auto"/>
              </w:rPr>
            </w:pPr>
            <w:r>
              <w:rPr>
                <w:rFonts w:ascii="Courier New" w:cs="Courier New" w:eastAsia="Courier New" w:hAnsi="Courier New"/>
                <w:sz w:val="18"/>
                <w:szCs w:val="18"/>
                <w:color w:val="auto"/>
              </w:rPr>
              <w:t>-month Treasury bills); from</w:t>
            </w:r>
          </w:p>
        </w:tc>
      </w:tr>
      <w:tr>
        <w:trPr>
          <w:trHeight w:val="203"/>
        </w:trPr>
        <w:tc>
          <w:tcPr>
            <w:tcW w:w="7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and thereafter the rate will be the then current interest yield</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equivalent plus</w:t>
            </w:r>
          </w:p>
        </w:tc>
        <w:tc>
          <w:tcPr>
            <w:tcW w:w="3900" w:type="dxa"/>
            <w:vAlign w:val="bottom"/>
            <w:gridSpan w:val="4"/>
          </w:tcPr>
          <w:p>
            <w:pPr>
              <w:ind w:left="460"/>
              <w:spacing w:after="0" w:line="203" w:lineRule="exact"/>
              <w:rPr>
                <w:sz w:val="20"/>
                <w:szCs w:val="20"/>
                <w:color w:val="auto"/>
              </w:rPr>
            </w:pPr>
            <w:r>
              <w:rPr>
                <w:rFonts w:ascii="Courier New" w:cs="Courier New" w:eastAsia="Courier New" w:hAnsi="Courier New"/>
                <w:sz w:val="18"/>
                <w:szCs w:val="18"/>
                <w:color w:val="auto"/>
              </w:rPr>
              <w:t>% of interest Differential].]</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provisions: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of Delivery: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Location: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and addresses of Representatives: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Designated Representatives: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Address for Notices, etc.: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 description of particular tax, accounting or other unusual features (such as the addition of event risk provisions) of the Securities should be set forth, or referenced to an attached and accompanying description, if necessary to ensure agreement as to the terms of the Securities to be purchased and sold. Such a description might appropriately be in the form in which such features will be described in the Prospectus Supplement for the offering.</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2" w:name="page33"/>
    <w:bookmarkEnd w:id="32"/>
    <w:p>
      <w:pPr>
        <w:jc w:val="right"/>
        <w:ind w:right="1779"/>
        <w:spacing w:after="0"/>
        <w:rPr>
          <w:sz w:val="20"/>
          <w:szCs w:val="20"/>
          <w:color w:val="auto"/>
        </w:rPr>
      </w:pPr>
      <w:r>
        <w:rPr>
          <w:rFonts w:ascii="Courier New" w:cs="Courier New" w:eastAsia="Courier New" w:hAnsi="Courier New"/>
          <w:sz w:val="18"/>
          <w:szCs w:val="18"/>
          <w:color w:val="auto"/>
        </w:rPr>
        <w:t>ANNEX II</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Pursuant to Section 7(e) of the Underwriting Agreement (i) Grant Thornton LLP shall furnish a letter to the Underwriters on the date of the Pricing Agreement with respect to the matters covered in paragraphs (i), (ii), (iii),</w:t>
      </w:r>
    </w:p>
    <w:p>
      <w:pPr>
        <w:spacing w:after="0" w:line="1" w:lineRule="exact"/>
        <w:rPr>
          <w:sz w:val="20"/>
          <w:szCs w:val="20"/>
          <w:color w:val="auto"/>
        </w:rPr>
      </w:pPr>
    </w:p>
    <w:p>
      <w:pPr>
        <w:ind w:right="1879" w:firstLine="8"/>
        <w:spacing w:after="0" w:line="268" w:lineRule="auto"/>
        <w:tabs>
          <w:tab w:leader="none" w:pos="52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(vi) below, provided however, it is understood that Grant Thornton LLP shall not be required to address any periods subsequent to March 31, 1999; and</w:t>
      </w:r>
    </w:p>
    <w:p>
      <w:pPr>
        <w:ind w:right="1999" w:firstLine="8"/>
        <w:spacing w:after="0" w:line="237" w:lineRule="auto"/>
        <w:tabs>
          <w:tab w:leader="none" w:pos="52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Arthur Andersen LLP shall furnish letters to the Underwriters on the date of the Pricing Agreement and the Time of Delivery with respect to the matters covered in paragraphs (i), (iii), (v), (vi) and (vii) below, provided however, it is understood that Arthur Andersen LLP shall not be required to address any periods prior to April 1, 1999.</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independent certified public accountants with respect to the Company and its subsidiaries within the meaning of the Act and the applicable published rules and regulations thereunder;</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593"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opinion, the financial statements and any supplementary financial information and schedules audited (and, if applicable, financial forecasts and/or pro forma financial information)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representatives of the Underwriters (the "Representatives");</w:t>
      </w:r>
    </w:p>
    <w:p>
      <w:pPr>
        <w:spacing w:after="0" w:line="208" w:lineRule="exact"/>
        <w:rPr>
          <w:rFonts w:ascii="Courier New" w:cs="Courier New" w:eastAsia="Courier New" w:hAnsi="Courier New"/>
          <w:sz w:val="18"/>
          <w:szCs w:val="18"/>
          <w:color w:val="auto"/>
        </w:rPr>
      </w:pPr>
    </w:p>
    <w:p>
      <w:pPr>
        <w:ind w:left="540" w:right="1779" w:firstLine="521"/>
        <w:spacing w:after="0" w:line="270" w:lineRule="auto"/>
        <w:tabs>
          <w:tab w:leader="none" w:pos="169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w:t>
      </w:r>
    </w:p>
    <w:p>
      <w:pPr>
        <w:sectPr>
          <w:pgSz w:w="11900" w:h="16838" w:orient="portrait"/>
          <w:cols w:equalWidth="0" w:num="1">
            <w:col w:w="10219"/>
          </w:cols>
          <w:pgMar w:left="240" w:top="717" w:right="1440" w:bottom="1440" w:gutter="0" w:footer="0" w:header="0"/>
        </w:sectPr>
      </w:pPr>
    </w:p>
    <w:bookmarkStart w:id="33" w:name="page34"/>
    <w:bookmarkEnd w:id="33"/>
    <w:p>
      <w:pPr>
        <w:ind w:right="1879"/>
        <w:spacing w:after="0" w:line="235" w:lineRule="auto"/>
        <w:rPr>
          <w:sz w:val="20"/>
          <w:szCs w:val="20"/>
          <w:color w:val="auto"/>
        </w:rPr>
      </w:pPr>
      <w:r>
        <w:rPr>
          <w:rFonts w:ascii="Courier New" w:cs="Courier New" w:eastAsia="Courier New" w:hAnsi="Courier New"/>
          <w:sz w:val="18"/>
          <w:szCs w:val="18"/>
          <w:color w:val="auto"/>
        </w:rPr>
        <w:t>applicable accounting requirements of the Act and the Exchange Act and the related published rules and regulations;</w:t>
      </w:r>
    </w:p>
    <w:p>
      <w:pPr>
        <w:spacing w:after="0" w:line="208" w:lineRule="exact"/>
        <w:rPr>
          <w:sz w:val="20"/>
          <w:szCs w:val="20"/>
          <w:color w:val="auto"/>
        </w:rPr>
      </w:pPr>
    </w:p>
    <w:p>
      <w:pPr>
        <w:ind w:right="1879" w:firstLine="521"/>
        <w:spacing w:after="0" w:line="237"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pacing w:after="0" w:line="213"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compared the information in the Prospectus under selected captions with the disclosure requirements of Regulation S-K and on the basis of limited procedures specified in such letter nothing came to their attention as a result to the foregoing procedures that caused them to believe that this information does not conform in all material respects with the disclosure requirements of Items 301, 302, 402 and 503(d), respectively, of Regulation S-K;</w:t>
      </w:r>
    </w:p>
    <w:p>
      <w:pPr>
        <w:spacing w:after="0" w:line="211"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215" w:lineRule="exact"/>
        <w:rPr>
          <w:rFonts w:ascii="Courier New" w:cs="Courier New" w:eastAsia="Courier New" w:hAnsi="Courier New"/>
          <w:sz w:val="18"/>
          <w:szCs w:val="18"/>
          <w:color w:val="auto"/>
        </w:rPr>
      </w:pPr>
    </w:p>
    <w:p>
      <w:pPr>
        <w:ind w:left="520" w:right="1779" w:firstLine="528"/>
        <w:spacing w:after="0" w:line="268" w:lineRule="auto"/>
        <w:tabs>
          <w:tab w:leader="none" w:pos="1468"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w:t>
      </w:r>
    </w:p>
    <w:p>
      <w:pPr>
        <w:spacing w:after="0" w:line="1" w:lineRule="exact"/>
        <w:rPr>
          <w:rFonts w:ascii="Courier New" w:cs="Courier New" w:eastAsia="Courier New" w:hAnsi="Courier New"/>
          <w:sz w:val="16"/>
          <w:szCs w:val="16"/>
          <w:color w:val="auto"/>
        </w:rPr>
      </w:pPr>
    </w:p>
    <w:p>
      <w:pPr>
        <w:ind w:left="520" w:right="1779" w:firstLine="1"/>
        <w:spacing w:after="0" w:line="237" w:lineRule="auto"/>
        <w:tabs>
          <w:tab w:leader="none" w:pos="104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209" w:lineRule="exact"/>
        <w:rPr>
          <w:rFonts w:ascii="Courier New" w:cs="Courier New" w:eastAsia="Courier New" w:hAnsi="Courier New"/>
          <w:sz w:val="18"/>
          <w:szCs w:val="18"/>
          <w:color w:val="auto"/>
        </w:rPr>
      </w:pPr>
    </w:p>
    <w:p>
      <w:pPr>
        <w:jc w:val="both"/>
        <w:ind w:left="520" w:right="1999" w:firstLine="528"/>
        <w:spacing w:after="0" w:line="237" w:lineRule="auto"/>
        <w:tabs>
          <w:tab w:leader="none" w:pos="146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unaudited income statement data and balance sheet items included in the Prospectus do not agree with the corresponding items in the unaudited consolidated financial statements from which such</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79"/>
          </w:cols>
          <w:pgMar w:left="780" w:top="723" w:right="1440" w:bottom="1440" w:gutter="0" w:footer="0" w:header="0"/>
        </w:sectPr>
      </w:pPr>
    </w:p>
    <w:bookmarkStart w:id="34" w:name="page35"/>
    <w:bookmarkEnd w:id="34"/>
    <w:p>
      <w:pPr>
        <w:ind w:right="1779"/>
        <w:spacing w:after="0" w:line="273" w:lineRule="auto"/>
        <w:rPr>
          <w:sz w:val="20"/>
          <w:szCs w:val="20"/>
          <w:color w:val="auto"/>
        </w:rPr>
      </w:pPr>
      <w:r>
        <w:rPr>
          <w:rFonts w:ascii="Courier New" w:cs="Courier New" w:eastAsia="Courier New" w:hAnsi="Courier New"/>
          <w:sz w:val="16"/>
          <w:szCs w:val="16"/>
          <w:color w:val="auto"/>
        </w:rPr>
        <w:t>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185" w:lineRule="exact"/>
        <w:rPr>
          <w:sz w:val="20"/>
          <w:szCs w:val="20"/>
          <w:color w:val="auto"/>
        </w:rPr>
      </w:pPr>
    </w:p>
    <w:p>
      <w:pPr>
        <w:ind w:right="1779" w:firstLine="528"/>
        <w:spacing w:after="0" w:line="272" w:lineRule="auto"/>
        <w:tabs>
          <w:tab w:leader="none" w:pos="94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385" w:lineRule="exact"/>
        <w:rPr>
          <w:rFonts w:ascii="Courier New" w:cs="Courier New" w:eastAsia="Courier New" w:hAnsi="Courier New"/>
          <w:sz w:val="16"/>
          <w:szCs w:val="16"/>
          <w:color w:val="auto"/>
        </w:rPr>
      </w:pPr>
    </w:p>
    <w:p>
      <w:pPr>
        <w:ind w:right="1779" w:firstLine="528"/>
        <w:spacing w:after="0" w:line="237"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211" w:lineRule="exact"/>
        <w:rPr>
          <w:rFonts w:ascii="Courier New" w:cs="Courier New" w:eastAsia="Courier New" w:hAnsi="Courier New"/>
          <w:sz w:val="18"/>
          <w:szCs w:val="18"/>
          <w:color w:val="auto"/>
        </w:rPr>
      </w:pPr>
    </w:p>
    <w:p>
      <w:pPr>
        <w:ind w:right="1779" w:firstLine="528"/>
        <w:spacing w:after="0" w:line="270" w:lineRule="auto"/>
        <w:tabs>
          <w:tab w:leader="none" w:pos="94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three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or any decreases in consolidated net current assets or net assets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386" w:lineRule="exact"/>
        <w:rPr>
          <w:rFonts w:ascii="Courier New" w:cs="Courier New" w:eastAsia="Courier New" w:hAnsi="Courier New"/>
          <w:sz w:val="16"/>
          <w:szCs w:val="16"/>
          <w:color w:val="auto"/>
        </w:rPr>
      </w:pPr>
    </w:p>
    <w:p>
      <w:pPr>
        <w:ind w:right="1879" w:firstLine="528"/>
        <w:spacing w:after="0" w:line="271" w:lineRule="auto"/>
        <w:tabs>
          <w:tab w:leader="none" w:pos="94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or incorporated by reference in the Prospectus to the specified date referred to in Clause (E) there were any decreases in revenue, or in income before gain on sale of real estate and extraordinary items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w:t>
      </w:r>
    </w:p>
    <w:p>
      <w:pPr>
        <w:spacing w:after="0" w:line="38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159"/>
          </w:cols>
          <w:pgMar w:left="1300" w:top="723" w:right="1440" w:bottom="1440" w:gutter="0" w:footer="0" w:header="0"/>
        </w:sectPr>
      </w:pPr>
    </w:p>
    <w:bookmarkStart w:id="35" w:name="page36"/>
    <w:bookmarkEnd w:id="35"/>
    <w:p>
      <w:pPr>
        <w:ind w:left="1700" w:right="1779"/>
        <w:spacing w:after="0" w:line="235" w:lineRule="auto"/>
        <w:rPr>
          <w:sz w:val="20"/>
          <w:szCs w:val="20"/>
          <w:color w:val="auto"/>
        </w:rPr>
      </w:pPr>
      <w:r>
        <w:rPr>
          <w:rFonts w:ascii="Courier New" w:cs="Courier New" w:eastAsia="Courier New" w:hAnsi="Courier New"/>
          <w:sz w:val="18"/>
          <w:szCs w:val="18"/>
          <w:color w:val="auto"/>
        </w:rPr>
        <w:t>or decreases which the Prospectus discloses have occurred or may occur or which are described in such letter; and</w:t>
      </w:r>
    </w:p>
    <w:p>
      <w:pPr>
        <w:spacing w:after="0" w:line="208" w:lineRule="exact"/>
        <w:rPr>
          <w:sz w:val="20"/>
          <w:szCs w:val="20"/>
          <w:color w:val="auto"/>
        </w:rPr>
      </w:pPr>
    </w:p>
    <w:p>
      <w:pPr>
        <w:ind w:left="540" w:right="1779" w:firstLine="521"/>
        <w:spacing w:after="0" w:line="270" w:lineRule="auto"/>
        <w:tabs>
          <w:tab w:leader="none" w:pos="169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audit referred to in their reports included or incorporated by reference in the Prospectus and the limited procedures, inspection of minute books, inquiries and other procedures referred to in paragraphs (iii) and (vi) 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6" w:name="page37"/>
    <w:bookmarkEnd w:id="36"/>
    <w:p>
      <w:pPr>
        <w:ind w:left="7480"/>
        <w:spacing w:after="0"/>
        <w:rPr>
          <w:sz w:val="20"/>
          <w:szCs w:val="20"/>
          <w:color w:val="auto"/>
        </w:rPr>
      </w:pPr>
      <w:r>
        <w:rPr>
          <w:rFonts w:ascii="Courier New" w:cs="Courier New" w:eastAsia="Courier New" w:hAnsi="Courier New"/>
          <w:sz w:val="18"/>
          <w:szCs w:val="18"/>
          <w:color w:val="auto"/>
        </w:rPr>
        <w:t>ANNEX III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Corporations (including Subsidiaries), Partnerships, Limited Liability Companies</w:t>
      </w:r>
    </w:p>
    <w:p>
      <w:pPr>
        <w:spacing w:after="0" w:line="21"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Joint Venture of Federal Realty Investment Trust ("FRIT")</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FRIT</w:t>
            </w:r>
          </w:p>
        </w:tc>
        <w:tc>
          <w:tcPr>
            <w:tcW w:w="840" w:type="dxa"/>
            <w:vAlign w:val="bottom"/>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63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Entity Type</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Ownership</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Interest</w:t>
            </w:r>
          </w:p>
        </w:tc>
      </w:tr>
      <w:tr>
        <w:trPr>
          <w:trHeight w:val="203"/>
        </w:trPr>
        <w:tc>
          <w:tcPr>
            <w:tcW w:w="63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FRIT-WM, Inc.</w:t>
            </w:r>
          </w:p>
        </w:tc>
        <w:tc>
          <w:tcPr>
            <w:tcW w:w="128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100%</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Street Retail Inc. ("SRI")</w:t>
            </w:r>
          </w:p>
        </w:tc>
        <w:tc>
          <w:tcPr>
            <w:tcW w:w="128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100%</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Subsidiary of Street Retail, Inc.</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6320" w:type="dxa"/>
            <w:vAlign w:val="bottom"/>
          </w:tcPr>
          <w:p>
            <w:pPr>
              <w:ind w:left="1060"/>
              <w:spacing w:after="0"/>
              <w:rPr>
                <w:sz w:val="20"/>
                <w:szCs w:val="20"/>
                <w:color w:val="auto"/>
              </w:rPr>
            </w:pPr>
            <w:r>
              <w:rPr>
                <w:rFonts w:ascii="Courier New" w:cs="Courier New" w:eastAsia="Courier New" w:hAnsi="Courier New"/>
                <w:sz w:val="18"/>
                <w:szCs w:val="18"/>
                <w:color w:val="auto"/>
              </w:rPr>
              <w:t>Street Retail West GP, Inc. ("SRWGP")</w:t>
            </w:r>
          </w:p>
        </w:tc>
        <w:tc>
          <w:tcPr>
            <w:tcW w:w="128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100%</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FR Pike 7 Limited Partnership</w:t>
            </w:r>
          </w:p>
        </w:tc>
        <w:tc>
          <w:tcPr>
            <w:tcW w:w="128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FRLP, Inc. ("FRLP")</w:t>
            </w:r>
          </w:p>
        </w:tc>
        <w:tc>
          <w:tcPr>
            <w:tcW w:w="128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100%</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Federal Realty Partners, Inc. ("FedRP")</w:t>
            </w:r>
          </w:p>
        </w:tc>
        <w:tc>
          <w:tcPr>
            <w:tcW w:w="128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100%</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w w:val="98"/>
              </w:rPr>
              <w:t>Federal Realty Partners, L.P. (741,621 units currently</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FedRP -</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40 units</w:t>
            </w:r>
          </w:p>
        </w:tc>
      </w:tr>
      <w:tr>
        <w:trPr>
          <w:trHeight w:val="203"/>
        </w:trPr>
        <w:tc>
          <w:tcPr>
            <w:tcW w:w="6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issued)</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FRLP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40 units</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SRI Holding Company, Inc.</w:t>
            </w:r>
          </w:p>
        </w:tc>
        <w:tc>
          <w:tcPr>
            <w:tcW w:w="2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SRI owns 100% of</w:t>
            </w:r>
          </w:p>
        </w:tc>
      </w:tr>
      <w:tr>
        <w:trPr>
          <w:trHeight w:val="203"/>
        </w:trPr>
        <w:tc>
          <w:tcPr>
            <w:tcW w:w="6320" w:type="dxa"/>
            <w:vAlign w:val="bottom"/>
          </w:tcPr>
          <w:p>
            <w:pPr>
              <w:spacing w:after="0"/>
              <w:rPr>
                <w:sz w:val="17"/>
                <w:szCs w:val="17"/>
                <w:color w:val="auto"/>
              </w:rPr>
            </w:pP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non-voting stock</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SRI Texas, Inc.</w:t>
            </w:r>
          </w:p>
        </w:tc>
        <w:tc>
          <w:tcPr>
            <w:tcW w:w="128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100%</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Street Retail San Antonio, L.P.</w:t>
            </w:r>
          </w:p>
        </w:tc>
        <w:tc>
          <w:tcPr>
            <w:tcW w:w="128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100%</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FRIT Property Services, Inc.,</w:t>
            </w:r>
          </w:p>
        </w:tc>
        <w:tc>
          <w:tcPr>
            <w:tcW w:w="2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FRIT owns 100% of</w:t>
            </w:r>
          </w:p>
        </w:tc>
      </w:tr>
      <w:tr>
        <w:trPr>
          <w:trHeight w:val="203"/>
        </w:trPr>
        <w:tc>
          <w:tcPr>
            <w:tcW w:w="6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f/k/a Terranomics Retail Services, Inc.</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non-voting stock</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TRS Development, Inc.</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FRIT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Property</w:t>
            </w:r>
          </w:p>
        </w:tc>
      </w:tr>
      <w:tr>
        <w:trPr>
          <w:trHeight w:val="203"/>
        </w:trPr>
        <w:tc>
          <w:tcPr>
            <w:tcW w:w="6320" w:type="dxa"/>
            <w:vAlign w:val="bottom"/>
          </w:tcPr>
          <w:p>
            <w:pPr>
              <w:spacing w:after="0"/>
              <w:rPr>
                <w:sz w:val="17"/>
                <w:szCs w:val="17"/>
                <w:color w:val="auto"/>
              </w:rPr>
            </w:pP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Services, Inc. owns</w:t>
            </w:r>
          </w:p>
        </w:tc>
      </w:tr>
      <w:tr>
        <w:trPr>
          <w:trHeight w:val="203"/>
        </w:trPr>
        <w:tc>
          <w:tcPr>
            <w:tcW w:w="6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100%</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Corporations, Partnerships and Limited Liability Companies:</w:t>
            </w: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Andorra Associates</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99% FRIT</w:t>
            </w:r>
          </w:p>
        </w:tc>
      </w:tr>
      <w:tr>
        <w:trPr>
          <w:trHeight w:val="203"/>
        </w:trPr>
        <w:tc>
          <w:tcPr>
            <w:tcW w:w="6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 FRA</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Berman Enterprises II Limited Partnership</w:t>
            </w:r>
          </w:p>
        </w:tc>
        <w:tc>
          <w:tcPr>
            <w:tcW w:w="1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99% FRIT</w:t>
            </w:r>
          </w:p>
        </w:tc>
      </w:tr>
      <w:tr>
        <w:trPr>
          <w:trHeight w:val="203"/>
        </w:trPr>
        <w:tc>
          <w:tcPr>
            <w:tcW w:w="6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 FRA</w:t>
            </w:r>
          </w:p>
        </w:tc>
      </w:tr>
    </w:tbl>
    <w:p>
      <w:pPr>
        <w:sectPr>
          <w:pgSz w:w="11900" w:h="16838" w:orient="portrait"/>
          <w:cols w:equalWidth="0" w:num="1">
            <w:col w:w="10219"/>
          </w:cols>
          <w:pgMar w:left="240" w:top="717" w:right="1440"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FR Associates</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Limited Partnership ("FRA")</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c>
          <w:tcPr>
            <w:tcW w:w="540" w:type="dxa"/>
            <w:vAlign w:val="bottom"/>
          </w:tcPr>
          <w:p>
            <w:pPr>
              <w:spacing w:after="0"/>
              <w:rPr>
                <w:sz w:val="17"/>
                <w:szCs w:val="17"/>
                <w:color w:val="auto"/>
              </w:rPr>
            </w:pPr>
          </w:p>
        </w:tc>
      </w:tr>
      <w:tr>
        <w:trPr>
          <w:trHeight w:val="405"/>
        </w:trPr>
        <w:tc>
          <w:tcPr>
            <w:tcW w:w="612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FRIT Escondido Promenade, LLC</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70%</w:t>
            </w:r>
          </w:p>
        </w:tc>
        <w:tc>
          <w:tcPr>
            <w:tcW w:w="540" w:type="dxa"/>
            <w:vAlign w:val="bottom"/>
          </w:tcPr>
          <w:p>
            <w:pPr>
              <w:spacing w:after="0"/>
              <w:rPr>
                <w:sz w:val="24"/>
                <w:szCs w:val="24"/>
                <w:color w:val="auto"/>
              </w:rPr>
            </w:pP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FRIT San Jose</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Town and Country Village LLC</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75%</w:t>
            </w:r>
          </w:p>
        </w:tc>
        <w:tc>
          <w:tcPr>
            <w:tcW w:w="540" w:type="dxa"/>
            <w:vAlign w:val="bottom"/>
          </w:tcPr>
          <w:p>
            <w:pPr>
              <w:spacing w:after="0"/>
              <w:rPr>
                <w:sz w:val="24"/>
                <w:szCs w:val="24"/>
                <w:color w:val="auto"/>
              </w:rPr>
            </w:pP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Governor Plaza Associates</w:t>
            </w:r>
          </w:p>
        </w:tc>
        <w:tc>
          <w:tcPr>
            <w:tcW w:w="27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FRIT</w:t>
            </w:r>
          </w:p>
        </w:tc>
      </w:tr>
      <w:tr>
        <w:trPr>
          <w:trHeight w:val="203"/>
        </w:trPr>
        <w:tc>
          <w:tcPr>
            <w:tcW w:w="1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FRA</w:t>
            </w:r>
          </w:p>
        </w:tc>
      </w:tr>
      <w:tr>
        <w:trPr>
          <w:trHeight w:val="405"/>
        </w:trPr>
        <w:tc>
          <w:tcPr>
            <w:tcW w:w="612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Loehmann's Plaza Limited Partnership</w:t>
            </w:r>
          </w:p>
        </w:tc>
        <w:tc>
          <w:tcPr>
            <w:tcW w:w="1780" w:type="dxa"/>
            <w:vAlign w:val="bottom"/>
          </w:tcPr>
          <w:p>
            <w:pPr>
              <w:spacing w:after="0"/>
              <w:rPr>
                <w:sz w:val="24"/>
                <w:szCs w:val="24"/>
                <w:color w:val="auto"/>
              </w:rPr>
            </w:pPr>
          </w:p>
        </w:tc>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w:t>
            </w: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San Jose Residential, Inc.</w:t>
            </w:r>
          </w:p>
        </w:tc>
        <w:tc>
          <w:tcPr>
            <w:tcW w:w="27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FRIT San Jose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Town</w:t>
            </w:r>
          </w:p>
        </w:tc>
      </w:tr>
      <w:tr>
        <w:trPr>
          <w:trHeight w:val="203"/>
        </w:trPr>
        <w:tc>
          <w:tcPr>
            <w:tcW w:w="1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Country Village</w:t>
            </w:r>
          </w:p>
        </w:tc>
      </w:tr>
      <w:tr>
        <w:trPr>
          <w:trHeight w:val="203"/>
        </w:trPr>
        <w:tc>
          <w:tcPr>
            <w:tcW w:w="1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LLC owns 100% of</w:t>
            </w:r>
          </w:p>
        </w:tc>
      </w:tr>
      <w:tr>
        <w:trPr>
          <w:trHeight w:val="203"/>
        </w:trPr>
        <w:tc>
          <w:tcPr>
            <w:tcW w:w="1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non-voting stock</w:t>
            </w: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SRI Old Town,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LLC</w:t>
            </w:r>
          </w:p>
        </w:tc>
        <w:tc>
          <w:tcPr>
            <w:tcW w:w="27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70%</w:t>
            </w:r>
          </w:p>
        </w:tc>
        <w:tc>
          <w:tcPr>
            <w:tcW w:w="540" w:type="dxa"/>
            <w:vAlign w:val="bottom"/>
          </w:tcPr>
          <w:p>
            <w:pPr>
              <w:spacing w:after="0"/>
              <w:rPr>
                <w:sz w:val="24"/>
                <w:szCs w:val="24"/>
                <w:color w:val="auto"/>
              </w:rPr>
            </w:pP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SRI San Antonio, Inc.</w:t>
            </w:r>
          </w:p>
        </w:tc>
        <w:tc>
          <w:tcPr>
            <w:tcW w:w="2740" w:type="dxa"/>
            <w:vAlign w:val="bottom"/>
          </w:tcPr>
          <w:p>
            <w:pPr>
              <w:spacing w:after="0"/>
              <w:rPr>
                <w:sz w:val="24"/>
                <w:szCs w:val="24"/>
                <w:color w:val="auto"/>
              </w:rPr>
            </w:pPr>
          </w:p>
        </w:tc>
        <w:tc>
          <w:tcPr>
            <w:tcW w:w="2320" w:type="dxa"/>
            <w:vAlign w:val="bottom"/>
            <w:gridSpan w:val="2"/>
          </w:tcPr>
          <w:p>
            <w:pPr>
              <w:ind w:left="1480"/>
              <w:spacing w:after="0"/>
              <w:rPr>
                <w:sz w:val="20"/>
                <w:szCs w:val="20"/>
                <w:color w:val="auto"/>
              </w:rPr>
            </w:pPr>
            <w:r>
              <w:rPr>
                <w:rFonts w:ascii="Courier New" w:cs="Courier New" w:eastAsia="Courier New" w:hAnsi="Courier New"/>
                <w:sz w:val="18"/>
                <w:szCs w:val="18"/>
                <w:color w:val="auto"/>
              </w:rPr>
              <w:t>100%</w:t>
            </w:r>
          </w:p>
        </w:tc>
      </w:tr>
      <w:tr>
        <w:trPr>
          <w:trHeight w:val="405"/>
        </w:trPr>
        <w:tc>
          <w:tcPr>
            <w:tcW w:w="612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Shopping Center Associates Limited Partnership</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FRIT</w:t>
            </w:r>
          </w:p>
        </w:tc>
      </w:tr>
      <w:tr>
        <w:trPr>
          <w:trHeight w:val="203"/>
        </w:trPr>
        <w:tc>
          <w:tcPr>
            <w:tcW w:w="1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FRA</w:t>
            </w: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Street Retail</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Forest Hills I, LLC</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90%</w:t>
            </w:r>
          </w:p>
        </w:tc>
        <w:tc>
          <w:tcPr>
            <w:tcW w:w="540" w:type="dxa"/>
            <w:vAlign w:val="bottom"/>
          </w:tcPr>
          <w:p>
            <w:pPr>
              <w:spacing w:after="0"/>
              <w:rPr>
                <w:sz w:val="24"/>
                <w:szCs w:val="24"/>
                <w:color w:val="auto"/>
              </w:rPr>
            </w:pP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Street Retail</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Forest Hills II, LLC</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90%</w:t>
            </w:r>
          </w:p>
        </w:tc>
        <w:tc>
          <w:tcPr>
            <w:tcW w:w="540" w:type="dxa"/>
            <w:vAlign w:val="bottom"/>
          </w:tcPr>
          <w:p>
            <w:pPr>
              <w:spacing w:after="0"/>
              <w:rPr>
                <w:sz w:val="24"/>
                <w:szCs w:val="24"/>
                <w:color w:val="auto"/>
              </w:rPr>
            </w:pP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Street Retail</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Tempe I, LLC</w:t>
            </w:r>
          </w:p>
        </w:tc>
        <w:tc>
          <w:tcPr>
            <w:tcW w:w="27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85%</w:t>
            </w:r>
          </w:p>
        </w:tc>
        <w:tc>
          <w:tcPr>
            <w:tcW w:w="540" w:type="dxa"/>
            <w:vAlign w:val="bottom"/>
          </w:tcPr>
          <w:p>
            <w:pPr>
              <w:spacing w:after="0"/>
              <w:rPr>
                <w:sz w:val="24"/>
                <w:szCs w:val="24"/>
                <w:color w:val="auto"/>
              </w:rPr>
            </w:pP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Street Retail</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West I, L.P.</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(indirect partnership)</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90% SRWGP</w:t>
            </w: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Street Retail</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West II, L.P. (indirect partnership)</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90% SRWGP</w:t>
            </w: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Street Retail</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West 3, L.P.</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(indirect partnership)</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90% SRWGP</w:t>
            </w:r>
          </w:p>
        </w:tc>
      </w:tr>
      <w:tr>
        <w:trPr>
          <w:trHeight w:val="405"/>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SRI</w:t>
            </w: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Street Retail</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West 4, L.P.</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(indirect partnership)</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90% SRWGP</w:t>
            </w:r>
          </w:p>
        </w:tc>
      </w:tr>
      <w:tr>
        <w:trPr>
          <w:trHeight w:val="405"/>
        </w:trPr>
        <w:tc>
          <w:tcPr>
            <w:tcW w:w="1960" w:type="dxa"/>
            <w:vAlign w:val="bottom"/>
          </w:tcPr>
          <w:p>
            <w:pPr>
              <w:ind w:left="540"/>
              <w:spacing w:after="0"/>
              <w:rPr>
                <w:sz w:val="20"/>
                <w:szCs w:val="20"/>
                <w:color w:val="auto"/>
              </w:rPr>
            </w:pPr>
            <w:r>
              <w:rPr>
                <w:rFonts w:ascii="Courier New" w:cs="Courier New" w:eastAsia="Courier New" w:hAnsi="Courier New"/>
                <w:sz w:val="18"/>
                <w:szCs w:val="18"/>
                <w:color w:val="auto"/>
                <w:w w:val="99"/>
              </w:rPr>
              <w:t>Virginia Real</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Estate Investors Limited Partnership</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99.762%</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FRIT</w:t>
            </w:r>
          </w:p>
        </w:tc>
      </w:tr>
      <w:tr>
        <w:trPr>
          <w:trHeight w:val="405"/>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.238 FRA</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Joint Venture:</w:t>
            </w:r>
          </w:p>
        </w:tc>
        <w:tc>
          <w:tcPr>
            <w:tcW w:w="1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Congressional</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Plaza Associates</w:t>
            </w:r>
          </w:p>
        </w:tc>
        <w:tc>
          <w:tcPr>
            <w:tcW w:w="232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w w:val="94"/>
              </w:rPr>
              <w:t>55.7065%</w:t>
            </w:r>
          </w:p>
        </w:tc>
      </w:tr>
      <w:tr>
        <w:trPr>
          <w:trHeight w:val="405"/>
        </w:trPr>
        <w:tc>
          <w:tcPr>
            <w:tcW w:w="6120" w:type="dxa"/>
            <w:vAlign w:val="bottom"/>
            <w:gridSpan w:val="3"/>
          </w:tcPr>
          <w:p>
            <w:pPr>
              <w:spacing w:after="0"/>
              <w:rPr>
                <w:sz w:val="20"/>
                <w:szCs w:val="20"/>
                <w:color w:val="auto"/>
              </w:rPr>
            </w:pPr>
            <w:r>
              <w:rPr>
                <w:rFonts w:ascii="Courier New" w:cs="Courier New" w:eastAsia="Courier New" w:hAnsi="Courier New"/>
                <w:sz w:val="18"/>
                <w:szCs w:val="18"/>
                <w:color w:val="auto"/>
              </w:rPr>
              <w:t>FRIT Leasing &amp; Development Services, Inc.</w:t>
            </w: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FR Leesburg Plaza,</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LP</w:t>
            </w:r>
          </w:p>
        </w:tc>
        <w:tc>
          <w:tcPr>
            <w:tcW w:w="2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FR Leesburg Plaza, LLC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Ravenswood Development Services, Inc.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Street Retail West 6,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Street Retail West 7,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Street Retail West 8,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JS&amp;DB,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Street Retail West 9, L.P.</w:t>
      </w:r>
    </w:p>
    <w:p>
      <w:pPr>
        <w:sectPr>
          <w:pgSz w:w="11900" w:h="16838" w:orient="portrait"/>
          <w:cols w:equalWidth="0" w:num="1">
            <w:col w:w="10219"/>
          </w:cols>
          <w:pgMar w:left="240" w:top="717" w:right="1440" w:bottom="1440" w:gutter="0" w:footer="0" w:header="0"/>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[Face of Security]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8 3/4% Note due December 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No.______</w:t>
            </w:r>
          </w:p>
        </w:tc>
        <w:tc>
          <w:tcPr>
            <w:tcW w:w="4380" w:type="dxa"/>
            <w:vAlign w:val="bottom"/>
          </w:tcPr>
          <w:p>
            <w:pPr>
              <w:jc w:val="right"/>
              <w:spacing w:after="0"/>
              <w:rPr>
                <w:sz w:val="20"/>
                <w:szCs w:val="20"/>
                <w:color w:val="auto"/>
              </w:rPr>
            </w:pPr>
            <w:r>
              <w:rPr>
                <w:rFonts w:ascii="Courier New" w:cs="Courier New" w:eastAsia="Courier New" w:hAnsi="Courier New"/>
                <w:sz w:val="18"/>
                <w:szCs w:val="18"/>
                <w:color w:val="auto"/>
              </w:rPr>
              <w:t>$175,000,000</w:t>
            </w:r>
          </w:p>
        </w:tc>
      </w:tr>
    </w:tbl>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NOTE WILL BE ISSUED AND MAY BE TRANSFERRED ONLY IN MINIMUM DENOMINATIONS OF $1,000 AND INTEGRAL MULTIPLES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Seventy Five Million Dollars on December 1, 2009 (the "Stated Maturity Date") or the date fixed for earlier redemption (the "Redemption Date," and together with the Stated Maturity Date with respect to principal repayable on such date, the "Maturity Date"), and to pay interest thereon from November 30, 1999 or from the most recent interest payment date to which interest has been paid or duly provided for, semi-annually on June 1 and December 1 in each year (each, an "Interest Payment Date"), commencing June 1,</w:t>
      </w:r>
    </w:p>
    <w:p>
      <w:pPr>
        <w:sectPr>
          <w:pgSz w:w="11900" w:h="16838" w:orient="portrait"/>
          <w:cols w:equalWidth="0" w:num="1">
            <w:col w:w="10219"/>
          </w:cols>
          <w:pgMar w:left="240" w:top="541" w:right="1440" w:bottom="1440" w:gutter="0" w:footer="0" w:header="0"/>
        </w:sectPr>
      </w:pPr>
    </w:p>
    <w:bookmarkStart w:id="40" w:name="page41"/>
    <w:bookmarkEnd w:id="40"/>
    <w:p>
      <w:pPr>
        <w:ind w:right="1779"/>
        <w:spacing w:after="0" w:line="269" w:lineRule="auto"/>
        <w:rPr>
          <w:sz w:val="20"/>
          <w:szCs w:val="20"/>
          <w:color w:val="auto"/>
        </w:rPr>
      </w:pPr>
      <w:r>
        <w:rPr>
          <w:rFonts w:ascii="Courier New" w:cs="Courier New" w:eastAsia="Courier New" w:hAnsi="Courier New"/>
          <w:sz w:val="16"/>
          <w:szCs w:val="16"/>
          <w:color w:val="auto"/>
        </w:rPr>
        <w:t>2000, at the rate of 8 3/4%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May 15 or November 15 (whether or not a Business Day),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w:t>
      </w:r>
    </w:p>
    <w:p>
      <w:pPr>
        <w:spacing w:after="0" w:line="19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Interest will be computed on the basis of a 360-day year of twelve 30-day months.</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211"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November 30, 1999,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1" w:name="page42"/>
    <w:bookmarkEnd w:id="41"/>
    <w:p>
      <w:pPr>
        <w:ind w:right="1779" w:firstLine="1053"/>
        <w:spacing w:after="0" w:line="235" w:lineRule="auto"/>
        <w:rPr>
          <w:sz w:val="20"/>
          <w:szCs w:val="20"/>
          <w:color w:val="auto"/>
        </w:rPr>
      </w:pPr>
      <w:r>
        <w:rPr>
          <w:rFonts w:ascii="Courier New" w:cs="Courier New" w:eastAsia="Courier New" w:hAnsi="Courier New"/>
          <w:sz w:val="18"/>
          <w:szCs w:val="18"/>
          <w:color w:val="auto"/>
        </w:rPr>
        <w:t>All payments of principal, premium, if any, and interest in respect of this Note will be made by the Company in immediately available funds.</w:t>
      </w:r>
    </w:p>
    <w:p>
      <w:pPr>
        <w:spacing w:after="0" w:line="208"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2" w:name="page43"/>
    <w:bookmarkEnd w:id="42"/>
    <w:p>
      <w:pPr>
        <w:ind w:right="1879" w:firstLine="1053"/>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facsimile corporate seal.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30, 1999</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______________________________________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Steven J. Guttman</w:t>
      </w:r>
    </w:p>
    <w:p>
      <w:pPr>
        <w:ind w:left="4120"/>
        <w:spacing w:after="0"/>
        <w:rPr>
          <w:sz w:val="20"/>
          <w:szCs w:val="20"/>
          <w:color w:val="auto"/>
        </w:rPr>
      </w:pPr>
      <w:r>
        <w:rPr>
          <w:rFonts w:ascii="Courier New" w:cs="Courier New" w:eastAsia="Courier New" w:hAnsi="Courier New"/>
          <w:sz w:val="18"/>
          <w:szCs w:val="18"/>
          <w:color w:val="auto"/>
        </w:rPr>
        <w:t>President, Chief Executive Officer and</w:t>
      </w:r>
    </w:p>
    <w:p>
      <w:pPr>
        <w:ind w:left="4120"/>
        <w:spacing w:after="0" w:line="237" w:lineRule="auto"/>
        <w:rPr>
          <w:sz w:val="20"/>
          <w:szCs w:val="20"/>
          <w:color w:val="auto"/>
        </w:rPr>
      </w:pPr>
      <w:r>
        <w:rPr>
          <w:rFonts w:ascii="Courier New" w:cs="Courier New" w:eastAsia="Courier New" w:hAnsi="Courier New"/>
          <w:sz w:val="18"/>
          <w:szCs w:val="18"/>
          <w:color w:val="auto"/>
        </w:rPr>
        <w:t>Trustee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w:t>
      </w:r>
    </w:p>
    <w:p>
      <w:pPr>
        <w:ind w:left="1060"/>
        <w:spacing w:after="0" w:line="238" w:lineRule="auto"/>
        <w:rPr>
          <w:sz w:val="20"/>
          <w:szCs w:val="20"/>
          <w:color w:val="auto"/>
        </w:rPr>
      </w:pPr>
      <w:r>
        <w:rPr>
          <w:rFonts w:ascii="Courier New" w:cs="Courier New" w:eastAsia="Courier New" w:hAnsi="Courier New"/>
          <w:sz w:val="18"/>
          <w:szCs w:val="18"/>
          <w:color w:val="auto"/>
        </w:rPr>
        <w:t>Nancy J. Herman</w:t>
      </w:r>
    </w:p>
    <w:p>
      <w:pPr>
        <w:ind w:left="1060"/>
        <w:spacing w:after="0"/>
        <w:rPr>
          <w:sz w:val="20"/>
          <w:szCs w:val="20"/>
          <w:color w:val="auto"/>
        </w:rPr>
      </w:pPr>
      <w:r>
        <w:rPr>
          <w:rFonts w:ascii="Courier New" w:cs="Courier New" w:eastAsia="Courier New" w:hAnsi="Courier New"/>
          <w:sz w:val="18"/>
          <w:szCs w:val="18"/>
          <w:color w:val="auto"/>
        </w:rPr>
        <w:t>Vice President-General Counsel</w:t>
      </w:r>
    </w:p>
    <w:p>
      <w:pPr>
        <w:ind w:left="1060"/>
        <w:spacing w:after="0" w:line="237" w:lineRule="auto"/>
        <w:rPr>
          <w:sz w:val="20"/>
          <w:szCs w:val="20"/>
          <w:color w:val="auto"/>
        </w:rPr>
      </w:pPr>
      <w:r>
        <w:rPr>
          <w:rFonts w:ascii="Courier New" w:cs="Courier New" w:eastAsia="Courier New" w:hAnsi="Courier New"/>
          <w:sz w:val="18"/>
          <w:szCs w:val="18"/>
          <w:color w:val="auto"/>
        </w:rPr>
        <w:t>and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TRUSTEE'S CERTIFICATE OF AUTHENTICATION</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This is the Note of the series designated therein referred to in the within-mentioned Indenture.</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FIRST UNION NATIONAL BANK</w:t>
      </w:r>
    </w:p>
    <w:p>
      <w:pPr>
        <w:ind w:left="444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______________________________________</w:t>
      </w:r>
    </w:p>
    <w:p>
      <w:pPr>
        <w:ind w:left="4960"/>
        <w:spacing w:after="0" w:line="238" w:lineRule="auto"/>
        <w:rPr>
          <w:sz w:val="20"/>
          <w:szCs w:val="20"/>
          <w:color w:val="auto"/>
        </w:rPr>
      </w:pPr>
      <w:r>
        <w:rPr>
          <w:rFonts w:ascii="Courier New" w:cs="Courier New" w:eastAsia="Courier New" w:hAnsi="Courier New"/>
          <w:sz w:val="18"/>
          <w:szCs w:val="18"/>
          <w:color w:val="auto"/>
        </w:rPr>
        <w:t>Authorized Signatory</w:t>
      </w:r>
    </w:p>
    <w:p>
      <w:pPr>
        <w:sectPr>
          <w:pgSz w:w="11900" w:h="16838" w:orient="portrait"/>
          <w:cols w:equalWidth="0" w:num="1">
            <w:col w:w="10219"/>
          </w:cols>
          <w:pgMar w:left="240" w:top="723" w:right="1440" w:bottom="1440" w:gutter="0" w:footer="0" w:header="0"/>
        </w:sectPr>
      </w:pPr>
    </w:p>
    <w:bookmarkStart w:id="43" w:name="page44"/>
    <w:bookmarkEnd w:id="43"/>
    <w:p>
      <w:pPr>
        <w:jc w:val="center"/>
        <w:ind w:right="1659"/>
        <w:spacing w:after="0"/>
        <w:rPr>
          <w:sz w:val="20"/>
          <w:szCs w:val="20"/>
          <w:color w:val="auto"/>
        </w:rPr>
      </w:pPr>
      <w:r>
        <w:rPr>
          <w:rFonts w:ascii="Courier New" w:cs="Courier New" w:eastAsia="Courier New" w:hAnsi="Courier New"/>
          <w:sz w:val="18"/>
          <w:szCs w:val="18"/>
          <w:color w:val="auto"/>
        </w:rPr>
        <w:t>[Reverse of Security]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8 3/4% Note due December 1, 2009</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This Note is one of a duly authorized issue of securities of the Company (herein called the "Securities"), issued and to be issued in one or more series under an Indenture, dated as of September 1, 1998 (herein called the "Indenture") between the Company and First Union National Bank,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"8 3/4% Notes due December 1, 2009" (collectively, the "Notes"), and the aggregate principal amount of the Notes to be issued under such series is limited to $175,000,000 (except for Notes authenticated and delivered upon transfer of, or in exchange for, or in lieu of other Notes). All terms used in this Note which are defined in the Indenture shall have the meanings assigned to them in the Indenture.</w:t>
      </w:r>
    </w:p>
    <w:p>
      <w:pPr>
        <w:spacing w:after="0" w:line="209"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78"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The Notes are subject to redemption at any time, in whole or in part, at the election of the Company, at a redemption price equal to the greater of</w:t>
      </w:r>
    </w:p>
    <w:p>
      <w:pPr>
        <w:ind w:left="420" w:hanging="412"/>
        <w:spacing w:after="0" w:line="233"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principal amount of the Notes being redeemed, and (2) as</w:t>
      </w:r>
    </w:p>
    <w:p>
      <w:pPr>
        <w:spacing w:after="0" w:line="4" w:lineRule="exact"/>
        <w:rPr>
          <w:rFonts w:ascii="Courier New" w:cs="Courier New" w:eastAsia="Courier New" w:hAnsi="Courier New"/>
          <w:sz w:val="18"/>
          <w:szCs w:val="18"/>
          <w:color w:val="auto"/>
        </w:rPr>
      </w:pPr>
    </w:p>
    <w:p>
      <w:pPr>
        <w:ind w:right="18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38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used herein:</w:t>
      </w:r>
    </w:p>
    <w:p>
      <w:pPr>
        <w:spacing w:after="0" w:line="207" w:lineRule="exact"/>
        <w:rPr>
          <w:sz w:val="20"/>
          <w:szCs w:val="20"/>
          <w:color w:val="auto"/>
        </w:rPr>
      </w:pPr>
    </w:p>
    <w:p>
      <w:pPr>
        <w:ind w:left="540" w:right="1879" w:firstLine="527"/>
        <w:spacing w:after="0" w:line="236" w:lineRule="auto"/>
        <w:rPr>
          <w:sz w:val="20"/>
          <w:szCs w:val="20"/>
          <w:color w:val="auto"/>
        </w:rPr>
      </w:pPr>
      <w:r>
        <w:rPr>
          <w:rFonts w:ascii="Courier New" w:cs="Courier New" w:eastAsia="Courier New" w:hAnsi="Courier New"/>
          <w:sz w:val="18"/>
          <w:szCs w:val="18"/>
          <w:color w:val="auto"/>
        </w:rPr>
        <w:t>"Adjusted Treasury Rate" means, with respect to any Redemption Date, the rate per year equal to the semi-annual equivalent yield to maturity of the</w:t>
      </w:r>
    </w:p>
    <w:p>
      <w:pPr>
        <w:sectPr>
          <w:pgSz w:w="11900" w:h="16838" w:orient="portrait"/>
          <w:cols w:equalWidth="0" w:num="1">
            <w:col w:w="10219"/>
          </w:cols>
          <w:pgMar w:left="240" w:top="717" w:right="1440" w:bottom="1440" w:gutter="0" w:footer="0" w:header="0"/>
        </w:sectPr>
      </w:pPr>
    </w:p>
    <w:bookmarkStart w:id="44" w:name="page45"/>
    <w:bookmarkEnd w:id="44"/>
    <w:p>
      <w:pPr>
        <w:ind w:left="540" w:right="2199"/>
        <w:spacing w:after="0" w:line="236" w:lineRule="auto"/>
        <w:rPr>
          <w:sz w:val="20"/>
          <w:szCs w:val="20"/>
          <w:color w:val="auto"/>
        </w:rPr>
      </w:pPr>
      <w:r>
        <w:rPr>
          <w:rFonts w:ascii="Courier New" w:cs="Courier New" w:eastAsia="Courier New" w:hAnsi="Courier New"/>
          <w:sz w:val="18"/>
          <w:szCs w:val="18"/>
          <w:color w:val="auto"/>
        </w:rPr>
        <w:t>Comparable Treasury Issue, assuming a price for the Comparable Treasury Issue (expressed as a percentage of its principal amount) equal to the Comparable Treasury Price for such Redemption Date.</w:t>
      </w:r>
    </w:p>
    <w:p>
      <w:pPr>
        <w:spacing w:after="0" w:line="209"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210"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"Comparable Treasury Price"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210"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"Quotation Agent" means the Reference Treasury Dealer appointed by the Company.</w:t>
      </w:r>
    </w:p>
    <w:p>
      <w:pPr>
        <w:spacing w:after="0" w:line="208" w:lineRule="exact"/>
        <w:rPr>
          <w:sz w:val="20"/>
          <w:szCs w:val="20"/>
          <w:color w:val="auto"/>
        </w:rPr>
      </w:pPr>
    </w:p>
    <w:p>
      <w:pPr>
        <w:ind w:left="540" w:right="1879" w:firstLine="527"/>
        <w:spacing w:after="0" w:line="271" w:lineRule="auto"/>
        <w:rPr>
          <w:sz w:val="20"/>
          <w:szCs w:val="20"/>
          <w:color w:val="auto"/>
        </w:rPr>
      </w:pPr>
      <w:r>
        <w:rPr>
          <w:rFonts w:ascii="Courier New" w:cs="Courier New" w:eastAsia="Courier New" w:hAnsi="Courier New"/>
          <w:sz w:val="16"/>
          <w:szCs w:val="16"/>
          <w:color w:val="auto"/>
        </w:rPr>
        <w:t>"Reference Treasury Dealer" means (1) each of Goldman, Sachs &amp; Co., J.P. Morgan Securities Inc., First Union Securities, Inc., PNC Capital Markets, Inc. and Warburg Dillon Read LLC and their respective successors; provided, however, that if any of the foregoing cease to be a primary U.S. Government securities dealer (a "Primary Treasury Dealer"), the Company will substitute therefor another Primary Treasury Dealer; and (2) any other Primary Treasury Dealer selected by the Company.</w:t>
      </w:r>
    </w:p>
    <w:p>
      <w:pPr>
        <w:spacing w:after="0" w:line="188" w:lineRule="exact"/>
        <w:rPr>
          <w:sz w:val="20"/>
          <w:szCs w:val="20"/>
          <w:color w:val="auto"/>
        </w:rPr>
      </w:pPr>
    </w:p>
    <w:p>
      <w:pPr>
        <w:ind w:left="540" w:right="1879" w:firstLine="527"/>
        <w:spacing w:after="0" w:line="238"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 together in the case of any such redemption with accrued interest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Notice of redemption will be given by mail to Holders of Securities, not less than 30 nor more than 60 days prior to the Redemption Date, all as provided in the Indenture.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5" w:name="page46"/>
    <w:bookmarkEnd w:id="45"/>
    <w:p>
      <w:pPr>
        <w:ind w:right="2099" w:firstLine="1053"/>
        <w:spacing w:after="0" w:line="236" w:lineRule="auto"/>
        <w:rPr>
          <w:sz w:val="20"/>
          <w:szCs w:val="20"/>
          <w:color w:val="auto"/>
        </w:rPr>
      </w:pPr>
      <w:r>
        <w:rPr>
          <w:rFonts w:ascii="Courier New" w:cs="Courier New" w:eastAsia="Courier New" w:hAnsi="Courier New"/>
          <w:sz w:val="18"/>
          <w:szCs w:val="18"/>
          <w:color w:val="auto"/>
        </w:rPr>
        <w:t>In the event of redemption of this Note in part only, a new Note or Notes for the unredeemed portion hereof shall be issued in the name of the Holder hereof upon the cancellation hereof.</w:t>
      </w:r>
    </w:p>
    <w:p>
      <w:pPr>
        <w:spacing w:after="0" w:line="209"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39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65% of the sum of (without duplication) (i) the Company's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6" w:name="page47"/>
    <w:bookmarkEnd w:id="46"/>
    <w:p>
      <w:pPr>
        <w:ind w:right="1779" w:firstLine="1053"/>
        <w:spacing w:after="0" w:line="270" w:lineRule="auto"/>
        <w:rPr>
          <w:sz w:val="20"/>
          <w:szCs w:val="20"/>
          <w:color w:val="auto"/>
        </w:rPr>
      </w:pPr>
      <w:r>
        <w:rPr>
          <w:rFonts w:ascii="Courier New" w:cs="Courier New" w:eastAsia="Courier New" w:hAnsi="Courier New"/>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Company's Total Assets; provided that for purposes of this limitation, the amount of obligations under capital leases shown as a liability on the Company's consolidated balance sheet shall be deducted from Debt and from Total Assets.</w:t>
      </w:r>
    </w:p>
    <w:p>
      <w:pPr>
        <w:spacing w:after="0" w:line="391"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 addition to the foregoing limitations on the incurrence of Debt, the Company will not and will not permit any Subsidiary to, incur any Senior Debt if the ratio of Consolidated Income Available for Senior Debt Service (as defined below) to the Annual Senior Debt Service Charge (as defined below) for the four consecutive fiscal quarters most recently ended prior to the date on which such Senior Debt is to be incurred shall have been less than 1.5 to 1, on an unaudited pro forma basis after giving effect thereto and to the application of the proceeds therefrom, and calculated on the assumption that (i) such Senior Debt and any other Senior Debt incurred by the Company and its Subsidiaries since the first day of such four-quarter period and the application of the proceeds therefrom, including to refinance other Senior Debt, had occurred at the beginning of such period; (ii) the repayment or retirement of any other Senior Debt by the Company and its Subsidiaries since the first day of such four-quarter period had been incurred, repaid or retired at the beginning of such period (except that, in making such computation, the amount of Senior Debt under any revolving credit facility shall be computed based upon the average daily balance of such Senior Debt during such period); (iii) in the case of Acquired Debt (as defined below) or Senior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 quarter period, whether by merger, stock purchase or sale, or asset purchase or sale, such acquisition or disposition or any related repayment of Senior Debt had occurred as of the first day of such period with the appropriate adjustments with respect to such acquisition or disposition being included in such unaudited pro forma calculation.</w:t>
      </w:r>
    </w:p>
    <w:p>
      <w:pPr>
        <w:spacing w:after="0" w:line="200" w:lineRule="exact"/>
        <w:rPr>
          <w:sz w:val="20"/>
          <w:szCs w:val="20"/>
          <w:color w:val="auto"/>
        </w:rPr>
      </w:pPr>
    </w:p>
    <w:p>
      <w:pPr>
        <w:spacing w:after="0" w:line="393"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Furthermore, the Company will not, and will not permit any Subsidiary to, incur any Debt if the ratio of Consolidated Income Available for Debt Service (as defined below) to the Annual Debt Service Charge (as defined below) for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7" w:name="page48"/>
    <w:bookmarkEnd w:id="47"/>
    <w:p>
      <w:pPr>
        <w:ind w:right="1779"/>
        <w:spacing w:after="0" w:line="269" w:lineRule="auto"/>
        <w:rPr>
          <w:sz w:val="20"/>
          <w:szCs w:val="20"/>
          <w:color w:val="auto"/>
        </w:rPr>
      </w:pPr>
      <w:r>
        <w:rPr>
          <w:rFonts w:ascii="Courier New" w:cs="Courier New" w:eastAsia="Courier New" w:hAnsi="Courier New"/>
          <w:sz w:val="16"/>
          <w:szCs w:val="16"/>
          <w:color w:val="auto"/>
        </w:rPr>
        <w:t>the four consecutive fiscal quarters most recently ended prior to the date on which such additional Debt is to be incurred shall have been less than 1.3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200" w:lineRule="exact"/>
        <w:rPr>
          <w:sz w:val="20"/>
          <w:szCs w:val="20"/>
          <w:color w:val="auto"/>
        </w:rPr>
      </w:pPr>
    </w:p>
    <w:p>
      <w:pPr>
        <w:spacing w:after="0" w:line="39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As used herein,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"Acquired Debt" means Debt (or Senior Debt, as the case may be)</w:t>
      </w:r>
    </w:p>
    <w:p>
      <w:pPr>
        <w:ind w:left="540"/>
        <w:spacing w:after="0" w:line="238" w:lineRule="auto"/>
        <w:rPr>
          <w:sz w:val="20"/>
          <w:szCs w:val="20"/>
          <w:color w:val="auto"/>
        </w:rPr>
      </w:pPr>
      <w:r>
        <w:rPr>
          <w:rFonts w:ascii="Courier New" w:cs="Courier New" w:eastAsia="Courier New" w:hAnsi="Courier New"/>
          <w:sz w:val="18"/>
          <w:szCs w:val="18"/>
          <w:color w:val="auto"/>
        </w:rPr>
        <w:t>of a Person (i) existing at the time such Person becomes a Subsidiary or</w:t>
      </w:r>
    </w:p>
    <w:p>
      <w:pPr>
        <w:spacing w:after="0" w:line="5" w:lineRule="exact"/>
        <w:rPr>
          <w:sz w:val="20"/>
          <w:szCs w:val="20"/>
          <w:color w:val="auto"/>
        </w:rPr>
      </w:pPr>
    </w:p>
    <w:p>
      <w:pPr>
        <w:ind w:left="540" w:right="1779" w:hanging="5"/>
        <w:spacing w:after="0" w:line="237" w:lineRule="auto"/>
        <w:tabs>
          <w:tab w:leader="none" w:pos="106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assumed in connection with the acquisition of assets from such Person, in each case, other than Debt (or Senior Debt, as the case may be)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210" w:lineRule="exact"/>
        <w:rPr>
          <w:sz w:val="20"/>
          <w:szCs w:val="20"/>
          <w:color w:val="auto"/>
        </w:rPr>
      </w:pPr>
    </w:p>
    <w:p>
      <w:pPr>
        <w:ind w:left="540" w:right="1999" w:firstLine="1053"/>
        <w:spacing w:after="0" w:line="237" w:lineRule="auto"/>
        <w:rPr>
          <w:sz w:val="20"/>
          <w:szCs w:val="20"/>
          <w:color w:val="auto"/>
        </w:rPr>
      </w:pPr>
      <w:r>
        <w:rPr>
          <w:rFonts w:ascii="Courier New" w:cs="Courier New" w:eastAsia="Courier New" w:hAnsi="Courier New"/>
          <w:sz w:val="18"/>
          <w:szCs w:val="18"/>
          <w:color w:val="auto"/>
        </w:rPr>
        <w:t>"Annual Debt Service Charge"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209" w:lineRule="exact"/>
        <w:rPr>
          <w:sz w:val="20"/>
          <w:szCs w:val="20"/>
          <w:color w:val="auto"/>
        </w:rPr>
      </w:pPr>
    </w:p>
    <w:p>
      <w:pPr>
        <w:ind w:left="540" w:right="1779" w:firstLine="1053"/>
        <w:spacing w:after="0" w:line="279" w:lineRule="auto"/>
        <w:rPr>
          <w:sz w:val="20"/>
          <w:szCs w:val="20"/>
          <w:color w:val="auto"/>
        </w:rPr>
      </w:pPr>
      <w:r>
        <w:rPr>
          <w:rFonts w:ascii="Courier New" w:cs="Courier New" w:eastAsia="Courier New" w:hAnsi="Courier New"/>
          <w:sz w:val="16"/>
          <w:szCs w:val="16"/>
          <w:color w:val="auto"/>
        </w:rPr>
        <w:t>"Annual Senior Debt Service Charge" as of any date means the maximum amount which is payable in any period for interest on, and original issue discount of, Senior Debt of the Company and its Subsidiaries.</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48" w:name="page49"/>
    <w:bookmarkEnd w:id="48"/>
    <w:p>
      <w:pPr>
        <w:ind w:right="2099" w:firstLine="1053"/>
        <w:spacing w:after="0" w:line="273" w:lineRule="auto"/>
        <w:rPr>
          <w:sz w:val="20"/>
          <w:szCs w:val="20"/>
          <w:color w:val="auto"/>
        </w:rPr>
      </w:pPr>
      <w:r>
        <w:rPr>
          <w:rFonts w:ascii="Courier New" w:cs="Courier New" w:eastAsia="Courier New" w:hAnsi="Courier New"/>
          <w:sz w:val="16"/>
          <w:szCs w:val="16"/>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"Consolidated Income Available for Debt Service" and "Consolidated Income Available for Senior Debt Service" for any period means Funds from Operations (as defined below) of the Company and its Subsidiaries plus amounts which have been deducted for interest on Debt of the Company and its Subsidiaries.</w:t>
      </w:r>
    </w:p>
    <w:p>
      <w:pPr>
        <w:spacing w:after="0" w:line="209"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"Debt" means any indebtedness of the Company, or any Subsidiary, whether or not contingent, in respect of (without duplication) (i) borrowed money or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723" w:right="1440" w:bottom="1440" w:gutter="0" w:footer="0" w:header="0"/>
        </w:sectPr>
      </w:pPr>
    </w:p>
    <w:bookmarkStart w:id="49" w:name="page50"/>
    <w:bookmarkEnd w:id="49"/>
    <w:p>
      <w:pPr>
        <w:ind w:left="540" w:right="1779" w:firstLine="1053"/>
        <w:spacing w:after="0" w:line="237" w:lineRule="auto"/>
        <w:rPr>
          <w:sz w:val="20"/>
          <w:szCs w:val="20"/>
          <w:color w:val="auto"/>
        </w:rPr>
      </w:pPr>
      <w:r>
        <w:rPr>
          <w:rFonts w:ascii="Courier New" w:cs="Courier New" w:eastAsia="Courier New" w:hAnsi="Courier New"/>
          <w:sz w:val="18"/>
          <w:szCs w:val="18"/>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214" w:lineRule="exact"/>
        <w:rPr>
          <w:sz w:val="20"/>
          <w:szCs w:val="20"/>
          <w:color w:val="auto"/>
        </w:rPr>
      </w:pPr>
    </w:p>
    <w:p>
      <w:pPr>
        <w:ind w:left="540" w:right="1879" w:firstLine="1053"/>
        <w:spacing w:after="0" w:line="236" w:lineRule="auto"/>
        <w:rPr>
          <w:sz w:val="20"/>
          <w:szCs w:val="20"/>
          <w:color w:val="auto"/>
        </w:rPr>
      </w:pPr>
      <w:r>
        <w:rPr>
          <w:rFonts w:ascii="Courier New" w:cs="Courier New" w:eastAsia="Courier New" w:hAnsi="Courier New"/>
          <w:sz w:val="18"/>
          <w:szCs w:val="18"/>
          <w:color w:val="auto"/>
        </w:rPr>
        <w:t>"Funds from Operations" for any period means income before depreciation and amortization and extraordinary items less gain on sale of real estate.</w:t>
      </w:r>
    </w:p>
    <w:p>
      <w:pPr>
        <w:spacing w:after="0" w:line="209" w:lineRule="exact"/>
        <w:rPr>
          <w:sz w:val="20"/>
          <w:szCs w:val="20"/>
          <w:color w:val="auto"/>
        </w:rPr>
      </w:pPr>
    </w:p>
    <w:p>
      <w:pPr>
        <w:ind w:left="540" w:right="2619" w:firstLine="1053"/>
        <w:spacing w:after="0" w:line="235" w:lineRule="auto"/>
        <w:rPr>
          <w:sz w:val="20"/>
          <w:szCs w:val="20"/>
          <w:color w:val="auto"/>
        </w:rPr>
      </w:pPr>
      <w:r>
        <w:rPr>
          <w:rFonts w:ascii="Courier New" w:cs="Courier New" w:eastAsia="Courier New" w:hAnsi="Courier New"/>
          <w:sz w:val="18"/>
          <w:szCs w:val="18"/>
          <w:color w:val="auto"/>
        </w:rPr>
        <w:t>"Senior Debt" means Debt other than subordinated Debt and payments under Disqualified Stock of the Company.</w:t>
      </w:r>
    </w:p>
    <w:p>
      <w:pPr>
        <w:spacing w:after="0" w:line="208" w:lineRule="exact"/>
        <w:rPr>
          <w:sz w:val="20"/>
          <w:szCs w:val="20"/>
          <w:color w:val="auto"/>
        </w:rPr>
      </w:pPr>
    </w:p>
    <w:p>
      <w:pPr>
        <w:ind w:left="540" w:right="1779" w:firstLine="1053"/>
        <w:spacing w:after="0" w:line="237" w:lineRule="auto"/>
        <w:rPr>
          <w:sz w:val="20"/>
          <w:szCs w:val="20"/>
          <w:color w:val="auto"/>
        </w:rPr>
      </w:pPr>
      <w:r>
        <w:rPr>
          <w:rFonts w:ascii="Courier New" w:cs="Courier New" w:eastAsia="Courier New" w:hAnsi="Courier New"/>
          <w:sz w:val="18"/>
          <w:szCs w:val="18"/>
          <w:color w:val="auto"/>
        </w:rPr>
        <w:t>"Total Assets" as of any date means the sum of (i) the Company's Undepreciated Real Estate Assets and (ii) all other assets of the Company determined in accordance with generally accepted accounting principles (but excluding goodwill).</w:t>
      </w:r>
    </w:p>
    <w:p>
      <w:pPr>
        <w:spacing w:after="0" w:line="207" w:lineRule="exact"/>
        <w:rPr>
          <w:sz w:val="20"/>
          <w:szCs w:val="20"/>
          <w:color w:val="auto"/>
        </w:rPr>
      </w:pPr>
    </w:p>
    <w:p>
      <w:pPr>
        <w:ind w:left="540" w:right="1879" w:firstLine="1053"/>
        <w:spacing w:after="0" w:line="237" w:lineRule="auto"/>
        <w:rPr>
          <w:sz w:val="20"/>
          <w:szCs w:val="20"/>
          <w:color w:val="auto"/>
        </w:rPr>
      </w:pPr>
      <w:r>
        <w:rPr>
          <w:rFonts w:ascii="Courier New" w:cs="Courier New" w:eastAsia="Courier New" w:hAnsi="Courier New"/>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215"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50" w:name="page51"/>
    <w:bookmarkEnd w:id="50"/>
    <w:p>
      <w:pPr>
        <w:ind w:right="2099" w:firstLine="1053"/>
        <w:spacing w:after="0" w:line="290" w:lineRule="auto"/>
        <w:rPr>
          <w:sz w:val="20"/>
          <w:szCs w:val="20"/>
          <w:color w:val="auto"/>
        </w:rPr>
      </w:pPr>
      <w:r>
        <w:rPr>
          <w:rFonts w:ascii="Courier New" w:cs="Courier New" w:eastAsia="Courier New" w:hAnsi="Courier New"/>
          <w:sz w:val="16"/>
          <w:szCs w:val="16"/>
          <w:color w:val="auto"/>
        </w:rPr>
        <w:t>The Securities of this series are issuable only in registered form without coupons in denominations of $1,000 and any integral multiple thereof.</w:t>
      </w:r>
    </w:p>
    <w:p>
      <w:pPr>
        <w:spacing w:after="0" w:line="170"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8" w:lineRule="exact"/>
        <w:rPr>
          <w:sz w:val="20"/>
          <w:szCs w:val="20"/>
          <w:color w:val="auto"/>
        </w:rPr>
      </w:pPr>
    </w:p>
    <w:p>
      <w:pPr>
        <w:ind w:right="1999" w:firstLine="1053"/>
        <w:spacing w:after="0" w:line="273" w:lineRule="auto"/>
        <w:rPr>
          <w:sz w:val="20"/>
          <w:szCs w:val="20"/>
          <w:color w:val="auto"/>
        </w:rPr>
      </w:pPr>
      <w:r>
        <w:rPr>
          <w:rFonts w:ascii="Courier New" w:cs="Courier New" w:eastAsia="Courier New" w:hAnsi="Courier New"/>
          <w:sz w:val="16"/>
          <w:szCs w:val="16"/>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5"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The Indenture and the Notes shall be governed by and construed in accordance with the laws of the State of New York applicable to agreements made and to be performed entirely in such State.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51" w:name="page52"/>
    <w:bookmarkEnd w:id="51"/>
    <w:p>
      <w:pPr>
        <w:jc w:val="right"/>
        <w:ind w:right="1779"/>
        <w:spacing w:after="0"/>
        <w:rPr>
          <w:sz w:val="20"/>
          <w:szCs w:val="20"/>
          <w:color w:val="auto"/>
        </w:rPr>
      </w:pPr>
      <w:r>
        <w:rPr>
          <w:rFonts w:ascii="Courier New" w:cs="Courier New" w:eastAsia="Courier New" w:hAnsi="Courier New"/>
          <w:sz w:val="18"/>
          <w:szCs w:val="18"/>
          <w:color w:val="auto"/>
        </w:rPr>
        <w:t>Exhibit 5.1</w:t>
      </w:r>
    </w:p>
    <w:p>
      <w:pPr>
        <w:jc w:val="center"/>
        <w:ind w:right="1779"/>
        <w:spacing w:after="0" w:line="238" w:lineRule="auto"/>
        <w:rPr>
          <w:sz w:val="20"/>
          <w:szCs w:val="20"/>
          <w:color w:val="auto"/>
        </w:rPr>
      </w:pPr>
      <w:r>
        <w:rPr>
          <w:rFonts w:ascii="Courier New" w:cs="Courier New" w:eastAsia="Courier New" w:hAnsi="Courier New"/>
          <w:sz w:val="18"/>
          <w:szCs w:val="18"/>
          <w:color w:val="auto"/>
        </w:rPr>
        <w:t>[LETTERHEAD OF HOGAN &amp; HARTSON L.L.P.]</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November 29,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20852-4041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We are acting as counsel to Federal Realty Investment Trust, a Maryland real estate investment trust (the "Company"), in connection with its registration statement on Form S-3 (SEC File No. 333-63619) (the "Registration Statement"), previously declared effective by the Securities and Exchange Commission, relating to the proposed public offering of up to $500,000,000 in aggregate amount of one or more series of the Company's unsecured debt securities, preferred shares or common shares of beneficial interest, which may be offered and sold by the Company from time to time as set forth in a prospectus and one or more supplements thereto, all of which form a part of the Registration Statement. This opinion letter is rendered in connection with the proposed public offering of the Company's 8 3/4% Notes due December 1, 2009 (the "Notes"), as described in a Prospectus dated September 30, 1998 (the "Prospectus"), and a Prospectus Supplement dated November 23, 1999 (the "Prospectus Supplement"). This opinion letter is furnished to you at your request to enable you to fulfill the requirements of Item 601(b)(5) of Regulation S-K, 17 C.F.R. (S) 229.601(b)(5), in connection with the Registration Statement.</w:t>
      </w: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For purposes of this opinion letter, we have examined copies of the following documents:</w:t>
      </w:r>
    </w:p>
    <w:p>
      <w:pPr>
        <w:spacing w:after="0" w:line="203" w:lineRule="exact"/>
        <w:rPr>
          <w:sz w:val="20"/>
          <w:szCs w:val="20"/>
          <w:color w:val="auto"/>
        </w:rPr>
      </w:pPr>
    </w:p>
    <w:p>
      <w:pPr>
        <w:ind w:left="1480" w:hanging="419"/>
        <w:spacing w:after="0"/>
        <w:tabs>
          <w:tab w:leader="none" w:pos="14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Registration Statement.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Prospectus and the Prospectus Supplement.</w:t>
      </w:r>
    </w:p>
    <w:p>
      <w:pPr>
        <w:spacing w:after="0" w:line="206" w:lineRule="exact"/>
        <w:rPr>
          <w:rFonts w:ascii="Courier New" w:cs="Courier New" w:eastAsia="Courier New" w:hAnsi="Courier New"/>
          <w:sz w:val="18"/>
          <w:szCs w:val="18"/>
          <w:color w:val="auto"/>
        </w:rPr>
      </w:pPr>
    </w:p>
    <w:p>
      <w:pPr>
        <w:ind w:left="1480" w:right="1879" w:hanging="419"/>
        <w:spacing w:after="0" w:line="237" w:lineRule="auto"/>
        <w:tabs>
          <w:tab w:leader="none" w:pos="14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Company, as certified by the Maryland State Department of Assessments and Taxation on November 17, 1999 and by the Secretary of the Company on the date hereof as being complete, accurate, and in effect.</w:t>
      </w:r>
    </w:p>
    <w:p>
      <w:pPr>
        <w:sectPr>
          <w:pgSz w:w="11900" w:h="16838" w:orient="portrait"/>
          <w:cols w:equalWidth="0" w:num="1">
            <w:col w:w="10219"/>
          </w:cols>
          <w:pgMar w:left="240" w:top="541" w:right="1440" w:bottom="1440" w:gutter="0" w:footer="0" w:header="0"/>
        </w:sectPr>
      </w:pPr>
    </w:p>
    <w:bookmarkStart w:id="52" w:name="page53"/>
    <w:bookmarkEnd w:id="52"/>
    <w:p>
      <w:pPr>
        <w:ind w:left="1580" w:right="1999" w:hanging="519"/>
        <w:spacing w:after="0" w:line="236"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Company, as certified by the Secretary of the Company on the date hereof as being complete, accurate, and in effect.</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resolutions of the Board of Trustees of the Company (the "Board") adopted at a meeting held on September 2, 1998, as certified by the Secretary of the Company on the date hereof as being complete, accurate, and in effect, authorizing, among other things, the filing of the Registration Statement and arrangements in connection therewith.</w:t>
      </w:r>
    </w:p>
    <w:p>
      <w:pPr>
        <w:spacing w:after="0" w:line="209" w:lineRule="exact"/>
        <w:rPr>
          <w:rFonts w:ascii="Courier New" w:cs="Courier New" w:eastAsia="Courier New" w:hAnsi="Courier New"/>
          <w:sz w:val="18"/>
          <w:szCs w:val="18"/>
          <w:color w:val="auto"/>
        </w:rPr>
      </w:pPr>
    </w:p>
    <w:p>
      <w:pPr>
        <w:ind w:left="1580" w:right="1999" w:hanging="519"/>
        <w:spacing w:after="0" w:line="273" w:lineRule="auto"/>
        <w:tabs>
          <w:tab w:leader="none" w:pos="15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resolutions of the Board adopted by unanimous written consent on November 18, 1999, as certified by the Secretary of the Company on the date hereof as being complete, accurate, and in effect, authorizing, among other things, the offer, issuance and sale of the Notes and arrangements in connection therewith.</w:t>
      </w:r>
    </w:p>
    <w:p>
      <w:pPr>
        <w:spacing w:after="0" w:line="184" w:lineRule="exact"/>
        <w:rPr>
          <w:rFonts w:ascii="Courier New" w:cs="Courier New" w:eastAsia="Courier New" w:hAnsi="Courier New"/>
          <w:sz w:val="16"/>
          <w:szCs w:val="16"/>
          <w:color w:val="auto"/>
        </w:rPr>
      </w:pPr>
    </w:p>
    <w:p>
      <w:pPr>
        <w:ind w:left="1580" w:right="1779" w:hanging="519"/>
        <w:spacing w:after="0" w:line="238"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resolutions of the Financing Committee of the Company adopted by unanimous written consent as of November 23, 1999, as certified by the Secretary of the Company on the date hereof as being complete, accurate and in effect, relating to, among other things, establishment of the Notes as a new series of the Company's unsecured debt securities under the Indenture dated as of September 1, 1998, between the Company and First Union National Bank, as Trustee (the "Indenture"), authorization of the Underwriting Agreement (as defined below), and arrangements in connection therewith, and the issuance of the Notes on the terms set forth therein and in accordance with the terms of the Indenture.</w:t>
      </w:r>
    </w:p>
    <w:p>
      <w:pPr>
        <w:spacing w:after="0" w:line="207"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Underwriting Agreement and a Pricing Agreement each dated as of November 23, 1999, by and among the Company and the several Underwriters named therein, for whom Goldman, Sachs &amp; Co., J.P. Morgan Securities Inc., First Union Securities, Inc., PNC Capital Markets, Inc. and Warburg Dillon Read LLC will act as representatives (together, the "Underwriting Agreement").</w:t>
      </w:r>
    </w:p>
    <w:p>
      <w:pPr>
        <w:spacing w:after="0" w:line="205"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Indenture.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3" w:name="page54"/>
    <w:bookmarkEnd w:id="53"/>
    <w:p>
      <w:pPr>
        <w:ind w:right="1879"/>
        <w:spacing w:after="0" w:line="235" w:lineRule="auto"/>
        <w:rPr>
          <w:sz w:val="20"/>
          <w:szCs w:val="20"/>
          <w:color w:val="auto"/>
        </w:rPr>
      </w:pPr>
      <w:r>
        <w:rPr>
          <w:rFonts w:ascii="Courier New" w:cs="Courier New" w:eastAsia="Courier New" w:hAnsi="Courier New"/>
          <w:sz w:val="18"/>
          <w:szCs w:val="18"/>
          <w:color w:val="auto"/>
        </w:rPr>
        <w:t>submitted to us as copies (including telecopies). This opinion letter is given, and all statements herein are made, in the context of the foregoing.</w:t>
      </w:r>
    </w:p>
    <w:p>
      <w:pPr>
        <w:spacing w:after="0" w:line="208"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This opinion letter is based as to matters of law solely on applicable provisions of Title 8 of the Corporations and Associations Article of the Annotated Code of Maryland (the "Maryland REIT Law"). We express no opinion herein as to any other laws, statutes, ordinances, rules, or regulations or as to compliance with state securities (or "blue sky") laws, rules or regulations.</w:t>
      </w:r>
    </w:p>
    <w:p>
      <w:pPr>
        <w:spacing w:after="0" w:line="185"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Based upon, subject to and limited by the foregoing, we are of the opinion that, upon due authentication of the Notes by the Trustee and the due execution and delivery of the Notes on behalf of the Company against payment of the consideration for the Notes specified in the Underwriting Agreement, the Notes will be validly issued and will constitute valid and binding obligations of the Company, enforceable against the Company in accordance with their terms, except as the enforcement thereof may be limited by bankruptcy, insolvency, reorganization, moratorium or other laws affecting creditors' rights (including, without limitation, the effect of statutory and other laws regarding fraudulent conveyances, fraudulent transfers and preferential transfers) and as may be limited by the exercise of judicial discretion and the application of principles of equity, including, without limitation, requirements of good faith, fair dealing, conscionability and materiality (regardless of whether the Notes are considered in a proceeding at law or in equity).</w:t>
      </w:r>
    </w:p>
    <w:p>
      <w:pPr>
        <w:spacing w:after="0" w:line="38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opinion as to enforceability expressed above shall be understood to mean only that if there is a default in performance of an obligation, (i) if a failure to pay or other damage can be shown and (ii) if the defaulting party can be brought into a court which will hear the case and apply the governing law, then, subject to the availability of defenses, and to the exceptions set forth above, the court will provide a money damage (or perhaps injunctive or specific performance) remedy.</w:t>
      </w:r>
    </w:p>
    <w:p>
      <w:pPr>
        <w:spacing w:after="0" w:line="211"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To the extent that the obligations of the Company under the Indenture may be dependent upon such matters, we assume for purposes of this opinion that the Trustee is duly organized, validly existing and in good standing under the laws of its jurisdiction of organization; that the Trustee is duly qualified to engage in the activities contemplated by the Indenture; that the Indenture has been duly authorized, executed and delivered by the Trustee and constitutes the valid and binding obligation of the Trustee enforceable against the Trustee in accordance with its terms; that the Trustee is in compliance, with respect to acting as a trustee under the Indenture, with all applicable laws and regulations; and that the Trustee has the requisite organizational and legal power and authority to perform its obligations under the Indenture.</w:t>
      </w:r>
    </w:p>
    <w:p>
      <w:pPr>
        <w:spacing w:after="0" w:line="18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This opinion letter has been prepared for use solely in connection with the filing by the Company of a Current Report on Form 8-K on the date 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54" w:name="page55"/>
    <w:bookmarkEnd w:id="54"/>
    <w:p>
      <w:pPr>
        <w:ind w:right="1779"/>
        <w:spacing w:after="0" w:line="237" w:lineRule="auto"/>
        <w:rPr>
          <w:sz w:val="20"/>
          <w:szCs w:val="20"/>
          <w:color w:val="auto"/>
        </w:rPr>
      </w:pPr>
      <w:r>
        <w:rPr>
          <w:rFonts w:ascii="Courier New" w:cs="Courier New" w:eastAsia="Courier New" w:hAnsi="Courier New"/>
          <w:sz w:val="18"/>
          <w:szCs w:val="18"/>
          <w:color w:val="auto"/>
        </w:rPr>
        <w:t>which Form 8-K will be incorporated by reference into the Registration Statement and speaks as of the date hereof. We assume no obligation to advise you of any changes in the foregoing subsequent to the delivery of this opinion letter. This opinion letter should not be quoted in whole or in part or otherwise be referred to, nor filed with or furnished to any governmental agency or other person or entity, without the prior written consent of this firm. We assume no obligation to advise you of any changes in the foregoing subsequent to the delivery of this opinion letter.</w:t>
      </w:r>
    </w:p>
    <w:p>
      <w:pPr>
        <w:spacing w:after="0" w:line="21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We hereby consent to the filing of this opinion letter as Exhibit 5.1 to the above-described Form 8-K and to the reference to this firm under the caption "Legal Matters" in the Prospectus Supplement. In giving this consent, we do not thereby admit that we are an "expert" within the meaning of the Securities Act of 1933, as amended.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HOGAN &amp; HARTSON L.L.P.</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HOGAN &amp; HARTSON L.L.P.</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5" w:name="page56"/>
    <w:bookmarkEnd w:id="55"/>
    <w:p>
      <w:pPr>
        <w:jc w:val="right"/>
        <w:ind w:right="1779"/>
        <w:spacing w:after="0"/>
        <w:rPr>
          <w:sz w:val="20"/>
          <w:szCs w:val="20"/>
          <w:color w:val="auto"/>
        </w:rPr>
      </w:pPr>
      <w:r>
        <w:rPr>
          <w:rFonts w:ascii="Courier New" w:cs="Courier New" w:eastAsia="Courier New" w:hAnsi="Courier New"/>
          <w:sz w:val="18"/>
          <w:szCs w:val="18"/>
          <w:color w:val="auto"/>
        </w:rPr>
        <w:t>Exhibit 8.1</w:t>
      </w:r>
    </w:p>
    <w:p>
      <w:pPr>
        <w:ind w:left="2220"/>
        <w:spacing w:after="0" w:line="238" w:lineRule="auto"/>
        <w:rPr>
          <w:sz w:val="20"/>
          <w:szCs w:val="20"/>
          <w:color w:val="auto"/>
        </w:rPr>
      </w:pPr>
      <w:r>
        <w:rPr>
          <w:rFonts w:ascii="Courier New" w:cs="Courier New" w:eastAsia="Courier New" w:hAnsi="Courier New"/>
          <w:sz w:val="18"/>
          <w:szCs w:val="18"/>
          <w:color w:val="auto"/>
        </w:rPr>
        <w:t>[LETTERHEAD OF HOGAN &amp; HARTSON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November 29,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opinion is being delivered to you in connection with the issuance and sale of $175,000,000 aggregate principal amount of 8.75% Notes due December 1, 2009 (the "Notes") of Federal Realty Investment Trust (the "Company"), as described more fully in the Prospectus Supplement, dated on or about the date hereof, to the Prospectus dated September 30, 1998. Capitalized terms used herein shall have the meanings set forth in the Prospectus and Prospectus Supplement, unless otherwise defined herein.</w:t>
      </w:r>
    </w:p>
    <w:p>
      <w:pPr>
        <w:spacing w:after="0" w:line="211"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opinion set forth in this letter is based on relevant provisions of the Internal Revenue Code of 1986, as amended (the "Code"), Treasury Regulations thereunder (including proposed and temporary Regulations), and interpretations of the foregoing as expressed in court decisions, legislative history, and existing administrative rulings and practices of the Internal Revenue Service (including its practices and policies in issuing private letter rulings, which are not binding on the Internal Revenue Service except with respect to a taxpayer that receives such a ruling), all as of the date hereof. These provisions and interpretations are subject to change, which may or may not be retroactive in effect, that might result in modifications of our opinion.</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opinion does not foreclose the possibility of a contrary determination by the Internal Revenue Service or a court of competent jurisdiction, or of a contrary position by the Internal Revenue Service or the Treasury Department in regulations or rulings issued in the future.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In rendering our opinion, we have made such factual and legal inquiries as we have deemed necessary or appropriate for purposes of our opinion. For purposes of rendering our opinion, however, we have not made an independent investigation or audit of the facts set forth in the Prospectus or Prospectus Supplement. We have assumed, with your consent, that all of the representations</w:t>
      </w:r>
    </w:p>
    <w:p>
      <w:pPr>
        <w:sectPr>
          <w:pgSz w:w="11900" w:h="16838" w:orient="portrait"/>
          <w:cols w:equalWidth="0" w:num="1">
            <w:col w:w="10219"/>
          </w:cols>
          <w:pgMar w:left="240" w:top="541"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29, 1999</w:t>
      </w:r>
    </w:p>
    <w:p>
      <w:pPr>
        <w:spacing w:after="0"/>
        <w:rPr>
          <w:sz w:val="20"/>
          <w:szCs w:val="20"/>
          <w:color w:val="auto"/>
        </w:rPr>
      </w:pPr>
      <w:r>
        <w:rPr>
          <w:rFonts w:ascii="Courier New" w:cs="Courier New" w:eastAsia="Courier New" w:hAnsi="Courier New"/>
          <w:sz w:val="18"/>
          <w:szCs w:val="18"/>
          <w:color w:val="auto"/>
        </w:rPr>
        <w:t>Page 2 of 3</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and statements set forth in the documents that we reviewed (including, without limitation, the Prospectus and Prospectus Supplement) are true and correct, and each of the obligations imposed by any such document on the parties thereto has been and will be performed or satisfied in accordance with its terms. Further, we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Based upon, subject to, and limited by the assumptions and qualifications set forth herein, we are of the opinion that the discussion in the Prospectus Supplement under the heading "Federal Income Tax Considerations," to the extent such discussion describes applicable federal income tax law, is correct in all material respects, as of the date hereof.</w:t>
      </w:r>
    </w:p>
    <w:p>
      <w:pPr>
        <w:spacing w:after="0" w:line="209" w:lineRule="exact"/>
        <w:rPr>
          <w:sz w:val="20"/>
          <w:szCs w:val="20"/>
          <w:color w:val="auto"/>
        </w:rPr>
      </w:pPr>
    </w:p>
    <w:p>
      <w:pPr>
        <w:ind w:right="2419" w:firstLine="1053"/>
        <w:spacing w:after="0" w:line="290" w:lineRule="auto"/>
        <w:rPr>
          <w:sz w:val="20"/>
          <w:szCs w:val="20"/>
          <w:color w:val="auto"/>
        </w:rPr>
      </w:pPr>
      <w:r>
        <w:rPr>
          <w:rFonts w:ascii="Courier New" w:cs="Courier New" w:eastAsia="Courier New" w:hAnsi="Courier New"/>
          <w:sz w:val="16"/>
          <w:szCs w:val="16"/>
          <w:color w:val="auto"/>
        </w:rPr>
        <w:t>In addition to the assumptions set forth above, this opinion is subject to the exceptions, limitations and qualifications set forth below:</w:t>
      </w:r>
    </w:p>
    <w:p>
      <w:pPr>
        <w:spacing w:after="0" w:line="170" w:lineRule="exact"/>
        <w:rPr>
          <w:sz w:val="20"/>
          <w:szCs w:val="20"/>
          <w:color w:val="auto"/>
        </w:rPr>
      </w:pPr>
    </w:p>
    <w:p>
      <w:pPr>
        <w:ind w:right="1779" w:firstLine="1061"/>
        <w:spacing w:after="0" w:line="238" w:lineRule="auto"/>
        <w:tabs>
          <w:tab w:leader="none" w:pos="147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opinion represents and is based upon our best judgment regarding the application of relevant current provisions of the Code and interpretations of the foregoing as expressed in existing court decisions, administrative determinations (including the practices and procedures of the Internal Revenue Service (the "IRS") in issuing private letter rulings, which are not binding on the IRS except with respect to the taxpayer that receives such a ruling) and published rulings and procedures all as of the date hereof. An opinion of counsel merely represents counsel's best judgment with respect to the probable outcome on the merits and is not binding on the Internal Revenue Service or the courts. There can be no assurance that positions contrary to our opinion will not be taken by the IRS, or that a court considering the issues would not hold contrary to such opinion. Furthermore, no assurance can be given that future legislative, judicial or administrative changes, on either a prospective or retroactive basis, would not adversely affect the accuracy of the opinion expressed herein. Nevertheless, we undertake no responsibility to advise you of any new developments in the law or in the application or interpretation of the federal income tax laws.</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addresses only the specific tax opinion set forth above. This letter does not address any other federal, state, local or foreign tax consequences that may result from the purchase, ownership or disposition of the Notes.</w:t>
      </w:r>
    </w:p>
    <w:p>
      <w:pPr>
        <w:sectPr>
          <w:pgSz w:w="11900" w:h="16838" w:orient="portrait"/>
          <w:cols w:equalWidth="0" w:num="1">
            <w:col w:w="10219"/>
          </w:cols>
          <w:pgMar w:left="240" w:top="71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29, 1999</w:t>
      </w:r>
    </w:p>
    <w:p>
      <w:pPr>
        <w:spacing w:after="0"/>
        <w:rPr>
          <w:sz w:val="20"/>
          <w:szCs w:val="20"/>
          <w:color w:val="auto"/>
        </w:rPr>
      </w:pPr>
      <w:r>
        <w:rPr>
          <w:rFonts w:ascii="Courier New" w:cs="Courier New" w:eastAsia="Courier New" w:hAnsi="Courier New"/>
          <w:sz w:val="18"/>
          <w:szCs w:val="18"/>
          <w:color w:val="auto"/>
        </w:rPr>
        <w:t>Page 3 of 3</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opinion is provided to the Company only and, without our prior consent, may not be relied upon, used, circulated, quoted or otherwise referred to in any manner by any person, firm, governmental authority or entity whatsoever. Notwithstanding the prior sentence, we hereby consent to the use of the opinion letter as an exhibit to the Prospectus Supplement and to the use of our name in the Prospectus Supplement. In giving the consent, we do not thereby admit that we are an "expert" within the meaning of the Securities Act of 1933, as amended.</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Hogan &amp; Hartson L.L.P.</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Hogan &amp; Hartson L.L.P.</w:t>
      </w:r>
    </w:p>
    <w:p>
      <w:pPr>
        <w:sectPr>
          <w:pgSz w:w="11900" w:h="16838" w:orient="portrait"/>
          <w:cols w:equalWidth="0" w:num="1">
            <w:col w:w="10219"/>
          </w:cols>
          <w:pgMar w:left="240" w:top="717"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Monday November 15, 2:36 pm Eastern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Moody's cuts 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 provided by Moody's Investors Service)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Nov 15 - Moody's Investors Service has downgraded the senior unsecured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rating of Federal Realty Investment Trust to Baa2, from Baa1, and the</w:t>
      </w:r>
    </w:p>
    <w:p>
      <w:pPr>
        <w:spacing w:after="0" w:line="238" w:lineRule="auto"/>
        <w:rPr>
          <w:sz w:val="20"/>
          <w:szCs w:val="20"/>
          <w:color w:val="auto"/>
        </w:rPr>
      </w:pPr>
      <w:r>
        <w:rPr>
          <w:rFonts w:ascii="Courier New" w:cs="Courier New" w:eastAsia="Courier New" w:hAnsi="Courier New"/>
          <w:sz w:val="18"/>
          <w:szCs w:val="18"/>
          <w:color w:val="auto"/>
        </w:rPr>
        <w:t>rating on the REIT's preferred stock to ``baa3,'' from ``baa2.''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rating outlook is stable.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According to Moody's, these rating actions reflect Federal Realty's rising leverage, and resulting deterioration in coverage.</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Moody's also remarked that these rating actions reflect Federal Realty's emerging, riskier operating profile stemming from increased development activity. These developments are connected to Federal Realty's ``Main Street'' retail concept, which emphasizes mixed use properties in upscale, urban settings.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these ``Main Street'' retail efforts have been successful, they are not without risk. Moody's commented that the ratings continue to recognize Federal Realty's 36-year history of adding value to its portfolio through several real estate and economic cycles.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REIT's sound portfolio fundamentals, including its community center retail properties, contribute to stable cash flows. Nevertheless, debt has been rising.</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ratings were lowered: Federal Realty Investment Trust -- senior unsecured debt to Baa2, from Baa1; senior unsecured debt shelf rating to (P)Baa2 from (P)Baa1; subordinated debt to Baa3, from Baa2; subordinated debt shelf rating to (P)Baa3, from (P)Baa2; cumulative preferred stock to ``baa3,'' from ``baa2''; cumulative preferred stock shelf rating to (P)``baa3'' from (P)``baa2.''</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Federal Realty Investment Trust (NYSE: FRT) is a real estate investment trust (REIT) specializing in the ownership, management, development and redevelopment of retail properties.</w:t>
      </w: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At September 30, 1999 the REIT owned or had ownership interests in 123 retail properties across the USA, with assets of approximately $1.7 billion.</w:t>
      </w:r>
    </w:p>
    <w:p>
      <w:pPr>
        <w:sectPr>
          <w:pgSz w:w="11900" w:h="16838" w:orient="portrait"/>
          <w:cols w:equalWidth="0" w:num="1">
            <w:col w:w="10219"/>
          </w:cols>
          <w:pgMar w:left="240" w:top="541"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Tuesday November 16, 3:30 pm Eastern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S&amp;P affirms Federal Realty Inv Trust rtgs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 provided by Standard &amp; Poor's)</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NEW YORK, Nov 16 - Standard &amp; Poor's today affirmed its ratings on Federal Realty Investment Trust (see list).</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ratings were removed from CreditWatch, where they were placed on Sept. 7, 1999. The outlook is now stable.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ratings were placed on CreditWatch following the announcement that it would spin off its street retail subsidiary to shareholders. At that time, management was also in negotiations to sell the company's community shopping center portfolio through a merger. There are no current plans to pursue the portfolio sale or the spin-off of its street retail assets.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ratings and outlook acknowledge this seasoned retail REIT's quality property portfolio and consistent financial performance, whose strengths are tempered by its need to tap additional equity sources and sell assets to fund its development pipeline.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Founded in 1962, Bethesda, Md.-based Federal Realty is one of the oldest REITs in the industry. The company's business has traditionally been the ownership, management, and redevelopment of community and neighborhood shopping centers that are anchored by necessity-oriented tenants, such as supermarkets. However, six years ago that strategy was expanded to include retail properties in downtown areas of affluent communities.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Currently, the portfolio consists of 122 retail properties generally located in densely populated areas and, in many cases, in areas with relatively high barriers to entry. The assets are well occupied (95% average) by a diverse tenant base, and continue to post good rental rate increases and solid same-store net operating income growth.</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level of planned development, which appears to be more significant than in the past, consists mainly of four mixed-use projects to be developed in phases. While the total development costs for 2000 could approach a substantial US$150 million, the company may sell off a portion of the nonretail components of select projects or seek joint venture partners to reduce its overall exposure.</w:t>
      </w:r>
    </w:p>
    <w:p>
      <w:pPr>
        <w:spacing w:after="0" w:line="18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company's financial position has been consistently moderate over the past few years. Leverage levels have been around 60% on a book-value basis, and, when</w:t>
      </w:r>
    </w:p>
    <w:p>
      <w:pPr>
        <w:sectPr>
          <w:pgSz w:w="11900" w:h="16838" w:orient="portrait"/>
          <w:cols w:equalWidth="0" w:num="1">
            <w:col w:w="10219"/>
          </w:cols>
          <w:pgMar w:left="240" w:top="541" w:right="1440" w:bottom="1440" w:gutter="0" w:footer="0" w:header="0"/>
        </w:sectPr>
      </w:pPr>
    </w:p>
    <w:bookmarkStart w:id="60" w:name="page61"/>
    <w:bookmarkEnd w:id="60"/>
    <w:p>
      <w:pPr>
        <w:ind w:right="2199"/>
        <w:spacing w:after="0" w:line="268" w:lineRule="auto"/>
        <w:rPr>
          <w:sz w:val="20"/>
          <w:szCs w:val="20"/>
          <w:color w:val="auto"/>
        </w:rPr>
      </w:pPr>
      <w:r>
        <w:rPr>
          <w:rFonts w:ascii="Courier New" w:cs="Courier New" w:eastAsia="Courier New" w:hAnsi="Courier New"/>
          <w:sz w:val="16"/>
          <w:szCs w:val="16"/>
          <w:color w:val="auto"/>
        </w:rPr>
        <w:t>adjusted for unrealized real estate values, closer to the 45% area. Coverage levels for debt service, at about 2.2 times (x), and fixed charge, at about</w:t>
      </w:r>
    </w:p>
    <w:p>
      <w:pPr>
        <w:ind w:right="1879"/>
        <w:spacing w:after="0" w:line="236" w:lineRule="auto"/>
        <w:rPr>
          <w:sz w:val="20"/>
          <w:szCs w:val="20"/>
          <w:color w:val="auto"/>
        </w:rPr>
      </w:pPr>
      <w:r>
        <w:rPr>
          <w:rFonts w:ascii="Courier New" w:cs="Courier New" w:eastAsia="Courier New" w:hAnsi="Courier New"/>
          <w:sz w:val="18"/>
          <w:szCs w:val="18"/>
          <w:color w:val="auto"/>
        </w:rPr>
        <w:t>2.0x, continue to be a bit low for the rating category but are supported by the stability of the cash flow stream provided by the company's stabilized retail properties.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While there is some exposure to near-term debt maturities, given the US$100 million senior unsecured notes due 2000, management is close to finalizing terms for an unsecured financing and plans to use the proceeds to both repay the maturing notes and reduce the bank line outstanding (US$205 million outstanding under a US$300 million unsecured line due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OUTLOOK: STABLE</w:t>
      </w:r>
    </w:p>
    <w:p>
      <w:pPr>
        <w:spacing w:after="0" w:line="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Federal Realty has a large portfolio of quality, unencumbered properties, which adds to its financial flexibility. Given management's strong track record and the quality of the projects planned and under development, Standard &amp; Poor's anticipates that the company will be successful in recycling capital through select asset dispositions and tapping additional equity sources (likely through the joint venture structure) to reduce its overall development exposure.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7"/>
              </w:rPr>
              <w:t>RATINGS AFFIRMED</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AND REMOVED FROM</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w w:val="97"/>
              </w:rPr>
              <w:t>CREDITWATCH Issue Rating Federal Realty</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Investment Trust</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Corporate credit</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rating BBB+</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US$335 million</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senior unsecured</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notes</w:t>
            </w:r>
          </w:p>
        </w:tc>
      </w:tr>
    </w:tbl>
    <w:p>
      <w:pPr>
        <w:ind w:left="740"/>
        <w:spacing w:after="0"/>
        <w:tabs>
          <w:tab w:leader="none" w:pos="5260" w:val="left"/>
        </w:tabs>
        <w:rPr>
          <w:sz w:val="20"/>
          <w:szCs w:val="20"/>
          <w:color w:val="auto"/>
        </w:rPr>
      </w:pPr>
      <w:r>
        <w:rPr>
          <w:rFonts w:ascii="Courier New" w:cs="Courier New" w:eastAsia="Courier New" w:hAnsi="Courier New"/>
          <w:sz w:val="18"/>
          <w:szCs w:val="18"/>
          <w:color w:val="auto"/>
        </w:rPr>
        <w:t>due 2000-2027</w:t>
      </w:r>
      <w:r>
        <w:rPr>
          <w:sz w:val="20"/>
          <w:szCs w:val="20"/>
          <w:color w:val="auto"/>
        </w:rPr>
        <w:tab/>
      </w:r>
      <w:r>
        <w:rPr>
          <w:rFonts w:ascii="Courier New" w:cs="Courier New" w:eastAsia="Courier New" w:hAnsi="Courier New"/>
          <w:sz w:val="16"/>
          <w:szCs w:val="16"/>
          <w:color w:val="auto"/>
        </w:rPr>
        <w:t>BBB+</w:t>
      </w:r>
    </w:p>
    <w:p>
      <w:pPr>
        <w:ind w:left="220"/>
        <w:spacing w:after="0"/>
        <w:rPr>
          <w:sz w:val="20"/>
          <w:szCs w:val="20"/>
          <w:color w:val="auto"/>
        </w:rPr>
      </w:pPr>
      <w:r>
        <w:rPr>
          <w:rFonts w:ascii="Courier New" w:cs="Courier New" w:eastAsia="Courier New" w:hAnsi="Courier New"/>
          <w:sz w:val="18"/>
          <w:szCs w:val="18"/>
          <w:color w:val="auto"/>
        </w:rPr>
        <w:t>US$75 million 5.25% convertible</w:t>
      </w: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subordinate debentures due 2023</w:t>
      </w:r>
      <w:r>
        <w:rPr>
          <w:sz w:val="20"/>
          <w:szCs w:val="20"/>
          <w:color w:val="auto"/>
        </w:rPr>
        <w:tab/>
      </w:r>
      <w:r>
        <w:rPr>
          <w:rFonts w:ascii="Courier New" w:cs="Courier New" w:eastAsia="Courier New" w:hAnsi="Courier New"/>
          <w:sz w:val="16"/>
          <w:szCs w:val="16"/>
          <w:color w:val="auto"/>
        </w:rPr>
        <w:t>BBB</w:t>
      </w:r>
    </w:p>
    <w:p>
      <w:pPr>
        <w:ind w:left="220"/>
        <w:spacing w:after="0" w:line="238" w:lineRule="auto"/>
        <w:rPr>
          <w:sz w:val="20"/>
          <w:szCs w:val="20"/>
          <w:color w:val="auto"/>
        </w:rPr>
      </w:pPr>
      <w:r>
        <w:rPr>
          <w:rFonts w:ascii="Courier New" w:cs="Courier New" w:eastAsia="Courier New" w:hAnsi="Courier New"/>
          <w:sz w:val="18"/>
          <w:szCs w:val="18"/>
          <w:color w:val="auto"/>
        </w:rPr>
        <w:t>US$100 million cumulative redeemable</w:t>
      </w: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preferred stock series A</w:t>
      </w:r>
      <w:r>
        <w:rPr>
          <w:sz w:val="20"/>
          <w:szCs w:val="20"/>
          <w:color w:val="auto"/>
        </w:rPr>
        <w:tab/>
      </w:r>
      <w:r>
        <w:rPr>
          <w:rFonts w:ascii="Courier New" w:cs="Courier New" w:eastAsia="Courier New" w:hAnsi="Courier New"/>
          <w:sz w:val="16"/>
          <w:szCs w:val="16"/>
          <w:color w:val="auto"/>
        </w:rPr>
        <w:t>BBB</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lowerLetter"/>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lvl w:ilvl="1">
      <w:lvlJc w:val="left"/>
      <w:lvlText w:val="(%2)"/>
      <w:numFmt w:val="lowerLetter"/>
      <w:start w:val="1"/>
    </w:lvl>
  </w:abstractNum>
  <w:abstractNum w:abstractNumId="4">
    <w:nsid w:val="79838CB2"/>
    <w:multiLevelType w:val="hybridMultilevel"/>
    <w:lvl w:ilvl="0">
      <w:lvlJc w:val="left"/>
      <w:lvlText w:val="(%1)"/>
      <w:numFmt w:val="lowerLetter"/>
      <w:start w:val="2"/>
    </w:lvl>
  </w:abstractNum>
  <w:abstractNum w:abstractNumId="5">
    <w:nsid w:val="4353D0CD"/>
    <w:multiLevelType w:val="hybridMultilevel"/>
    <w:lvl w:ilvl="0">
      <w:lvlJc w:val="left"/>
      <w:lvlText w:val="(%1)"/>
      <w:numFmt w:val="lowerLetter"/>
      <w:start w:val="3"/>
    </w:lvl>
  </w:abstractNum>
  <w:abstractNum w:abstractNumId="6">
    <w:nsid w:val="B03E0C6"/>
    <w:multiLevelType w:val="hybridMultilevel"/>
    <w:lvl w:ilvl="0">
      <w:lvlJc w:val="left"/>
      <w:lvlText w:val="(%1)"/>
      <w:numFmt w:val="lowerLetter"/>
      <w:start w:val="5"/>
    </w:lvl>
  </w:abstractNum>
  <w:abstractNum w:abstractNumId="7">
    <w:nsid w:val="189A769B"/>
    <w:multiLevelType w:val="hybridMultilevel"/>
    <w:lvl w:ilvl="0">
      <w:lvlJc w:val="left"/>
      <w:lvlText w:val="(%1)"/>
      <w:numFmt w:val="lowerLetter"/>
      <w:start w:val="9"/>
    </w:lvl>
  </w:abstractNum>
  <w:abstractNum w:abstractNumId="8">
    <w:nsid w:val="54E49EB4"/>
    <w:multiLevelType w:val="hybridMultilevel"/>
    <w:lvl w:ilvl="0">
      <w:lvlJc w:val="left"/>
      <w:lvlText w:val="(%1)"/>
      <w:numFmt w:val="lowerLetter"/>
      <w:start w:val="12"/>
    </w:lvl>
  </w:abstractNum>
  <w:abstractNum w:abstractNumId="9">
    <w:nsid w:val="71F32454"/>
    <w:multiLevelType w:val="hybridMultilevel"/>
    <w:lvl w:ilvl="0">
      <w:lvlJc w:val="left"/>
      <w:lvlText w:val="%1."/>
      <w:numFmt w:val="decimal"/>
      <w:start w:val="3"/>
    </w:lvl>
    <w:lvl w:ilvl="1">
      <w:lvlJc w:val="left"/>
      <w:lvlText w:val="(%2)"/>
      <w:numFmt w:val="lowerLetter"/>
      <w:start w:val="1"/>
    </w:lvl>
  </w:abstractNum>
  <w:abstractNum w:abstractNumId="10">
    <w:nsid w:val="2CA88611"/>
    <w:multiLevelType w:val="hybridMultilevel"/>
    <w:lvl w:ilvl="0">
      <w:lvlJc w:val="left"/>
      <w:lvlText w:val="(%1)"/>
      <w:numFmt w:val="lowerLetter"/>
      <w:start w:val="2"/>
    </w:lvl>
  </w:abstractNum>
  <w:abstractNum w:abstractNumId="11">
    <w:nsid w:val="836C40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12">
    <w:nsid w:val="2901D82"/>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3">
    <w:nsid w:val="3A95F874"/>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1"/>
    </w:lvl>
  </w:abstractNum>
  <w:abstractNum w:abstractNumId="14">
    <w:nsid w:val="813864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5">
    <w:nsid w:val="1E7FF521"/>
    <w:multiLevelType w:val="hybridMultilevel"/>
    <w:lvl w:ilvl="0">
      <w:lvlJc w:val="left"/>
      <w:lvlText w:val="(%1)"/>
      <w:numFmt w:val="lowerRoman"/>
      <w:start w:val="2"/>
    </w:lvl>
  </w:abstractNum>
  <w:abstractNum w:abstractNumId="16">
    <w:nsid w:val="7C3DBD3D"/>
    <w:multiLevelType w:val="hybridMultilevel"/>
    <w:lvl w:ilvl="0">
      <w:lvlJc w:val="left"/>
      <w:lvlText w:val="(%1)"/>
      <w:numFmt w:val="lowerRoman"/>
      <w:start w:val="6"/>
    </w:lvl>
  </w:abstractNum>
  <w:abstractNum w:abstractNumId="17">
    <w:nsid w:val="737B8DDC"/>
    <w:multiLevelType w:val="hybridMultilevel"/>
    <w:lvl w:ilvl="0">
      <w:lvlJc w:val="left"/>
      <w:lvlText w:val="(%1)"/>
      <w:numFmt w:val="lowerLetter"/>
      <w:start w:val="4"/>
    </w:lvl>
  </w:abstractNum>
  <w:abstractNum w:abstractNumId="18">
    <w:nsid w:val="6CEAF087"/>
    <w:multiLevelType w:val="hybridMultilevel"/>
    <w:lvl w:ilvl="0">
      <w:lvlJc w:val="left"/>
      <w:lvlText w:val="(%1)"/>
      <w:numFmt w:val="lowerLetter"/>
      <w:start w:val="5"/>
    </w:lvl>
  </w:abstractNum>
  <w:abstractNum w:abstractNumId="19">
    <w:nsid w:val="22221A70"/>
    <w:multiLevelType w:val="hybridMultilevel"/>
    <w:lvl w:ilvl="0">
      <w:lvlJc w:val="left"/>
      <w:lvlText w:val="(%1)"/>
      <w:numFmt w:val="lowerRoman"/>
      <w:start w:val="2"/>
    </w:lvl>
    <w:lvl w:ilvl="1">
      <w:lvlJc w:val="left"/>
      <w:lvlText w:val="%2"/>
      <w:numFmt w:val="lowerLetter"/>
      <w:start w:val="1"/>
    </w:lvl>
  </w:abstractNum>
  <w:abstractNum w:abstractNumId="20">
    <w:nsid w:val="4516DDE9"/>
    <w:multiLevelType w:val="hybridMultilevel"/>
    <w:lvl w:ilvl="0">
      <w:lvlJc w:val="left"/>
      <w:lvlText w:val="(%1)"/>
      <w:numFmt w:val="lowerRoman"/>
      <w:start w:val="4"/>
    </w:lvl>
    <w:lvl w:ilvl="1">
      <w:lvlJc w:val="left"/>
      <w:lvlText w:val="(%2)"/>
      <w:numFmt w:val="lowerLetter"/>
      <w:start w:val="9"/>
    </w:lvl>
  </w:abstractNum>
  <w:abstractNum w:abstractNumId="21">
    <w:nsid w:val="3006C83E"/>
    <w:multiLevelType w:val="hybridMultilevel"/>
    <w:lvl w:ilvl="0">
      <w:lvlJc w:val="left"/>
      <w:lvlText w:val="%1."/>
      <w:numFmt w:val="decimal"/>
      <w:start w:val="8"/>
    </w:lvl>
  </w:abstractNum>
  <w:abstractNum w:abstractNumId="22">
    <w:nsid w:val="614FD4A1"/>
    <w:multiLevelType w:val="hybridMultilevel"/>
    <w:lvl w:ilvl="0">
      <w:lvlJc w:val="left"/>
      <w:lvlText w:val="%1"/>
      <w:numFmt w:val="lowerLetter"/>
      <w:start w:val="1"/>
    </w:lvl>
    <w:lvl w:ilvl="1">
      <w:lvlJc w:val="left"/>
      <w:lvlText w:val="(%2)"/>
      <w:numFmt w:val="lowerLetter"/>
      <w:start w:val="2"/>
    </w:lvl>
  </w:abstractNum>
  <w:abstractNum w:abstractNumId="23">
    <w:nsid w:val="419AC241"/>
    <w:multiLevelType w:val="hybridMultilevel"/>
    <w:lvl w:ilvl="0">
      <w:lvlJc w:val="left"/>
      <w:lvlText w:val="(%1)"/>
      <w:numFmt w:val="lowerLetter"/>
      <w:start w:val="1"/>
    </w:lvl>
    <w:lvl w:ilvl="1">
      <w:lvlJc w:val="left"/>
      <w:lvlText w:val="(%2)"/>
      <w:numFmt w:val="lowerLetter"/>
      <w:start w:val="4"/>
    </w:lvl>
  </w:abstractNum>
  <w:abstractNum w:abstractNumId="24">
    <w:nsid w:val="5577F8E1"/>
    <w:multiLevelType w:val="hybridMultilevel"/>
    <w:lvl w:ilvl="0">
      <w:lvlJc w:val="left"/>
      <w:lvlText w:val="(%1)"/>
      <w:numFmt w:val="lowerLetter"/>
      <w:start w:val="5"/>
    </w:lvl>
  </w:abstractNum>
  <w:abstractNum w:abstractNumId="25">
    <w:nsid w:val="440BADFC"/>
    <w:multiLevelType w:val="hybridMultilevel"/>
    <w:lvl w:ilvl="0">
      <w:lvlJc w:val="left"/>
      <w:lvlText w:val="%1."/>
      <w:numFmt w:val="decimal"/>
      <w:start w:val="9"/>
    </w:lvl>
  </w:abstractNum>
  <w:abstractNum w:abstractNumId="26">
    <w:nsid w:val="5072367"/>
    <w:multiLevelType w:val="hybridMultilevel"/>
    <w:lvl w:ilvl="0">
      <w:lvlJc w:val="left"/>
      <w:lvlText w:val="(%1)"/>
      <w:numFmt w:val="lowerLetter"/>
      <w:start w:val="2"/>
    </w:lvl>
  </w:abstractNum>
  <w:abstractNum w:abstractNumId="27">
    <w:nsid w:val="3804823E"/>
    <w:multiLevelType w:val="hybridMultilevel"/>
    <w:lvl w:ilvl="0">
      <w:lvlJc w:val="left"/>
      <w:lvlText w:val="%1."/>
      <w:numFmt w:val="decimal"/>
      <w:start w:val="10"/>
    </w:lvl>
  </w:abstractNum>
  <w:abstractNum w:abstractNumId="28">
    <w:nsid w:val="77465F01"/>
    <w:multiLevelType w:val="hybridMultilevel"/>
    <w:lvl w:ilvl="0">
      <w:lvlJc w:val="left"/>
      <w:lvlText w:val="%1."/>
      <w:numFmt w:val="decimal"/>
      <w:start w:val="13"/>
    </w:lvl>
  </w:abstractNum>
  <w:abstractNum w:abstractNumId="29">
    <w:nsid w:val="7724C67E"/>
    <w:multiLevelType w:val="hybridMultilevel"/>
    <w:lvl w:ilvl="0">
      <w:lvlJc w:val="left"/>
      <w:lvlText w:val="%1."/>
      <w:numFmt w:val="decimal"/>
      <w:start w:val="16"/>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lowerRoman"/>
      <w:start w:val="4"/>
    </w:lvl>
    <w:lvl w:ilvl="1">
      <w:lvlJc w:val="left"/>
      <w:lvlText w:val="%2"/>
      <w:numFmt w:val="lowerRoman"/>
      <w:start w:val="1"/>
    </w:lvl>
  </w:abstractNum>
  <w:abstractNum w:abstractNumId="34">
    <w:nsid w:val="2D517796"/>
    <w:multiLevelType w:val="hybridMultilevel"/>
    <w:lvl w:ilvl="0">
      <w:lvlJc w:val="left"/>
      <w:lvlText w:val="(%1)"/>
      <w:numFmt w:val="lowerRoman"/>
      <w:start w:val="2"/>
    </w:lvl>
    <w:lvl w:ilvl="1">
      <w:lvlJc w:val="left"/>
      <w:lvlText w:val="(%2)"/>
      <w:numFmt w:val="lowerRoman"/>
      <w:start w:val="1"/>
    </w:lvl>
  </w:abstractNum>
  <w:abstractNum w:abstractNumId="35">
    <w:nsid w:val="580BD78F"/>
    <w:multiLevelType w:val="hybridMultilevel"/>
    <w:lvl w:ilvl="0">
      <w:lvlJc w:val="left"/>
      <w:lvlText w:val="(%1)"/>
      <w:numFmt w:val="lowerRoman"/>
      <w:start w:val="4"/>
    </w:lvl>
    <w:lvl w:ilvl="1">
      <w:lvlJc w:val="left"/>
      <w:lvlText w:val="(%2)"/>
      <w:numFmt w:val="upperLetter"/>
      <w:start w:val="1"/>
    </w:lvl>
  </w:abstractNum>
  <w:abstractNum w:abstractNumId="36">
    <w:nsid w:val="153EA438"/>
    <w:multiLevelType w:val="hybridMultilevel"/>
    <w:lvl w:ilvl="0">
      <w:lvlJc w:val="left"/>
      <w:lvlText w:val="(%1)"/>
      <w:numFmt w:val="lowerRoman"/>
      <w:start w:val="2"/>
    </w:lvl>
    <w:lvl w:ilvl="1">
      <w:lvlJc w:val="left"/>
      <w:lvlText w:val="(%2)"/>
      <w:numFmt w:val="upperLetter"/>
      <w:start w:val="2"/>
    </w:lvl>
  </w:abstractNum>
  <w:abstractNum w:abstractNumId="37">
    <w:nsid w:val="3855585C"/>
    <w:multiLevelType w:val="hybridMultilevel"/>
    <w:lvl w:ilvl="0">
      <w:lvlJc w:val="left"/>
      <w:lvlText w:val="(%1)"/>
      <w:numFmt w:val="upperLetter"/>
      <w:start w:val="3"/>
    </w:lvl>
  </w:abstractNum>
  <w:abstractNum w:abstractNumId="38">
    <w:nsid w:val="70A64E2A"/>
    <w:multiLevelType w:val="hybridMultilevel"/>
    <w:lvl w:ilvl="0">
      <w:lvlJc w:val="left"/>
      <w:lvlText w:val="(%1)"/>
      <w:numFmt w:val="lowerRoman"/>
      <w:start w:val="7"/>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lowerRoman"/>
      <w:start w:val="2"/>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4"/>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2020-02-22T15:27:21Z</dcterms:created>
  <dcterms:modified xsi:type="dcterms:W3CDTF">2020-02-22T15:27:21Z</dcterms:modified>
</cp:coreProperties>
</file>