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6"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March 2,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08"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163195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rFonts w:ascii="Arial" w:cs="Arial" w:eastAsia="Arial" w:hAnsi="Arial"/>
          <w:sz w:val="18"/>
          <w:szCs w:val="18"/>
          <w:color w:val="auto"/>
        </w:rPr>
        <w:t>. Other Events.</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Following is a description of the material risks related to an investment in our securities. This description replaces and supersedes prior descriptions of the material risks related to an investment in our securities to the extent that they are inconsistent with the description contained in this current report.</w:t>
      </w:r>
    </w:p>
    <w:p>
      <w:pPr>
        <w:spacing w:after="0" w:line="7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Before investing in our securities, investors should be aware that there are various risks. Investors should carefully consider, among other factors, the factors discussed in this report. This report contains, and documents we subsequently file with the SEC and are incorporated by reference will contain, forward-looking statements within the meaning of Section 27A of the Securities Act of 1933, as amended, Section 21E of the Securities Exchange Act of 1934, as amended, and the Private Securities Litigation Reform Act of 1995. When we refer to forward-looking statements or information, sometimes we use words such as “may,” “will,” “could,” “should,” “plans,” “intends,” “expects,” “believes,” “estimates,” “anticipates” and “continues.” The risk factors in this report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11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The amount of rent and expense reimbursements we receive from our tenants generally will depend in part on the success of our tenants’ retail operations, making us vulnerable to general economic downturns and other conditions affecting the retail industry. Any reduction in our tenants’ ability to pay base rent, percentage rent or other charges, including the filing by any of our tenants for bankruptcy protection, may adversely affect our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8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w:t>
      </w:r>
    </w:p>
    <w:p>
      <w:pPr>
        <w:sectPr>
          <w:pgSz w:w="11900" w:h="16838" w:orient="portrait"/>
          <w:cols w:equalWidth="0" w:num="1">
            <w:col w:w="11360"/>
          </w:cols>
          <w:pgMar w:left="240" w:top="274" w:right="299" w:bottom="1440" w:gutter="0" w:footer="0" w:header="0"/>
        </w:sectPr>
      </w:pPr>
    </w:p>
    <w:bookmarkStart w:id="2" w:name="page3"/>
    <w:bookmarkEnd w:id="2"/>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contribute to the success of other tenants by drawing significant amounts of customers to a property. The closing of one or more anchor stores prior to the expiration of the lease for that store, or the termination of a lease by one or more of a property’s anchor tenants,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the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 substantial amount of debt. As of December 31, 2004, we had approximately $1.3 billion of debt outstanding. Of that outstanding debt, approximately $252 million was secured by 12 of our properties and approximately $159 million represented capital lease obligations on 11 of our properties. In addition, we own a 30% interest in a joint venture that had $47.2 million of debt secured by four properties as of December 31, 2004. All of our property secured debt (including the property secured debt of the joint venture), our capital lease obligations and approximately $729 million of our remaining debt is fixed rate debt. Our organizational 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26" w:lineRule="exact"/>
        <w:rPr>
          <w:sz w:val="20"/>
          <w:szCs w:val="20"/>
          <w:color w:val="auto"/>
        </w:rPr>
      </w:pPr>
    </w:p>
    <w:p>
      <w:pPr>
        <w:ind w:left="900" w:hanging="446"/>
        <w:spacing w:after="0" w:line="325"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require us to dedicate increased amounts of our cash flow from operations to payments on our variable rate, unhedged debt if interest rates rise;</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ectPr>
          <w:pgSz w:w="11900" w:h="16838" w:orient="portrait"/>
          <w:cols w:equalWidth="0" w:num="1">
            <w:col w:w="11420"/>
          </w:cols>
          <w:pgMar w:left="240" w:top="280" w:right="239" w:bottom="1440" w:gutter="0" w:footer="0" w:header="0"/>
        </w:sectPr>
      </w:pPr>
    </w:p>
    <w:bookmarkStart w:id="3" w:name="page4"/>
    <w:bookmarkEnd w:id="3"/>
    <w:p>
      <w:pPr>
        <w:ind w:left="900" w:right="880" w:hanging="446"/>
        <w:spacing w:after="0" w:line="325"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1"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0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are obligated to comply with financial and other covenants in our debt that could restrict our operating activities, and the failure to comply could result in defaults that accelerate payment under our debt.</w:t>
      </w:r>
    </w:p>
    <w:p>
      <w:pPr>
        <w:spacing w:after="0" w:line="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credit facility and term loans include financial covenants that may limit our operating activities in the future. These covenants require us, among other things, to:</w:t>
      </w:r>
    </w:p>
    <w:p>
      <w:pPr>
        <w:spacing w:after="0" w:line="3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.55 to 1 (we maintained a ratio of .454 to 1 as of December 31, 2004);</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limit the amount of secured debt as a percentage of total asset value to less than .30 to 1 (we maintained a ratio of .15 to 1 as of December 31, 2004);</w:t>
      </w:r>
    </w:p>
    <w:p>
      <w:pPr>
        <w:spacing w:after="0" w:line="138" w:lineRule="exact"/>
        <w:rPr>
          <w:rFonts w:ascii="Arial" w:cs="Arial" w:eastAsia="Arial" w:hAnsi="Arial"/>
          <w:sz w:val="15"/>
          <w:szCs w:val="15"/>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2.19 to 1 as of December 31, 2004);</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2.65 to 1 as of December 31, 2004); and</w:t>
      </w:r>
    </w:p>
    <w:p>
      <w:pPr>
        <w:spacing w:after="0" w:line="37"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gross asset value (the budgeted total cost of our projects under construction at December 31, 2004 represented 2.8% of gross asset value).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Because these covenants are calculated in accordance with the terms of our credit facility, there is no relevant reconciliation to these ratios under generally accepted accounting principles.</w:t>
      </w:r>
    </w:p>
    <w:p>
      <w:pPr>
        <w:sectPr>
          <w:pgSz w:w="11900" w:h="16838" w:orient="portrait"/>
          <w:cols w:equalWidth="0" w:num="1">
            <w:col w:w="11360"/>
          </w:cols>
          <w:pgMar w:left="240" w:top="280" w:right="29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also obligated to comply with additional covenants, including, among others, provisions:</w:t>
      </w:r>
    </w:p>
    <w:p>
      <w:pPr>
        <w:spacing w:after="0" w:line="7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8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of December 31, 2004, we were in compliance with all of our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development activities are inherently risky.</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The ground-up development of improvements on real property, as opposed to the renovation and redevelopment of existing improvements,</w:t>
      </w:r>
      <w:r>
        <w:rPr>
          <w:rFonts w:ascii="Arial" w:cs="Arial" w:eastAsia="Arial" w:hAnsi="Arial"/>
          <w:sz w:val="15"/>
          <w:szCs w:val="15"/>
          <w:i w:val="1"/>
          <w:iCs w:val="1"/>
          <w:color w:val="auto"/>
        </w:rPr>
        <w:t xml:space="preserve"> </w:t>
      </w:r>
      <w:r>
        <w:rPr>
          <w:rFonts w:ascii="Arial" w:cs="Arial" w:eastAsia="Arial" w:hAnsi="Arial"/>
          <w:sz w:val="15"/>
          <w:szCs w:val="15"/>
          <w:color w:val="auto"/>
        </w:rPr>
        <w:t>presents substantial risks. We do not intend to undertake construction of any new large-scale mixed-use, ground-up development projects; however, we do intend to complete the development and construction of remaining phases of projects we have already started, such as Bethesda Row in Bethesda, Maryland and Santana Row in San Jose, California. If the additional phases of these projects are not successful, it may adversely affect our financial condition and results of operations.</w:t>
      </w:r>
    </w:p>
    <w:p>
      <w:pPr>
        <w:spacing w:after="0" w:line="8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the risks associated with our remaining development activities include:</w:t>
      </w:r>
    </w:p>
    <w:p>
      <w:pPr>
        <w:spacing w:after="0" w:line="3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time lag between commencement and completion subjects us to greater risks due to fluctuation in the general economy;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ectPr>
          <w:pgSz w:w="11900" w:h="16838" w:orient="portrait"/>
          <w:cols w:equalWidth="0" w:num="1">
            <w:col w:w="11400"/>
          </w:cols>
          <w:pgMar w:left="240" w:top="280" w:right="259" w:bottom="1440" w:gutter="0" w:footer="0" w:header="0"/>
        </w:sectPr>
      </w:pPr>
    </w:p>
    <w:bookmarkStart w:id="5" w:name="page6"/>
    <w:bookmarkEnd w:id="5"/>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higher-than-estimated construction costs, including labor and material costs; and</w:t>
      </w:r>
    </w:p>
    <w:p>
      <w:pPr>
        <w:spacing w:after="0" w:line="103"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delay in completion of the project because of a number of factors, including weather, labor disruptions, construction delays or delays in receipt of zoning or other regulatory approvals, or acts of God (such as fires, earthquakes or floods).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Santana Row</w:t>
      </w:r>
      <w:r>
        <w:rPr>
          <w:rFonts w:ascii="Arial" w:cs="Arial" w:eastAsia="Arial" w:hAnsi="Arial"/>
          <w:sz w:val="16"/>
          <w:szCs w:val="16"/>
          <w:color w:val="auto"/>
        </w:rPr>
        <w:t>. Santana Row is our largest single investment, and if it is not successful it could have a material adverse effect on our financial condition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of operations. As of December 31, 2004, we had approximately $492 million invested at Santana Row, and we expect to invest an additional $46 million to complete ongoing redevelopment projects at Santana Row over the next 12-18 months. We are currently in the process of constructing Phase IV of the project, which consists of rebuilding on Building 7 256 residential units that were destroyed by the August 2002 fire. We have estimated the incremental cost of completing Phase IV to be approximately $60 million, $29 million of which had already been invested as of December 31, 2004.</w:t>
      </w:r>
    </w:p>
    <w:p>
      <w:pPr>
        <w:spacing w:after="0" w:line="10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and around the Silicon Valley. In addition, our financial condition and results of operations may be adversely affected by delays or cost overruns in completing Phase IV or future phases of Santana Row, by an inability to achieve the market rents that were projected when the project was commenced, or by slower than projected lease-up of the project.</w:t>
      </w:r>
    </w:p>
    <w:p>
      <w:pPr>
        <w:spacing w:after="0" w:line="102"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are currently exploring the possibility of selling some of the residential units at Santana Row as condominium units. If we complete any of those sales, our costs of operating the project could increase which would reduce our net income from the project. In addition, the condominium associations for those units we sell would have some rights to vote on budgets and some ability to impact the way in which the project is operated which could adversely impact the success of the project or reduce our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8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entails risks that include the following, any of which could adversely affect our results of operations and our ability to meet our obligations:</w:t>
      </w:r>
    </w:p>
    <w:p>
      <w:pPr>
        <w:spacing w:after="0" w:line="12" w:lineRule="exact"/>
        <w:rPr>
          <w:sz w:val="20"/>
          <w:szCs w:val="20"/>
          <w:color w:val="auto"/>
        </w:rPr>
      </w:pPr>
    </w:p>
    <w:p>
      <w:pPr>
        <w:ind w:left="900" w:right="3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not be able to identify suitable properties to acquire or may be unable to complete the acquisition of the properties we identify;</w:t>
      </w:r>
    </w:p>
    <w:p>
      <w:pPr>
        <w:sectPr>
          <w:pgSz w:w="11900" w:h="16838" w:orient="portrait"/>
          <w:cols w:equalWidth="0" w:num="1">
            <w:col w:w="11420"/>
          </w:cols>
          <w:pgMar w:left="240" w:top="280" w:right="239" w:bottom="1440" w:gutter="0" w:footer="0" w:header="0"/>
        </w:sectPr>
      </w:pPr>
    </w:p>
    <w:bookmarkStart w:id="6" w:name="page7"/>
    <w:bookmarkEnd w:id="6"/>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not be able to integrate any acquisitions into our existing operations successfully;</w:t>
      </w:r>
    </w:p>
    <w:p>
      <w:pPr>
        <w:spacing w:after="0" w:line="103" w:lineRule="exact"/>
        <w:rPr>
          <w:rFonts w:ascii="Arial" w:cs="Arial" w:eastAsia="Arial" w:hAnsi="Arial"/>
          <w:sz w:val="18"/>
          <w:szCs w:val="18"/>
          <w:color w:val="auto"/>
        </w:rPr>
      </w:pPr>
    </w:p>
    <w:p>
      <w:pPr>
        <w:ind w:left="900" w:right="400" w:hanging="446"/>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properties we redevelop or acquire may fail to achieve within the time frames we project the occupancy or rental rates we project at the time we make the decision to invest, which may result in the properties’ failure to achieve the returns we projected;</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investigation of a property or building prior to our acquisition, and any representations we may receive from the seller, may fail to reveal various liabilities, which could reduce the cash flow from the property or increase our acquisition cost.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83"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Of our approximately $1.3 billion of debt outstanding as of December 31, 2004, approximately $164 million bears interest at variable rates and was unhedged. We also may borrow additional funds at variable interest rates in the future. Increases in interest rates would increase our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securities, both debt and preferred shares, to demand a higher annual yield, which could adversely affect the market price of our outstanding debt securities and preferred shares and the cost of issuing additional debt securities or preferred shares.</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performance and value are subject to general risks associated with the real estate industry.</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1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downturns in the areas where our properties are located;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oversupply or reduction in demand;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10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the cash flow from existing operations may be insufficient to pay the operating expenses and debt service associated with that property until the property is fully leased.</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Competition may limit our ability to purchase new properties and generate sufficient income from tenants.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Numerous commercial developers and real estate companies compete with us in seeking tenants for our existing properties and properties for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competition may:</w:t>
      </w:r>
    </w:p>
    <w:p>
      <w:pPr>
        <w:spacing w:after="0" w:line="7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2, 2005, we carry comprehensive insurance on all of our properties, including insurance for liability, fire, flood, and rental loss. We also carry earthquake insurance on all of our properties in California and environmental insurance on most of our properties. All of these policies contain coverage limitations. We believe these coverages are of the types and amounts customarily obtained for or by an owner of real property assets. We intend to obtain similar insurance coverage on subsequently acquired properties.</w:t>
      </w:r>
    </w:p>
    <w:p>
      <w:pPr>
        <w:sectPr>
          <w:pgSz w:w="11900" w:h="16838" w:orient="portrait"/>
          <w:cols w:equalWidth="0" w:num="1">
            <w:col w:w="11340"/>
          </w:cols>
          <w:pgMar w:left="240" w:top="274" w:right="319" w:bottom="1440" w:gutter="0" w:footer="0" w:header="0"/>
        </w:sectPr>
      </w:pPr>
    </w:p>
    <w:bookmarkStart w:id="9" w:name="page10"/>
    <w:bookmarkEnd w:id="9"/>
    <w:p>
      <w:pPr>
        <w:ind w:right="6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 consequence of significant losses incurred by the insurance industry, the availability of insurance coverage may decrease and the prices for insurance may increase.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jointly with other persons or entities and as of March 2, 2005, excluding our joint venture with Clarion Lion Properties Fund we hold eight shopping centers and five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 suggestions or instructions, or in opposition to our policies or objectives. Although we hold the managing general partnership or membership interest in all of our existing co-investments as of March 2, 2005, we must obtain the consent of the co-investor or meet defined criteria to sell or to finance five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on July 1, 2004, we entered into a new joint venture with affiliates of Clarion Lion Properties Fund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4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enter into new leases, modify existing leases or enforce remedies against anchor tenants;</w:t>
      </w:r>
    </w:p>
    <w:p>
      <w:pPr>
        <w:sectPr>
          <w:pgSz w:w="11900" w:h="16838" w:orient="portrait"/>
          <w:cols w:equalWidth="0" w:num="1">
            <w:col w:w="11400"/>
          </w:cols>
          <w:pgMar w:left="240" w:top="280" w:right="259" w:bottom="1440" w:gutter="0" w:footer="0" w:header="0"/>
        </w:sectPr>
      </w:pPr>
    </w:p>
    <w:bookmarkStart w:id="10" w:name="page11"/>
    <w:bookmarkEnd w:id="10"/>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certain repairs, renovations or other changes or improvements to properties;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or finance the property with secured debt.</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terms of our partnership require that certain acquisition opportunities be presented first to the joint venture which limit our ability to acquire properties for our own account which could, in turn, limit our ability to grow. Our investment in this joint venture is also subject to the risks described above for jointly owned investments. As of December 31, 2004, this joint venture owned four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8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2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w:t>
      </w:r>
    </w:p>
    <w:p>
      <w:pPr>
        <w:sectPr>
          <w:pgSz w:w="11900" w:h="16838" w:orient="portrait"/>
          <w:cols w:equalWidth="0" w:num="1">
            <w:col w:w="11420"/>
          </w:cols>
          <w:pgMar w:left="240" w:top="280" w:right="239" w:bottom="1440" w:gutter="0" w:footer="0" w:header="0"/>
        </w:sectPr>
      </w:pPr>
    </w:p>
    <w:bookmarkStart w:id="11" w:name="page12"/>
    <w:bookmarkEnd w:id="1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comply, we could be forced to pay these costs. If not addressed, environmental conditions could impair our ability to sell or re-lease the affected properties in the future or result in lower sales prices or rent payments.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Americans with Disabilities Act of 1990 could require us to take remedial steps with respect to existing or newly acquired properties.</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the Act, or of other federal, state or local laws, also may change in the future and restrict further renovations of our properties with respect to access for disabled persons. Future compliance with the Act may require expensive changes to the properties.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revenues generated by our tenants could be negatively affected by various federal, state and local laws to which they are subject.</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9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believe that we are organized and qualified as a REIT for federal income tax purposes and currently intend to operate in a manner that will allow us to continue to qualify as a REIT under the Internal Revenue Code of 1986, as amended (“Code”). However, we cannot assure you that we will remain qualified as such in the future.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Also, we must make annual distributions to shareholders of at least 90% of our REIT taxable income (excluding capital gains).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fail to qualify as a REIT:</w:t>
      </w:r>
    </w:p>
    <w:p>
      <w:pPr>
        <w:spacing w:after="0" w:line="7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ectPr>
          <w:pgSz w:w="11900" w:h="16838" w:orient="portrait"/>
          <w:cols w:equalWidth="0" w:num="1">
            <w:col w:w="11420"/>
          </w:cols>
          <w:pgMar w:left="240" w:top="280" w:right="239" w:bottom="1440" w:gutter="0" w:footer="0" w:header="0"/>
        </w:sectPr>
      </w:pPr>
    </w:p>
    <w:bookmarkStart w:id="12" w:name="page13"/>
    <w:bookmarkEnd w:id="12"/>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would be subject to federal income tax at regular corporate rates;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As a REIT, we must make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w:t>
      </w:r>
    </w:p>
    <w:p>
      <w:pPr>
        <w:spacing w:after="0" w:line="9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intend to make distributions to shareholders to comply with the Code’s distribution provisions and to avoid federal income and excise tax. We may need to borrow funds to meet our distribution requirements because:</w:t>
      </w:r>
    </w:p>
    <w:p>
      <w:pPr>
        <w:spacing w:after="0" w:line="37" w:lineRule="exact"/>
        <w:rPr>
          <w:sz w:val="20"/>
          <w:szCs w:val="20"/>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non-deductible capital expenditures, creation of reserves, or debt service requirements may reduce available cash but not taxable income.</w:t>
      </w:r>
    </w:p>
    <w:p>
      <w:pPr>
        <w:spacing w:after="0" w:line="20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these circumstances, we might have to borrow funds on unfavorable terms and we may have to borrow funds even if our management believes the market conditions make borrowing financially unattractive.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w:t>
      </w:r>
    </w:p>
    <w:p>
      <w:pPr>
        <w:sectPr>
          <w:pgSz w:w="11900" w:h="16838" w:orient="portrait"/>
          <w:cols w:equalWidth="0" w:num="1">
            <w:col w:w="11280"/>
          </w:cols>
          <w:pgMar w:left="240" w:top="280" w:right="379" w:bottom="1440" w:gutter="0" w:footer="0" w:header="0"/>
        </w:sectPr>
      </w:pPr>
    </w:p>
    <w:bookmarkStart w:id="13" w:name="page14"/>
    <w:bookmarkEnd w:id="13"/>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stock. If that happened, either the transfer or ownership would be void or the shares would be transferred to a charitable trust and then sold to someone who can own those shares without violating the 9.8% ownership limit.</w:t>
      </w:r>
    </w:p>
    <w:p>
      <w:pPr>
        <w:spacing w:after="0" w:line="10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83" w:lineRule="exact"/>
        <w:rPr>
          <w:sz w:val="20"/>
          <w:szCs w:val="20"/>
          <w:color w:val="auto"/>
        </w:rPr>
      </w:pPr>
    </w:p>
    <w:p>
      <w:pPr>
        <w:ind w:right="380" w:firstLine="456"/>
        <w:spacing w:after="0" w:line="325" w:lineRule="auto"/>
        <w:rPr>
          <w:sz w:val="20"/>
          <w:szCs w:val="20"/>
          <w:color w:val="auto"/>
        </w:rPr>
      </w:pPr>
      <w:r>
        <w:rPr>
          <w:rFonts w:ascii="Arial" w:cs="Arial" w:eastAsia="Arial" w:hAnsi="Arial"/>
          <w:sz w:val="16"/>
          <w:szCs w:val="16"/>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4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ectPr>
          <w:pgSz w:w="11900" w:h="16838" w:orient="portrait"/>
          <w:cols w:equalWidth="0" w:num="1">
            <w:col w:w="11420"/>
          </w:cols>
          <w:pgMar w:left="240" w:top="280" w:right="239" w:bottom="1440" w:gutter="0" w:footer="0" w:header="0"/>
        </w:sectPr>
      </w:pPr>
    </w:p>
    <w:bookmarkStart w:id="14" w:name="page15"/>
    <w:bookmarkEnd w:id="14"/>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authorization of the issuance of our preferred shares with powers, preferences or rights to be determined by the Board of Trustees;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staggered, fixed-size Board of Trustees consisting of three classes of trustees;</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37"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 and</w:t>
      </w:r>
    </w:p>
    <w:p>
      <w:pPr>
        <w:spacing w:after="0" w:line="10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ectPr>
          <w:pgSz w:w="11900" w:h="16838" w:orient="portrait"/>
          <w:cols w:equalWidth="0" w:num="1">
            <w:col w:w="11300"/>
          </w:cols>
          <w:pgMar w:left="240" w:top="280" w:right="359" w:bottom="1440" w:gutter="0" w:footer="0" w:header="0"/>
        </w:sectPr>
      </w:pPr>
    </w:p>
    <w:bookmarkStart w:id="15" w:name="page16"/>
    <w:bookmarkEnd w:id="15"/>
    <w:p>
      <w:pPr>
        <w:ind w:right="1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amend or revise our business policies without your approval, and we have adopted a business plan that involves changes in our operational policies.</w:t>
      </w:r>
    </w:p>
    <w:p>
      <w:pPr>
        <w:spacing w:after="0" w:line="3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current business plan adopted by our Board of Trustees focuses on our investment in neighborhood and community shopping centers, principally through redevelopments and acquisitions. If this business plan is not successful, it could have a material adverse effect on our financial condition and results of operations.</w:t>
      </w:r>
    </w:p>
    <w:p>
      <w:pPr>
        <w:sectPr>
          <w:pgSz w:w="11900" w:h="16838" w:orient="portrait"/>
          <w:cols w:equalWidth="0" w:num="1">
            <w:col w:w="11180"/>
          </w:cols>
          <w:pgMar w:left="240" w:top="274" w:right="47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2, 2005</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2019-12-12T08:59:36Z</dcterms:created>
  <dcterms:modified xsi:type="dcterms:W3CDTF">2019-12-12T08:59:36Z</dcterms:modified>
</cp:coreProperties>
</file>