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333-262016</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JANUARY 5, 2022)</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1095375</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178435</wp:posOffset>
            </wp:positionV>
            <wp:extent cx="223710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710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entered into an equity distribution agreement with Wells Fargo Securities, LLC, BofA Securities, Inc., Citigroup Global Markets Inc., J.P. Morgan Securities LLC and Jefferies LLC, or the Agents, and the forward purchasers (as defined below) relating to Federal Realty Investment Trust’s common shares of beneficial interest, $0.01 par value per share, offered by this prospectus supplement and the accompanying prospectus pursuant to an “at the market” offering program. In accordance with the terms of the equity distribution agreement, an aggregate offering price of up to $500,000,000 of our common shares may from time to time be offered and sold to or through the Agents as our sales agents or, if applicable, as forward sellers. Upon entering into this equity distribution agreement, we simultaneously terminated the equity distribution agreement we entered into with the Agents and forward purchasers in connection with a prior “at the market” offering program established in February 2021.</w:t>
      </w:r>
    </w:p>
    <w:p>
      <w:pPr>
        <w:spacing w:after="0" w:line="166" w:lineRule="exact"/>
        <w:rPr>
          <w:sz w:val="24"/>
          <w:szCs w:val="24"/>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common shares are listed on the New York Stock Exchange, or the NYSE, under the symbol “FRT.” On February 11, 2022, the last reported sale price of our common shares on the NYSE was $120.23 per share.</w:t>
      </w:r>
    </w:p>
    <w:p>
      <w:pPr>
        <w:spacing w:after="0" w:line="170" w:lineRule="exact"/>
        <w:rPr>
          <w:sz w:val="24"/>
          <w:szCs w:val="24"/>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Sales of our common shares, if any, under this prospectus supplement and the accompanying prospectus may be made in in negotiated transactions, including block trades, or transactions that are deemed to be “at the market” offerings as defined in Rule 415 under the Securities Act of 1933, as amended, or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The Agents are not required to sell any specific number or dollar amount of common shares, but as instructed by us will make all sales using commercially reasonable efforts, as our sales agents or as forward sellers and subject to the terms of the equity distribution agreement. Our common shares to which this prospectus supplement relates will be sold through only one Agent on any given day. The offering of common shares pursuant to the equity distribution agreement will terminate upon the earlier of (1) the sale of common shares having an aggregate offering price of $500,000,000 and (2) the termination of the equity distribution agreement.</w:t>
      </w:r>
    </w:p>
    <w:p>
      <w:pPr>
        <w:spacing w:after="0" w:line="181" w:lineRule="exact"/>
        <w:rPr>
          <w:sz w:val="24"/>
          <w:szCs w:val="24"/>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equity distribution agreement contemplates that, in addition to the issuance and sale by us of common shares to or through the Agents as our sales agents, we may enter into separate forward sale agreements with any one of the Agents, or one of their respective affiliates, whom we refer to as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refer to an Agent when acting as sales agent for the relevant forward purchaser as a forward seller.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We will not receive any proceeds from any sale of common shares borrowed by a forward purchaser (or its affiliate) and sold through a forward seller.</w:t>
      </w:r>
    </w:p>
    <w:p>
      <w:pPr>
        <w:spacing w:after="0" w:line="196" w:lineRule="exact"/>
        <w:rPr>
          <w:sz w:val="24"/>
          <w:szCs w:val="24"/>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common shares specified in such forward sale agreement multiplied by the relevant forward price per share. However, subject to certain exceptions, we may also elect, in our sole discretion, to cash settle or net share settle all or any portion of our obligations under any forward sale agreement, in which case we may not (in the case of cash settlement) or will not (in the case of net share settlement) receive any proceeds, and we may owe cash (in the case of cash settlement) or common shares (in the case of net share settlement) to the relevant forward purchaser. See “Plan of Distribution” in this prospectus supplement.</w:t>
      </w:r>
    </w:p>
    <w:p>
      <w:pPr>
        <w:spacing w:after="0" w:line="177" w:lineRule="exact"/>
        <w:rPr>
          <w:sz w:val="24"/>
          <w:szCs w:val="24"/>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585" w:gutter="0" w:footer="0" w:header="0"/>
        </w:sectPr>
      </w:pPr>
    </w:p>
    <w:bookmarkStart w:id="1" w:name="page2"/>
    <w:bookmarkEnd w:id="1"/>
    <w:p>
      <w:pPr>
        <w:ind w:firstLine="44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shares involves risks. See the information under the caption “</w:t>
      </w:r>
      <w:hyperlink w:anchor="page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in this prospectus supplement, our most recent Annual Report on Form 10-K filed with the Securities and Exchange Commission, or the SEC, and subsequent filings that we make with the SEC that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181610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10900"/>
          </w:cols>
          <w:pgMar w:left="440" w:top="111" w:right="559" w:bottom="1440" w:gutter="0" w:footer="0" w:header="0"/>
        </w:sectPr>
      </w:pPr>
    </w:p>
    <w:p>
      <w:pPr>
        <w:spacing w:after="0" w:line="134" w:lineRule="exact"/>
        <w:rPr>
          <w:sz w:val="20"/>
          <w:szCs w:val="20"/>
          <w:color w:val="auto"/>
        </w:rPr>
      </w:pPr>
    </w:p>
    <w:p>
      <w:pPr>
        <w:ind w:right="960"/>
        <w:spacing w:after="0" w:line="334" w:lineRule="auto"/>
        <w:rPr>
          <w:sz w:val="20"/>
          <w:szCs w:val="20"/>
          <w:color w:val="auto"/>
        </w:rPr>
      </w:pPr>
      <w:r>
        <w:rPr>
          <w:rFonts w:ascii="Arial" w:cs="Arial" w:eastAsia="Arial" w:hAnsi="Arial"/>
          <w:sz w:val="19"/>
          <w:szCs w:val="19"/>
          <w:b w:val="1"/>
          <w:bCs w:val="1"/>
          <w:color w:val="auto"/>
        </w:rPr>
        <w:t>Wells Fargo Securities J.P. Morgan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BofA Securities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Jefferies</w:t>
      </w:r>
    </w:p>
    <w:p>
      <w:pPr>
        <w:spacing w:after="0" w:line="299" w:lineRule="exact"/>
        <w:rPr>
          <w:sz w:val="20"/>
          <w:szCs w:val="20"/>
          <w:color w:val="auto"/>
        </w:rPr>
      </w:pPr>
    </w:p>
    <w:p>
      <w:pPr>
        <w:sectPr>
          <w:pgSz w:w="11900" w:h="16838" w:orient="portrait"/>
          <w:cols w:equalWidth="0" w:num="3">
            <w:col w:w="3020" w:space="720"/>
            <w:col w:w="3020" w:space="720"/>
            <w:col w:w="3420"/>
          </w:cols>
          <w:pgMar w:left="440" w:top="111" w:right="559" w:bottom="1440" w:gutter="0" w:footer="0" w:header="0"/>
          <w:type w:val="continuous"/>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date of this prospectus supplement is February 14, 2022.</w:t>
      </w:r>
    </w:p>
    <w:p>
      <w:pPr>
        <w:sectPr>
          <w:pgSz w:w="11900" w:h="16838" w:orient="portrait"/>
          <w:cols w:equalWidth="0" w:num="1">
            <w:col w:w="10900"/>
          </w:cols>
          <w:pgMar w:left="440" w:top="111" w:right="5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3"/>
        </w:trPr>
        <w:tc>
          <w:tcPr>
            <w:tcW w:w="24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8080" w:type="dxa"/>
            <w:vAlign w:val="bottom"/>
            <w:gridSpan w:val="7"/>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r>
      <w:tr>
        <w:trPr>
          <w:trHeight w:val="304"/>
        </w:trPr>
        <w:tc>
          <w:tcPr>
            <w:tcW w:w="460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59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S-3</w:t>
            </w:r>
          </w:p>
        </w:tc>
      </w:tr>
      <w:tr>
        <w:trPr>
          <w:trHeight w:val="304"/>
        </w:trPr>
        <w:tc>
          <w:tcPr>
            <w:tcW w:w="2420" w:type="dxa"/>
            <w:vAlign w:val="bottom"/>
            <w:tcBorders>
              <w:top w:val="single" w:sz="8" w:color="0000EE"/>
            </w:tcBorders>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81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Plan of Distribution (Conflicts of Interest)</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S-10</w:t>
            </w:r>
          </w:p>
        </w:tc>
      </w:tr>
      <w:tr>
        <w:trPr>
          <w:trHeight w:val="304"/>
        </w:trPr>
        <w:tc>
          <w:tcPr>
            <w:tcW w:w="3020" w:type="dxa"/>
            <w:vAlign w:val="bottom"/>
            <w:tcBorders>
              <w:top w:val="single" w:sz="8" w:color="0000EE"/>
            </w:tcBorders>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7540" w:type="dxa"/>
            <w:vAlign w:val="bottom"/>
            <w:gridSpan w:val="5"/>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S-14</w:t>
            </w: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960" w:type="dxa"/>
            <w:vAlign w:val="bottom"/>
            <w:gridSpan w:val="3"/>
          </w:tcPr>
          <w:p>
            <w:pPr>
              <w:jc w:val="center"/>
              <w:ind w:right="416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1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About this Prospectus</w:t>
              </w:r>
            </w:hyperlink>
          </w:p>
        </w:tc>
        <w:tc>
          <w:tcPr>
            <w:tcW w:w="8980" w:type="dxa"/>
            <w:vAlign w:val="bottom"/>
            <w:gridSpan w:val="10"/>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Forward-Looking Statements</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10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8460" w:type="dxa"/>
            <w:vAlign w:val="bottom"/>
            <w:gridSpan w:val="9"/>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2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040" w:type="dxa"/>
            <w:vAlign w:val="bottom"/>
            <w:gridSpan w:val="11"/>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58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Description of Securities that may be Offered by Federal Realty Investment Trust</w:t>
              </w:r>
            </w:hyperlink>
          </w:p>
        </w:tc>
        <w:tc>
          <w:tcPr>
            <w:tcW w:w="47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51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Description of Securities that may be Offered by Federal Realty OP LP</w:t>
              </w:r>
            </w:hyperlink>
          </w:p>
        </w:tc>
        <w:tc>
          <w:tcPr>
            <w:tcW w:w="5440" w:type="dxa"/>
            <w:vAlign w:val="bottom"/>
            <w:gridSpan w:val="2"/>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2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Material Federal Income Tax Considerations</w:t>
              </w:r>
            </w:hyperlink>
          </w:p>
        </w:tc>
        <w:tc>
          <w:tcPr>
            <w:tcW w:w="7340" w:type="dxa"/>
            <w:vAlign w:val="bottom"/>
            <w:gridSpan w:val="4"/>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Plan of Distribution</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9140" w:type="dxa"/>
            <w:vAlign w:val="bottom"/>
            <w:gridSpan w:val="12"/>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Experts</w:t>
              </w:r>
            </w:hyperlink>
          </w:p>
        </w:tc>
        <w:tc>
          <w:tcPr>
            <w:tcW w:w="9560" w:type="dxa"/>
            <w:vAlign w:val="bottom"/>
            <w:gridSpan w:val="14"/>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560" w:type="dxa"/>
            <w:vAlign w:val="bottom"/>
            <w:gridSpan w:val="1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85"/>
        </w:trPr>
        <w:tc>
          <w:tcPr>
            <w:tcW w:w="2860" w:type="dxa"/>
            <w:vAlign w:val="bottom"/>
            <w:tcBorders>
              <w:top w:val="single" w:sz="8" w:color="0000EE"/>
            </w:tcBorders>
            <w:gridSpan w:val="11"/>
          </w:tcPr>
          <w:p>
            <w:pPr>
              <w:spacing w:after="0"/>
              <w:rPr>
                <w:sz w:val="24"/>
                <w:szCs w:val="24"/>
                <w:color w:val="auto"/>
              </w:rPr>
            </w:pPr>
          </w:p>
        </w:tc>
        <w:tc>
          <w:tcPr>
            <w:tcW w:w="3000" w:type="dxa"/>
            <w:vAlign w:val="bottom"/>
            <w:gridSpan w:val="5"/>
          </w:tcPr>
          <w:p>
            <w:pPr>
              <w:jc w:val="right"/>
              <w:ind w:right="320"/>
              <w:spacing w:after="0"/>
              <w:rPr>
                <w:sz w:val="20"/>
                <w:szCs w:val="20"/>
                <w:color w:val="auto"/>
              </w:rPr>
            </w:pPr>
            <w:r>
              <w:rPr>
                <w:rFonts w:ascii="Arial" w:cs="Arial" w:eastAsia="Arial" w:hAnsi="Arial"/>
                <w:sz w:val="18"/>
                <w:szCs w:val="18"/>
                <w:color w:val="auto"/>
              </w:rPr>
              <w:t>1</w:t>
            </w: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7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 References to the “Company” refer to Federal Realty Investment Trust and not its subsidiaries, unless the context otherwise requires.</w:t>
      </w:r>
    </w:p>
    <w:p>
      <w:pPr>
        <w:spacing w:after="0" w:line="18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or the forward purchasers, authorized any other person to provide you with additional or different information. If anyone provides you with additional or different information, you should not rely on it. We are not, nor are the Agents or the forward purchasers,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1" w:lineRule="exact"/>
        <w:rPr>
          <w:sz w:val="20"/>
          <w:szCs w:val="20"/>
          <w:color w:val="auto"/>
        </w:rPr>
      </w:pPr>
    </w:p>
    <w:p>
      <w:pPr>
        <w:ind w:left="1080" w:right="19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280" w:hanging="424"/>
        <w:spacing w:after="0" w:line="31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w:t>
      </w:r>
    </w:p>
    <w:p>
      <w:pPr>
        <w:spacing w:after="0" w:line="23" w:lineRule="exact"/>
        <w:rPr>
          <w:rFonts w:ascii="Arial" w:cs="Arial" w:eastAsia="Arial" w:hAnsi="Arial"/>
          <w:sz w:val="18"/>
          <w:szCs w:val="18"/>
          <w:color w:val="auto"/>
        </w:rPr>
      </w:pPr>
    </w:p>
    <w:p>
      <w:pPr>
        <w:ind w:left="1080" w:right="180"/>
        <w:spacing w:after="0" w:line="277" w:lineRule="auto"/>
        <w:rPr>
          <w:rFonts w:ascii="Arial" w:cs="Arial" w:eastAsia="Arial" w:hAnsi="Arial"/>
          <w:sz w:val="18"/>
          <w:szCs w:val="18"/>
          <w:color w:val="auto"/>
        </w:rPr>
      </w:pPr>
      <w:r>
        <w:rPr>
          <w:rFonts w:ascii="Arial" w:cs="Arial" w:eastAsia="Arial" w:hAnsi="Arial"/>
          <w:sz w:val="17"/>
          <w:szCs w:val="17"/>
          <w:color w:val="auto"/>
        </w:rPr>
        <w:t>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7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73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9735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40" w:firstLine="426"/>
        <w:spacing w:after="0" w:line="286" w:lineRule="auto"/>
        <w:rPr>
          <w:sz w:val="20"/>
          <w:szCs w:val="20"/>
          <w:color w:val="auto"/>
        </w:rPr>
      </w:pPr>
      <w:r>
        <w:rPr>
          <w:rFonts w:ascii="Arial" w:cs="Arial" w:eastAsia="Arial" w:hAnsi="Arial"/>
          <w:sz w:val="17"/>
          <w:szCs w:val="17"/>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 See “Where You Can Find More Information” in the accompanying prospectus.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00" w:right="200" w:firstLine="426"/>
        <w:spacing w:after="0" w:line="288" w:lineRule="auto"/>
        <w:rPr>
          <w:sz w:val="20"/>
          <w:szCs w:val="20"/>
          <w:color w:val="auto"/>
        </w:rPr>
      </w:pPr>
      <w:r>
        <w:rPr>
          <w:rFonts w:ascii="Arial" w:cs="Arial" w:eastAsia="Arial" w:hAnsi="Arial"/>
          <w:sz w:val="16"/>
          <w:szCs w:val="16"/>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Following the reorganization of our business into an umbrella partnership real estate investment trust, or “UPREIT,” in January 2022, the Company conducts its business through Federal Realty OP LP, which we refer to as the “Partnership.” The Company has exclusive ownership and control of Federal Realty LP LLC, the general partner of the Partnership. The Company does not expect to have substantial assets or liabilities other than through its investment in the Partnership. As of the date of this prospectus supplement, the Company owns all of the outstanding limited partnership interests in the Partnership. For more information on the UPREIT reorganization, see “Prospectus Summary—Federal Realty Investment Trust and Federal Realty OP LP” in the accompanying prospectus, and the Current Reports on Form 8-K filed by the Company on January 3, 2022 and January 5, 2022, which are incorporated herein by reference.</w:t>
      </w:r>
    </w:p>
    <w:p>
      <w:pPr>
        <w:spacing w:after="0" w:line="168" w:lineRule="exact"/>
        <w:rPr>
          <w:sz w:val="20"/>
          <w:szCs w:val="20"/>
          <w:color w:val="auto"/>
        </w:rPr>
      </w:pPr>
    </w:p>
    <w:p>
      <w:pPr>
        <w:ind w:left="300" w:right="220" w:firstLine="426"/>
        <w:spacing w:after="0" w:line="257" w:lineRule="auto"/>
        <w:rPr>
          <w:sz w:val="20"/>
          <w:szCs w:val="20"/>
          <w:color w:val="auto"/>
        </w:rPr>
      </w:pPr>
      <w:r>
        <w:rPr>
          <w:rFonts w:ascii="Arial" w:cs="Arial" w:eastAsia="Arial" w:hAnsi="Arial"/>
          <w:sz w:val="18"/>
          <w:szCs w:val="18"/>
          <w:color w:val="auto"/>
        </w:rPr>
        <w:t>As of December 31, 2021, we owned or had a majority interest in community and neighborhood shopping centers and mixed-use properties which are operated as 104 predominantly retail real estate projects comprising approximately 25.1 million square feet. In total, the real estate projects were 93.6% leased and 91.1% occupied at December 31, 2021. Our revenue is primarily generated from lease agreements with tenants. We have paid quarterly dividends to our shareholders continuously since our founding in 1962 and have increased our dividends per common share for 54 consecutive years.</w:t>
      </w:r>
    </w:p>
    <w:p>
      <w:pPr>
        <w:spacing w:after="0" w:line="188"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Our principal executive offices are located at 909 Rose Avenue, Suite 200, North Bethesda, Maryland 20852. Our telephone number is</w:t>
      </w:r>
    </w:p>
    <w:p>
      <w:pPr>
        <w:spacing w:after="0" w:line="23" w:lineRule="exact"/>
        <w:rPr>
          <w:sz w:val="20"/>
          <w:szCs w:val="20"/>
          <w:color w:val="auto"/>
        </w:rPr>
      </w:pPr>
    </w:p>
    <w:p>
      <w:pPr>
        <w:ind w:left="300" w:right="960" w:hanging="2"/>
        <w:spacing w:after="0" w:line="26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998-8100. Our website address is www.federalrealty.com. The information contained on our website is not a part of this prospectus supplement or the accompanying prospectus and is not incorporated herein or therein by reference.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For a more complete description of the terms of the common shares being offered by this prospectus supplement and the accompanying prospectus, see “Description of Securities that may be Offered by Federal Realty Investment Trust—Shares of Beneficial Interest of Federal Realty Investment Trust” in the accompanying prospectus.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Common shares offered</w:t>
            </w:r>
          </w:p>
        </w:tc>
        <w:tc>
          <w:tcPr>
            <w:tcW w:w="6940" w:type="dxa"/>
            <w:vAlign w:val="bottom"/>
          </w:tcPr>
          <w:p>
            <w:pPr>
              <w:ind w:left="1640"/>
              <w:spacing w:after="0"/>
              <w:rPr>
                <w:sz w:val="20"/>
                <w:szCs w:val="20"/>
                <w:color w:val="auto"/>
              </w:rPr>
            </w:pPr>
            <w:r>
              <w:rPr>
                <w:rFonts w:ascii="Arial" w:cs="Arial" w:eastAsia="Arial" w:hAnsi="Arial"/>
                <w:sz w:val="18"/>
                <w:szCs w:val="18"/>
                <w:color w:val="auto"/>
              </w:rPr>
              <w:t>Common shares with an aggregate offering price of up to</w:t>
            </w:r>
          </w:p>
        </w:tc>
      </w:tr>
      <w:tr>
        <w:trPr>
          <w:trHeight w:val="230"/>
        </w:trPr>
        <w:tc>
          <w:tcPr>
            <w:tcW w:w="4080" w:type="dxa"/>
            <w:vAlign w:val="bottom"/>
          </w:tcPr>
          <w:p>
            <w:pPr>
              <w:spacing w:after="0"/>
              <w:rPr>
                <w:sz w:val="20"/>
                <w:szCs w:val="20"/>
                <w:color w:val="auto"/>
              </w:rPr>
            </w:pPr>
          </w:p>
        </w:tc>
        <w:tc>
          <w:tcPr>
            <w:tcW w:w="6940" w:type="dxa"/>
            <w:vAlign w:val="bottom"/>
          </w:tcPr>
          <w:p>
            <w:pPr>
              <w:ind w:left="1640"/>
              <w:spacing w:after="0"/>
              <w:rPr>
                <w:sz w:val="20"/>
                <w:szCs w:val="20"/>
                <w:color w:val="auto"/>
              </w:rPr>
            </w:pPr>
            <w:r>
              <w:rPr>
                <w:rFonts w:ascii="Arial" w:cs="Arial" w:eastAsia="Arial" w:hAnsi="Arial"/>
                <w:sz w:val="18"/>
                <w:szCs w:val="18"/>
                <w:color w:val="auto"/>
              </w:rPr>
              <w:t>$500,000,000.</w:t>
            </w:r>
          </w:p>
        </w:tc>
      </w:tr>
      <w:tr>
        <w:trPr>
          <w:trHeight w:val="324"/>
        </w:trPr>
        <w:tc>
          <w:tcPr>
            <w:tcW w:w="4080" w:type="dxa"/>
            <w:vAlign w:val="bottom"/>
          </w:tcPr>
          <w:p>
            <w:pPr>
              <w:ind w:left="180"/>
              <w:spacing w:after="0"/>
              <w:rPr>
                <w:sz w:val="20"/>
                <w:szCs w:val="20"/>
                <w:color w:val="auto"/>
              </w:rPr>
            </w:pPr>
            <w:r>
              <w:rPr>
                <w:rFonts w:ascii="Arial" w:cs="Arial" w:eastAsia="Arial" w:hAnsi="Arial"/>
                <w:sz w:val="18"/>
                <w:szCs w:val="18"/>
                <w:color w:val="auto"/>
              </w:rPr>
              <w:t>New York Stock Exchange symbol</w:t>
            </w:r>
          </w:p>
        </w:tc>
        <w:tc>
          <w:tcPr>
            <w:tcW w:w="6940" w:type="dxa"/>
            <w:vAlign w:val="bottom"/>
          </w:tcPr>
          <w:p>
            <w:pPr>
              <w:ind w:left="1640"/>
              <w:spacing w:after="0"/>
              <w:rPr>
                <w:sz w:val="20"/>
                <w:szCs w:val="20"/>
                <w:color w:val="auto"/>
              </w:rPr>
            </w:pPr>
            <w:r>
              <w:rPr>
                <w:rFonts w:ascii="Arial" w:cs="Arial" w:eastAsia="Arial" w:hAnsi="Arial"/>
                <w:sz w:val="18"/>
                <w:szCs w:val="18"/>
                <w:color w:val="auto"/>
              </w:rPr>
              <w:t>FRT</w:t>
            </w:r>
          </w:p>
        </w:tc>
      </w:tr>
      <w:tr>
        <w:trPr>
          <w:trHeight w:val="310"/>
        </w:trPr>
        <w:tc>
          <w:tcPr>
            <w:tcW w:w="40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940" w:type="dxa"/>
            <w:vAlign w:val="bottom"/>
          </w:tcPr>
          <w:p>
            <w:pPr>
              <w:ind w:left="1640"/>
              <w:spacing w:after="0"/>
              <w:rPr>
                <w:sz w:val="20"/>
                <w:szCs w:val="20"/>
                <w:color w:val="auto"/>
              </w:rPr>
            </w:pPr>
            <w:r>
              <w:rPr>
                <w:rFonts w:ascii="Arial" w:cs="Arial" w:eastAsia="Arial" w:hAnsi="Arial"/>
                <w:sz w:val="18"/>
                <w:szCs w:val="18"/>
                <w:color w:val="auto"/>
                <w:w w:val="96"/>
              </w:rPr>
              <w:t>We intend to use the net proceeds from this offering and any forward</w:t>
            </w:r>
          </w:p>
        </w:tc>
      </w:tr>
      <w:tr>
        <w:trPr>
          <w:trHeight w:val="216"/>
        </w:trPr>
        <w:tc>
          <w:tcPr>
            <w:tcW w:w="4080" w:type="dxa"/>
            <w:vAlign w:val="bottom"/>
          </w:tcPr>
          <w:p>
            <w:pPr>
              <w:spacing w:after="0"/>
              <w:rPr>
                <w:sz w:val="18"/>
                <w:szCs w:val="18"/>
                <w:color w:val="auto"/>
              </w:rPr>
            </w:pPr>
          </w:p>
        </w:tc>
        <w:tc>
          <w:tcPr>
            <w:tcW w:w="6940" w:type="dxa"/>
            <w:vAlign w:val="bottom"/>
          </w:tcPr>
          <w:p>
            <w:pPr>
              <w:ind w:left="1640"/>
              <w:spacing w:after="0"/>
              <w:rPr>
                <w:sz w:val="20"/>
                <w:szCs w:val="20"/>
                <w:color w:val="auto"/>
              </w:rPr>
            </w:pPr>
            <w:r>
              <w:rPr>
                <w:rFonts w:ascii="Arial" w:cs="Arial" w:eastAsia="Arial" w:hAnsi="Arial"/>
                <w:sz w:val="18"/>
                <w:szCs w:val="18"/>
                <w:color w:val="auto"/>
                <w:w w:val="95"/>
              </w:rPr>
              <w:t>sale agreement to fund potential acquisition opportunities, to fund our</w:t>
            </w:r>
          </w:p>
        </w:tc>
      </w:tr>
      <w:tr>
        <w:trPr>
          <w:trHeight w:val="216"/>
        </w:trPr>
        <w:tc>
          <w:tcPr>
            <w:tcW w:w="4080" w:type="dxa"/>
            <w:vAlign w:val="bottom"/>
          </w:tcPr>
          <w:p>
            <w:pPr>
              <w:spacing w:after="0"/>
              <w:rPr>
                <w:sz w:val="18"/>
                <w:szCs w:val="18"/>
                <w:color w:val="auto"/>
              </w:rPr>
            </w:pPr>
          </w:p>
        </w:tc>
        <w:tc>
          <w:tcPr>
            <w:tcW w:w="6940" w:type="dxa"/>
            <w:vAlign w:val="bottom"/>
          </w:tcPr>
          <w:p>
            <w:pPr>
              <w:ind w:left="1640"/>
              <w:spacing w:after="0"/>
              <w:rPr>
                <w:sz w:val="20"/>
                <w:szCs w:val="20"/>
                <w:color w:val="auto"/>
              </w:rPr>
            </w:pPr>
            <w:r>
              <w:rPr>
                <w:rFonts w:ascii="Arial" w:cs="Arial" w:eastAsia="Arial" w:hAnsi="Arial"/>
                <w:sz w:val="18"/>
                <w:szCs w:val="18"/>
                <w:color w:val="auto"/>
                <w:w w:val="94"/>
              </w:rPr>
              <w:t>development or redevelopment pipeline, to repay indebtedness and/or</w:t>
            </w:r>
          </w:p>
        </w:tc>
      </w:tr>
      <w:tr>
        <w:trPr>
          <w:trHeight w:val="216"/>
        </w:trPr>
        <w:tc>
          <w:tcPr>
            <w:tcW w:w="4080" w:type="dxa"/>
            <w:vAlign w:val="bottom"/>
          </w:tcPr>
          <w:p>
            <w:pPr>
              <w:spacing w:after="0"/>
              <w:rPr>
                <w:sz w:val="18"/>
                <w:szCs w:val="18"/>
                <w:color w:val="auto"/>
              </w:rPr>
            </w:pPr>
          </w:p>
        </w:tc>
        <w:tc>
          <w:tcPr>
            <w:tcW w:w="6940" w:type="dxa"/>
            <w:vAlign w:val="bottom"/>
          </w:tcPr>
          <w:p>
            <w:pPr>
              <w:ind w:left="1640"/>
              <w:spacing w:after="0"/>
              <w:rPr>
                <w:sz w:val="20"/>
                <w:szCs w:val="20"/>
                <w:color w:val="auto"/>
              </w:rPr>
            </w:pPr>
            <w:r>
              <w:rPr>
                <w:rFonts w:ascii="Arial" w:cs="Arial" w:eastAsia="Arial" w:hAnsi="Arial"/>
                <w:sz w:val="18"/>
                <w:szCs w:val="18"/>
                <w:color w:val="auto"/>
                <w:w w:val="99"/>
              </w:rPr>
              <w:t>for general corporate purposes. See “Use of Proceeds” on page S-</w:t>
            </w:r>
          </w:p>
        </w:tc>
      </w:tr>
      <w:tr>
        <w:trPr>
          <w:trHeight w:val="230"/>
        </w:trPr>
        <w:tc>
          <w:tcPr>
            <w:tcW w:w="4080" w:type="dxa"/>
            <w:vAlign w:val="bottom"/>
          </w:tcPr>
          <w:p>
            <w:pPr>
              <w:spacing w:after="0"/>
              <w:rPr>
                <w:sz w:val="20"/>
                <w:szCs w:val="20"/>
                <w:color w:val="auto"/>
              </w:rPr>
            </w:pPr>
          </w:p>
        </w:tc>
        <w:tc>
          <w:tcPr>
            <w:tcW w:w="6940" w:type="dxa"/>
            <w:vAlign w:val="bottom"/>
          </w:tcPr>
          <w:p>
            <w:pPr>
              <w:ind w:left="1640"/>
              <w:spacing w:after="0"/>
              <w:rPr>
                <w:sz w:val="20"/>
                <w:szCs w:val="20"/>
                <w:color w:val="auto"/>
              </w:rPr>
            </w:pPr>
            <w:r>
              <w:rPr>
                <w:rFonts w:ascii="Arial" w:cs="Arial" w:eastAsia="Arial" w:hAnsi="Arial"/>
                <w:sz w:val="18"/>
                <w:szCs w:val="18"/>
                <w:color w:val="auto"/>
              </w:rPr>
              <w:t>9 for more information.</w:t>
            </w:r>
          </w:p>
        </w:tc>
      </w:tr>
      <w:tr>
        <w:trPr>
          <w:trHeight w:val="159"/>
        </w:trPr>
        <w:tc>
          <w:tcPr>
            <w:tcW w:w="408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r>
      <w:tr>
        <w:trPr>
          <w:trHeight w:val="361"/>
        </w:trPr>
        <w:tc>
          <w:tcPr>
            <w:tcW w:w="4080" w:type="dxa"/>
            <w:vAlign w:val="bottom"/>
          </w:tcPr>
          <w:p>
            <w:pPr>
              <w:spacing w:after="0"/>
              <w:rPr>
                <w:sz w:val="24"/>
                <w:szCs w:val="24"/>
                <w:color w:val="auto"/>
              </w:rPr>
            </w:pPr>
          </w:p>
        </w:tc>
        <w:tc>
          <w:tcPr>
            <w:tcW w:w="6940" w:type="dxa"/>
            <w:vAlign w:val="bottom"/>
          </w:tcPr>
          <w:p>
            <w:pPr>
              <w:ind w:left="13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5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Material U.S. federal income tax considerations</w:t>
            </w:r>
          </w:p>
        </w:tc>
        <w:tc>
          <w:tcPr>
            <w:tcW w:w="648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color w:val="auto"/>
                <w:w w:val="94"/>
              </w:rPr>
              <w:t>For a description of material U.S. federal income tax considerations of</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5"/>
              </w:rPr>
              <w:t>an investment in our common shares, please review the disclosure in</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9"/>
              </w:rPr>
              <w:t>the accompanying prospectus under “Material Federal Income Tax</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9"/>
              </w:rPr>
              <w:t>Considerations,” as may be updated from time to time in filings we</w:t>
            </w:r>
          </w:p>
        </w:tc>
      </w:tr>
      <w:tr>
        <w:trPr>
          <w:trHeight w:val="230"/>
        </w:trPr>
        <w:tc>
          <w:tcPr>
            <w:tcW w:w="4540" w:type="dxa"/>
            <w:vAlign w:val="bottom"/>
            <w:tcBorders>
              <w:left w:val="single" w:sz="8" w:color="auto"/>
            </w:tcBorders>
          </w:tcPr>
          <w:p>
            <w:pPr>
              <w:spacing w:after="0"/>
              <w:rPr>
                <w:sz w:val="20"/>
                <w:szCs w:val="20"/>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make with the SEC that are incorporated by reference herein.</w:t>
            </w:r>
          </w:p>
        </w:tc>
      </w:tr>
      <w:tr>
        <w:trPr>
          <w:trHeight w:val="310"/>
        </w:trPr>
        <w:tc>
          <w:tcPr>
            <w:tcW w:w="45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5"/>
              </w:rPr>
              <w:t>Investing in our common shares involves risks. Please review the risk</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7"/>
              </w:rPr>
              <w:t>factors discussed on page S-5 of this prospectus supplement, in our</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9"/>
              </w:rPr>
              <w:t>most recent Annual Report on Form 10-K filed with the SEC and in</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3"/>
              </w:rPr>
              <w:t>subsequent filings that we make with the SEC that are incorporated by</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reference herein, as well as the other information contained in or</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9"/>
              </w:rPr>
              <w:t>incorporated by reference into this prospectus supplement and the</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accompanying prospectus for a discussion of factors you should</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8"/>
              </w:rPr>
              <w:t>consider before investing in our common shares. You may obtain a</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9"/>
              </w:rPr>
              <w:t>copy of our Annual Report on Form 10-K and the other documents</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w w:val="99"/>
              </w:rPr>
              <w:t>incorporated by reference into this prospectus supplement and the</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accompanying prospectus by following the procedures described</w:t>
            </w:r>
          </w:p>
        </w:tc>
      </w:tr>
      <w:tr>
        <w:trPr>
          <w:trHeight w:val="216"/>
        </w:trPr>
        <w:tc>
          <w:tcPr>
            <w:tcW w:w="454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under “Where You Can Find More Information” on page 59 of the</w:t>
            </w:r>
          </w:p>
        </w:tc>
      </w:tr>
      <w:tr>
        <w:trPr>
          <w:trHeight w:val="230"/>
        </w:trPr>
        <w:tc>
          <w:tcPr>
            <w:tcW w:w="4540" w:type="dxa"/>
            <w:vAlign w:val="bottom"/>
            <w:tcBorders>
              <w:left w:val="single" w:sz="8" w:color="auto"/>
            </w:tcBorders>
          </w:tcPr>
          <w:p>
            <w:pPr>
              <w:spacing w:after="0"/>
              <w:rPr>
                <w:sz w:val="20"/>
                <w:szCs w:val="20"/>
                <w:color w:val="auto"/>
              </w:rPr>
            </w:pPr>
          </w:p>
        </w:tc>
        <w:tc>
          <w:tcPr>
            <w:tcW w:w="648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accompanying prospectus.</w:t>
            </w:r>
          </w:p>
        </w:tc>
      </w:tr>
      <w:tr>
        <w:trPr>
          <w:trHeight w:val="159"/>
        </w:trPr>
        <w:tc>
          <w:tcPr>
            <w:tcW w:w="4540" w:type="dxa"/>
            <w:vAlign w:val="bottom"/>
            <w:tcBorders>
              <w:left w:val="single" w:sz="8" w:color="auto"/>
              <w:bottom w:val="single" w:sz="8" w:color="auto"/>
            </w:tcBorders>
          </w:tcPr>
          <w:p>
            <w:pPr>
              <w:spacing w:after="0"/>
              <w:rPr>
                <w:sz w:val="13"/>
                <w:szCs w:val="13"/>
                <w:color w:val="auto"/>
              </w:rPr>
            </w:pPr>
          </w:p>
        </w:tc>
        <w:tc>
          <w:tcPr>
            <w:tcW w:w="6480" w:type="dxa"/>
            <w:vAlign w:val="bottom"/>
            <w:tcBorders>
              <w:bottom w:val="single" w:sz="8" w:color="auto"/>
              <w:right w:val="single" w:sz="8" w:color="auto"/>
            </w:tcBorders>
          </w:tcPr>
          <w:p>
            <w:pPr>
              <w:spacing w:after="0"/>
              <w:rPr>
                <w:sz w:val="13"/>
                <w:szCs w:val="13"/>
                <w:color w:val="auto"/>
              </w:rPr>
            </w:pPr>
          </w:p>
        </w:tc>
      </w:tr>
      <w:tr>
        <w:trPr>
          <w:trHeight w:val="361"/>
        </w:trPr>
        <w:tc>
          <w:tcPr>
            <w:tcW w:w="4540" w:type="dxa"/>
            <w:vAlign w:val="bottom"/>
          </w:tcPr>
          <w:p>
            <w:pPr>
              <w:spacing w:after="0"/>
              <w:rPr>
                <w:sz w:val="24"/>
                <w:szCs w:val="24"/>
                <w:color w:val="auto"/>
              </w:rPr>
            </w:pPr>
          </w:p>
        </w:tc>
        <w:tc>
          <w:tcPr>
            <w:tcW w:w="6480" w:type="dxa"/>
            <w:vAlign w:val="bottom"/>
          </w:tcPr>
          <w:p>
            <w:pPr>
              <w:ind w:left="9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Investing in our common shares involves risks. Before you decide to purchase our common shares, you should carefully consider the following risk factors, together with all of the other information contained in or incorporated by reference herein, including the additional risk factors in our most recent Annual Report on Form 10-K filed with the SEC and in subsequent filings that we make with the SEC that are incorporated by reference herein.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299"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including pursuant to any forward sale agreement, which could harm the market price of our common shares.</w:t>
      </w:r>
    </w:p>
    <w:p>
      <w:pPr>
        <w:spacing w:after="0" w:line="5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to or through the Agents or through a forward sale agreement, based on market conditions and other factors that may be beyond our control.</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offering and sales of our common shares pursuant to a forward sale agreement may have a dilutive effect on our earnings per share and funds from operations per share after giving effect to the issuance of our common shares and the receipt of the expected net proceeds. The actual amount of dilution from this offering, from sales pursuant to a forward sale agreement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a forward sale agreement, or otherwise, or as a result of the perception or expectation that such sales could occur.</w:t>
      </w:r>
    </w:p>
    <w:p>
      <w:pPr>
        <w:spacing w:after="0" w:line="268"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36"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As of December 31, 2021, we had approximately $4.1 billion of debt outstanding, 399,896 of our 5.417% Series 1 Cumulative Convertible Preferred Shares, or the Series 1 Preferred Shares, with an aggregate liquidation preference of $10 million, were issued and outstanding, and 6,000 of our 5.000% Series C Cumulative Redeemable Preferred Shares, or Series C Preferred Shares, with an aggregate liquidation preference of $150 million,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and Series C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provisions contained in any forward sale agreement subject us to certain risks.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require us to physically settle such shares on a date specified by such forward purchaser if: (1) in such forward purchaser’s commercially reasonable judgment, it or its affiliate is unable to hedge (or maintain a hedge of) its exposure in a commercially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7" w:lineRule="auto"/>
        <w:rPr>
          <w:sz w:val="20"/>
          <w:szCs w:val="20"/>
          <w:color w:val="auto"/>
        </w:rPr>
      </w:pPr>
      <w:r>
        <w:rPr>
          <w:rFonts w:ascii="Arial" w:cs="Arial" w:eastAsia="Arial" w:hAnsi="Arial"/>
          <w:sz w:val="16"/>
          <w:szCs w:val="16"/>
          <w:color w:val="auto"/>
        </w:rPr>
        <w:t>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w:t>
      </w:r>
    </w:p>
    <w:p>
      <w:pPr>
        <w:spacing w:after="0" w:line="2" w:lineRule="exact"/>
        <w:rPr>
          <w:sz w:val="20"/>
          <w:szCs w:val="20"/>
          <w:color w:val="auto"/>
        </w:rPr>
      </w:pPr>
    </w:p>
    <w:p>
      <w:pPr>
        <w:ind w:left="120" w:right="20" w:hanging="4"/>
        <w:spacing w:after="0" w:line="251" w:lineRule="auto"/>
        <w:tabs>
          <w:tab w:leader="none" w:pos="36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9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 forward purchaser’s decision to exercise its right to accelerate all or a portion of the settlement of any forward sale agreement and to require us to physically settle the relevant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physically settle a forward sale agreement, the forward price we expect to receive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92" w:lineRule="exact"/>
        <w:rPr>
          <w:sz w:val="20"/>
          <w:szCs w:val="20"/>
          <w:color w:val="auto"/>
        </w:rPr>
      </w:pPr>
    </w:p>
    <w:p>
      <w:pPr>
        <w:ind w:left="1080" w:right="1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common shares to us to the extent required upon settlement of such forward sale agreement.</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 See “Plan of Distribution—Sales Through Forward Sellers.”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In case of our bankruptcy or insolvency, any forward sale agreement will automatically terminate, and we would not receive the expected net proceeds from any forward sales of our shares under such agreement.</w:t>
      </w:r>
    </w:p>
    <w:p>
      <w:pPr>
        <w:spacing w:after="0" w:line="58"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w:t>
      </w:r>
    </w:p>
    <w:p>
      <w:pPr>
        <w:ind w:left="120" w:right="20"/>
        <w:spacing w:after="0" w:line="290" w:lineRule="auto"/>
        <w:rPr>
          <w:sz w:val="20"/>
          <w:szCs w:val="20"/>
          <w:color w:val="auto"/>
        </w:rPr>
      </w:pPr>
      <w:r>
        <w:rPr>
          <w:rFonts w:ascii="Arial" w:cs="Arial" w:eastAsia="Arial" w:hAnsi="Arial"/>
          <w:sz w:val="16"/>
          <w:szCs w:val="16"/>
          <w:color w:val="auto"/>
        </w:rPr>
        <w:t>for our winding-up or liquidation, or we consent to such a petition, any forward sale agreement that is then in effect will automatically terminate. If any such forward sale agreement so terminates under these circumstances, we would not be obligated to deliver to the relevant forward purchaser any common shares not previously delivered, and the relevant forward purchaser would be discharged from its obligation to pay the applicable forward price per share in respect of any common shares not previously settled under the applicable forward sale agreement. Therefore, to the extent that there are any common shares with respect to which any forward sale agreement has not been settled at the time of the commencement of any such bankruptcy or insolvency proceedings, we would not receive the relevant forward price per share in respect of those common shares.</w:t>
      </w:r>
    </w:p>
    <w:p>
      <w:pPr>
        <w:spacing w:after="0" w:line="268"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The federal income tax treatment of the cash that we might receive from cash settlement of any forward sale agreement is unclear and could jeopardize our ability to meet the REIT qualification requirements.</w:t>
      </w:r>
    </w:p>
    <w:p>
      <w:pPr>
        <w:spacing w:after="0" w:line="5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we elect to settle any forward sale agreement for cash and the settlement price is below the applicable forward price, we would be entitled to receive a cash payment from the applicable forward purchaser.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would qualify for the exemption under Section 1032 of the Code, because it is not entirely clear whether a forward sale agreement qualifies as a “securities futures contract,”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In that case, we may be able to rely upon the relief provisions under the Code in order to avoid the loss of our REIT status. Even if the relief provisions apply, we will be subject to a 100% tax on the greater of (i) the excess of 75% of our gross income (excluding gross income from prohibited transactions) over the amount of such income attributable to sources that qualify under the 75% test or (ii) the excess of 95% of our gross income (excluding gross income from prohibited transactions) over the amount of such gross income attributable to sources that qualify under the 95% test, as discussed in the accompanying prospectus under “Material Federal Income Tax Considerations—Taxation of the Company,” multiplied in either case by a fraction intended to reflect our profitability. In the event that these relief provisions were not available, we could lose our REIT status under the Code.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Affiliates of the Agents may receive benefits in connection with this offering.</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of the date of this prospectus supplement, affiliates of certain of the Agents are lenders and, in certain cases, agents, under our revolving credit facility and/or unsecured term loan. Additionally, the Agents or affiliates thereof may extend additional credit to us in the future. To the extent that we use a portion of the net proceeds from this offering to repay the outstanding balance under our revolving credit facility and/or unsecured term loan or other credit from an Agent or an affiliate thereof, such affiliates of the applicable Agents will receive their proportionate share of any amount that is repaid with the net proceeds from this offering. These transactions create potential conflicts of interest because the Agents have an interest in the successful completion of this offering beyond the sales commissions they will receive. These interests may influence the decision regarding the terms and circumstances under which the offering is completed.</w:t>
      </w:r>
    </w:p>
    <w:p>
      <w:pPr>
        <w:spacing w:after="0" w:line="191"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We have in the past entered, and may in the future enter, into forward sale transactions that subject us to risks similar to those described above.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previously entered into forward sale agreements and may in the future enter into forward sale agreements that are not part of this and other offerings. As of February 11, 2022, we remained obligated to issue (subject to our right to elect cash settlement or net share settlement) a total of 2,203,655 common shares pursuant to forward sale agreements. These forward sale agreements subject us to risks that are substantially similar to the risks described above in this section.</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intend to use the net proceeds from this offering and any forward sale agreement to fund potential acquisition opportunities, to fund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development or redevelopment pipeline, to repay indebtedness, which may include amounts outstanding under our revolving credit facility or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 million unsecured term loan, and/or for general corporate purposes. As of December 31, 2021, our revolving credit facility, the interest rate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is tied to our credit rating, bears interest at LIBOR plus 77.5 basis points and matures on January 19, 2024, subject to two six-month extensions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option, and our unsecured term loan, the interest rate of which is tied to our credit rating, bears interest at LIBOR plus 80 basis points and matures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16, 2024, subject to two twelve-month extensions at our option. As of December 31, 2021, no balance was outstanding under our revolving credit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Affiliates of the Agents are lenders under our revolving credit facility and/or our unsecured term loan and will receive a pro rata portion of any proceeds used to repay amounts outstanding thereunder.</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13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have entered into an equity distribution agreement, dated as of February 14, 2022, with the Agents and the forward purchasers under which an aggregate offering price of up to $500,000,000 of our common shares may from time to time be offered and sold to or through the Agents. Sales of our common shares, if any, under this prospectus supplement and the accompanying prospectus may be made in negotiated transactions, including block trades, or transactions that are deemed to be “at the market” offerings as defined in Rule 415 under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As our sales agents or, if applicable, forward sellers, the Agents will not engage in any transactions that stabilize the price of our common shares.</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Upon its acceptance of written instructions from us, an Agent will use its commercially reasonable efforts, consistent with its sales and trading practices, to solicit offers to purchase our common shares under the terms and subject to the conditions set forth in the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 will be sold through only one of the Agents on any given day. We or the Agents may suspend the offering of common shares upon proper notice and subject to other conditions.</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relevant Agent will provide written confirmation to us and, if applicable, the related forward purchaser no later than the opening of the NYSE on the trading day following the trading day on which common shares were sold under the equity distribution agreement. Each confirmation will include the number of common shares sold on the preceding day, the net proceeds and the compensation payable to the Agent in connection with the sales.</w:t>
      </w:r>
    </w:p>
    <w:p>
      <w:pPr>
        <w:spacing w:after="0" w:line="14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equity distribution agreement contemplates that, in addition to the issuance and sale by us of common shares to or through the Agents as our sales agents, we may enter into separate forward sale agreements with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will not receive any proceeds from any sale of common shares borrowed by a forward purchaser (or its affiliate) and sold through a forward seller.</w:t>
      </w:r>
    </w:p>
    <w:p>
      <w:pPr>
        <w:spacing w:after="0" w:line="16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16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estimate that the total expenses for the offering, excluding compensation payable to the Agents under the terms of the equity distribution agreement, will be approximately $1,000,000. In connection with the sale of common shares, the Agents may be deemed to be “underwriters” within the meaning of the Securities Act, and the compensation paid to the Agents may be deemed to be underwriting commissions and discounts.</w:t>
      </w:r>
    </w:p>
    <w:p>
      <w:pPr>
        <w:spacing w:after="0" w:line="14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Settlement of sales of common shares (other than pursuant to a forward sale agreement) will occur on the second business day following the date on which such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will report at least quarterly the number of common shares sold through the Agents under the equity distribution agreement, the net proceeds to us and the compensation paid by us to the Agents in connection with the sales of common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Agents have determined that our common shares are “actively-traded securities” excepted from the requirements of Rule 101 of Regulation M under the Exchange Act by Rule 101(c)(1) under the Exchange Act. If an Agent has, or we have, reason to believe that the exemptive provisions set forth in Rule 101(c)(1) of Regulation M under the Exchange Act are not satisfied, the party will promptly notify the other parties, and sales of common shares under the equity distribution agreement will be suspended until that or other exemptive provisions have been satisfied in the judgment of the Agents and us.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offering of common shares pursuant to the equity distribution agreement will terminate upon the earlier of (1) the sale of common shares having an aggregate offering price of $500,000,000 pursuant to this offering and (2) the termination of the equity distribution agreement. The equity distribution agreement may be terminated by an Agent, a forward purchaser or us at any time upon three days’ notice. An Agent or a forward purchaser may terminate the equity distribution agreement earlier in certain circumstances, including our failure to maintain a listing of our common shares on the NYSE or the occurrence of a material adverse change in our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Through Forward Sellers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connection with any forward sale agreement, we will deliver instructions to the relevant Agent directing such Agent, as forward seller, to sell the applicable borrowed common shares on behalf of the relevant forward purchaser. Upon its acceptance of such instructions, such Agent has agreed to use its commercially reasonable efforts consistent with its normal trading and sales practices to sell such common shares, as forward seller on behalf of such forward purchaser, on the terms and subject to the conditions set forth in the equity distribution agreement. We may instruct such Agent as to the amount of common shares to be sold by it as forward seller and may also instruct such Agent not to sell such common shares if the sales cannot be effected at or above a price designated by us. We or the applicable Agent may at any time immediately suspend the offering of common shares through such Agent, as forward seller, upon notice to the other parties.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each forward sale agreement, if any, we will have the right to issue and deliver to the forward purchaser party thereto a specified number of common shares on the terms and subject to the conditions set forth therein, or, alternatively, to elect cash settlement or net share settlement, for all or any portion of such shares. The initial forward price per share under each forward sale agreement will equal the product of (1) an amount equal to one minus the applicable forward selling commission and (2) the volume weighted average price per share at which the borrowed common shares were sold pursuant to the equity distribution agreement by the relevant Agent, acting as forward seller, during the applicable forward selling period for such shares to hedge the relevant forward purchaser’s exposure under such forward sale agreement (subject to certain possible adjustments to such gross sales price for daily accruals and any quarterly dividends having an “ex-dividend” date during such forward selling period). Thereafter, the forward price will be subject to the price adjustment provisions of the applicable forward sale agreement. We will not receive any proceeds from any sale of borrowed common shares through an Agent, acting as forward seller, and all of such net proceeds will be paid to the relevant forward purchaser (or one or more of its affiliates).</w:t>
      </w:r>
    </w:p>
    <w:p>
      <w:pPr>
        <w:spacing w:after="0" w:line="185"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currently expect to fully physically settle each forward sale agreement, if any, with the relevant forward purchaser on one or more dates specified by us on or prior to the maturity date of such forward sale agreement. Although, we will generally have the right, subject to certain exceptions, to elect cash settlement or net share settlement instead of physical settlement for any of the shares we have agreed to sell under such forward sale agreement. If we elect or are deemed to have elected to physically settle any forward sale agreement by delivering common shares, we will receive an amount of cash from the relevant forward purchaser equal to the product of (1) the forward price per share under such forward sale agreement and</w:t>
      </w:r>
    </w:p>
    <w:p>
      <w:pPr>
        <w:spacing w:after="0" w:line="2" w:lineRule="exact"/>
        <w:rPr>
          <w:sz w:val="20"/>
          <w:szCs w:val="20"/>
          <w:color w:val="auto"/>
        </w:rPr>
      </w:pPr>
    </w:p>
    <w:p>
      <w:pPr>
        <w:ind w:left="120" w:hanging="4"/>
        <w:spacing w:after="0" w:line="252"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common shares as to which we have elected or are deemed to have elected physical settlement, subject to the price adjustment and other provisions of such forward sale agreement. Each forward sale agreement will provide that the forward price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expect that, before any issuance of common shares upon physical settlement or net share settlement of any forward sale agreement, the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shares that would be issued upon physical settlement of such forward sale agreement over the number of shares that could be purchased by us in the market (based on the average market price during the relevant period) using the proceeds receivable upon physical settlement (based on the adjusted forward price at the end of the relevant reporting period). Consequently, prior to physical or net share settlement of the forward sale agreement and subject to the occurrence of certain events, we anticipate there will be no dilutive effect on our earnings per share or funds from operations per share as a result of such forward sale agreement except during periods when the average market price of our common shares is above the per share adjusted forward price of such forward sale agreement, subject to increase or decrease based on a specified daily rate less a spread, and subject to decrease by amounts related to expected dividends on our common shares during the term of that particular forward sale agreement. However, if we decide to physically or net share settle any forward sale agreement, delivery of common shares by us will result in dilution to our earnings per share and funds from operations per share.</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92" w:lineRule="exact"/>
        <w:rPr>
          <w:sz w:val="20"/>
          <w:szCs w:val="20"/>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common shares to us to the extent required upon settlement of such forward sale agreement.</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w:t>
      </w:r>
    </w:p>
    <w:p>
      <w:pPr>
        <w:spacing w:after="0" w:line="19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addition, 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require us to physically settle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such shares on a date specified by such forward purchaser if: (1) in such forward purchaser’s commercially reasonable judgment, it or its affiliate is unable to hedge (or maintain a hedge of) its exposure in a commercially 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6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 forward purchaser’s decision to exercise its right to accelerate all or a portion of the settlement of any forward sale agreement and to require us to physically settle the relevant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7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upon certain events of bankruptcy or insolvency relating to us, the forward sale agreements will terminate without further liability of the parties thereto. Following any such termination, we would not issue any common shares pursuant to such forward sale agreement agreements, and we would not receive any proceeds pursuant to the forward sale agreements.</w:t>
      </w:r>
    </w:p>
    <w:p>
      <w:pPr>
        <w:spacing w:after="0" w:line="184"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descriptions of certain provisions of the forward sale agreements appearing above and elsewhere in this prospectus supplement are not complete and are subject to, and qualified in their entirety by reference to, the terms and provisions of such forward sale agreements. A form of the forward sale agreement is included as an exhibit to the sales agreement, and the sales agreement has been or will be filed as an exhibit to a document incorporated by reference in the accompanying prospectus and may be obtained as described under “Where You Can Find More Information” in the accompanying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 of Interest</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As described above under “Use of Proceeds,” some of the net proceeds of this offering and sales pursuant to a forward sale agreement may be used to repay amounts outstanding under our revolving credit facility and/or unsecured term loan. Affiliates of the Agents are lenders under our revolving credit facility and/or unsecured term loan; therefore,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shares are listed on the NYSE under the symbol “FRT.”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Pursuant to the equity distribution agreement, we have agreed to indemnify the Agents and the forward purchasers against certain liabilities, including liabilities under the Securities Act, or to contribute to payments the Agents may be required to make because of any of those liabilities.</w:t>
      </w: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Agents and the forward purchasers.</w:t>
      </w: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54250" cy="728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5425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3" w:lineRule="exact"/>
        <w:rPr>
          <w:sz w:val="20"/>
          <w:szCs w:val="20"/>
          <w:color w:val="auto"/>
        </w:rPr>
      </w:pPr>
    </w:p>
    <w:p>
      <w:pPr>
        <w:jc w:val="center"/>
        <w:ind w:left="440" w:right="520"/>
        <w:spacing w:after="0" w:line="258" w:lineRule="auto"/>
        <w:rPr>
          <w:sz w:val="20"/>
          <w:szCs w:val="20"/>
          <w:color w:val="auto"/>
        </w:rPr>
      </w:pPr>
      <w:r>
        <w:rPr>
          <w:rFonts w:ascii="Arial" w:cs="Arial" w:eastAsia="Arial" w:hAnsi="Arial"/>
          <w:sz w:val="25"/>
          <w:szCs w:val="25"/>
          <w:b w:val="1"/>
          <w:bCs w:val="1"/>
          <w:color w:val="auto"/>
        </w:rPr>
        <w:t>Common Shares, Preferred Shares, Depositary Shares, Share Purchase 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OP LP</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right="260" w:firstLine="440"/>
        <w:spacing w:after="0" w:line="272" w:lineRule="auto"/>
        <w:rPr>
          <w:sz w:val="20"/>
          <w:szCs w:val="20"/>
          <w:color w:val="auto"/>
        </w:rPr>
      </w:pPr>
      <w:r>
        <w:rPr>
          <w:rFonts w:ascii="Arial" w:cs="Arial" w:eastAsia="Arial" w:hAnsi="Arial"/>
          <w:sz w:val="17"/>
          <w:szCs w:val="17"/>
          <w:color w:val="auto"/>
        </w:rPr>
        <w:t>Federal Realty Investment Trust, which we refer to as the Company, may from time to time offer, in one or more classes or series, separately or together, common shares of beneficial interest, preferred shares of beneficial interest, depositary shares representing interests in preferred shares of beneficial interest, share purchase contracts to purchase or sell our common shares of beneficial interest or preferred shares of beneficial interest, warrants to purchase common shares of beneficial interest or preferred shares of beneficial interest, guarantees of debt securities issued by Federal Realty OP LP, and units consisting of two or more securities described in this prospectus. The Company’s common shares of beneficial interest and depositary shares representing interests in the Company’s Series C preferred shares are listed on the New York Stock Exchange under the symbols “FRT” and “FRTPRC,” respectively.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Federal Realty OP LP, which we refer to as the Partnership, may from time to time offer debt securities in one or more classes or series.</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class or series of securities, we will prepare a prospectus supplement describing the offering and the terms of that class or series of securities. Such terms may include limitations on direct or beneficial ownership and restrictions on transfer that we believe are appropriate to preserve the Company’s status as a real estate investment trust for federal income tax purposes.</w:t>
      </w:r>
    </w:p>
    <w:p>
      <w:pPr>
        <w:spacing w:after="0" w:line="18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2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620" w:firstLine="440"/>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January 5, 2022.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1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About this Prospectus</w:t>
              </w:r>
            </w:hyperlink>
          </w:p>
        </w:tc>
        <w:tc>
          <w:tcPr>
            <w:tcW w:w="908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Forward-Looking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10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8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2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1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Description of Securities that may be Offered by Federal Realty Investment Trust</w:t>
              </w:r>
            </w:hyperlink>
          </w:p>
        </w:tc>
        <w:tc>
          <w:tcPr>
            <w:tcW w:w="4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51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Description of Securities that may be Offered by Federal Realty OP LP</w:t>
              </w:r>
            </w:hyperlink>
          </w:p>
        </w:tc>
        <w:tc>
          <w:tcPr>
            <w:tcW w:w="55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2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Material Federal Income Tax Considerations</w:t>
              </w:r>
            </w:hyperlink>
          </w:p>
        </w:tc>
        <w:tc>
          <w:tcPr>
            <w:tcW w:w="74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Plan of Distribution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92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Experts</w:t>
              </w:r>
            </w:hyperlink>
          </w:p>
        </w:tc>
        <w:tc>
          <w:tcPr>
            <w:tcW w:w="96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540" w:type="dxa"/>
            <w:vAlign w:val="bottom"/>
            <w:gridSpan w:val="2"/>
          </w:tcPr>
          <w:p>
            <w:pPr>
              <w:jc w:val="center"/>
              <w:ind w:right="4780"/>
              <w:spacing w:after="0"/>
              <w:rPr>
                <w:sz w:val="20"/>
                <w:szCs w:val="20"/>
                <w:color w:val="auto"/>
              </w:rPr>
            </w:pPr>
            <w:r>
              <w:rPr>
                <w:rFonts w:ascii="Arial" w:cs="Arial" w:eastAsia="Arial" w:hAnsi="Arial"/>
                <w:sz w:val="18"/>
                <w:szCs w:val="18"/>
                <w:color w:val="auto"/>
                <w:w w:val="98"/>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1" w:lineRule="exact"/>
        <w:rPr>
          <w:sz w:val="20"/>
          <w:szCs w:val="20"/>
          <w:color w:val="auto"/>
        </w:rPr>
      </w:pPr>
    </w:p>
    <w:p>
      <w:pPr>
        <w:ind w:left="1080" w:right="15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280" w:hanging="532"/>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5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29"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Federal Realty Investment Trust, which we refer to as the Company, is an equity real estate investment trust, or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w:t>
      </w:r>
    </w:p>
    <w:p>
      <w:pPr>
        <w:spacing w:after="0" w:line="187"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Prior to January 1, 2022, the Company’s business was conducted through a predecessor entity also known as Federal Realty Investment Trust (the “Predecessor”). The Predecessor was founded in 1962 as a REIT under the laws of the District of Columbia and re-formed as a real estate investment trust under the laws of the State of Maryland in 1999.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(“Holdco”), and Holdco formed its own wholly-owned subsidiary real estate investment trust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was converted into one equivalent capital share of Holdco. Effective as of January 5, 2022, the Predecessor converted into a Delaware limited partnership known as Federal Realty OP LP, the entity we refer to herein as the Partnership. In connection with the UPREIT reorganization, Holdco changed its name to Federal Realty Investment Trust, the entity we refer to herein as the Company. The Company had the same consolidated assets and liabilities immediately following the Merger as the Predecessor immediately before the Merger. The General Partner is the sole general partner of the Partnership, and the Company owns 100% of the limited liability company interests of, is the sole member of and exercises exclusive control over the General Partner. Following the UPREIT reorganization described above, the Company expects to conduct its business through the Partnership and does not expect to have substantial assets or liabilities other than through its investment in the Partnership.</w:t>
      </w:r>
    </w:p>
    <w:p>
      <w:pPr>
        <w:spacing w:after="0" w:line="180"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 were 92.8% leased and 90.2% occupied at September 30, 2021. We have paid quarterly dividends to our shareholders continuously since our founding in 1962 and have increased our dividends per common share for 54 consecutive years.</w:t>
      </w:r>
    </w:p>
    <w:p>
      <w:pPr>
        <w:spacing w:after="0" w:line="17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70" w:lineRule="exact"/>
        <w:rPr>
          <w:sz w:val="20"/>
          <w:szCs w:val="20"/>
          <w:color w:val="auto"/>
        </w:rPr>
      </w:pPr>
    </w:p>
    <w:p>
      <w:pPr>
        <w:ind w:left="300" w:right="460" w:firstLine="426"/>
        <w:spacing w:after="0" w:line="263" w:lineRule="auto"/>
        <w:rPr>
          <w:sz w:val="20"/>
          <w:szCs w:val="20"/>
          <w:color w:val="auto"/>
        </w:rPr>
      </w:pPr>
      <w:r>
        <w:rPr>
          <w:rFonts w:ascii="Arial" w:cs="Arial" w:eastAsia="Arial" w:hAnsi="Arial"/>
          <w:sz w:val="18"/>
          <w:szCs w:val="18"/>
          <w:color w:val="auto"/>
        </w:rPr>
        <w:t xml:space="preserve">Our principal executive offices are located at 909 Rose Ave., Suite 200, North Bethesda, MD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pursuant to this prospectus for one or more of the following:</w:t>
      </w:r>
    </w:p>
    <w:p>
      <w:pPr>
        <w:spacing w:after="0" w:line="76"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SECURITIES THAT MAY BE OFFERED BY FEDERAL REALTY INVESTMENT TRUST</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of Beneficial Interest of Federal Realty Investment Trust</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$.01 per share, and 15,000,000 preferred shares of beneficial interest, par value $.01 per share. As of December 30, 2021, the Predecessor had issued and outstanding 78,603,441 common shares, 399,896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 In connection with the Merger, each outstanding capital share of the Predecessor was converted into one equivalent capital share of the Company. See “Prospectus Summary – Federal Realty Investment Trust and Federal Realty OP LP.” The Company is treated as the successor to the Predecessor with respect to the common shares, Series 1 preferred shares and Series C preferred shares for all purposes hereunder.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 of the Company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outstanding common share owned by a shareholder entitles that holder to one vote on all matters submitted to a vote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5580" w:right="1800" w:hanging="5032"/>
        <w:spacing w:after="0" w:line="449" w:lineRule="auto"/>
        <w:tabs>
          <w:tab w:leader="none" w:pos="10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 5</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76" w:lineRule="exact"/>
        <w:rPr>
          <w:rFonts w:ascii="Arial" w:cs="Arial" w:eastAsia="Arial" w:hAnsi="Arial"/>
          <w:sz w:val="17"/>
          <w:szCs w:val="17"/>
          <w:color w:val="auto"/>
        </w:rPr>
      </w:pPr>
    </w:p>
    <w:p>
      <w:pPr>
        <w:ind w:left="1080" w:right="40" w:hanging="532"/>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jc w:val="both"/>
        <w:ind w:left="1080" w:right="18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 of the Company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March 2007, the Predecessor issued 399,896 Series 1 preferred shares and filed articles supplementary to its declaration of trust setting forth the terms of the Series 1 preferred shares. At the effective time of the Merger, each Series 1 preferred share of the Predecessor was converted into a Series 1 preferred share of the Company, having the same designations, rights, powers and preferences, and the same qualifications, limitations, restrictions and other terms as the corresponding Series 1 preferred shares of the Predecessor immediately prior to the Merger.</w:t>
      </w:r>
    </w:p>
    <w:p>
      <w:pPr>
        <w:spacing w:after="0" w:line="15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1 preferred shares rank pari pasu with the Series C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our declaration of trust pertaining to the Series 1 preferred shares, the Series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shall be convertible, at the option of each holder, into a number of fully paid and nonassessable common shares determined by dividing</w:t>
      </w:r>
    </w:p>
    <w:p>
      <w:pPr>
        <w:ind w:left="120" w:right="780" w:hanging="4"/>
        <w:spacing w:after="0" w:line="260" w:lineRule="auto"/>
        <w:tabs>
          <w:tab w:leader="none" w:pos="4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 of the Company</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September 2017, the Predecessor issued 6,000 Series C preferred shares and filed articles supplementary to its declaration of trust setting forth the terms of the Series C preferred shares. At the effective time of the Merger, each Series C preferred share of the Predecessor was converted into a Series C preferred share of the Company, having the same designations, rights, powers and preferences, and the same qualifications, limitations, restrictions and other terms as the corresponding Series C preferred shares of the Predecessor immediately prior to the Merger.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6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8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Company. </w:t>
      </w:r>
      <w:r>
        <w:rPr>
          <w:rFonts w:ascii="Arial" w:cs="Arial" w:eastAsia="Arial" w:hAnsi="Arial"/>
          <w:sz w:val="18"/>
          <w:szCs w:val="18"/>
          <w:color w:val="auto"/>
        </w:rPr>
        <w:t>The Series C preferred shares may be redeemed for cash, in whole or from time to time in part, on any date 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September 29, 2022 at the option of the Company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24"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1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REIT’s shares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93"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Depositary Shares of the Company</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depositary shares, each of which will represent a fractional interest of a share of a particular series of preferred shares.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2021, we had 6,000,000 depositary shares issued and outstanding, each representing a 1/1000th fractional interest in a Series C preferred share. See “—Series C Preferred Shares of the Company.”</w:t>
      </w:r>
    </w:p>
    <w:p>
      <w:pPr>
        <w:spacing w:after="0" w:line="17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Redemption of Depositary Shares. </w:t>
      </w:r>
      <w:r>
        <w:rPr>
          <w:rFonts w:ascii="Arial" w:cs="Arial" w:eastAsia="Arial" w:hAnsi="Arial"/>
          <w:sz w:val="17"/>
          <w:szCs w:val="17"/>
          <w:color w:val="auto"/>
        </w:rPr>
        <w:t>If we redeem a series of preferred shares represented by depositary receipts, the depositary will redeem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spacing w:after="0" w:line="3" w:lineRule="exact"/>
        <w:rPr>
          <w:sz w:val="20"/>
          <w:szCs w:val="20"/>
          <w:color w:val="auto"/>
        </w:rPr>
      </w:pPr>
    </w:p>
    <w:p>
      <w:pPr>
        <w:ind w:left="120" w:right="10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Purchase Contracts that may be offered by Federal Realty Investment Trust</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Share Purchase Contracts</w:t>
      </w:r>
      <w:r>
        <w:rPr>
          <w:rFonts w:ascii="Arial" w:cs="Arial" w:eastAsia="Arial" w:hAnsi="Arial"/>
          <w:sz w:val="16"/>
          <w:szCs w:val="16"/>
          <w:color w:val="auto"/>
        </w:rPr>
        <w:t>. We may issue share purchase contracts, which are contracts obligating holders to purchase from or sell to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share purchase contracts are to be prepaid or not;</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share purchase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share purchase contracts;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shares, preferred shares or depositary shares representing interests in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number and terms of the common shares, preferred shares or depositary shares representing interests in preferred shares that may be purchased on exercise of the warrant;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any series of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description of the terms of any unit agreement to be entered into between us and a bank or trust company, as unit agent, governing the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units will be listed on any securities exchange;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73"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5540" w:right="920" w:hanging="4439"/>
        <w:spacing w:after="0" w:line="449" w:lineRule="auto"/>
        <w:tabs>
          <w:tab w:leader="none" w:pos="15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 17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142"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i w:val="1"/>
          <w:iCs w:val="1"/>
          <w:color w:val="auto"/>
        </w:rPr>
        <w:t>Advance Notice for Shareholder Nominations and Shareholder New Business Proposals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require advance written notice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and not earlier than the 150th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6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5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THAT MAY BE OFFERED BY FEDERAL REALTY OP LP</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References in this section to “we,” “us,” “our” and “ours” refer only to Federal Realty OP LP and not to the Company unless the context requires otherwise.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17"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9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class or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89" w:lineRule="exact"/>
        <w:rPr>
          <w:rFonts w:ascii="Arial" w:cs="Arial" w:eastAsia="Arial" w:hAnsi="Arial"/>
          <w:sz w:val="18"/>
          <w:szCs w:val="18"/>
          <w:color w:val="auto"/>
        </w:rPr>
      </w:pPr>
    </w:p>
    <w:p>
      <w:pPr>
        <w:ind w:left="1080" w:right="140" w:hanging="532"/>
        <w:spacing w:after="0" w:line="301"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6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200" w:hanging="532"/>
        <w:spacing w:after="0" w:line="279"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6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1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non-U.S. 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class or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Payees. </w:t>
      </w:r>
      <w:r>
        <w:rPr>
          <w:rFonts w:ascii="Arial" w:cs="Arial" w:eastAsia="Arial" w:hAnsi="Arial"/>
          <w:sz w:val="18"/>
          <w:szCs w:val="18"/>
          <w:color w:val="auto"/>
        </w:rPr>
        <w:t>If other than as provided in the applicable indenture, the person to whom any interest on any registered security of the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will be payable and the manner in which, or the person to whom, any interest on any bearer securities of the class or series will be payable.</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Any definitions for the offered debt securities of that class or series that are different from or in addition to the 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 applicable indenture, including, without limitation, the definition of “unrestricted subsidiary” to be used for such class or series.</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class or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0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class or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issue debt securities of a class or series in the form of one or more fully registered global securities. Each registered global security will:</w:t>
      </w:r>
    </w:p>
    <w:p>
      <w:pPr>
        <w:spacing w:after="0" w:line="154"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5540" w:right="4180" w:hanging="4992"/>
        <w:spacing w:after="0" w:line="449" w:lineRule="auto"/>
        <w:tabs>
          <w:tab w:leader="none" w:pos="10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 26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62" w:lineRule="exact"/>
        <w:rPr>
          <w:sz w:val="20"/>
          <w:szCs w:val="20"/>
          <w:color w:val="auto"/>
        </w:rPr>
      </w:pPr>
    </w:p>
    <w:p>
      <w:pPr>
        <w:ind w:left="120" w:right="280" w:firstLine="436"/>
        <w:spacing w:after="0" w:line="277" w:lineRule="auto"/>
        <w:tabs>
          <w:tab w:leader="none" w:pos="7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120" w:right="140" w:firstLine="436"/>
        <w:spacing w:after="0" w:line="277" w:lineRule="auto"/>
        <w:tabs>
          <w:tab w:leader="none" w:pos="7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720" w:hanging="164"/>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class or series.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63" w:lineRule="auto"/>
        <w:tabs>
          <w:tab w:leader="none" w:pos="7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76" w:lineRule="exact"/>
        <w:rPr>
          <w:sz w:val="20"/>
          <w:szCs w:val="20"/>
          <w:color w:val="auto"/>
        </w:rPr>
      </w:pPr>
    </w:p>
    <w:p>
      <w:pPr>
        <w:ind w:left="800" w:hanging="244"/>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class or series.</w:t>
      </w:r>
    </w:p>
    <w:p>
      <w:pPr>
        <w:spacing w:after="0" w:line="140" w:lineRule="exact"/>
        <w:rPr>
          <w:sz w:val="20"/>
          <w:szCs w:val="20"/>
          <w:color w:val="auto"/>
        </w:rPr>
      </w:pPr>
    </w:p>
    <w:p>
      <w:pPr>
        <w:ind w:left="120" w:right="160" w:firstLine="436"/>
        <w:spacing w:after="0" w:line="290" w:lineRule="auto"/>
        <w:tabs>
          <w:tab w:leader="none" w:pos="7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7" w:lineRule="exact"/>
        <w:rPr>
          <w:rFonts w:ascii="Arial" w:cs="Arial" w:eastAsia="Arial" w:hAnsi="Arial"/>
          <w:sz w:val="16"/>
          <w:szCs w:val="16"/>
          <w:color w:val="auto"/>
        </w:rPr>
      </w:pPr>
    </w:p>
    <w:p>
      <w:pPr>
        <w:ind w:left="740" w:hanging="1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128" w:lineRule="exact"/>
        <w:rPr>
          <w:rFonts w:ascii="Arial" w:cs="Arial" w:eastAsia="Arial" w:hAnsi="Arial"/>
          <w:sz w:val="17"/>
          <w:szCs w:val="17"/>
          <w:color w:val="auto"/>
        </w:rPr>
      </w:pPr>
    </w:p>
    <w:p>
      <w:pPr>
        <w:ind w:left="800" w:hanging="244"/>
        <w:spacing w:after="0"/>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820" w:hanging="264"/>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class or series.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may waive any past default except for:</w:t>
      </w:r>
    </w:p>
    <w:p>
      <w:pPr>
        <w:spacing w:after="0" w:line="76"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5540" w:right="4540" w:hanging="4992"/>
        <w:spacing w:after="0" w:line="449" w:lineRule="auto"/>
        <w:tabs>
          <w:tab w:leader="none" w:pos="10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 28</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60" w:hanging="439"/>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class or series and any related coupons,</w:t>
      </w:r>
    </w:p>
    <w:p>
      <w:pPr>
        <w:spacing w:after="0" w:line="75"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60" w:hanging="439"/>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Notices of Default. </w:t>
      </w:r>
      <w:r>
        <w:rPr>
          <w:rFonts w:ascii="Arial" w:cs="Arial" w:eastAsia="Arial" w:hAnsi="Arial"/>
          <w:sz w:val="18"/>
          <w:szCs w:val="18"/>
          <w:color w:val="auto"/>
        </w:rPr>
        <w:t>Unless we say otherwise in a prospectus supplement, we are required to deliver to the trustee, on or before a date not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9" w:lineRule="exact"/>
        <w:rPr>
          <w:sz w:val="20"/>
          <w:szCs w:val="20"/>
          <w:color w:val="auto"/>
        </w:rPr>
      </w:pPr>
    </w:p>
    <w:p>
      <w:pPr>
        <w:ind w:left="1080" w:right="42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class or series:</w:t>
      </w:r>
    </w:p>
    <w:p>
      <w:pPr>
        <w:spacing w:after="0" w:line="76" w:lineRule="exact"/>
        <w:rPr>
          <w:sz w:val="20"/>
          <w:szCs w:val="20"/>
          <w:color w:val="auto"/>
        </w:rPr>
      </w:pPr>
    </w:p>
    <w:p>
      <w:pPr>
        <w:ind w:left="1080" w:hanging="532"/>
        <w:spacing w:after="0" w:line="254"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9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class or series of outstanding debt security;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class or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adds to our covenants for the benefit of the holders of all or any class or series of debt securities or surrenders any of our rights or powers;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class or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secures the debt securities of any class or series;</w:t>
      </w:r>
    </w:p>
    <w:p>
      <w:pPr>
        <w:spacing w:after="0" w:line="130"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class or series not yet issued;</w:t>
      </w:r>
    </w:p>
    <w:p>
      <w:pPr>
        <w:spacing w:after="0" w:line="130" w:lineRule="exact"/>
        <w:rPr>
          <w:rFonts w:ascii="Arial" w:cs="Arial" w:eastAsia="Arial" w:hAnsi="Arial"/>
          <w:sz w:val="18"/>
          <w:szCs w:val="18"/>
          <w:color w:val="auto"/>
        </w:rPr>
      </w:pPr>
    </w:p>
    <w:p>
      <w:pPr>
        <w:ind w:left="1080" w:right="520" w:hanging="532"/>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51" w:lineRule="exact"/>
        <w:rPr>
          <w:rFonts w:ascii="Arial" w:cs="Arial" w:eastAsia="Arial" w:hAnsi="Arial"/>
          <w:sz w:val="17"/>
          <w:szCs w:val="17"/>
          <w:color w:val="auto"/>
        </w:rPr>
      </w:pPr>
    </w:p>
    <w:p>
      <w:pPr>
        <w:ind w:left="1080" w:right="2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92"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6"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Predecessor elected to be taxed as a REIT under the federal income tax laws when it filed its 1962 federal income tax return and was organized and operated in a manner intended to qualify as a REIT. We have been organized in a manner intended to qualify as a REIT and we intend to operate in a manner to qualify as a REIT. This section discusses the laws governing the federal income tax treatment of a REIT and its shareholders. These laws are highly technical and complex.</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opinion of our tax counsel, Pillsbury Winthrop Shaw Pittman LLP, (i) the Predecessor qualified as a REIT under Sections 856 through 860 of the Code with respect to each of its taxable years ended through December 31, 2021; and (ii) we are organized in conformity with the requirements for qualification as a REIT under the Code and our current and proposed method of operation and ownership will enable us to meet the requirements for qualification and taxation as a REIT for the current taxable year and for future taxable years, provided that we and the Predecessor have operated and we continue to operate in accordance with various assumptions and factual representations made by us concerning our diversity of share ownership, business, properties and operations. The Predecessor may not, however, have met, and we may not continue to meet, such requirements. You should be aware that opinions of counsel are not binding on the Internal Revenue Service (“IRS”) or any court. Our qualification as a REIT depends on the Predecessor having met and our ability to meet, on a continuing basis, certain qualification tests set forth in the federal tax laws. Those qualification tests involve the percentage of income earned from specified sources, the percentage of assets that fall within certain categories, the diversity of the ownership of the Predecessor’s and our shares, and the percentage of earnings distributed.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80" w:hanging="532"/>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40" w:hanging="532"/>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4"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Initially, the Partnership will be treated as a disregarded entity for federal income tax purposes (but not necessarily for other tax purposes such as employment and excise taxation) because we initially own 100% of the interests in the Partnership, either directly or indirectly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purposes, based on our percentage interest in partnership equity capital, subject to special rules relating to the 10% asset test described below.</w:t>
      </w:r>
    </w:p>
    <w:p>
      <w:pPr>
        <w:spacing w:after="0" w:line="19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right="20" w:hanging="532"/>
        <w:spacing w:after="0" w:line="290"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40" w:hanging="532"/>
        <w:spacing w:after="0" w:line="273"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The Partnership’s primary source of income derives from leasing properties. There are various limitations on whether rent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40" w:hanging="532"/>
        <w:spacing w:after="0" w:line="255"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8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79" w:lineRule="exact"/>
        <w:rPr>
          <w:rFonts w:ascii="Arial" w:cs="Arial" w:eastAsia="Arial" w:hAnsi="Arial"/>
          <w:sz w:val="16"/>
          <w:szCs w:val="16"/>
          <w:color w:val="auto"/>
        </w:rPr>
      </w:pPr>
    </w:p>
    <w:p>
      <w:pPr>
        <w:ind w:left="1080" w:right="20" w:hanging="532"/>
        <w:spacing w:after="0" w:line="293"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71"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7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recent changes to the interest deduction rules may affect interest deductions of our taxable REIT subsidiaries under some circumstances.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Like-Kind Exchanges. </w:t>
      </w:r>
      <w:r>
        <w:rPr>
          <w:rFonts w:ascii="Arial" w:cs="Arial" w:eastAsia="Arial" w:hAnsi="Arial"/>
          <w:sz w:val="16"/>
          <w:szCs w:val="16"/>
          <w:color w:val="auto"/>
        </w:rPr>
        <w:t>The Partnership may dispose of properties in transactions intended to qualify as like-kind exchanges under the Code.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439"/>
        <w:spacing w:after="0" w:line="301" w:lineRule="auto"/>
        <w:tabs>
          <w:tab w:leader="none" w:pos="15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62" w:lineRule="exact"/>
        <w:rPr>
          <w:rFonts w:ascii="Arial" w:cs="Arial" w:eastAsia="Arial" w:hAnsi="Arial"/>
          <w:sz w:val="16"/>
          <w:szCs w:val="16"/>
          <w:color w:val="auto"/>
        </w:rPr>
      </w:pPr>
    </w:p>
    <w:p>
      <w:pPr>
        <w:ind w:left="1540" w:right="180" w:hanging="439"/>
        <w:spacing w:after="0" w:line="263"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1080" w:right="100" w:hanging="532"/>
        <w:spacing w:after="0" w:line="270"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301" w:lineRule="auto"/>
        <w:rPr>
          <w:sz w:val="20"/>
          <w:szCs w:val="20"/>
          <w:color w:val="auto"/>
        </w:rPr>
      </w:pPr>
      <w:r>
        <w:rPr>
          <w:rFonts w:ascii="Arial" w:cs="Arial" w:eastAsia="Arial" w:hAnsi="Arial"/>
          <w:sz w:val="16"/>
          <w:szCs w:val="16"/>
          <w:color w:val="auto"/>
        </w:rPr>
        <w:t>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63" w:lineRule="exact"/>
        <w:rPr>
          <w:sz w:val="20"/>
          <w:szCs w:val="20"/>
          <w:color w:val="auto"/>
        </w:rPr>
      </w:pPr>
    </w:p>
    <w:p>
      <w:pPr>
        <w:ind w:left="1080" w:right="1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Further, with respect to our 2014 and prior taxable years, in order for distributions made by the Predecessor to have been counted as satisfying the annual distribution requirements for REITs and to provide it with a dividends paid deduction, its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the REIT’s organizational documents. For taxable years beginning after December 31, 2014, the preferential dividend rule does not apply to publicly offered REITs. The Predecessor was and we are a publicly offered REIT. Thus, so long as we continue to qualify as a publicly offered REIT, the preferential dividend rule does not apply to the Predecessor’s taxable years from 2015 and our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In late 2021, the IRS issued additional guidance temporarily reducing, through June 30, 2022, the minimum amount of the distribution that must be available in cash to 10% to respond to economic disruptions and allow REITs to conserve capital and enhance their liquidity.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8"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7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U.S. shareholder’s basis in that share and any excess after the basis is reduced to zero would result in taxable gain. If the holder had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share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87" w:lineRule="exact"/>
        <w:rPr>
          <w:sz w:val="20"/>
          <w:szCs w:val="20"/>
          <w:color w:val="auto"/>
        </w:rPr>
      </w:pPr>
    </w:p>
    <w:p>
      <w:pPr>
        <w:ind w:left="1100" w:hanging="539"/>
        <w:spacing w:after="0"/>
        <w:tabs>
          <w:tab w:leader="none" w:pos="11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w:t>
      </w:r>
    </w:p>
    <w:p>
      <w:pPr>
        <w:spacing w:after="0" w:line="2"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61"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w:t>
      </w:r>
    </w:p>
    <w:p>
      <w:pPr>
        <w:spacing w:after="0" w:line="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w:t>
      </w:r>
    </w:p>
    <w:p>
      <w:pPr>
        <w:spacing w:after="0" w:line="2" w:lineRule="exact"/>
        <w:rPr>
          <w:sz w:val="20"/>
          <w:szCs w:val="20"/>
          <w:color w:val="auto"/>
        </w:rPr>
      </w:pPr>
    </w:p>
    <w:p>
      <w:pPr>
        <w:ind w:left="120" w:right="480"/>
        <w:spacing w:after="0" w:line="323" w:lineRule="auto"/>
        <w:rPr>
          <w:sz w:val="20"/>
          <w:szCs w:val="20"/>
          <w:color w:val="auto"/>
        </w:rPr>
      </w:pPr>
      <w:r>
        <w:rPr>
          <w:rFonts w:ascii="Arial" w:cs="Arial" w:eastAsia="Arial" w:hAnsi="Arial"/>
          <w:sz w:val="16"/>
          <w:szCs w:val="16"/>
          <w:color w:val="auto"/>
        </w:rPr>
        <w:t>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38"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are a “domestically controlled REIT.” A “domestically controlled REIT” is a REIT in which at all times during a specified testing</w:t>
      </w:r>
    </w:p>
    <w:p>
      <w:pPr>
        <w:ind w:left="120"/>
        <w:spacing w:after="0" w:line="286" w:lineRule="auto"/>
        <w:rPr>
          <w:sz w:val="20"/>
          <w:szCs w:val="20"/>
          <w:color w:val="auto"/>
        </w:rPr>
      </w:pPr>
      <w:r>
        <w:rPr>
          <w:rFonts w:ascii="Arial" w:cs="Arial" w:eastAsia="Arial" w:hAnsi="Arial"/>
          <w:sz w:val="16"/>
          <w:szCs w:val="16"/>
          <w:color w:val="auto"/>
        </w:rPr>
        <w:t>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9"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w:t>
      </w:r>
    </w:p>
    <w:p>
      <w:pPr>
        <w:jc w:val="both"/>
        <w:ind w:left="120"/>
        <w:spacing w:after="0" w:line="281" w:lineRule="auto"/>
        <w:rPr>
          <w:sz w:val="20"/>
          <w:szCs w:val="20"/>
          <w:color w:val="auto"/>
        </w:rPr>
      </w:pPr>
      <w:r>
        <w:rPr>
          <w:rFonts w:ascii="Arial" w:cs="Arial" w:eastAsia="Arial" w:hAnsi="Arial"/>
          <w:sz w:val="16"/>
          <w:szCs w:val="16"/>
          <w:color w:val="auto"/>
        </w:rPr>
        <w:t>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3"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Conversion of Preferred Shares to Common Shares. </w:t>
      </w:r>
      <w:r>
        <w:rPr>
          <w:rFonts w:ascii="Arial" w:cs="Arial" w:eastAsia="Arial" w:hAnsi="Arial"/>
          <w:sz w:val="17"/>
          <w:szCs w:val="17"/>
          <w:color w:val="auto"/>
        </w:rPr>
        <w:t>The conversion of preferred shares into our common shares may be a taxable exchange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2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right="22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Under sections 1471 through 1474 of the Code, Treasury regulations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initially the Partnership (but not the Subsidiary Partnerships)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7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Classification as Partnerships. </w:t>
      </w:r>
      <w:r>
        <w:rPr>
          <w:rFonts w:ascii="Arial" w:cs="Arial" w:eastAsia="Arial" w:hAnsi="Arial"/>
          <w:sz w:val="16"/>
          <w:szCs w:val="16"/>
          <w:color w:val="auto"/>
        </w:rPr>
        <w:t>We are entitled to include in our income our distributive share of the Partnership’s and Subsidiary Partnerships’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7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Partners, Not the Partnership, Subject to Tax. </w:t>
      </w:r>
      <w:r>
        <w:rPr>
          <w:rFonts w:ascii="Arial" w:cs="Arial" w:eastAsia="Arial" w:hAnsi="Arial"/>
          <w:sz w:val="17"/>
          <w:szCs w:val="17"/>
          <w:color w:val="auto"/>
        </w:rPr>
        <w:t>The partners of the Partnership are subject to taxation. Except as discussed below in “—Revised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Partnership Allocations</w:t>
      </w:r>
      <w:r>
        <w:rPr>
          <w:rFonts w:ascii="Arial" w:cs="Arial" w:eastAsia="Arial" w:hAnsi="Arial"/>
          <w:sz w:val="17"/>
          <w:szCs w:val="17"/>
          <w:color w:val="auto"/>
        </w:rPr>
        <w:t>. Although a partnership agreement generally will determine the allocation of income and losses among partners,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Tax Allocations with Respect to Contributed Properties</w:t>
      </w:r>
      <w:r>
        <w:rPr>
          <w:rFonts w:ascii="Arial" w:cs="Arial" w:eastAsia="Arial" w:hAnsi="Arial"/>
          <w:sz w:val="16"/>
          <w:szCs w:val="16"/>
          <w:color w:val="auto"/>
        </w:rPr>
        <w:t>. Pursuant to Section 704(c) of the Code, income, gain, loss and deduction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income attributable to such Book-Tax Difference (to the extent not previously taken into account) will generally be allocated to the contributing partners, including us, and other partners will generally be allocated only their share of income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Book-Tax Difference may also arise as a result of the revaluation of property owned by the Partnership in connection with certain types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transactions, including in connection with certain non-pro rata contributions or distributions of assets by the Partnership in exchange for interests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 In the event of such a revaluation, the partners (including us) who were partners in the Partnership immediately prior to the revaluation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required to take any Book-Tax Difference created as a result of such revaluation into account in substantially the same manner as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704(c) rules discussed above. This would result in us being allocated income, gain, loss and deduction for tax purposes in amounts different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economic or book income allocated to us by the Partnership.</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in Partnership Interest</w:t>
      </w:r>
      <w:r>
        <w:rPr>
          <w:rFonts w:ascii="Arial" w:cs="Arial" w:eastAsia="Arial" w:hAnsi="Arial"/>
          <w:sz w:val="18"/>
          <w:szCs w:val="18"/>
          <w:color w:val="auto"/>
        </w:rPr>
        <w:t>. Our adjusted tax basis in our partnership interest in the Partnership generally is equal to:</w:t>
      </w:r>
    </w:p>
    <w:p>
      <w:pPr>
        <w:spacing w:after="0" w:line="131" w:lineRule="exact"/>
        <w:rPr>
          <w:sz w:val="20"/>
          <w:szCs w:val="20"/>
          <w:color w:val="auto"/>
        </w:rPr>
      </w:pPr>
    </w:p>
    <w:p>
      <w:pPr>
        <w:ind w:left="1540" w:hanging="439"/>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cash and the adjusted tax basis of any other property contributed by us to the Partnership;</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increased by</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our allocable share of the Partnership’s income,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our allocable share of debt of the Partnership;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reduced, but not below zero, by</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our allocable share of the Partnership’s loss,</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amount of cash and the basis of any property distributed to us,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Sale of the Partnership’s Property. </w:t>
      </w:r>
      <w:r>
        <w:rPr>
          <w:rFonts w:ascii="Arial" w:cs="Arial" w:eastAsia="Arial" w:hAnsi="Arial"/>
          <w:sz w:val="18"/>
          <w:szCs w:val="18"/>
          <w:color w:val="auto"/>
        </w:rPr>
        <w:t>Generally, any gain realized by the Partnership on the sale of property held by the Partnership for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Revised Partnership Audit Rules</w:t>
      </w:r>
      <w:r>
        <w:rPr>
          <w:rFonts w:ascii="Arial" w:cs="Arial" w:eastAsia="Arial" w:hAnsi="Arial"/>
          <w:sz w:val="18"/>
          <w:szCs w:val="18"/>
          <w:color w:val="auto"/>
        </w:rPr>
        <w:t>. Under partnership audit changes generally effective for audits in 2018 and later, a partnership (and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We cannot assure you that a change in law, including the possibility of major tax legislation in 2022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8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86"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February 11,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Our </w:t>
      </w:r>
      <w:hyperlink r:id="rId97">
        <w:r>
          <w:rPr>
            <w:rFonts w:ascii="Arial" w:cs="Arial" w:eastAsia="Arial" w:hAnsi="Arial"/>
            <w:sz w:val="18"/>
            <w:szCs w:val="18"/>
            <w:u w:val="single" w:color="auto"/>
            <w:color w:val="0000EE"/>
          </w:rPr>
          <w:t>Definitive Proxy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Statement for our 2021 Annual Meeting of Shareholders, filed with the SEC on March 25, 2021;</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March 31, 2021, June 30, 2021 and September 30, 2021, filed with the SEC on </w:t>
      </w:r>
      <w:hyperlink r:id="rId98">
        <w:r>
          <w:rPr>
            <w:rFonts w:ascii="Arial" w:cs="Arial" w:eastAsia="Arial" w:hAnsi="Arial"/>
            <w:sz w:val="18"/>
            <w:szCs w:val="18"/>
            <w:u w:val="single" w:color="auto"/>
            <w:color w:val="0000EE"/>
          </w:rPr>
          <w:t>May 5, 2021</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August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0">
        <w:r>
          <w:rPr>
            <w:rFonts w:ascii="Arial" w:cs="Arial" w:eastAsia="Arial" w:hAnsi="Arial"/>
            <w:sz w:val="18"/>
            <w:szCs w:val="18"/>
            <w:u w:val="single" w:color="auto"/>
            <w:color w:val="0000EE"/>
          </w:rPr>
          <w:t>November 4,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83"/>
        </w:numPr>
        <w:rPr>
          <w:rFonts w:ascii="Arial" w:cs="Arial" w:eastAsia="Arial" w:hAnsi="Arial"/>
          <w:sz w:val="18"/>
          <w:szCs w:val="18"/>
          <w:color w:val="0000EE"/>
        </w:rPr>
      </w:pPr>
      <w:hyperlink r:id="rId101">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2">
        <w:r>
          <w:rPr>
            <w:rFonts w:ascii="Arial" w:cs="Arial" w:eastAsia="Arial" w:hAnsi="Arial"/>
            <w:sz w:val="18"/>
            <w:szCs w:val="18"/>
            <w:u w:val="single" w:color="auto"/>
            <w:color w:val="0000EE"/>
          </w:rPr>
          <w:t>August 5, 2021</w:t>
        </w:r>
      </w:hyperlink>
      <w:hyperlink r:id="rId10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3">
        <w:r>
          <w:rPr>
            <w:rFonts w:ascii="Arial" w:cs="Arial" w:eastAsia="Arial" w:hAnsi="Arial"/>
            <w:sz w:val="18"/>
            <w:szCs w:val="18"/>
            <w:u w:val="single" w:color="auto"/>
            <w:color w:val="0000EE"/>
          </w:rPr>
          <w:t xml:space="preserve">December 2, 2021 </w:t>
        </w:r>
      </w:hyperlink>
      <w:hyperlink r:id="rId10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04">
        <w:r>
          <w:rPr>
            <w:rFonts w:ascii="Arial" w:cs="Arial" w:eastAsia="Arial" w:hAnsi="Arial"/>
            <w:sz w:val="18"/>
            <w:szCs w:val="18"/>
            <w:u w:val="single" w:color="auto"/>
            <w:color w:val="0000EE"/>
          </w:rPr>
          <w:t>January 3, 2022</w:t>
        </w:r>
      </w:hyperlink>
      <w:hyperlink r:id="rId101">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080" w:right="26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Description of the Company’s common shares contained in </w:t>
      </w:r>
      <w:hyperlink r:id="rId105">
        <w:r>
          <w:rPr>
            <w:rFonts w:ascii="Arial" w:cs="Arial" w:eastAsia="Arial" w:hAnsi="Arial"/>
            <w:sz w:val="18"/>
            <w:szCs w:val="18"/>
            <w:u w:val="single" w:color="auto"/>
            <w:color w:val="0000EE"/>
          </w:rPr>
          <w:t>Exhibit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with the SEC on February 10, 2020; and</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Description of the Company’s Series C depositary shares contained in the Registration Statement on </w:t>
      </w:r>
      <w:hyperlink r:id="rId106">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29, 2017.</w:t>
      </w:r>
    </w:p>
    <w:p>
      <w:pPr>
        <w:spacing w:after="0" w:line="170" w:lineRule="exact"/>
        <w:rPr>
          <w:rFonts w:ascii="Arial" w:cs="Arial" w:eastAsia="Arial" w:hAnsi="Arial"/>
          <w:sz w:val="18"/>
          <w:szCs w:val="18"/>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909 Rose Avenue</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North Bethesda, MD 20852</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(301) 998-8100</w:t>
      </w:r>
    </w:p>
    <w:p>
      <w:pPr>
        <w:spacing w:after="0" w:line="14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340360</wp:posOffset>
            </wp:positionV>
            <wp:extent cx="2237105" cy="685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22371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Federal Realty Investment Trust</w:t>
      </w: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900" w:type="dxa"/>
            <w:vAlign w:val="bottom"/>
          </w:tcPr>
          <w:p>
            <w:pPr>
              <w:spacing w:after="0"/>
              <w:rPr>
                <w:sz w:val="20"/>
                <w:szCs w:val="20"/>
                <w:color w:val="auto"/>
              </w:rPr>
            </w:pPr>
            <w:r>
              <w:rPr>
                <w:rFonts w:ascii="Arial" w:cs="Arial" w:eastAsia="Arial" w:hAnsi="Arial"/>
                <w:sz w:val="22"/>
                <w:szCs w:val="22"/>
                <w:b w:val="1"/>
                <w:bCs w:val="1"/>
                <w:color w:val="auto"/>
              </w:rPr>
              <w:t>Wells Fargo Securities</w:t>
            </w:r>
          </w:p>
        </w:tc>
        <w:tc>
          <w:tcPr>
            <w:tcW w:w="3940" w:type="dxa"/>
            <w:vAlign w:val="bottom"/>
          </w:tcPr>
          <w:p>
            <w:pPr>
              <w:ind w:left="840"/>
              <w:spacing w:after="0"/>
              <w:rPr>
                <w:sz w:val="20"/>
                <w:szCs w:val="20"/>
                <w:color w:val="auto"/>
              </w:rPr>
            </w:pPr>
            <w:r>
              <w:rPr>
                <w:rFonts w:ascii="Arial" w:cs="Arial" w:eastAsia="Arial" w:hAnsi="Arial"/>
                <w:sz w:val="22"/>
                <w:szCs w:val="22"/>
                <w:b w:val="1"/>
                <w:bCs w:val="1"/>
                <w:color w:val="auto"/>
              </w:rPr>
              <w:t>BofA Securities</w:t>
            </w:r>
          </w:p>
        </w:tc>
        <w:tc>
          <w:tcPr>
            <w:tcW w:w="4180" w:type="dxa"/>
            <w:vAlign w:val="bottom"/>
          </w:tcPr>
          <w:p>
            <w:pPr>
              <w:ind w:left="640"/>
              <w:spacing w:after="0"/>
              <w:rPr>
                <w:sz w:val="20"/>
                <w:szCs w:val="20"/>
                <w:color w:val="auto"/>
              </w:rPr>
            </w:pPr>
            <w:r>
              <w:rPr>
                <w:rFonts w:ascii="Arial" w:cs="Arial" w:eastAsia="Arial" w:hAnsi="Arial"/>
                <w:sz w:val="22"/>
                <w:szCs w:val="22"/>
                <w:b w:val="1"/>
                <w:bCs w:val="1"/>
                <w:color w:val="auto"/>
              </w:rPr>
              <w:t>Citigroup</w:t>
            </w:r>
          </w:p>
        </w:tc>
      </w:tr>
      <w:tr>
        <w:trPr>
          <w:trHeight w:val="280"/>
        </w:trPr>
        <w:tc>
          <w:tcPr>
            <w:tcW w:w="2900" w:type="dxa"/>
            <w:vAlign w:val="bottom"/>
          </w:tcPr>
          <w:p>
            <w:pPr>
              <w:spacing w:after="0"/>
              <w:rPr>
                <w:sz w:val="20"/>
                <w:szCs w:val="20"/>
                <w:color w:val="auto"/>
              </w:rPr>
            </w:pPr>
            <w:r>
              <w:rPr>
                <w:rFonts w:ascii="Arial" w:cs="Arial" w:eastAsia="Arial" w:hAnsi="Arial"/>
                <w:sz w:val="22"/>
                <w:szCs w:val="22"/>
                <w:b w:val="1"/>
                <w:bCs w:val="1"/>
                <w:color w:val="auto"/>
              </w:rPr>
              <w:t>J.P. Morgan</w:t>
            </w:r>
          </w:p>
        </w:tc>
        <w:tc>
          <w:tcPr>
            <w:tcW w:w="3940" w:type="dxa"/>
            <w:vAlign w:val="bottom"/>
          </w:tcPr>
          <w:p>
            <w:pPr>
              <w:spacing w:after="0"/>
              <w:rPr>
                <w:sz w:val="24"/>
                <w:szCs w:val="24"/>
                <w:color w:val="auto"/>
              </w:rPr>
            </w:pPr>
          </w:p>
        </w:tc>
        <w:tc>
          <w:tcPr>
            <w:tcW w:w="4180" w:type="dxa"/>
            <w:vAlign w:val="bottom"/>
          </w:tcPr>
          <w:p>
            <w:pPr>
              <w:ind w:left="640"/>
              <w:spacing w:after="0"/>
              <w:rPr>
                <w:sz w:val="20"/>
                <w:szCs w:val="20"/>
                <w:color w:val="auto"/>
              </w:rPr>
            </w:pPr>
            <w:r>
              <w:rPr>
                <w:rFonts w:ascii="Arial" w:cs="Arial" w:eastAsia="Arial" w:hAnsi="Arial"/>
                <w:sz w:val="22"/>
                <w:szCs w:val="22"/>
                <w:b w:val="1"/>
                <w:bCs w:val="1"/>
                <w:color w:val="auto"/>
              </w:rPr>
              <w:t>Jefferies</w:t>
            </w:r>
          </w:p>
        </w:tc>
      </w:tr>
      <w:tr>
        <w:trPr>
          <w:trHeight w:val="422"/>
        </w:trPr>
        <w:tc>
          <w:tcPr>
            <w:tcW w:w="2900" w:type="dxa"/>
            <w:vAlign w:val="bottom"/>
          </w:tcPr>
          <w:p>
            <w:pPr>
              <w:spacing w:after="0"/>
              <w:rPr>
                <w:sz w:val="24"/>
                <w:szCs w:val="24"/>
                <w:color w:val="auto"/>
              </w:rPr>
            </w:pPr>
          </w:p>
        </w:tc>
        <w:tc>
          <w:tcPr>
            <w:tcW w:w="3940" w:type="dxa"/>
            <w:vAlign w:val="bottom"/>
          </w:tcPr>
          <w:p>
            <w:pPr>
              <w:ind w:left="1900"/>
              <w:spacing w:after="0"/>
              <w:rPr>
                <w:sz w:val="20"/>
                <w:szCs w:val="20"/>
                <w:color w:val="auto"/>
              </w:rPr>
            </w:pPr>
            <w:r>
              <w:rPr>
                <w:rFonts w:ascii="Arial" w:cs="Arial" w:eastAsia="Arial" w:hAnsi="Arial"/>
                <w:sz w:val="18"/>
                <w:szCs w:val="18"/>
                <w:b w:val="1"/>
                <w:bCs w:val="1"/>
                <w:color w:val="auto"/>
              </w:rPr>
              <w:t>February 14, 2022</w:t>
            </w:r>
          </w:p>
        </w:tc>
        <w:tc>
          <w:tcPr>
            <w:tcW w:w="4180" w:type="dxa"/>
            <w:vAlign w:val="bottom"/>
          </w:tcPr>
          <w:p>
            <w:pPr>
              <w:spacing w:after="0"/>
              <w:rPr>
                <w:sz w:val="24"/>
                <w:szCs w:val="24"/>
                <w:color w:val="auto"/>
              </w:rPr>
            </w:pPr>
          </w:p>
        </w:tc>
      </w:tr>
      <w:tr>
        <w:trPr>
          <w:trHeight w:val="121"/>
        </w:trPr>
        <w:tc>
          <w:tcPr>
            <w:tcW w:w="290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r>
      <w:tr>
        <w:trPr>
          <w:trHeight w:val="95"/>
        </w:trPr>
        <w:tc>
          <w:tcPr>
            <w:tcW w:w="29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r>
    </w:tbl>
    <w:p>
      <w:pPr>
        <w:sectPr>
          <w:pgSz w:w="11900" w:h="16838" w:orient="portrait"/>
          <w:cols w:equalWidth="0" w:num="1">
            <w:col w:w="11140"/>
          </w:cols>
          <w:pgMar w:left="320" w:top="459" w:right="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EX-FILING FEES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Calculation of Filing Fee Tables</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424(b)(5)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1:Newly Registered and Carry Forward Securities</w:t>
      </w:r>
    </w:p>
    <w:p>
      <w:pPr>
        <w:spacing w:after="0" w:line="246" w:lineRule="exact"/>
        <w:rPr>
          <w:sz w:val="20"/>
          <w:szCs w:val="20"/>
          <w:color w:val="auto"/>
        </w:rPr>
      </w:pPr>
    </w:p>
    <w:tbl>
      <w:tblPr>
        <w:tblLayout w:type="fixed"/>
        <w:tblInd w:w="894" w:type="dxa"/>
        <w:tblCellMar>
          <w:top w:w="0" w:type="dxa"/>
          <w:left w:w="0" w:type="dxa"/>
          <w:bottom w:w="0" w:type="dxa"/>
          <w:right w:w="0" w:type="dxa"/>
        </w:tblCellMar>
      </w:tblPr>
      <w:tr>
        <w:trPr>
          <w:trHeight w:val="148"/>
        </w:trPr>
        <w:tc>
          <w:tcPr>
            <w:tcW w:w="242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0"/>
              </w:rPr>
              <w:t>Fee</w:t>
            </w:r>
          </w:p>
        </w:tc>
        <w:tc>
          <w:tcPr>
            <w:tcW w:w="6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1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r>
      <w:tr>
        <w:trPr>
          <w:trHeight w:val="135"/>
        </w:trPr>
        <w:tc>
          <w:tcPr>
            <w:tcW w:w="242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1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35"/>
        </w:trPr>
        <w:tc>
          <w:tcPr>
            <w:tcW w:w="242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r>
      <w:tr>
        <w:trPr>
          <w:trHeight w:val="135"/>
        </w:trPr>
        <w:tc>
          <w:tcPr>
            <w:tcW w:w="242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Registration</w:t>
            </w:r>
          </w:p>
        </w:tc>
      </w:tr>
      <w:tr>
        <w:trPr>
          <w:trHeight w:val="161"/>
        </w:trPr>
        <w:tc>
          <w:tcPr>
            <w:tcW w:w="242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Offering 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 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Fee</w:t>
            </w:r>
          </w:p>
        </w:tc>
      </w:tr>
      <w:tr>
        <w:trPr>
          <w:trHeight w:val="231"/>
        </w:trPr>
        <w:tc>
          <w:tcPr>
            <w:tcW w:w="242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w w:val="89"/>
              </w:rPr>
              <w:t>Newly Registered Securities</w:t>
            </w: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36"/>
        </w:trPr>
        <w:tc>
          <w:tcPr>
            <w:tcW w:w="242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Fees to Be 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Shares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457(o)</w:t>
            </w:r>
            <w:r>
              <w:rPr>
                <w:rFonts w:ascii="Arial" w:cs="Arial" w:eastAsia="Arial" w:hAnsi="Arial"/>
                <w:sz w:val="15"/>
                <w:szCs w:val="15"/>
                <w:color w:val="auto"/>
                <w:w w:val="93"/>
              </w:rPr>
              <w:t>(1)</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6"/>
              </w:rPr>
              <w:t>$0.0000927</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$46,350</w:t>
            </w:r>
          </w:p>
        </w:tc>
      </w:tr>
      <w:tr>
        <w:trPr>
          <w:trHeight w:val="237"/>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$46,350</w:t>
            </w:r>
          </w:p>
        </w:tc>
      </w:tr>
      <w:tr>
        <w:trPr>
          <w:trHeight w:val="237"/>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r>
      <w:tr>
        <w:trPr>
          <w:trHeight w:val="236"/>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$16,220</w:t>
            </w:r>
          </w:p>
        </w:tc>
      </w:tr>
      <w:tr>
        <w:trPr>
          <w:trHeight w:val="237"/>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$30,130</w:t>
            </w:r>
          </w:p>
        </w:tc>
      </w:tr>
    </w:tbl>
    <w:p>
      <w:pPr>
        <w:spacing w:after="0" w:line="229" w:lineRule="exact"/>
        <w:rPr>
          <w:sz w:val="20"/>
          <w:szCs w:val="20"/>
          <w:color w:val="auto"/>
        </w:rPr>
      </w:pPr>
    </w:p>
    <w:p>
      <w:pPr>
        <w:ind w:left="424" w:right="560" w:hanging="424"/>
        <w:spacing w:after="0" w:line="277"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as amended, the registrant initially deferred payment of all of the registration fee for Registration Statement No. 333-262016 filed on January 5, 2022.</w:t>
      </w:r>
    </w:p>
    <w:p>
      <w:pPr>
        <w:sectPr>
          <w:pgSz w:w="11900" w:h="16838" w:orient="portrait"/>
          <w:cols w:equalWidth="0" w:num="1">
            <w:col w:w="11024"/>
          </w:cols>
          <w:pgMar w:left="436" w:top="121" w:right="439" w:bottom="1440" w:gutter="0" w:footer="0" w:header="0"/>
        </w:sectPr>
      </w:pPr>
    </w:p>
    <w:bookmarkStart w:id="81" w:name="page82"/>
    <w:bookmarkEnd w:id="8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u w:val="single" w:color="auto"/>
          <w:color w:val="auto"/>
        </w:rPr>
        <w:t>Table 2: Fee Offset Claims and Sources</w:t>
      </w:r>
    </w:p>
    <w:p>
      <w:pPr>
        <w:spacing w:after="0" w:line="246" w:lineRule="exact"/>
        <w:rPr>
          <w:sz w:val="20"/>
          <w:szCs w:val="20"/>
          <w:color w:val="auto"/>
        </w:rPr>
      </w:pPr>
    </w:p>
    <w:tbl>
      <w:tblPr>
        <w:tblLayout w:type="fixed"/>
        <w:tblInd w:w="134" w:type="dxa"/>
        <w:tblCellMar>
          <w:top w:w="0" w:type="dxa"/>
          <w:left w:w="0" w:type="dxa"/>
          <w:bottom w:w="0" w:type="dxa"/>
          <w:right w:w="0" w:type="dxa"/>
        </w:tblCellMar>
      </w:tblPr>
      <w:tr>
        <w:trPr>
          <w:trHeight w:val="148"/>
        </w:trPr>
        <w:tc>
          <w:tcPr>
            <w:tcW w:w="1260" w:type="dxa"/>
            <w:vAlign w:val="bottom"/>
            <w:tcBorders>
              <w:top w:val="single" w:sz="8" w:color="auto"/>
              <w:left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8"/>
              </w:rPr>
              <w:t>Unsold</w:t>
            </w: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820" w:type="dxa"/>
            <w:vAlign w:val="bottom"/>
            <w:tcBorders>
              <w:right w:val="single" w:sz="8" w:color="auto"/>
            </w:tcBorders>
          </w:tcPr>
          <w:p>
            <w:pPr>
              <w:spacing w:after="0"/>
              <w:rPr>
                <w:sz w:val="11"/>
                <w:szCs w:val="1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820" w:type="dxa"/>
            <w:vAlign w:val="bottom"/>
            <w:tcBorders>
              <w:right w:val="single" w:sz="8" w:color="auto"/>
            </w:tcBorders>
          </w:tcPr>
          <w:p>
            <w:pPr>
              <w:spacing w:after="0"/>
              <w:rPr>
                <w:sz w:val="11"/>
                <w:szCs w:val="1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Type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Title</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820" w:type="dxa"/>
            <w:vAlign w:val="bottom"/>
            <w:tcBorders>
              <w:right w:val="single" w:sz="8" w:color="auto"/>
            </w:tcBorders>
          </w:tcPr>
          <w:p>
            <w:pPr>
              <w:spacing w:after="0"/>
              <w:rPr>
                <w:sz w:val="11"/>
                <w:szCs w:val="1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10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3"/>
              </w:rPr>
              <w:t>associated</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4"/>
              </w:rPr>
              <w:t>Associated</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Associated</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Associated</w:t>
            </w:r>
          </w:p>
        </w:tc>
        <w:tc>
          <w:tcPr>
            <w:tcW w:w="820" w:type="dxa"/>
            <w:vAlign w:val="bottom"/>
            <w:tcBorders>
              <w:right w:val="single" w:sz="8" w:color="auto"/>
            </w:tcBorders>
          </w:tcPr>
          <w:p>
            <w:pPr>
              <w:spacing w:after="0"/>
              <w:rPr>
                <w:sz w:val="11"/>
                <w:szCs w:val="1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Registrant</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or</w:t>
            </w:r>
          </w:p>
        </w:tc>
        <w:tc>
          <w:tcPr>
            <w:tcW w:w="10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10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with Fee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with Fee</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with Fee</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with Fee</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Fee Paid with</w:t>
            </w: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or Filer</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Filing</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File</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Filing</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Filing</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Fee Offset</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Offset</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Offset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Offset</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Offset</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Fee Offset</w:t>
            </w:r>
          </w:p>
        </w:tc>
      </w:tr>
      <w:tr>
        <w:trPr>
          <w:trHeight w:val="161"/>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Name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Claimed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Claimed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Claimed</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Claimed</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Claimed</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Source</w:t>
            </w:r>
          </w:p>
        </w:tc>
      </w:tr>
      <w:tr>
        <w:trPr>
          <w:trHeight w:val="231"/>
        </w:trPr>
        <w:tc>
          <w:tcPr>
            <w:tcW w:w="126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Rule 457(p)</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15"/>
        </w:trPr>
        <w:tc>
          <w:tcPr>
            <w:tcW w:w="12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 Offset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Federal</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Claims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Realty</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Investment</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May 7,</w:t>
            </w: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Trust</w:t>
            </w:r>
            <w:r>
              <w:rPr>
                <w:rFonts w:ascii="Arial" w:cs="Arial" w:eastAsia="Arial" w:hAnsi="Arial"/>
                <w:sz w:val="15"/>
                <w:szCs w:val="15"/>
                <w:color w:val="auto"/>
                <w:w w:val="90"/>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424(b)(5)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333-255863</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0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$16,220</w:t>
            </w:r>
            <w:r>
              <w:rPr>
                <w:rFonts w:ascii="Arial" w:cs="Arial" w:eastAsia="Arial" w:hAnsi="Arial"/>
                <w:sz w:val="15"/>
                <w:szCs w:val="15"/>
                <w:color w:val="auto"/>
                <w:w w:val="91"/>
              </w:rPr>
              <w:t>(2)</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7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$174,968,277</w:t>
            </w:r>
          </w:p>
        </w:tc>
        <w:tc>
          <w:tcPr>
            <w:tcW w:w="820" w:type="dxa"/>
            <w:vAlign w:val="bottom"/>
            <w:tcBorders>
              <w:bottom w:val="single" w:sz="8" w:color="auto"/>
              <w:right w:val="single" w:sz="8" w:color="auto"/>
            </w:tcBorders>
          </w:tcPr>
          <w:p>
            <w:pPr>
              <w:spacing w:after="0"/>
              <w:rPr>
                <w:sz w:val="20"/>
                <w:szCs w:val="20"/>
                <w:color w:val="auto"/>
              </w:rPr>
            </w:pPr>
          </w:p>
        </w:tc>
      </w:tr>
      <w:tr>
        <w:trPr>
          <w:trHeight w:val="215"/>
        </w:trPr>
        <w:tc>
          <w:tcPr>
            <w:tcW w:w="12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 Offset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Federal</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Sources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Realty</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Investment</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February 24,</w:t>
            </w: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Trust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424(b)(5)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333-224701</w:t>
            </w:r>
          </w:p>
        </w:tc>
        <w:tc>
          <w:tcPr>
            <w:tcW w:w="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8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$54,550</w:t>
            </w:r>
          </w:p>
        </w:tc>
      </w:tr>
      <w:tr>
        <w:trPr>
          <w:trHeight w:val="215"/>
        </w:trPr>
        <w:tc>
          <w:tcPr>
            <w:tcW w:w="12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 Offset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Federal</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Sources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Realty</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Investment</w:t>
            </w:r>
          </w:p>
        </w:tc>
        <w:tc>
          <w:tcPr>
            <w:tcW w:w="8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Trust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424(b)(5)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333-255863</w:t>
            </w:r>
          </w:p>
        </w:tc>
        <w:tc>
          <w:tcPr>
            <w:tcW w:w="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7, 2021</w:t>
            </w:r>
          </w:p>
        </w:tc>
        <w:tc>
          <w:tcPr>
            <w:tcW w:w="8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$10,435</w:t>
            </w:r>
          </w:p>
        </w:tc>
      </w:tr>
    </w:tbl>
    <w:p>
      <w:pPr>
        <w:spacing w:after="0" w:line="229"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 has terminated the offering that included the unsold securities under the prior registration statement.</w:t>
      </w:r>
    </w:p>
    <w:p>
      <w:pPr>
        <w:spacing w:after="0" w:line="23" w:lineRule="exact"/>
        <w:rPr>
          <w:rFonts w:ascii="Arial" w:cs="Arial" w:eastAsia="Arial" w:hAnsi="Arial"/>
          <w:sz w:val="18"/>
          <w:szCs w:val="18"/>
          <w:color w:val="auto"/>
        </w:rPr>
      </w:pPr>
    </w:p>
    <w:p>
      <w:pPr>
        <w:ind w:left="424" w:right="40" w:hanging="424"/>
        <w:spacing w:after="0" w:line="267" w:lineRule="auto"/>
        <w:tabs>
          <w:tab w:leader="none" w:pos="424"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February 24, 2021, Federal Realty Investment Trust (the predecessor of the Registrant, referred to as the “Predecessor”) filed a prospectus supplement registering an offering of $500,000,000 of aggregate offering amount of common shares (the “Initial Prospectus Supplement”). In connection with the filing of the Initial Prospectus Supplement, the Predecessor made a contemporaneous fee payment in the amount of $54,550. On May 7, 2021, the Predecessor terminated the offering to which the Initial Prospectus Supplement pertained. At the time of such termination, there remined $404,357,716 in aggregate offering amount of unsold securities under the Initial Prospectus Supplement. Also on May 7, 2021, the Predecessor filed a prospectus supplement registering a new offering of $500,000,000 of aggregate offering amount of common shares (the “Second Prospectus Supplement”). The total filing fee due with respect to the Second Prospectus Supplement was $54,550. Under Securities Act Rule 457(p), the Predecessor offset the total filing fee due by $44,115, which represented the portion of the filing fee paid in connection with the Initial Prospectus Supplement associated with the unsold securities thereunder. As a result of such offset, the Predecessor made a contemporaneous fee payment of $10,435 in connection with the Second Prospectus Supplement. As of February 14, 2022, the filing date of the prospectus supplement to which this Exhibit 107 pertains (the “Current Prospectus Supplement”), the Registrant (as the successor to the Predecessor) terminated the offering to which the Second Prospectus Supplement pertained, and there remained $174,968,277 in aggregate offering amount of unsold securities thereunder.</w:t>
      </w:r>
    </w:p>
    <w:p>
      <w:pPr>
        <w:spacing w:after="0" w:line="11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sectPr>
      <w:pgSz w:w="11900" w:h="16838" w:orient="portrait"/>
      <w:cols w:equalWidth="0" w:num="1">
        <w:col w:w="10924"/>
      </w:cols>
      <w:pgMar w:left="436"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301"/>
    </w:lvl>
  </w:abstractNum>
  <w:abstractNum w:abstractNumId="3">
    <w:nsid w:val="2CD89A32"/>
    <w:multiLevelType w:val="hybridMultilevel"/>
    <w:lvl w:ilvl="0">
      <w:lvlJc w:val="left"/>
      <w:lvlText w:val="(%1)"/>
      <w:numFmt w:val="lowerLetter"/>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2"/>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upperLetter"/>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lvl w:ilvl="1">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lvl w:ilvl="1">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lvl w:ilvl="1">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lvl w:ilvl="1">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4"/>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decimal"/>
      <w:start w:val="5"/>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lvl w:ilvl="1">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lvl w:ilvl="1">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8"/>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lvl w:ilvl="1">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lvl w:ilvl="1">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lvl w:ilvl="1">
      <w:lvlJc w:val="left"/>
      <w:lvlText w:val="•"/>
      <w:numFmt w:val="bullet"/>
      <w:start w:val="1"/>
    </w:lvl>
  </w:abstractNum>
  <w:abstractNum w:abstractNumId="80">
    <w:nsid w:val="1A27709E"/>
    <w:multiLevelType w:val="hybridMultilevel"/>
    <w:lvl w:ilvl="0">
      <w:lvlJc w:val="left"/>
      <w:lvlText w:val="•"/>
      <w:numFmt w:val="bullet"/>
      <w:start w:val="1"/>
    </w:lvl>
    <w:lvl w:ilvl="1">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jpe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96" Type="http://schemas.openxmlformats.org/officeDocument/2006/relationships/hyperlink" Target="http://www.sec.gov/ix?doc=/Archives/edgar/data/34903/000003490321000020/frt-20201231.htm" TargetMode="External"/><Relationship Id="rId97" Type="http://schemas.openxmlformats.org/officeDocument/2006/relationships/hyperlink" Target="http://www.sec.gov/Archives/edgar/data/34903/000119312521093583/d112637ddef14a.htm" TargetMode="External"/><Relationship Id="rId98" Type="http://schemas.openxmlformats.org/officeDocument/2006/relationships/hyperlink" Target="http://www.sec.gov/ix?doc=/Archives/edgar/data/34903/000003490321000049/frt-20210331.htm" TargetMode="External"/><Relationship Id="rId99" Type="http://schemas.openxmlformats.org/officeDocument/2006/relationships/hyperlink" Target="http://www.sec.gov/ix?doc=/Archives/edgar/data/34903/000003490321000060/frt-20210630.htm" TargetMode="External"/><Relationship Id="rId100" Type="http://schemas.openxmlformats.org/officeDocument/2006/relationships/hyperlink" Target="http://www.sec.gov/ix?doc=/Archives/edgar/data/34903/000003490321000076/frt-20210930.htm" TargetMode="External"/><Relationship Id="rId101" Type="http://schemas.openxmlformats.org/officeDocument/2006/relationships/hyperlink" Target="http://www.sec.gov/ix?doc=/Archives/edgar/data/34903/000119312521154127/d415709d8k.htm" TargetMode="External"/><Relationship Id="rId102" Type="http://schemas.openxmlformats.org/officeDocument/2006/relationships/hyperlink" Target="http://www.sec.gov/ix?doc=/Archives/edgar/data/34903/000003490321000066/frt-20210803.htm" TargetMode="External"/><Relationship Id="rId103" Type="http://schemas.openxmlformats.org/officeDocument/2006/relationships/hyperlink" Target="http://www.sec.gov/ix?doc=/Archives/edgar/data/34903/000003490321000080/frt-20211202.htm" TargetMode="External"/><Relationship Id="rId104" Type="http://schemas.openxmlformats.org/officeDocument/2006/relationships/hyperlink" Target="http://www.sec.gov/ix?doc=/Archives/edgar/data/34903/000119312522000302/d231372d8k12b.htm" TargetMode="External"/><Relationship Id="rId105" Type="http://schemas.openxmlformats.org/officeDocument/2006/relationships/hyperlink" Target="http://www.sec.gov/Archives/edgar/data/34903/000003490320000008/frt-12312019xex48.htm" TargetMode="External"/><Relationship Id="rId106"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2022-02-15T05:41:01Z</dcterms:created>
  <dcterms:modified xsi:type="dcterms:W3CDTF">2022-02-15T05:41:01Z</dcterms:modified>
</cp:coreProperties>
</file>