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354330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9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224155</wp:posOffset>
            </wp:positionV>
            <wp:extent cx="658368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905256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1888490</wp:posOffset>
            </wp:positionV>
            <wp:extent cx="69951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Letter to Our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27, 2026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behalf of the Board of Trustees and the entire Federal team, we invite you to join us for the 2026 Annual Meeting of Shareholders to be held virtually beginning at 9:00 a.m. eastern time on May 6, 2026. This proxy statement includes important information about how you can join and ask questions at the meeting and about the matters that will be voted on at the meeting.</w:t>
      </w:r>
    </w:p>
    <w:p>
      <w:pPr>
        <w:spacing w:after="0" w:line="16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Federal’s performance in 2025 was marked by a near record level of leasing activity demonstrating continued demand for our retail space and by a record level of new property acquisitions in existing markets as well as new markets that share the same key market characteristics. The strength of these activities combined with the ability to sell assets and realize the significant value that had been created over time allowed us to deliver record levels of revenue, net income and funds from operations for common shareholders in 2025. All parts of our business are working together to position us to be able to deliver strong results for years to come.</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strong performance would not have been possible without the extraordinary efforts of our Board and each and every one of our employees. We are extremely proud of the work this team has accomplished.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257810</wp:posOffset>
            </wp:positionV>
            <wp:extent cx="6686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163195</wp:posOffset>
            </wp:positionV>
            <wp:extent cx="104584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5657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5140" w:space="720"/>
            <w:col w:w="52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Election of 8 trustees for 1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-358775</wp:posOffset>
            </wp:positionV>
            <wp:extent cx="621474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4745"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7"/>
          <w:szCs w:val="17"/>
          <w:color w:val="auto"/>
        </w:rPr>
        <w:t>Non-binding advisory vote on 2025 executive compensation</w:t>
      </w:r>
    </w:p>
    <w:p>
      <w:pPr>
        <w:spacing w:after="0" w:line="200" w:lineRule="exact"/>
        <w:rPr>
          <w:sz w:val="20"/>
          <w:szCs w:val="20"/>
          <w:color w:val="auto"/>
        </w:rPr>
      </w:pPr>
    </w:p>
    <w:p>
      <w:pPr>
        <w:spacing w:after="0" w:line="228" w:lineRule="exact"/>
        <w:rPr>
          <w:sz w:val="20"/>
          <w:szCs w:val="20"/>
          <w:color w:val="auto"/>
        </w:rPr>
      </w:pPr>
    </w:p>
    <w:p>
      <w:pPr>
        <w:ind w:left="1560" w:right="1160" w:hanging="1443"/>
        <w:spacing w:after="0" w:line="271" w:lineRule="auto"/>
        <w:tabs>
          <w:tab w:leader="none" w:pos="154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8"/>
          <w:szCs w:val="18"/>
          <w:color w:val="auto"/>
        </w:rPr>
        <w:t>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Board Voting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Recommendation</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FF160F"/>
        </w:rPr>
        <w:t xml:space="preserve">FOR </w:t>
      </w:r>
      <w:r>
        <w:rPr>
          <w:rFonts w:ascii="Arial" w:cs="Arial" w:eastAsia="Arial" w:hAnsi="Arial"/>
          <w:sz w:val="17"/>
          <w:szCs w:val="17"/>
          <w:color w:val="000000"/>
        </w:rPr>
        <w:t>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-111760</wp:posOffset>
            </wp:positionV>
            <wp:extent cx="19685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FF160F"/>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-118745</wp:posOffset>
            </wp:positionV>
            <wp:extent cx="1968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974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FF160F"/>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-118745</wp:posOffset>
            </wp:positionV>
            <wp:extent cx="1968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8480" w:space="720"/>
            <w:col w:w="1940"/>
          </w:cols>
          <w:pgMar w:left="320" w:top="482" w:right="439" w:bottom="1440" w:gutter="0" w:footer="0" w:header="0"/>
          <w:type w:val="continuous"/>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business will be transacted as may properly come before the 2026 annual meeting of shareholders (“Annual Meeting”).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2026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180340</wp:posOffset>
            </wp:positionV>
            <wp:extent cx="2571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26543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163195</wp:posOffset>
            </wp:positionV>
            <wp:extent cx="19685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28321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197485</wp:posOffset>
            </wp:positionV>
            <wp:extent cx="248920"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340" w:type="dxa"/>
            <w:vAlign w:val="bottom"/>
          </w:tcPr>
          <w:p>
            <w:pPr>
              <w:jc w:val="center"/>
              <w:ind w:left="270"/>
              <w:spacing w:after="0"/>
              <w:rPr>
                <w:sz w:val="20"/>
                <w:szCs w:val="20"/>
                <w:color w:val="auto"/>
              </w:rPr>
            </w:pPr>
            <w:r>
              <w:rPr>
                <w:rFonts w:ascii="Arial" w:cs="Arial" w:eastAsia="Arial" w:hAnsi="Arial"/>
                <w:sz w:val="18"/>
                <w:szCs w:val="18"/>
                <w:color w:val="FF160F"/>
                <w:w w:val="99"/>
              </w:rPr>
              <w:t>Date and Time</w:t>
            </w:r>
          </w:p>
        </w:tc>
        <w:tc>
          <w:tcPr>
            <w:tcW w:w="4840" w:type="dxa"/>
            <w:vAlign w:val="bottom"/>
          </w:tcPr>
          <w:p>
            <w:pPr>
              <w:jc w:val="center"/>
              <w:spacing w:after="0"/>
              <w:rPr>
                <w:sz w:val="20"/>
                <w:szCs w:val="20"/>
                <w:color w:val="auto"/>
              </w:rPr>
            </w:pPr>
            <w:r>
              <w:rPr>
                <w:rFonts w:ascii="Arial" w:cs="Arial" w:eastAsia="Arial" w:hAnsi="Arial"/>
                <w:sz w:val="18"/>
                <w:szCs w:val="18"/>
                <w:color w:val="FF160F"/>
                <w:w w:val="99"/>
              </w:rPr>
              <w:t>Location</w:t>
            </w:r>
          </w:p>
        </w:tc>
        <w:tc>
          <w:tcPr>
            <w:tcW w:w="2840" w:type="dxa"/>
            <w:vAlign w:val="bottom"/>
          </w:tcPr>
          <w:p>
            <w:pPr>
              <w:jc w:val="center"/>
              <w:ind w:right="370"/>
              <w:spacing w:after="0"/>
              <w:rPr>
                <w:sz w:val="20"/>
                <w:szCs w:val="20"/>
                <w:color w:val="auto"/>
              </w:rPr>
            </w:pPr>
            <w:r>
              <w:rPr>
                <w:rFonts w:ascii="Arial" w:cs="Arial" w:eastAsia="Arial" w:hAnsi="Arial"/>
                <w:sz w:val="18"/>
                <w:szCs w:val="18"/>
                <w:color w:val="FF160F"/>
              </w:rPr>
              <w:t>Record Date</w:t>
            </w:r>
          </w:p>
        </w:tc>
      </w:tr>
      <w:tr>
        <w:trPr>
          <w:trHeight w:val="77"/>
        </w:trPr>
        <w:tc>
          <w:tcPr>
            <w:tcW w:w="334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r>
      <w:tr>
        <w:trPr>
          <w:trHeight w:val="339"/>
        </w:trPr>
        <w:tc>
          <w:tcPr>
            <w:tcW w:w="3340" w:type="dxa"/>
            <w:vAlign w:val="bottom"/>
          </w:tcPr>
          <w:p>
            <w:pPr>
              <w:jc w:val="center"/>
              <w:ind w:left="270"/>
              <w:spacing w:after="0"/>
              <w:rPr>
                <w:sz w:val="20"/>
                <w:szCs w:val="20"/>
                <w:color w:val="auto"/>
              </w:rPr>
            </w:pPr>
            <w:r>
              <w:rPr>
                <w:rFonts w:ascii="Arial" w:cs="Arial" w:eastAsia="Arial" w:hAnsi="Arial"/>
                <w:sz w:val="18"/>
                <w:szCs w:val="18"/>
                <w:color w:val="auto"/>
                <w:w w:val="98"/>
              </w:rPr>
              <w:t>Wednesday, May 6, 2026</w:t>
            </w:r>
          </w:p>
        </w:tc>
        <w:tc>
          <w:tcPr>
            <w:tcW w:w="4840" w:type="dxa"/>
            <w:vAlign w:val="bottom"/>
          </w:tcPr>
          <w:p>
            <w:pPr>
              <w:jc w:val="center"/>
              <w:spacing w:after="0"/>
              <w:rPr>
                <w:sz w:val="20"/>
                <w:szCs w:val="20"/>
                <w:color w:val="auto"/>
              </w:rPr>
            </w:pPr>
            <w:r>
              <w:rPr>
                <w:rFonts w:ascii="Arial" w:cs="Arial" w:eastAsia="Arial" w:hAnsi="Arial"/>
                <w:sz w:val="18"/>
                <w:szCs w:val="18"/>
                <w:color w:val="auto"/>
                <w:w w:val="99"/>
              </w:rPr>
              <w:t>Virtual Meeting</w:t>
            </w:r>
          </w:p>
        </w:tc>
        <w:tc>
          <w:tcPr>
            <w:tcW w:w="2840" w:type="dxa"/>
            <w:vAlign w:val="bottom"/>
          </w:tcPr>
          <w:p>
            <w:pPr>
              <w:jc w:val="center"/>
              <w:ind w:right="370"/>
              <w:spacing w:after="0"/>
              <w:rPr>
                <w:sz w:val="20"/>
                <w:szCs w:val="20"/>
                <w:color w:val="auto"/>
              </w:rPr>
            </w:pPr>
            <w:r>
              <w:rPr>
                <w:rFonts w:ascii="Arial" w:cs="Arial" w:eastAsia="Arial" w:hAnsi="Arial"/>
                <w:sz w:val="18"/>
                <w:szCs w:val="18"/>
                <w:color w:val="auto"/>
              </w:rPr>
              <w:t>March 16, 2026</w:t>
            </w:r>
          </w:p>
        </w:tc>
      </w:tr>
      <w:tr>
        <w:trPr>
          <w:trHeight w:val="239"/>
        </w:trPr>
        <w:tc>
          <w:tcPr>
            <w:tcW w:w="3340" w:type="dxa"/>
            <w:vAlign w:val="bottom"/>
          </w:tcPr>
          <w:p>
            <w:pPr>
              <w:jc w:val="center"/>
              <w:ind w:left="250"/>
              <w:spacing w:after="0"/>
              <w:rPr>
                <w:sz w:val="20"/>
                <w:szCs w:val="20"/>
                <w:color w:val="auto"/>
              </w:rPr>
            </w:pPr>
            <w:r>
              <w:rPr>
                <w:rFonts w:ascii="Arial" w:cs="Arial" w:eastAsia="Arial" w:hAnsi="Arial"/>
                <w:sz w:val="18"/>
                <w:szCs w:val="18"/>
                <w:color w:val="auto"/>
                <w:w w:val="99"/>
              </w:rPr>
              <w:t>9:00 a.m., Eastern Time</w:t>
            </w:r>
          </w:p>
        </w:tc>
        <w:tc>
          <w:tcPr>
            <w:tcW w:w="4840" w:type="dxa"/>
            <w:vAlign w:val="bottom"/>
          </w:tcPr>
          <w:p>
            <w:pPr>
              <w:jc w:val="center"/>
              <w:ind w:right="10"/>
              <w:spacing w:after="0"/>
              <w:rPr>
                <w:sz w:val="20"/>
                <w:szCs w:val="20"/>
                <w:color w:val="auto"/>
              </w:rPr>
            </w:pPr>
            <w:r>
              <w:rPr>
                <w:rFonts w:ascii="Arial" w:cs="Arial" w:eastAsia="Arial" w:hAnsi="Arial"/>
                <w:sz w:val="18"/>
                <w:szCs w:val="18"/>
                <w:color w:val="auto"/>
                <w:w w:val="99"/>
              </w:rPr>
              <w:t>https://edge.media-server.com/mmc/p/h5ru67ve</w:t>
            </w:r>
          </w:p>
        </w:tc>
        <w:tc>
          <w:tcPr>
            <w:tcW w:w="2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Whether or not you plan to attend the Annual Meeting and vote your Shares at the Annual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140970</wp:posOffset>
            </wp:positionV>
            <wp:extent cx="4114800" cy="1071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0" cy="10712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 Order of the Board of Trustees,</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Dawn M. Becker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Vice President</w:t>
      </w:r>
    </w:p>
    <w:p>
      <w:pPr>
        <w:ind w:left="120"/>
        <w:spacing w:after="0"/>
        <w:rPr>
          <w:sz w:val="20"/>
          <w:szCs w:val="20"/>
          <w:color w:val="auto"/>
        </w:rPr>
      </w:pPr>
      <w:r>
        <w:rPr>
          <w:rFonts w:ascii="Arial" w:cs="Arial" w:eastAsia="Arial" w:hAnsi="Arial"/>
          <w:sz w:val="18"/>
          <w:szCs w:val="18"/>
          <w:color w:val="auto"/>
        </w:rPr>
        <w:t>Chief Legal Officer And Secretary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27, 2026</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FF160F"/>
        </w:rPr>
        <w:t>Important Notice Regarding Internet Availability of Proxy Materials</w:t>
      </w:r>
    </w:p>
    <w:p>
      <w:pPr>
        <w:spacing w:after="0" w:line="208"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b w:val="1"/>
          <w:bCs w:val="1"/>
          <w:color w:val="auto"/>
        </w:rPr>
        <w:t xml:space="preserve">The proxy statement and annual report to shareholders, including our annual report on Form 10-K for the year ended December 31, 2025, are available at </w:t>
      </w:r>
      <w:r>
        <w:rPr>
          <w:rFonts w:ascii="Arial" w:cs="Arial" w:eastAsia="Arial" w:hAnsi="Arial"/>
          <w:sz w:val="16"/>
          <w:szCs w:val="16"/>
          <w:b w:val="1"/>
          <w:bCs w:val="1"/>
          <w:i w:val="1"/>
          <w:iCs w:val="1"/>
          <w:color w:val="auto"/>
        </w:rPr>
        <w:t>www.federalrealty.com</w:t>
      </w:r>
      <w:r>
        <w:rPr>
          <w:rFonts w:ascii="Arial" w:cs="Arial" w:eastAsia="Arial" w:hAnsi="Arial"/>
          <w:sz w:val="16"/>
          <w:szCs w:val="16"/>
          <w:b w:val="1"/>
          <w:bCs w:val="1"/>
          <w:color w:val="auto"/>
        </w:rPr>
        <w:t>. References in this proxy statement to our website are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provided for your convenience only and the content on our website does not constitute part of this proxy statement.</w:t>
      </w:r>
    </w:p>
    <w:p>
      <w:pPr>
        <w:sectPr>
          <w:pgSz w:w="11900" w:h="16838" w:orient="portrait"/>
          <w:cols w:equalWidth="0" w:num="2">
            <w:col w:w="4060" w:space="720"/>
            <w:col w:w="636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699516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940" w:type="dxa"/>
            <w:vAlign w:val="bottom"/>
            <w:gridSpan w:val="7"/>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OMPANY</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NFORMATION</w:t>
            </w:r>
          </w:p>
        </w:tc>
        <w:tc>
          <w:tcPr>
            <w:tcW w:w="1240" w:type="dxa"/>
            <w:vAlign w:val="bottom"/>
          </w:tcPr>
          <w:p>
            <w:pPr>
              <w:jc w:val="right"/>
              <w:ind w:right="23"/>
              <w:spacing w:after="0"/>
              <w:rPr>
                <w:sz w:val="20"/>
                <w:szCs w:val="20"/>
                <w:color w:val="auto"/>
              </w:rPr>
            </w:pPr>
            <w:r>
              <w:rPr>
                <w:rFonts w:ascii="Arial" w:cs="Arial" w:eastAsia="Arial" w:hAnsi="Arial"/>
                <w:sz w:val="22"/>
                <w:szCs w:val="22"/>
                <w:b w:val="1"/>
                <w:bCs w:val="1"/>
                <w:color w:val="FF160F"/>
              </w:rPr>
              <w:t>1</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Highlights of 2025 Company Performance</w:t>
            </w:r>
          </w:p>
        </w:tc>
        <w:tc>
          <w:tcPr>
            <w:tcW w:w="1020" w:type="dxa"/>
            <w:vAlign w:val="bottom"/>
          </w:tcPr>
          <w:p>
            <w:pPr>
              <w:spacing w:after="0"/>
              <w:rPr>
                <w:sz w:val="12"/>
                <w:szCs w:val="12"/>
                <w:color w:val="auto"/>
              </w:rPr>
            </w:pPr>
          </w:p>
        </w:tc>
        <w:tc>
          <w:tcPr>
            <w:tcW w:w="1240" w:type="dxa"/>
            <w:vAlign w:val="bottom"/>
          </w:tcPr>
          <w:p>
            <w:pPr>
              <w:jc w:val="right"/>
              <w:ind w:right="23"/>
              <w:spacing w:after="0"/>
              <w:rPr>
                <w:sz w:val="20"/>
                <w:szCs w:val="20"/>
                <w:color w:val="auto"/>
              </w:rPr>
            </w:pPr>
            <w:r>
              <w:rPr>
                <w:rFonts w:ascii="Arial" w:cs="Arial" w:eastAsia="Arial" w:hAnsi="Arial"/>
                <w:sz w:val="13"/>
                <w:szCs w:val="13"/>
                <w:color w:val="auto"/>
              </w:rPr>
              <w:t>1</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Corporate Values</w:t>
            </w:r>
          </w:p>
        </w:tc>
        <w:tc>
          <w:tcPr>
            <w:tcW w:w="2580" w:type="dxa"/>
            <w:vAlign w:val="bottom"/>
            <w:gridSpan w:val="4"/>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gridSpan w:val="6"/>
          </w:tcPr>
          <w:p>
            <w:pPr>
              <w:spacing w:after="0"/>
              <w:rPr>
                <w:sz w:val="20"/>
                <w:szCs w:val="20"/>
                <w:color w:val="auto"/>
              </w:rPr>
            </w:pPr>
            <w:r>
              <w:rPr>
                <w:rFonts w:ascii="Arial" w:cs="Arial" w:eastAsia="Arial" w:hAnsi="Arial"/>
                <w:sz w:val="14"/>
                <w:szCs w:val="14"/>
                <w:color w:val="0000EE"/>
              </w:rPr>
              <w:t>Our Board</w:t>
            </w: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Sustainability Snapshot</w:t>
            </w:r>
          </w:p>
        </w:tc>
        <w:tc>
          <w:tcPr>
            <w:tcW w:w="2200" w:type="dxa"/>
            <w:vAlign w:val="bottom"/>
            <w:gridSpan w:val="3"/>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3</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40" w:type="dxa"/>
            <w:vAlign w:val="bottom"/>
            <w:gridSpan w:val="15"/>
          </w:tcPr>
          <w:p>
            <w:pPr>
              <w:spacing w:after="0"/>
              <w:rPr>
                <w:sz w:val="20"/>
                <w:szCs w:val="20"/>
                <w:color w:val="auto"/>
              </w:rPr>
            </w:pPr>
            <w:r>
              <w:rPr>
                <w:rFonts w:ascii="Arial" w:cs="Arial" w:eastAsia="Arial" w:hAnsi="Arial"/>
                <w:sz w:val="22"/>
                <w:szCs w:val="22"/>
                <w:b w:val="1"/>
                <w:bCs w:val="1"/>
                <w:color w:val="0000EE"/>
              </w:rPr>
              <w:t>G</w:t>
            </w:r>
            <w:r>
              <w:rPr>
                <w:rFonts w:ascii="Arial" w:cs="Arial" w:eastAsia="Arial" w:hAnsi="Arial"/>
                <w:sz w:val="17"/>
                <w:szCs w:val="17"/>
                <w:b w:val="1"/>
                <w:bCs w:val="1"/>
                <w:color w:val="0000EE"/>
              </w:rPr>
              <w:t>OVERNING THE</w:t>
            </w:r>
            <w:r>
              <w:rPr>
                <w:rFonts w:ascii="Arial" w:cs="Arial" w:eastAsia="Arial" w:hAnsi="Arial"/>
                <w:sz w:val="22"/>
                <w:szCs w:val="22"/>
                <w:b w:val="1"/>
                <w:bCs w:val="1"/>
                <w:color w:val="0000EE"/>
              </w:rPr>
              <w:t xml:space="preserve"> C</w:t>
            </w:r>
            <w:r>
              <w:rPr>
                <w:rFonts w:ascii="Arial" w:cs="Arial" w:eastAsia="Arial" w:hAnsi="Arial"/>
                <w:sz w:val="17"/>
                <w:szCs w:val="17"/>
                <w:b w:val="1"/>
                <w:bCs w:val="1"/>
                <w:color w:val="0000EE"/>
              </w:rPr>
              <w:t>OMPANY</w:t>
            </w:r>
          </w:p>
        </w:tc>
        <w:tc>
          <w:tcPr>
            <w:tcW w:w="640" w:type="dxa"/>
            <w:vAlign w:val="bottom"/>
          </w:tcPr>
          <w:p>
            <w:pPr>
              <w:jc w:val="right"/>
              <w:ind w:right="25"/>
              <w:spacing w:after="0"/>
              <w:rPr>
                <w:sz w:val="20"/>
                <w:szCs w:val="20"/>
                <w:color w:val="auto"/>
              </w:rPr>
            </w:pPr>
            <w:r>
              <w:rPr>
                <w:rFonts w:ascii="Arial" w:cs="Arial" w:eastAsia="Arial" w:hAnsi="Arial"/>
                <w:sz w:val="22"/>
                <w:szCs w:val="22"/>
                <w:b w:val="1"/>
                <w:bCs w:val="1"/>
                <w:color w:val="FF160F"/>
              </w:rPr>
              <w:t>4</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Governance Documents</w:t>
            </w:r>
          </w:p>
        </w:tc>
        <w:tc>
          <w:tcPr>
            <w:tcW w:w="2740" w:type="dxa"/>
            <w:vAlign w:val="bottom"/>
            <w:gridSpan w:val="9"/>
          </w:tcPr>
          <w:p>
            <w:pPr>
              <w:spacing w:after="0"/>
              <w:rPr>
                <w:sz w:val="12"/>
                <w:szCs w:val="12"/>
                <w:color w:val="auto"/>
              </w:rPr>
            </w:pPr>
          </w:p>
        </w:tc>
        <w:tc>
          <w:tcPr>
            <w:tcW w:w="640" w:type="dxa"/>
            <w:vAlign w:val="bottom"/>
          </w:tcPr>
          <w:p>
            <w:pPr>
              <w:jc w:val="right"/>
              <w:ind w:right="25"/>
              <w:spacing w:after="0" w:line="149" w:lineRule="exact"/>
              <w:rPr>
                <w:sz w:val="20"/>
                <w:szCs w:val="20"/>
                <w:color w:val="auto"/>
              </w:rPr>
            </w:pPr>
            <w:r>
              <w:rPr>
                <w:rFonts w:ascii="Arial" w:cs="Arial" w:eastAsia="Arial" w:hAnsi="Arial"/>
                <w:sz w:val="14"/>
                <w:szCs w:val="14"/>
                <w:color w:val="auto"/>
              </w:rPr>
              <w:t>4</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Governance Policies and Procedures</w:t>
            </w:r>
          </w:p>
        </w:tc>
        <w:tc>
          <w:tcPr>
            <w:tcW w:w="1920" w:type="dxa"/>
            <w:vAlign w:val="bottom"/>
            <w:gridSpan w:val="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Board Leadership</w:t>
            </w:r>
          </w:p>
        </w:tc>
        <w:tc>
          <w:tcPr>
            <w:tcW w:w="3160" w:type="dxa"/>
            <w:vAlign w:val="bottom"/>
            <w:gridSpan w:val="1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Board and Committee Meetings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Board Committees</w:t>
            </w:r>
          </w:p>
        </w:tc>
        <w:tc>
          <w:tcPr>
            <w:tcW w:w="820" w:type="dxa"/>
            <w:vAlign w:val="bottom"/>
            <w:tcBorders>
              <w:top w:val="single" w:sz="8" w:color="0000EE"/>
            </w:tcBorders>
            <w:gridSpan w:val="6"/>
          </w:tcPr>
          <w:p>
            <w:pPr>
              <w:spacing w:after="0"/>
              <w:rPr>
                <w:sz w:val="14"/>
                <w:szCs w:val="14"/>
                <w:color w:val="auto"/>
              </w:rPr>
            </w:pPr>
          </w:p>
        </w:tc>
        <w:tc>
          <w:tcPr>
            <w:tcW w:w="2280" w:type="dxa"/>
            <w:vAlign w:val="bottom"/>
            <w:gridSpan w:val="6"/>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Board’s Role in Risk Oversight</w:t>
            </w:r>
          </w:p>
        </w:tc>
        <w:tc>
          <w:tcPr>
            <w:tcW w:w="2340" w:type="dxa"/>
            <w:vAlign w:val="bottom"/>
            <w:gridSpan w:val="7"/>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7</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Board and Committee Evaluation Process</w:t>
            </w:r>
          </w:p>
        </w:tc>
        <w:tc>
          <w:tcPr>
            <w:tcW w:w="1620" w:type="dxa"/>
            <w:vAlign w:val="bottom"/>
            <w:gridSpan w:val="2"/>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8</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Succession Planning</w:t>
            </w:r>
          </w:p>
        </w:tc>
        <w:tc>
          <w:tcPr>
            <w:tcW w:w="2960" w:type="dxa"/>
            <w:vAlign w:val="bottom"/>
            <w:gridSpan w:val="11"/>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Communications with the Board</w:t>
            </w:r>
          </w:p>
        </w:tc>
        <w:tc>
          <w:tcPr>
            <w:tcW w:w="2260" w:type="dxa"/>
            <w:vAlign w:val="bottom"/>
            <w:gridSpan w:val="5"/>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Related Party Transactions</w:t>
            </w:r>
          </w:p>
        </w:tc>
        <w:tc>
          <w:tcPr>
            <w:tcW w:w="2160" w:type="dxa"/>
            <w:vAlign w:val="bottom"/>
            <w:tcBorders>
              <w:top w:val="single" w:sz="8" w:color="0000EE"/>
            </w:tcBorders>
            <w:gridSpan w:val="7"/>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Trustee Independence</w:t>
            </w:r>
          </w:p>
        </w:tc>
        <w:tc>
          <w:tcPr>
            <w:tcW w:w="2860" w:type="dxa"/>
            <w:vAlign w:val="bottom"/>
            <w:gridSpan w:val="10"/>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RUSTEES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11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gridSpan w:val="25"/>
          </w:tcPr>
          <w:p>
            <w:pPr>
              <w:spacing w:after="0" w:line="149" w:lineRule="exact"/>
              <w:rPr>
                <w:sz w:val="20"/>
                <w:szCs w:val="20"/>
                <w:color w:val="auto"/>
              </w:rPr>
            </w:pPr>
            <w:r>
              <w:rPr>
                <w:rFonts w:ascii="Arial" w:cs="Arial" w:eastAsia="Arial" w:hAnsi="Arial"/>
                <w:sz w:val="14"/>
                <w:szCs w:val="14"/>
                <w:color w:val="0000EE"/>
              </w:rPr>
              <w:t>Vote Required and Majority Voting Standard</w:t>
            </w: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rPr>
              <w:t>Nominee Characteristics and Selection</w:t>
            </w:r>
          </w:p>
        </w:tc>
        <w:tc>
          <w:tcPr>
            <w:tcW w:w="1660" w:type="dxa"/>
            <w:vAlign w:val="bottom"/>
            <w:gridSpan w:val="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top w:val="single" w:sz="8" w:color="0000EE"/>
            </w:tcBorders>
            <w:gridSpan w:val="13"/>
          </w:tcPr>
          <w:p>
            <w:pPr>
              <w:spacing w:after="0"/>
              <w:rPr>
                <w:sz w:val="20"/>
                <w:szCs w:val="20"/>
                <w:color w:val="auto"/>
              </w:rPr>
            </w:pPr>
            <w:r>
              <w:rPr>
                <w:rFonts w:ascii="Arial" w:cs="Arial" w:eastAsia="Arial" w:hAnsi="Arial"/>
                <w:sz w:val="14"/>
                <w:szCs w:val="14"/>
                <w:color w:val="0000EE"/>
              </w:rPr>
              <w:t>Nominee Diversity and Tenure</w:t>
            </w:r>
          </w:p>
        </w:tc>
        <w:tc>
          <w:tcPr>
            <w:tcW w:w="1980" w:type="dxa"/>
            <w:vAlign w:val="bottom"/>
            <w:gridSpan w:val="12"/>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0000EE"/>
              </w:rPr>
              <w:t>Our Nominees</w:t>
            </w:r>
          </w:p>
        </w:tc>
        <w:tc>
          <w:tcPr>
            <w:tcW w:w="2540" w:type="dxa"/>
            <w:vAlign w:val="bottom"/>
            <w:gridSpan w:val="1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Trustee Compensation</w:t>
            </w:r>
          </w:p>
        </w:tc>
        <w:tc>
          <w:tcPr>
            <w:tcW w:w="3000" w:type="dxa"/>
            <w:vAlign w:val="bottom"/>
            <w:gridSpan w:val="20"/>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2"/>
                <w:szCs w:val="22"/>
                <w:b w:val="1"/>
                <w:bCs w:val="1"/>
                <w:color w:val="0000EE"/>
              </w:rPr>
              <w:t xml:space="preserve"> E</w:t>
            </w:r>
            <w:r>
              <w:rPr>
                <w:rFonts w:ascii="Arial" w:cs="Arial" w:eastAsia="Arial" w:hAnsi="Arial"/>
                <w:sz w:val="17"/>
                <w:szCs w:val="17"/>
                <w:b w:val="1"/>
                <w:bCs w:val="1"/>
                <w:color w:val="0000EE"/>
              </w:rPr>
              <w:t>XECUTIVE</w:t>
            </w:r>
          </w:p>
        </w:tc>
        <w:tc>
          <w:tcPr>
            <w:tcW w:w="480" w:type="dxa"/>
            <w:vAlign w:val="bottom"/>
            <w:vMerge w:val="restart"/>
          </w:tcPr>
          <w:p>
            <w:pPr>
              <w:jc w:val="right"/>
              <w:ind w:right="23"/>
              <w:spacing w:after="0"/>
              <w:rPr>
                <w:sz w:val="20"/>
                <w:szCs w:val="20"/>
                <w:color w:val="auto"/>
              </w:rPr>
            </w:pPr>
            <w:r>
              <w:rPr>
                <w:rFonts w:ascii="Arial" w:cs="Arial" w:eastAsia="Arial" w:hAnsi="Arial"/>
                <w:sz w:val="22"/>
                <w:szCs w:val="22"/>
                <w:b w:val="1"/>
                <w:bCs w:val="1"/>
                <w:color w:val="FF160F"/>
              </w:rPr>
              <w:t>19</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00" w:type="dxa"/>
            <w:vAlign w:val="bottom"/>
            <w:tcBorders>
              <w:top w:val="single" w:sz="8" w:color="0000EE"/>
            </w:tcBorders>
            <w:gridSpan w:val="23"/>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700" w:type="dxa"/>
            <w:vAlign w:val="bottom"/>
            <w:gridSpan w:val="26"/>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D</w:t>
            </w:r>
            <w:r>
              <w:rPr>
                <w:rFonts w:ascii="Arial" w:cs="Arial" w:eastAsia="Arial" w:hAnsi="Arial"/>
                <w:sz w:val="17"/>
                <w:szCs w:val="17"/>
                <w:b w:val="1"/>
                <w:bCs w:val="1"/>
                <w:color w:val="0000EE"/>
              </w:rPr>
              <w:t>ISCUSSION AND</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NALYSIS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20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4"/>
                <w:szCs w:val="14"/>
                <w:color w:val="0000EE"/>
              </w:rPr>
              <w:t>Introduction</w:t>
            </w:r>
          </w:p>
        </w:tc>
        <w:tc>
          <w:tcPr>
            <w:tcW w:w="3700" w:type="dxa"/>
            <w:vAlign w:val="bottom"/>
            <w:gridSpan w:val="23"/>
          </w:tcPr>
          <w:p>
            <w:pPr>
              <w:spacing w:after="0"/>
              <w:rPr>
                <w:sz w:val="12"/>
                <w:szCs w:val="12"/>
                <w:color w:val="auto"/>
              </w:rPr>
            </w:pP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2025 Business Highlights supporting Compensation Decisions</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rPr>
              <w:t>Program Philosophy and Objectives</w:t>
            </w:r>
          </w:p>
        </w:tc>
        <w:tc>
          <w:tcPr>
            <w:tcW w:w="1660" w:type="dxa"/>
            <w:vAlign w:val="bottom"/>
            <w:tcBorders>
              <w:top w:val="single" w:sz="8" w:color="0000EE"/>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Executive Compensation Practices</w:t>
            </w:r>
          </w:p>
        </w:tc>
        <w:tc>
          <w:tcPr>
            <w:tcW w:w="1880" w:type="dxa"/>
            <w:vAlign w:val="bottom"/>
            <w:gridSpan w:val="10"/>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Components of Compensation</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Compensation Setting Process</w:t>
            </w:r>
          </w:p>
        </w:tc>
        <w:tc>
          <w:tcPr>
            <w:tcW w:w="2480" w:type="dxa"/>
            <w:vAlign w:val="bottom"/>
            <w:gridSpan w:val="1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Annual Compensation Decision Making</w:t>
            </w:r>
          </w:p>
        </w:tc>
        <w:tc>
          <w:tcPr>
            <w:tcW w:w="1600" w:type="dxa"/>
            <w:vAlign w:val="bottom"/>
            <w:gridSpan w:val="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Role of the Compensation Committee</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0000EE"/>
              </w:rPr>
              <w:t>Role of Management</w:t>
            </w:r>
          </w:p>
        </w:tc>
        <w:tc>
          <w:tcPr>
            <w:tcW w:w="1060" w:type="dxa"/>
            <w:vAlign w:val="bottom"/>
            <w:tcBorders>
              <w:top w:val="single" w:sz="8" w:color="0000EE"/>
            </w:tcBorders>
            <w:gridSpan w:val="11"/>
          </w:tcPr>
          <w:p>
            <w:pPr>
              <w:spacing w:after="0"/>
              <w:rPr>
                <w:sz w:val="14"/>
                <w:szCs w:val="14"/>
                <w:color w:val="auto"/>
              </w:rPr>
            </w:pPr>
          </w:p>
        </w:tc>
        <w:tc>
          <w:tcPr>
            <w:tcW w:w="1720" w:type="dxa"/>
            <w:vAlign w:val="bottom"/>
            <w:gridSpan w:val="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Role of Independent Compensation Consultant</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2025 Compensation Decisions</w:t>
            </w:r>
          </w:p>
        </w:tc>
        <w:tc>
          <w:tcPr>
            <w:tcW w:w="2500" w:type="dxa"/>
            <w:vAlign w:val="bottom"/>
            <w:gridSpan w:val="1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rPr>
              <w:t>Setting 2025 Target Compensation</w:t>
            </w:r>
          </w:p>
        </w:tc>
        <w:tc>
          <w:tcPr>
            <w:tcW w:w="1900" w:type="dxa"/>
            <w:vAlign w:val="bottom"/>
            <w:gridSpan w:val="11"/>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4"/>
          </w:tcPr>
          <w:p>
            <w:pPr>
              <w:spacing w:after="0"/>
              <w:rPr>
                <w:sz w:val="20"/>
                <w:szCs w:val="20"/>
                <w:color w:val="auto"/>
              </w:rPr>
            </w:pPr>
            <w:r>
              <w:rPr>
                <w:rFonts w:ascii="Arial" w:cs="Arial" w:eastAsia="Arial" w:hAnsi="Arial"/>
                <w:sz w:val="14"/>
                <w:szCs w:val="14"/>
                <w:color w:val="0000EE"/>
              </w:rPr>
              <w:t>Individual Elements of 2025 Pay</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2025 NEO Performance Summary</w:t>
            </w:r>
          </w:p>
        </w:tc>
        <w:tc>
          <w:tcPr>
            <w:tcW w:w="2260" w:type="dxa"/>
            <w:vAlign w:val="bottom"/>
            <w:gridSpan w:val="15"/>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Other Compensation Practices and Policies</w:t>
            </w:r>
          </w:p>
        </w:tc>
        <w:tc>
          <w:tcPr>
            <w:tcW w:w="1340" w:type="dxa"/>
            <w:vAlign w:val="bottom"/>
            <w:gridSpan w:val="4"/>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Consideration of Say on Pay Vote</w:t>
            </w:r>
          </w:p>
        </w:tc>
        <w:tc>
          <w:tcPr>
            <w:tcW w:w="1640" w:type="dxa"/>
            <w:vAlign w:val="bottom"/>
            <w:gridSpan w:val="6"/>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4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No Hedging or Pledging of our Shares</w:t>
            </w:r>
          </w:p>
        </w:tc>
        <w:tc>
          <w:tcPr>
            <w:tcW w:w="1360" w:type="dxa"/>
            <w:vAlign w:val="bottom"/>
            <w:gridSpan w:val="5"/>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3800" w:type="dxa"/>
            <w:vAlign w:val="bottom"/>
            <w:gridSpan w:val="12"/>
          </w:tcPr>
          <w:p>
            <w:pPr>
              <w:spacing w:after="0"/>
              <w:rPr>
                <w:sz w:val="20"/>
                <w:szCs w:val="20"/>
                <w:color w:val="auto"/>
              </w:rPr>
            </w:pPr>
            <w:r>
              <w:rPr>
                <w:rFonts w:ascii="Arial" w:cs="Arial" w:eastAsia="Arial" w:hAnsi="Arial"/>
                <w:sz w:val="14"/>
                <w:szCs w:val="14"/>
                <w:color w:val="0000EE"/>
              </w:rPr>
              <w:t>Severance and Change-in-Control Arrangements</w:t>
            </w: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10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rPr>
              <w:t>Clawback Policy</w:t>
            </w:r>
          </w:p>
        </w:tc>
        <w:tc>
          <w:tcPr>
            <w:tcW w:w="2060" w:type="dxa"/>
            <w:vAlign w:val="bottom"/>
            <w:tcBorders>
              <w:top w:val="single" w:sz="8" w:color="0000EE"/>
            </w:tcBorders>
            <w:gridSpan w:val="10"/>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8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Share Ownership Guidelines</w:t>
            </w:r>
          </w:p>
        </w:tc>
        <w:tc>
          <w:tcPr>
            <w:tcW w:w="1960" w:type="dxa"/>
            <w:vAlign w:val="bottom"/>
            <w:gridSpan w:val="7"/>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290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Risk Assessment of Compensation Programs</w:t>
            </w:r>
          </w:p>
        </w:tc>
        <w:tc>
          <w:tcPr>
            <w:tcW w:w="900" w:type="dxa"/>
            <w:vAlign w:val="bottom"/>
            <w:gridSpan w:val="2"/>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4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Equity Grant Practices</w:t>
            </w:r>
          </w:p>
        </w:tc>
        <w:tc>
          <w:tcPr>
            <w:tcW w:w="2360" w:type="dxa"/>
            <w:vAlign w:val="bottom"/>
            <w:gridSpan w:val="9"/>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340" w:type="dxa"/>
            <w:vAlign w:val="bottom"/>
          </w:tcPr>
          <w:p>
            <w:pPr>
              <w:spacing w:after="0"/>
              <w:rPr>
                <w:sz w:val="14"/>
                <w:szCs w:val="14"/>
                <w:color w:val="auto"/>
              </w:rPr>
            </w:pPr>
          </w:p>
        </w:tc>
        <w:tc>
          <w:tcPr>
            <w:tcW w:w="3800" w:type="dxa"/>
            <w:vAlign w:val="bottom"/>
            <w:gridSpan w:val="12"/>
          </w:tcPr>
          <w:p>
            <w:pPr>
              <w:spacing w:after="0"/>
              <w:rPr>
                <w:sz w:val="20"/>
                <w:szCs w:val="20"/>
                <w:color w:val="auto"/>
              </w:rPr>
            </w:pPr>
            <w:r>
              <w:rPr>
                <w:rFonts w:ascii="Arial" w:cs="Arial" w:eastAsia="Arial" w:hAnsi="Arial"/>
                <w:sz w:val="14"/>
                <w:szCs w:val="14"/>
                <w:color w:val="0000EE"/>
              </w:rPr>
              <w:t>Insider Trading Policy</w:t>
            </w: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3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28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Tax Deductibility of Executive Compensation</w:t>
            </w:r>
          </w:p>
        </w:tc>
        <w:tc>
          <w:tcPr>
            <w:tcW w:w="960" w:type="dxa"/>
            <w:vAlign w:val="bottom"/>
            <w:gridSpan w:val="3"/>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340" w:type="dxa"/>
            <w:vAlign w:val="bottom"/>
          </w:tcPr>
          <w:p>
            <w:pPr>
              <w:spacing w:after="0"/>
              <w:rPr>
                <w:sz w:val="14"/>
                <w:szCs w:val="14"/>
                <w:color w:val="auto"/>
              </w:rPr>
            </w:pPr>
          </w:p>
        </w:tc>
        <w:tc>
          <w:tcPr>
            <w:tcW w:w="180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Health and Welfare Benefits</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21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Compensation Committee Report</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ABLES AND</w:t>
            </w:r>
            <w:r>
              <w:rPr>
                <w:rFonts w:ascii="Arial" w:cs="Arial" w:eastAsia="Arial" w:hAnsi="Arial"/>
                <w:sz w:val="22"/>
                <w:szCs w:val="22"/>
                <w:b w:val="1"/>
                <w:bCs w:val="1"/>
                <w:color w:val="0000EE"/>
              </w:rPr>
              <w:t xml:space="preserve"> N</w:t>
            </w:r>
            <w:r>
              <w:rPr>
                <w:rFonts w:ascii="Arial" w:cs="Arial" w:eastAsia="Arial" w:hAnsi="Arial"/>
                <w:sz w:val="17"/>
                <w:szCs w:val="17"/>
                <w:b w:val="1"/>
                <w:bCs w:val="1"/>
                <w:color w:val="0000EE"/>
              </w:rPr>
              <w:t>ARRATIVES</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32</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Summary Compensation Table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Grants of Plan Based Awards Table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000" w:type="dxa"/>
            <w:vAlign w:val="bottom"/>
            <w:gridSpan w:val="7"/>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Options Exercised and Stock Vested in 2025</w:t>
            </w:r>
          </w:p>
        </w:tc>
        <w:tc>
          <w:tcPr>
            <w:tcW w:w="1500" w:type="dxa"/>
            <w:vAlign w:val="bottom"/>
            <w:gridSpan w:val="11"/>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Non-Qualified Deferred Compensation</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Potential Payments on Termination of Employment and</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400" w:type="dxa"/>
            <w:vAlign w:val="bottom"/>
            <w:tcBorders>
              <w:top w:val="single" w:sz="8" w:color="0000EE"/>
            </w:tcBorders>
            <w:gridSpan w:val="23"/>
          </w:tcPr>
          <w:p>
            <w:pPr>
              <w:spacing w:after="0" w:line="142" w:lineRule="exact"/>
              <w:rPr>
                <w:sz w:val="20"/>
                <w:szCs w:val="20"/>
                <w:color w:val="auto"/>
              </w:rPr>
            </w:pPr>
            <w:r>
              <w:rPr>
                <w:rFonts w:ascii="Arial" w:cs="Arial" w:eastAsia="Arial" w:hAnsi="Arial"/>
                <w:sz w:val="14"/>
                <w:szCs w:val="14"/>
                <w:color w:val="0000EE"/>
              </w:rPr>
              <w:t>Change-in-Control</w:t>
            </w:r>
          </w:p>
        </w:tc>
        <w:tc>
          <w:tcPr>
            <w:tcW w:w="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CEO Pay Ratio</w:t>
            </w:r>
          </w:p>
        </w:tc>
        <w:tc>
          <w:tcPr>
            <w:tcW w:w="3360" w:type="dxa"/>
            <w:vAlign w:val="bottom"/>
            <w:gridSpan w:val="26"/>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Pay Versus Performance Disclosure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Equity Compensation Plan Information</w:t>
            </w:r>
          </w:p>
        </w:tc>
        <w:tc>
          <w:tcPr>
            <w:tcW w:w="1880" w:type="dxa"/>
            <w:vAlign w:val="bottom"/>
            <w:gridSpan w:val="15"/>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3: R</w:t>
            </w:r>
            <w:r>
              <w:rPr>
                <w:rFonts w:ascii="Arial" w:cs="Arial" w:eastAsia="Arial" w:hAnsi="Arial"/>
                <w:sz w:val="17"/>
                <w:szCs w:val="17"/>
                <w:b w:val="1"/>
                <w:bCs w:val="1"/>
                <w:color w:val="0000EE"/>
              </w:rPr>
              <w:t>ATIFICATION OF</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NDEPENDENT</w:t>
            </w:r>
          </w:p>
        </w:tc>
        <w:tc>
          <w:tcPr>
            <w:tcW w:w="720" w:type="dxa"/>
            <w:vAlign w:val="bottom"/>
            <w:vMerge w:val="restart"/>
          </w:tcPr>
          <w:p>
            <w:pPr>
              <w:jc w:val="right"/>
              <w:ind w:right="1"/>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80" w:type="dxa"/>
            <w:vAlign w:val="bottom"/>
            <w:tcBorders>
              <w:top w:val="single" w:sz="8" w:color="0000EE"/>
            </w:tcBorders>
            <w:gridSpan w:val="30"/>
          </w:tcPr>
          <w:p>
            <w:pPr>
              <w:spacing w:after="0" w:line="223" w:lineRule="exact"/>
              <w:rPr>
                <w:sz w:val="20"/>
                <w:szCs w:val="20"/>
                <w:color w:val="auto"/>
              </w:rPr>
            </w:pPr>
            <w:r>
              <w:rPr>
                <w:rFonts w:ascii="Arial" w:cs="Arial" w:eastAsia="Arial" w:hAnsi="Arial"/>
                <w:sz w:val="22"/>
                <w:szCs w:val="22"/>
                <w:b w:val="1"/>
                <w:bCs w:val="1"/>
                <w:color w:val="0000EE"/>
              </w:rPr>
              <w:t>R</w:t>
            </w:r>
            <w:r>
              <w:rPr>
                <w:rFonts w:ascii="Arial" w:cs="Arial" w:eastAsia="Arial" w:hAnsi="Arial"/>
                <w:sz w:val="17"/>
                <w:szCs w:val="17"/>
                <w:b w:val="1"/>
                <w:bCs w:val="1"/>
                <w:color w:val="0000EE"/>
              </w:rPr>
              <w:t>EGISTERED</w:t>
            </w:r>
            <w:r>
              <w:rPr>
                <w:rFonts w:ascii="Arial" w:cs="Arial" w:eastAsia="Arial" w:hAnsi="Arial"/>
                <w:sz w:val="22"/>
                <w:szCs w:val="22"/>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IRM</w:t>
            </w: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Audit Committee Report</w:t>
            </w:r>
          </w:p>
        </w:tc>
        <w:tc>
          <w:tcPr>
            <w:tcW w:w="2800" w:type="dxa"/>
            <w:vAlign w:val="bottom"/>
            <w:gridSpan w:val="2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17"/>
                <w:szCs w:val="17"/>
                <w:b w:val="1"/>
                <w:bCs w:val="1"/>
                <w:color w:val="0000EE"/>
              </w:rPr>
              <w:t>ENEFICIAL</w:t>
            </w:r>
            <w:r>
              <w:rPr>
                <w:rFonts w:ascii="Arial" w:cs="Arial" w:eastAsia="Arial" w:hAnsi="Arial"/>
                <w:sz w:val="22"/>
                <w:szCs w:val="22"/>
                <w:b w:val="1"/>
                <w:bCs w:val="1"/>
                <w:color w:val="0000EE"/>
              </w:rPr>
              <w:t xml:space="preserve"> O</w:t>
            </w:r>
            <w:r>
              <w:rPr>
                <w:rFonts w:ascii="Arial" w:cs="Arial" w:eastAsia="Arial" w:hAnsi="Arial"/>
                <w:sz w:val="17"/>
                <w:szCs w:val="17"/>
                <w:b w:val="1"/>
                <w:bCs w:val="1"/>
                <w:color w:val="0000EE"/>
              </w:rPr>
              <w:t>WNERSHIP</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43</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Borders>
              <w:bottom w:val="single" w:sz="8" w:color="0000EE"/>
            </w:tcBorders>
            <w:gridSpan w:val="13"/>
          </w:tcPr>
          <w:p>
            <w:pPr>
              <w:spacing w:after="0" w:line="149" w:lineRule="exact"/>
              <w:rPr>
                <w:sz w:val="20"/>
                <w:szCs w:val="20"/>
                <w:color w:val="auto"/>
              </w:rPr>
            </w:pPr>
            <w:r>
              <w:rPr>
                <w:rFonts w:ascii="Arial" w:cs="Arial" w:eastAsia="Arial" w:hAnsi="Arial"/>
                <w:sz w:val="14"/>
                <w:szCs w:val="14"/>
                <w:color w:val="0000EE"/>
              </w:rPr>
              <w:t>Ownership of Principal Shareholders</w:t>
            </w:r>
          </w:p>
        </w:tc>
        <w:tc>
          <w:tcPr>
            <w:tcW w:w="2000" w:type="dxa"/>
            <w:vAlign w:val="bottom"/>
            <w:gridSpan w:val="17"/>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Ownership of Trustees and Executive Officers</w:t>
            </w:r>
          </w:p>
        </w:tc>
        <w:tc>
          <w:tcPr>
            <w:tcW w:w="1420" w:type="dxa"/>
            <w:vAlign w:val="bottom"/>
            <w:gridSpan w:val="10"/>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I</w:t>
            </w:r>
            <w:r>
              <w:rPr>
                <w:rFonts w:ascii="Arial" w:cs="Arial" w:eastAsia="Arial" w:hAnsi="Arial"/>
                <w:sz w:val="17"/>
                <w:szCs w:val="17"/>
                <w:b w:val="1"/>
                <w:bCs w:val="1"/>
                <w:color w:val="0000EE"/>
              </w:rPr>
              <w:t>NFORMATION ABOUT THE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2"/>
                <w:szCs w:val="22"/>
                <w:b w:val="1"/>
                <w:bCs w:val="1"/>
                <w:color w:val="0000EE"/>
              </w:rPr>
              <w:t xml:space="preserve"> M</w:t>
            </w:r>
            <w:r>
              <w:rPr>
                <w:rFonts w:ascii="Arial" w:cs="Arial" w:eastAsia="Arial" w:hAnsi="Arial"/>
                <w:sz w:val="17"/>
                <w:szCs w:val="17"/>
                <w:b w:val="1"/>
                <w:bCs w:val="1"/>
                <w:color w:val="0000EE"/>
              </w:rPr>
              <w:t>EETING</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44</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0"/>
          </w:tcPr>
          <w:p>
            <w:pPr>
              <w:spacing w:after="0" w:line="149" w:lineRule="exact"/>
              <w:rPr>
                <w:sz w:val="20"/>
                <w:szCs w:val="20"/>
                <w:color w:val="auto"/>
              </w:rPr>
            </w:pPr>
            <w:r>
              <w:rPr>
                <w:rFonts w:ascii="Arial" w:cs="Arial" w:eastAsia="Arial" w:hAnsi="Arial"/>
                <w:sz w:val="14"/>
                <w:szCs w:val="14"/>
                <w:color w:val="0000EE"/>
              </w:rPr>
              <w:t>Notice of Electronic Availability of Proxy Materials</w:t>
            </w: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Why You are Receiving These Materials</w:t>
            </w:r>
          </w:p>
        </w:tc>
        <w:tc>
          <w:tcPr>
            <w:tcW w:w="580" w:type="dxa"/>
            <w:vAlign w:val="bottom"/>
            <w:tcBorders>
              <w:top w:val="single" w:sz="8" w:color="0000EE"/>
            </w:tcBorders>
            <w:gridSpan w:val="4"/>
          </w:tcPr>
          <w:p>
            <w:pPr>
              <w:spacing w:after="0"/>
              <w:rPr>
                <w:sz w:val="14"/>
                <w:szCs w:val="14"/>
                <w:color w:val="auto"/>
              </w:rPr>
            </w:pPr>
          </w:p>
        </w:tc>
        <w:tc>
          <w:tcPr>
            <w:tcW w:w="1200" w:type="dxa"/>
            <w:vAlign w:val="bottom"/>
            <w:gridSpan w:val="9"/>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Accessing Materials</w:t>
            </w:r>
          </w:p>
        </w:tc>
        <w:tc>
          <w:tcPr>
            <w:tcW w:w="3060" w:type="dxa"/>
            <w:vAlign w:val="bottom"/>
            <w:gridSpan w:val="2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9"/>
              </w:rPr>
              <w:t>How to Vote</w:t>
            </w:r>
          </w:p>
        </w:tc>
        <w:tc>
          <w:tcPr>
            <w:tcW w:w="3560" w:type="dxa"/>
            <w:vAlign w:val="bottom"/>
            <w:gridSpan w:val="2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How to Participate in the Annual Meeting</w:t>
            </w:r>
          </w:p>
        </w:tc>
        <w:tc>
          <w:tcPr>
            <w:tcW w:w="1740" w:type="dxa"/>
            <w:vAlign w:val="bottom"/>
            <w:gridSpan w:val="1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Eliminating Duplicative Proxy Materials</w:t>
            </w:r>
          </w:p>
        </w:tc>
        <w:tc>
          <w:tcPr>
            <w:tcW w:w="1860" w:type="dxa"/>
            <w:vAlign w:val="bottom"/>
            <w:gridSpan w:val="1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Solicitation of Proxies</w:t>
            </w:r>
          </w:p>
        </w:tc>
        <w:tc>
          <w:tcPr>
            <w:tcW w:w="2960" w:type="dxa"/>
            <w:vAlign w:val="bottom"/>
            <w:gridSpan w:val="23"/>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Shareholder Proposals for the 2027 Annual Meeting</w:t>
            </w:r>
          </w:p>
        </w:tc>
        <w:tc>
          <w:tcPr>
            <w:tcW w:w="1020" w:type="dxa"/>
            <w:vAlign w:val="bottom"/>
            <w:gridSpan w:val="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PPENDIX</w:t>
            </w:r>
            <w:r>
              <w:rPr>
                <w:rFonts w:ascii="Arial" w:cs="Arial" w:eastAsia="Arial" w:hAnsi="Arial"/>
                <w:sz w:val="22"/>
                <w:szCs w:val="22"/>
                <w:b w:val="1"/>
                <w:bCs w:val="1"/>
                <w:color w:val="0000EE"/>
              </w:rPr>
              <w:t xml:space="preserve"> A</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A-1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tcBorders>
              <w:bottom w:val="single" w:sz="8" w:color="0000EE"/>
            </w:tcBorders>
            <w:gridSpan w:val="28"/>
          </w:tcPr>
          <w:p>
            <w:pPr>
              <w:spacing w:after="0" w:line="129" w:lineRule="exact"/>
              <w:rPr>
                <w:sz w:val="20"/>
                <w:szCs w:val="20"/>
                <w:color w:val="auto"/>
              </w:rPr>
            </w:pPr>
            <w:r>
              <w:rPr>
                <w:rFonts w:ascii="Arial" w:cs="Arial" w:eastAsia="Arial" w:hAnsi="Arial"/>
                <w:sz w:val="14"/>
                <w:szCs w:val="14"/>
                <w:color w:val="0000EE"/>
              </w:rPr>
              <w:t>Appendix A – Reconciliation of Non-GAAP Financial Measures</w:t>
            </w:r>
          </w:p>
        </w:tc>
        <w:tc>
          <w:tcPr>
            <w:tcW w:w="340" w:type="dxa"/>
            <w:vAlign w:val="bottom"/>
            <w:gridSpan w:val="2"/>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Company Information</w:t>
      </w:r>
    </w:p>
    <w:p>
      <w:pPr>
        <w:spacing w:after="0" w:line="23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Following is basic information about the Company and summary highlights of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together with its subsidiaries, unless the context requires otherwise. References to the “Board” or “board” refer to our Board of Trustees, and references to “Trustees” and “trustees” refer to the members of our Board.</w:t>
      </w:r>
    </w:p>
    <w:p>
      <w:pPr>
        <w:spacing w:after="0" w:line="17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Federal Realty Investment Trust is an S&amp;P 500 company headquartered in North Bethesda, Maryland that specializes in the ownership, management, and redevelopment of high quality retail and mixed-use properties located primarily in major coastal markets and select underserved markets that we believe have strong economic and demographic fundamentals.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00" w:type="dxa"/>
            <w:vAlign w:val="bottom"/>
          </w:tcPr>
          <w:p>
            <w:pPr>
              <w:jc w:val="center"/>
              <w:ind w:left="50"/>
              <w:spacing w:after="0"/>
              <w:rPr>
                <w:sz w:val="20"/>
                <w:szCs w:val="20"/>
                <w:color w:val="auto"/>
              </w:rPr>
            </w:pPr>
            <w:r>
              <w:rPr>
                <w:rFonts w:ascii="Arial" w:cs="Arial" w:eastAsia="Arial" w:hAnsi="Arial"/>
                <w:sz w:val="18"/>
                <w:szCs w:val="18"/>
                <w:color w:val="FF160F"/>
                <w:w w:val="99"/>
              </w:rPr>
              <w:t>Company Information</w:t>
            </w:r>
          </w:p>
        </w:tc>
        <w:tc>
          <w:tcPr>
            <w:tcW w:w="3700" w:type="dxa"/>
            <w:vAlign w:val="bottom"/>
          </w:tcPr>
          <w:p>
            <w:pPr>
              <w:jc w:val="center"/>
              <w:ind w:left="290"/>
              <w:spacing w:after="0"/>
              <w:rPr>
                <w:sz w:val="20"/>
                <w:szCs w:val="20"/>
                <w:color w:val="auto"/>
              </w:rPr>
            </w:pPr>
            <w:r>
              <w:rPr>
                <w:rFonts w:ascii="Arial" w:cs="Arial" w:eastAsia="Arial" w:hAnsi="Arial"/>
                <w:sz w:val="18"/>
                <w:szCs w:val="18"/>
                <w:color w:val="FF160F"/>
                <w:w w:val="99"/>
              </w:rPr>
              <w:t>Our Properties*</w:t>
            </w:r>
          </w:p>
        </w:tc>
        <w:tc>
          <w:tcPr>
            <w:tcW w:w="3620" w:type="dxa"/>
            <w:vAlign w:val="bottom"/>
          </w:tcPr>
          <w:p>
            <w:pPr>
              <w:jc w:val="center"/>
              <w:ind w:left="110"/>
              <w:spacing w:after="0"/>
              <w:rPr>
                <w:sz w:val="20"/>
                <w:szCs w:val="20"/>
                <w:color w:val="auto"/>
              </w:rPr>
            </w:pPr>
            <w:r>
              <w:rPr>
                <w:rFonts w:ascii="Arial" w:cs="Arial" w:eastAsia="Arial" w:hAnsi="Arial"/>
                <w:sz w:val="18"/>
                <w:szCs w:val="18"/>
                <w:color w:val="FF160F"/>
                <w:w w:val="99"/>
              </w:rPr>
              <w:t>Our Employees*</w:t>
            </w:r>
          </w:p>
        </w:tc>
      </w:tr>
      <w:tr>
        <w:trPr>
          <w:trHeight w:val="77"/>
        </w:trPr>
        <w:tc>
          <w:tcPr>
            <w:tcW w:w="3700" w:type="dxa"/>
            <w:vAlign w:val="bottom"/>
            <w:tcBorders>
              <w:bottom w:val="single" w:sz="8" w:color="auto"/>
            </w:tcBorders>
          </w:tcPr>
          <w:p>
            <w:pPr>
              <w:spacing w:after="0"/>
              <w:rPr>
                <w:sz w:val="6"/>
                <w:szCs w:val="6"/>
                <w:color w:val="auto"/>
              </w:rPr>
            </w:pPr>
          </w:p>
        </w:tc>
        <w:tc>
          <w:tcPr>
            <w:tcW w:w="370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r>
      <w:tr>
        <w:trPr>
          <w:trHeight w:val="339"/>
        </w:trPr>
        <w:tc>
          <w:tcPr>
            <w:tcW w:w="3700" w:type="dxa"/>
            <w:vAlign w:val="bottom"/>
          </w:tcPr>
          <w:p>
            <w:pPr>
              <w:jc w:val="center"/>
              <w:ind w:left="70"/>
              <w:spacing w:after="0"/>
              <w:rPr>
                <w:sz w:val="20"/>
                <w:szCs w:val="20"/>
                <w:color w:val="auto"/>
              </w:rPr>
            </w:pPr>
            <w:r>
              <w:rPr>
                <w:rFonts w:ascii="Arial" w:cs="Arial" w:eastAsia="Arial" w:hAnsi="Arial"/>
                <w:sz w:val="18"/>
                <w:szCs w:val="18"/>
                <w:color w:val="auto"/>
              </w:rPr>
              <w:t>Established in 1962</w:t>
            </w:r>
          </w:p>
        </w:tc>
        <w:tc>
          <w:tcPr>
            <w:tcW w:w="3700" w:type="dxa"/>
            <w:vAlign w:val="bottom"/>
          </w:tcPr>
          <w:p>
            <w:pPr>
              <w:jc w:val="center"/>
              <w:ind w:left="290"/>
              <w:spacing w:after="0"/>
              <w:rPr>
                <w:sz w:val="20"/>
                <w:szCs w:val="20"/>
                <w:color w:val="auto"/>
              </w:rPr>
            </w:pPr>
            <w:r>
              <w:rPr>
                <w:rFonts w:ascii="Arial" w:cs="Arial" w:eastAsia="Arial" w:hAnsi="Arial"/>
                <w:sz w:val="18"/>
                <w:szCs w:val="18"/>
                <w:color w:val="auto"/>
                <w:w w:val="99"/>
              </w:rPr>
              <w:t>104 Properties</w:t>
            </w:r>
          </w:p>
        </w:tc>
        <w:tc>
          <w:tcPr>
            <w:tcW w:w="3620" w:type="dxa"/>
            <w:vAlign w:val="bottom"/>
          </w:tcPr>
          <w:p>
            <w:pPr>
              <w:jc w:val="center"/>
              <w:ind w:left="110"/>
              <w:spacing w:after="0"/>
              <w:rPr>
                <w:sz w:val="20"/>
                <w:szCs w:val="20"/>
                <w:color w:val="auto"/>
              </w:rPr>
            </w:pPr>
            <w:r>
              <w:rPr>
                <w:rFonts w:ascii="Arial" w:cs="Arial" w:eastAsia="Arial" w:hAnsi="Arial"/>
                <w:sz w:val="18"/>
                <w:szCs w:val="18"/>
                <w:color w:val="auto"/>
                <w:w w:val="99"/>
              </w:rPr>
              <w:t>329 full-time employees</w:t>
            </w:r>
          </w:p>
        </w:tc>
      </w:tr>
      <w:tr>
        <w:trPr>
          <w:trHeight w:val="203"/>
        </w:trPr>
        <w:tc>
          <w:tcPr>
            <w:tcW w:w="3700" w:type="dxa"/>
            <w:vAlign w:val="bottom"/>
          </w:tcPr>
          <w:p>
            <w:pPr>
              <w:jc w:val="center"/>
              <w:ind w:left="50"/>
              <w:spacing w:after="0" w:line="202" w:lineRule="exact"/>
              <w:rPr>
                <w:sz w:val="20"/>
                <w:szCs w:val="20"/>
                <w:color w:val="auto"/>
              </w:rPr>
            </w:pPr>
            <w:r>
              <w:rPr>
                <w:rFonts w:ascii="Arial" w:cs="Arial" w:eastAsia="Arial" w:hAnsi="Arial"/>
                <w:sz w:val="18"/>
                <w:szCs w:val="18"/>
                <w:color w:val="auto"/>
                <w:w w:val="99"/>
              </w:rPr>
              <w:t>Member of the S&amp;P 500</w:t>
            </w:r>
          </w:p>
        </w:tc>
        <w:tc>
          <w:tcPr>
            <w:tcW w:w="3700" w:type="dxa"/>
            <w:vAlign w:val="bottom"/>
          </w:tcPr>
          <w:p>
            <w:pPr>
              <w:jc w:val="center"/>
              <w:ind w:left="290"/>
              <w:spacing w:after="0" w:line="202"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29M SF of commercial space</w:t>
            </w:r>
          </w:p>
        </w:tc>
        <w:tc>
          <w:tcPr>
            <w:tcW w:w="362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6 primary offices</w:t>
            </w:r>
          </w:p>
        </w:tc>
      </w:tr>
      <w:tr>
        <w:trPr>
          <w:trHeight w:val="252"/>
        </w:trPr>
        <w:tc>
          <w:tcPr>
            <w:tcW w:w="3700" w:type="dxa"/>
            <w:vAlign w:val="bottom"/>
          </w:tcPr>
          <w:p>
            <w:pPr>
              <w:spacing w:after="0"/>
              <w:rPr>
                <w:sz w:val="21"/>
                <w:szCs w:val="21"/>
                <w:color w:val="auto"/>
              </w:rPr>
            </w:pPr>
          </w:p>
        </w:tc>
        <w:tc>
          <w:tcPr>
            <w:tcW w:w="37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2,700 residential units</w:t>
            </w:r>
          </w:p>
        </w:tc>
        <w:tc>
          <w:tcPr>
            <w:tcW w:w="3620" w:type="dxa"/>
            <w:vAlign w:val="bottom"/>
          </w:tcPr>
          <w:p>
            <w:pPr>
              <w:jc w:val="center"/>
              <w:ind w:left="110"/>
              <w:spacing w:after="0"/>
              <w:rPr>
                <w:sz w:val="20"/>
                <w:szCs w:val="20"/>
                <w:color w:val="auto"/>
              </w:rPr>
            </w:pPr>
            <w:r>
              <w:rPr>
                <w:rFonts w:ascii="Arial" w:cs="Arial" w:eastAsia="Arial" w:hAnsi="Arial"/>
                <w:sz w:val="18"/>
                <w:szCs w:val="18"/>
                <w:color w:val="auto"/>
              </w:rPr>
              <w:t>Average tenure of more than 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Information as of December 31, 2025.</w:t>
      </w:r>
    </w:p>
    <w:p>
      <w:pPr>
        <w:spacing w:after="0" w:line="234" w:lineRule="exact"/>
        <w:rPr>
          <w:sz w:val="20"/>
          <w:szCs w:val="20"/>
          <w:color w:val="auto"/>
        </w:rPr>
      </w:pPr>
    </w:p>
    <w:p>
      <w:pPr>
        <w:ind w:left="540" w:hanging="424"/>
        <w:spacing w:after="0"/>
        <w:tabs>
          <w:tab w:leader="none" w:pos="540" w:val="left"/>
        </w:tabs>
        <w:numPr>
          <w:ilvl w:val="0"/>
          <w:numId w:val="6"/>
        </w:numPr>
        <w:rPr>
          <w:rFonts w:ascii="MS PGothic" w:cs="MS PGothic" w:eastAsia="MS PGothic" w:hAnsi="MS PGothic"/>
          <w:sz w:val="18"/>
          <w:szCs w:val="18"/>
          <w:color w:val="FF160F"/>
        </w:rPr>
      </w:pPr>
      <w:r>
        <w:rPr>
          <w:rFonts w:ascii="Arial" w:cs="Arial" w:eastAsia="Arial" w:hAnsi="Arial"/>
          <w:sz w:val="18"/>
          <w:szCs w:val="18"/>
          <w:b w:val="1"/>
          <w:bCs w:val="1"/>
          <w:color w:val="auto"/>
        </w:rPr>
        <w:t>HIGHLIGHTS OF 2025 COMPANY PERFORMANCE</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Key business and financial achievements for 2025, in addition to net income available for common shareholders of $4.68 per diluted share,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983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2983230"/>
                    </a:xfrm>
                    <a:prstGeom prst="rect">
                      <a:avLst/>
                    </a:prstGeom>
                    <a:noFill/>
                  </pic:spPr>
                </pic:pic>
              </a:graphicData>
            </a:graphic>
          </wp:anchor>
        </w:drawing>
      </w:r>
    </w:p>
    <w:p>
      <w:pPr>
        <w:spacing w:after="0" w:line="228" w:lineRule="exact"/>
        <w:rPr>
          <w:sz w:val="20"/>
          <w:szCs w:val="20"/>
          <w:color w:val="auto"/>
        </w:rPr>
      </w:pPr>
    </w:p>
    <w:p>
      <w:pPr>
        <w:ind w:left="1700" w:right="120" w:firstLine="290"/>
        <w:spacing w:after="0" w:line="245" w:lineRule="auto"/>
        <w:rPr>
          <w:sz w:val="20"/>
          <w:szCs w:val="20"/>
          <w:color w:val="auto"/>
        </w:rPr>
      </w:pPr>
      <w:r>
        <w:rPr>
          <w:rFonts w:ascii="Arial" w:cs="Arial" w:eastAsia="Arial" w:hAnsi="Arial"/>
          <w:sz w:val="18"/>
          <w:szCs w:val="18"/>
          <w:b w:val="1"/>
          <w:bCs w:val="1"/>
          <w:color w:val="FFFFFF"/>
        </w:rPr>
        <w:t xml:space="preserve">NAREIT </w:t>
      </w:r>
      <w:r>
        <w:rPr>
          <w:rFonts w:ascii="Arial" w:cs="Arial" w:eastAsia="Arial" w:hAnsi="Arial"/>
          <w:sz w:val="18"/>
          <w:szCs w:val="18"/>
          <w:color w:val="000000"/>
        </w:rPr>
        <w:t>NAREIT FFO per diluted share** of</w:t>
      </w:r>
      <w:r>
        <w:rPr>
          <w:rFonts w:ascii="Arial" w:cs="Arial" w:eastAsia="Arial" w:hAnsi="Arial"/>
          <w:sz w:val="18"/>
          <w:szCs w:val="18"/>
          <w:b w:val="1"/>
          <w:bCs w:val="1"/>
          <w:color w:val="FFFFFF"/>
        </w:rPr>
        <w:t xml:space="preserve"> </w:t>
      </w:r>
      <w:r>
        <w:rPr>
          <w:rFonts w:ascii="Arial" w:cs="Arial" w:eastAsia="Arial" w:hAnsi="Arial"/>
          <w:sz w:val="18"/>
          <w:szCs w:val="18"/>
          <w:color w:val="FF160F"/>
        </w:rPr>
        <w:t>$7.22</w:t>
      </w:r>
      <w:r>
        <w:rPr>
          <w:rFonts w:ascii="Arial" w:cs="Arial" w:eastAsia="Arial" w:hAnsi="Arial"/>
          <w:sz w:val="18"/>
          <w:szCs w:val="18"/>
          <w:b w:val="1"/>
          <w:bCs w:val="1"/>
          <w:color w:val="FFFFFF"/>
        </w:rPr>
        <w:t xml:space="preserve"> </w:t>
      </w:r>
      <w:r>
        <w:rPr>
          <w:rFonts w:ascii="Arial" w:cs="Arial" w:eastAsia="Arial" w:hAnsi="Arial"/>
          <w:sz w:val="18"/>
          <w:szCs w:val="18"/>
          <w:color w:val="000000"/>
        </w:rPr>
        <w:t>representing growth of</w:t>
      </w:r>
      <w:r>
        <w:rPr>
          <w:rFonts w:ascii="Arial" w:cs="Arial" w:eastAsia="Arial" w:hAnsi="Arial"/>
          <w:sz w:val="18"/>
          <w:szCs w:val="18"/>
          <w:b w:val="1"/>
          <w:bCs w:val="1"/>
          <w:color w:val="FFFFFF"/>
        </w:rPr>
        <w:t xml:space="preserve"> </w:t>
      </w:r>
      <w:r>
        <w:rPr>
          <w:rFonts w:ascii="Arial" w:cs="Arial" w:eastAsia="Arial" w:hAnsi="Arial"/>
          <w:sz w:val="18"/>
          <w:szCs w:val="18"/>
          <w:color w:val="FF160F"/>
        </w:rPr>
        <w:t>6.6%</w:t>
      </w:r>
      <w:r>
        <w:rPr>
          <w:rFonts w:ascii="Arial" w:cs="Arial" w:eastAsia="Arial" w:hAnsi="Arial"/>
          <w:sz w:val="18"/>
          <w:szCs w:val="18"/>
          <w:b w:val="1"/>
          <w:bCs w:val="1"/>
          <w:color w:val="FFFFFF"/>
        </w:rPr>
        <w:t xml:space="preserve"> </w:t>
      </w:r>
      <w:r>
        <w:rPr>
          <w:rFonts w:ascii="Arial" w:cs="Arial" w:eastAsia="Arial" w:hAnsi="Arial"/>
          <w:sz w:val="18"/>
          <w:szCs w:val="18"/>
          <w:color w:val="000000"/>
        </w:rPr>
        <w:t>over 2024 driven by record</w:t>
      </w:r>
      <w:r>
        <w:rPr>
          <w:rFonts w:ascii="Arial" w:cs="Arial" w:eastAsia="Arial" w:hAnsi="Arial"/>
          <w:sz w:val="18"/>
          <w:szCs w:val="18"/>
          <w:b w:val="1"/>
          <w:bCs w:val="1"/>
          <w:color w:val="FFFFFF"/>
        </w:rPr>
        <w:t xml:space="preserve"> FFO Per Share </w:t>
      </w:r>
      <w:r>
        <w:rPr>
          <w:rFonts w:ascii="Arial" w:cs="Arial" w:eastAsia="Arial" w:hAnsi="Arial"/>
          <w:sz w:val="18"/>
          <w:szCs w:val="18"/>
          <w:color w:val="000000"/>
        </w:rPr>
        <w:t>levels of total revenue, positive impacts from capital investment, and overall continued strength in</w:t>
      </w:r>
    </w:p>
    <w:p>
      <w:pPr>
        <w:ind w:left="2020"/>
        <w:spacing w:after="0"/>
        <w:tabs>
          <w:tab w:leader="none" w:pos="3180" w:val="left"/>
        </w:tabs>
        <w:rPr>
          <w:sz w:val="20"/>
          <w:szCs w:val="20"/>
          <w:color w:val="auto"/>
        </w:rPr>
      </w:pPr>
      <w:r>
        <w:rPr>
          <w:rFonts w:ascii="Arial" w:cs="Arial" w:eastAsia="Arial" w:hAnsi="Arial"/>
          <w:sz w:val="18"/>
          <w:szCs w:val="18"/>
          <w:b w:val="1"/>
          <w:bCs w:val="1"/>
          <w:color w:val="FFFFFF"/>
        </w:rPr>
        <w:t>Growth</w:t>
      </w:r>
      <w:r>
        <w:rPr>
          <w:sz w:val="20"/>
          <w:szCs w:val="20"/>
          <w:color w:val="auto"/>
        </w:rPr>
        <w:tab/>
      </w:r>
      <w:r>
        <w:rPr>
          <w:rFonts w:ascii="Arial" w:cs="Arial" w:eastAsia="Arial" w:hAnsi="Arial"/>
          <w:sz w:val="18"/>
          <w:szCs w:val="18"/>
          <w:color w:val="auto"/>
        </w:rPr>
        <w:t>the broader retail real estate market</w:t>
      </w:r>
    </w:p>
    <w:p>
      <w:pPr>
        <w:spacing w:after="0" w:line="200" w:lineRule="exact"/>
        <w:rPr>
          <w:sz w:val="20"/>
          <w:szCs w:val="20"/>
          <w:color w:val="auto"/>
        </w:rPr>
      </w:pPr>
    </w:p>
    <w:p>
      <w:pPr>
        <w:spacing w:after="0" w:line="210" w:lineRule="exact"/>
        <w:rPr>
          <w:sz w:val="20"/>
          <w:szCs w:val="20"/>
          <w:color w:val="auto"/>
        </w:rPr>
      </w:pPr>
    </w:p>
    <w:p>
      <w:pPr>
        <w:ind w:left="1680"/>
        <w:spacing w:after="0"/>
        <w:tabs>
          <w:tab w:leader="none" w:pos="3180" w:val="left"/>
        </w:tabs>
        <w:rPr>
          <w:sz w:val="20"/>
          <w:szCs w:val="20"/>
          <w:color w:val="auto"/>
        </w:rPr>
      </w:pPr>
      <w:r>
        <w:rPr>
          <w:rFonts w:ascii="Arial" w:cs="Arial" w:eastAsia="Arial" w:hAnsi="Arial"/>
          <w:sz w:val="18"/>
          <w:szCs w:val="18"/>
          <w:b w:val="1"/>
          <w:bCs w:val="1"/>
          <w:color w:val="FFFFFF"/>
        </w:rPr>
        <w:t>Strong Leasing</w:t>
      </w:r>
      <w:r>
        <w:rPr>
          <w:sz w:val="20"/>
          <w:szCs w:val="20"/>
          <w:color w:val="auto"/>
        </w:rPr>
        <w:tab/>
      </w:r>
      <w:r>
        <w:rPr>
          <w:rFonts w:ascii="Arial" w:cs="Arial" w:eastAsia="Arial" w:hAnsi="Arial"/>
          <w:sz w:val="18"/>
          <w:szCs w:val="18"/>
          <w:color w:val="auto"/>
        </w:rPr>
        <w:t xml:space="preserve">Signed new and renewal comparable space leases covering more than </w:t>
      </w:r>
      <w:r>
        <w:rPr>
          <w:rFonts w:ascii="Arial" w:cs="Arial" w:eastAsia="Arial" w:hAnsi="Arial"/>
          <w:sz w:val="18"/>
          <w:szCs w:val="18"/>
          <w:color w:val="FF160F"/>
        </w:rPr>
        <w:t>2.3 million</w:t>
      </w:r>
      <w:r>
        <w:rPr>
          <w:rFonts w:ascii="Arial" w:cs="Arial" w:eastAsia="Arial" w:hAnsi="Arial"/>
          <w:sz w:val="18"/>
          <w:szCs w:val="18"/>
          <w:color w:val="auto"/>
        </w:rPr>
        <w:t xml:space="preserve"> square feet of</w:t>
      </w:r>
    </w:p>
    <w:p>
      <w:pPr>
        <w:spacing w:after="0" w:line="14" w:lineRule="exact"/>
        <w:rPr>
          <w:sz w:val="20"/>
          <w:szCs w:val="20"/>
          <w:color w:val="auto"/>
        </w:rPr>
      </w:pPr>
    </w:p>
    <w:p>
      <w:pPr>
        <w:ind w:left="2000"/>
        <w:spacing w:after="0"/>
        <w:tabs>
          <w:tab w:leader="none" w:pos="3180" w:val="left"/>
        </w:tabs>
        <w:rPr>
          <w:sz w:val="20"/>
          <w:szCs w:val="20"/>
          <w:color w:val="auto"/>
        </w:rPr>
      </w:pPr>
      <w:r>
        <w:rPr>
          <w:rFonts w:ascii="Arial" w:cs="Arial" w:eastAsia="Arial" w:hAnsi="Arial"/>
          <w:sz w:val="18"/>
          <w:szCs w:val="18"/>
          <w:b w:val="1"/>
          <w:bCs w:val="1"/>
          <w:color w:val="FFFFFF"/>
        </w:rPr>
        <w:t>Activity</w:t>
      </w:r>
      <w:r>
        <w:rPr>
          <w:sz w:val="20"/>
          <w:szCs w:val="20"/>
          <w:color w:val="auto"/>
        </w:rPr>
        <w:tab/>
      </w:r>
      <w:r>
        <w:rPr>
          <w:rFonts w:ascii="Arial" w:cs="Arial" w:eastAsia="Arial" w:hAnsi="Arial"/>
          <w:sz w:val="18"/>
          <w:szCs w:val="18"/>
          <w:color w:val="auto"/>
        </w:rPr>
        <w:t>space and approximately $88.9 million of year 1 revenue</w:t>
      </w:r>
    </w:p>
    <w:p>
      <w:pPr>
        <w:spacing w:after="0" w:line="200" w:lineRule="exact"/>
        <w:rPr>
          <w:sz w:val="20"/>
          <w:szCs w:val="20"/>
          <w:color w:val="auto"/>
        </w:rPr>
      </w:pPr>
    </w:p>
    <w:p>
      <w:pPr>
        <w:spacing w:after="0" w:line="210" w:lineRule="exact"/>
        <w:rPr>
          <w:sz w:val="20"/>
          <w:szCs w:val="20"/>
          <w:color w:val="auto"/>
        </w:rPr>
      </w:pPr>
    </w:p>
    <w:p>
      <w:pPr>
        <w:ind w:left="1860"/>
        <w:spacing w:after="0"/>
        <w:tabs>
          <w:tab w:leader="none" w:pos="3180" w:val="left"/>
        </w:tabs>
        <w:rPr>
          <w:sz w:val="20"/>
          <w:szCs w:val="20"/>
          <w:color w:val="auto"/>
        </w:rPr>
      </w:pPr>
      <w:r>
        <w:rPr>
          <w:rFonts w:ascii="Arial" w:cs="Arial" w:eastAsia="Arial" w:hAnsi="Arial"/>
          <w:sz w:val="18"/>
          <w:szCs w:val="18"/>
          <w:b w:val="1"/>
          <w:bCs w:val="1"/>
          <w:color w:val="FFFFFF"/>
        </w:rPr>
        <w:t>Productive</w:t>
      </w:r>
      <w:r>
        <w:rPr>
          <w:sz w:val="20"/>
          <w:szCs w:val="20"/>
          <w:color w:val="auto"/>
        </w:rPr>
        <w:tab/>
      </w:r>
      <w:r>
        <w:rPr>
          <w:rFonts w:ascii="Arial" w:cs="Arial" w:eastAsia="Arial" w:hAnsi="Arial"/>
          <w:sz w:val="18"/>
          <w:szCs w:val="18"/>
          <w:color w:val="auto"/>
        </w:rPr>
        <w:t xml:space="preserve">Investments in new acquisitions such as </w:t>
      </w:r>
      <w:r>
        <w:rPr>
          <w:rFonts w:ascii="Arial" w:cs="Arial" w:eastAsia="Arial" w:hAnsi="Arial"/>
          <w:sz w:val="18"/>
          <w:szCs w:val="18"/>
          <w:color w:val="FF160F"/>
        </w:rPr>
        <w:t>Del Monte Shopping Center, Town Center Plaza and</w:t>
      </w:r>
    </w:p>
    <w:p>
      <w:pPr>
        <w:spacing w:after="0" w:line="14" w:lineRule="exact"/>
        <w:rPr>
          <w:sz w:val="20"/>
          <w:szCs w:val="20"/>
          <w:color w:val="auto"/>
        </w:rPr>
      </w:pPr>
    </w:p>
    <w:p>
      <w:pPr>
        <w:ind w:left="1800" w:right="120" w:firstLine="225"/>
        <w:spacing w:after="0" w:line="260" w:lineRule="auto"/>
        <w:rPr>
          <w:sz w:val="20"/>
          <w:szCs w:val="20"/>
          <w:color w:val="auto"/>
        </w:rPr>
      </w:pPr>
      <w:r>
        <w:rPr>
          <w:rFonts w:ascii="Arial" w:cs="Arial" w:eastAsia="Arial" w:hAnsi="Arial"/>
          <w:sz w:val="18"/>
          <w:szCs w:val="18"/>
          <w:b w:val="1"/>
          <w:bCs w:val="1"/>
          <w:color w:val="FFFFFF"/>
        </w:rPr>
        <w:t xml:space="preserve">Capital </w:t>
      </w:r>
      <w:r>
        <w:rPr>
          <w:rFonts w:ascii="Arial" w:cs="Arial" w:eastAsia="Arial" w:hAnsi="Arial"/>
          <w:sz w:val="18"/>
          <w:szCs w:val="18"/>
          <w:color w:val="FF160F"/>
        </w:rPr>
        <w:t>Town Center Crossing, Annapolis Town Center</w:t>
      </w:r>
      <w:r>
        <w:rPr>
          <w:rFonts w:ascii="Arial" w:cs="Arial" w:eastAsia="Arial" w:hAnsi="Arial"/>
          <w:sz w:val="18"/>
          <w:szCs w:val="18"/>
          <w:b w:val="1"/>
          <w:bCs w:val="1"/>
          <w:color w:val="FFFFFF"/>
        </w:rPr>
        <w:t xml:space="preserve"> </w:t>
      </w:r>
      <w:r>
        <w:rPr>
          <w:rFonts w:ascii="Arial" w:cs="Arial" w:eastAsia="Arial" w:hAnsi="Arial"/>
          <w:sz w:val="18"/>
          <w:szCs w:val="18"/>
          <w:color w:val="000000"/>
        </w:rPr>
        <w:t>and</w:t>
      </w:r>
      <w:r>
        <w:rPr>
          <w:rFonts w:ascii="Arial" w:cs="Arial" w:eastAsia="Arial" w:hAnsi="Arial"/>
          <w:sz w:val="18"/>
          <w:szCs w:val="18"/>
          <w:b w:val="1"/>
          <w:bCs w:val="1"/>
          <w:color w:val="FFFFFF"/>
        </w:rPr>
        <w:t xml:space="preserve"> </w:t>
      </w:r>
      <w:r>
        <w:rPr>
          <w:rFonts w:ascii="Arial" w:cs="Arial" w:eastAsia="Arial" w:hAnsi="Arial"/>
          <w:sz w:val="18"/>
          <w:szCs w:val="18"/>
          <w:color w:val="FF160F"/>
        </w:rPr>
        <w:t>Village Pointe</w:t>
      </w:r>
      <w:r>
        <w:rPr>
          <w:rFonts w:ascii="Arial" w:cs="Arial" w:eastAsia="Arial" w:hAnsi="Arial"/>
          <w:sz w:val="18"/>
          <w:szCs w:val="18"/>
          <w:b w:val="1"/>
          <w:bCs w:val="1"/>
          <w:color w:val="FFFFFF"/>
        </w:rPr>
        <w:t xml:space="preserve"> </w:t>
      </w:r>
      <w:r>
        <w:rPr>
          <w:rFonts w:ascii="Arial" w:cs="Arial" w:eastAsia="Arial" w:hAnsi="Arial"/>
          <w:sz w:val="18"/>
          <w:szCs w:val="18"/>
          <w:color w:val="000000"/>
        </w:rPr>
        <w:t>producing year over year</w:t>
      </w:r>
      <w:r>
        <w:rPr>
          <w:rFonts w:ascii="Arial" w:cs="Arial" w:eastAsia="Arial" w:hAnsi="Arial"/>
          <w:sz w:val="18"/>
          <w:szCs w:val="18"/>
          <w:b w:val="1"/>
          <w:bCs w:val="1"/>
          <w:color w:val="FFFFFF"/>
        </w:rPr>
        <w:t xml:space="preserve"> Investments </w:t>
      </w:r>
      <w:r>
        <w:rPr>
          <w:rFonts w:ascii="Arial" w:cs="Arial" w:eastAsia="Arial" w:hAnsi="Arial"/>
          <w:sz w:val="18"/>
          <w:szCs w:val="18"/>
          <w:color w:val="000000"/>
        </w:rPr>
        <w:t>growth and positioning the company for continued growth</w:t>
      </w:r>
    </w:p>
    <w:p>
      <w:pPr>
        <w:sectPr>
          <w:pgSz w:w="11900" w:h="16838" w:orient="portrait"/>
          <w:cols w:equalWidth="0" w:num="1">
            <w:col w:w="11140"/>
          </w:cols>
          <w:pgMar w:left="320" w:top="482" w:right="439" w:bottom="1440" w:gutter="0" w:footer="0" w:header="0"/>
        </w:sectPr>
      </w:pPr>
    </w:p>
    <w:p>
      <w:pPr>
        <w:spacing w:after="0" w:line="330" w:lineRule="exact"/>
        <w:rPr>
          <w:sz w:val="20"/>
          <w:szCs w:val="20"/>
          <w:color w:val="auto"/>
        </w:rPr>
      </w:pPr>
    </w:p>
    <w:p>
      <w:pPr>
        <w:jc w:val="center"/>
        <w:ind w:left="1820"/>
        <w:spacing w:after="0" w:line="257" w:lineRule="auto"/>
        <w:rPr>
          <w:sz w:val="20"/>
          <w:szCs w:val="20"/>
          <w:color w:val="auto"/>
        </w:rPr>
      </w:pPr>
      <w:r>
        <w:rPr>
          <w:rFonts w:ascii="Arial" w:cs="Arial" w:eastAsia="Arial" w:hAnsi="Arial"/>
          <w:sz w:val="18"/>
          <w:szCs w:val="18"/>
          <w:b w:val="1"/>
          <w:bCs w:val="1"/>
          <w:color w:val="FFFFFF"/>
        </w:rPr>
        <w:t>58th Year of Dividend Increases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58th</w:t>
      </w:r>
      <w:r>
        <w:rPr>
          <w:rFonts w:ascii="Arial" w:cs="Arial" w:eastAsia="Arial" w:hAnsi="Arial"/>
          <w:sz w:val="18"/>
          <w:szCs w:val="18"/>
          <w:color w:val="auto"/>
        </w:rPr>
        <w:t xml:space="preserve"> consecutive year, a record in the REIT industry, representing a compound annual growth rate of approximately </w:t>
      </w:r>
      <w:r>
        <w:rPr>
          <w:rFonts w:ascii="Arial" w:cs="Arial" w:eastAsia="Arial" w:hAnsi="Arial"/>
          <w:sz w:val="18"/>
          <w:szCs w:val="18"/>
          <w:color w:val="FF160F"/>
        </w:rPr>
        <w:t>6.5%</w:t>
      </w:r>
      <w:r>
        <w:rPr>
          <w:rFonts w:ascii="Arial" w:cs="Arial" w:eastAsia="Arial" w:hAnsi="Arial"/>
          <w:sz w:val="18"/>
          <w:szCs w:val="18"/>
          <w:color w:val="auto"/>
        </w:rPr>
        <w:t xml:space="preserve"> over that 58-year period</w:t>
      </w:r>
    </w:p>
    <w:p>
      <w:pPr>
        <w:spacing w:after="0" w:line="250" w:lineRule="exact"/>
        <w:rPr>
          <w:sz w:val="20"/>
          <w:szCs w:val="20"/>
          <w:color w:val="auto"/>
        </w:rPr>
      </w:pPr>
    </w:p>
    <w:p>
      <w:pPr>
        <w:sectPr>
          <w:pgSz w:w="11900" w:h="16838" w:orient="portrait"/>
          <w:cols w:equalWidth="0" w:num="2">
            <w:col w:w="2840" w:space="360"/>
            <w:col w:w="7940"/>
          </w:cols>
          <w:pgMar w:left="320" w:top="482" w:right="439" w:bottom="1440" w:gutter="0" w:footer="0" w:header="0"/>
          <w:type w:val="continuous"/>
        </w:sectPr>
      </w:pPr>
    </w:p>
    <w:p>
      <w:pPr>
        <w:spacing w:after="0" w:line="53"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35%</w:t>
            </w:r>
            <w:r>
              <w:rPr>
                <w:rFonts w:ascii="Arial" w:cs="Arial" w:eastAsia="Arial" w:hAnsi="Arial"/>
                <w:sz w:val="18"/>
                <w:szCs w:val="18"/>
                <w:color w:val="auto"/>
              </w:rPr>
              <w:t xml:space="preserve"> decrease in Scope 1 and 2 GHG emissions through 2024 versus 2019 baseline</w:t>
            </w:r>
          </w:p>
        </w:tc>
      </w:tr>
      <w:tr>
        <w:trPr>
          <w:trHeight w:val="221"/>
        </w:trPr>
        <w:tc>
          <w:tcPr>
            <w:tcW w:w="1320" w:type="dxa"/>
            <w:vAlign w:val="bottom"/>
          </w:tcPr>
          <w:p>
            <w:pPr>
              <w:spacing w:after="0"/>
              <w:rPr>
                <w:sz w:val="20"/>
                <w:szCs w:val="20"/>
                <w:color w:val="auto"/>
              </w:rPr>
            </w:pPr>
            <w:r>
              <w:rPr>
                <w:rFonts w:ascii="Arial" w:cs="Arial" w:eastAsia="Arial" w:hAnsi="Arial"/>
                <w:sz w:val="18"/>
                <w:szCs w:val="18"/>
                <w:b w:val="1"/>
                <w:bCs w:val="1"/>
                <w:color w:val="FFFFFF"/>
              </w:rPr>
              <w:t>Sustainability</w:t>
            </w:r>
          </w:p>
        </w:tc>
        <w:tc>
          <w:tcPr>
            <w:tcW w:w="7960" w:type="dxa"/>
            <w:vAlign w:val="bottom"/>
          </w:tcPr>
          <w:p>
            <w:pPr>
              <w:ind w:left="140"/>
              <w:spacing w:after="0"/>
              <w:rPr>
                <w:sz w:val="20"/>
                <w:szCs w:val="20"/>
                <w:color w:val="auto"/>
              </w:rPr>
            </w:pPr>
            <w:r>
              <w:rPr>
                <w:rFonts w:ascii="Arial" w:cs="Arial" w:eastAsia="Arial" w:hAnsi="Arial"/>
                <w:sz w:val="18"/>
                <w:szCs w:val="18"/>
                <w:color w:val="auto"/>
                <w:w w:val="99"/>
              </w:rPr>
              <w:t>in alignment with our 2030 GHG reduction target set in accordance with the Science-Based Target</w:t>
            </w:r>
          </w:p>
        </w:tc>
      </w:tr>
      <w:tr>
        <w:trPr>
          <w:trHeight w:val="239"/>
        </w:trPr>
        <w:tc>
          <w:tcPr>
            <w:tcW w:w="1320" w:type="dxa"/>
            <w:vAlign w:val="bottom"/>
          </w:tcPr>
          <w:p>
            <w:pPr>
              <w:spacing w:after="0"/>
              <w:rPr>
                <w:sz w:val="20"/>
                <w:szCs w:val="20"/>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initiative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0" w:lineRule="exact"/>
        <w:rPr>
          <w:sz w:val="20"/>
          <w:szCs w:val="20"/>
          <w:color w:val="auto"/>
        </w:rPr>
      </w:pPr>
    </w:p>
    <w:p>
      <w:pPr>
        <w:ind w:left="120" w:right="20" w:hanging="4"/>
        <w:spacing w:after="0" w:line="271" w:lineRule="auto"/>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NAREIT FFO per diluted share (“NAREIT FFO per share”) is a non-GAAP financial measure that we consider significant in our business. See Appendix A for a reconciliation of NAREIT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w:t>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8"/>
        </w:numPr>
        <w:rPr>
          <w:rFonts w:ascii="MS PGothic" w:cs="MS PGothic" w:eastAsia="MS PGothic" w:hAnsi="MS PGothic"/>
          <w:sz w:val="18"/>
          <w:szCs w:val="18"/>
          <w:color w:val="FF160F"/>
        </w:rPr>
      </w:pPr>
      <w:r>
        <w:rPr>
          <w:rFonts w:ascii="Arial" w:cs="Arial" w:eastAsia="Arial" w:hAnsi="Arial"/>
          <w:sz w:val="18"/>
          <w:szCs w:val="18"/>
          <w:b w:val="1"/>
          <w:bCs w:val="1"/>
          <w:color w:val="auto"/>
        </w:rPr>
        <w:t>CORPORATE VALUES</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18"/>
          <w:szCs w:val="18"/>
          <w:b w:val="1"/>
          <w:bCs w:val="1"/>
          <w:color w:val="FF160F"/>
        </w:rPr>
        <w:t>Excellence</w:t>
      </w:r>
      <w:r>
        <w:rPr>
          <w:rFonts w:ascii="Arial" w:cs="Arial" w:eastAsia="Arial" w:hAnsi="Arial"/>
          <w:sz w:val="18"/>
          <w:szCs w:val="18"/>
          <w:color w:val="auto"/>
        </w:rPr>
        <w:t xml:space="preserve"> in all that we do as we operate, develop and redevelop properties to serve the needs of the local communities. </w:t>
      </w:r>
      <w:r>
        <w:rPr>
          <w:rFonts w:ascii="Arial" w:cs="Arial" w:eastAsia="Arial" w:hAnsi="Arial"/>
          <w:sz w:val="18"/>
          <w:szCs w:val="18"/>
          <w:b w:val="1"/>
          <w:bCs w:val="1"/>
          <w:color w:val="FF160F"/>
        </w:rPr>
        <w:t>Innovation</w:t>
      </w:r>
      <w:r>
        <w:rPr>
          <w:rFonts w:ascii="Arial" w:cs="Arial" w:eastAsia="Arial" w:hAnsi="Arial"/>
          <w:sz w:val="18"/>
          <w:szCs w:val="18"/>
          <w:color w:val="auto"/>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18"/>
          <w:szCs w:val="18"/>
          <w:b w:val="1"/>
          <w:bCs w:val="1"/>
          <w:color w:val="FF160F"/>
        </w:rPr>
        <w:t>Accountable</w:t>
      </w:r>
      <w:r>
        <w:rPr>
          <w:rFonts w:ascii="Arial" w:cs="Arial" w:eastAsia="Arial" w:hAnsi="Arial"/>
          <w:sz w:val="18"/>
          <w:szCs w:val="18"/>
          <w:color w:val="auto"/>
        </w:rPr>
        <w:t xml:space="preserve"> for our work and our results and always act with the highest level of </w:t>
      </w:r>
      <w:r>
        <w:rPr>
          <w:rFonts w:ascii="Arial" w:cs="Arial" w:eastAsia="Arial" w:hAnsi="Arial"/>
          <w:sz w:val="18"/>
          <w:szCs w:val="18"/>
          <w:b w:val="1"/>
          <w:bCs w:val="1"/>
          <w:color w:val="FF160F"/>
        </w:rPr>
        <w:t>Integrity</w:t>
      </w:r>
      <w:r>
        <w:rPr>
          <w:rFonts w:ascii="Arial" w:cs="Arial" w:eastAsia="Arial" w:hAnsi="Arial"/>
          <w:sz w:val="18"/>
          <w:szCs w:val="18"/>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12" w:lineRule="exact"/>
        <w:rPr>
          <w:sz w:val="20"/>
          <w:szCs w:val="20"/>
          <w:color w:val="auto"/>
        </w:rPr>
      </w:pPr>
    </w:p>
    <w:p>
      <w:pPr>
        <w:ind w:left="540" w:hanging="424"/>
        <w:spacing w:after="0"/>
        <w:tabs>
          <w:tab w:leader="none" w:pos="540" w:val="left"/>
        </w:tabs>
        <w:numPr>
          <w:ilvl w:val="0"/>
          <w:numId w:val="9"/>
        </w:numPr>
        <w:rPr>
          <w:rFonts w:ascii="MS PGothic" w:cs="MS PGothic" w:eastAsia="MS PGothic" w:hAnsi="MS PGothic"/>
          <w:sz w:val="18"/>
          <w:szCs w:val="18"/>
          <w:color w:val="FF160F"/>
        </w:rPr>
      </w:pPr>
      <w:r>
        <w:rPr>
          <w:rFonts w:ascii="Arial" w:cs="Arial" w:eastAsia="Arial" w:hAnsi="Arial"/>
          <w:sz w:val="18"/>
          <w:szCs w:val="18"/>
          <w:b w:val="1"/>
          <w:bCs w:val="1"/>
          <w:color w:val="auto"/>
        </w:rPr>
        <w:t>OUR BOARD</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have eight (8) trustees serving on our Board, all of whom are independent except for Mr. Wood who serves as our CEO. Each of these individuals has been nominated to stand for election at the 2026 annual shareholder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160" w:type="dxa"/>
            <w:vAlign w:val="bottom"/>
            <w:shd w:val="clear" w:color="auto" w:fill="FF160F"/>
          </w:tcPr>
          <w:p>
            <w:pPr>
              <w:spacing w:after="0"/>
              <w:rPr>
                <w:sz w:val="17"/>
                <w:szCs w:val="17"/>
                <w:color w:val="auto"/>
              </w:rPr>
            </w:pPr>
          </w:p>
        </w:tc>
        <w:tc>
          <w:tcPr>
            <w:tcW w:w="740" w:type="dxa"/>
            <w:vAlign w:val="bottom"/>
            <w:shd w:val="clear" w:color="auto" w:fill="FF160F"/>
          </w:tcPr>
          <w:p>
            <w:pPr>
              <w:spacing w:after="0"/>
              <w:rPr>
                <w:sz w:val="17"/>
                <w:szCs w:val="17"/>
                <w:color w:val="auto"/>
              </w:rPr>
            </w:pPr>
          </w:p>
        </w:tc>
        <w:tc>
          <w:tcPr>
            <w:tcW w:w="96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w w:val="98"/>
              </w:rPr>
              <w:t>Trustee</w:t>
            </w:r>
          </w:p>
        </w:tc>
        <w:tc>
          <w:tcPr>
            <w:tcW w:w="1410" w:type="dxa"/>
            <w:vAlign w:val="bottom"/>
            <w:shd w:val="clear" w:color="auto" w:fill="FF160F"/>
          </w:tcPr>
          <w:p>
            <w:pPr>
              <w:spacing w:after="0"/>
              <w:rPr>
                <w:sz w:val="17"/>
                <w:szCs w:val="17"/>
                <w:color w:val="auto"/>
              </w:rPr>
            </w:pPr>
          </w:p>
        </w:tc>
        <w:tc>
          <w:tcPr>
            <w:tcW w:w="2750" w:type="dxa"/>
            <w:vAlign w:val="bottom"/>
            <w:gridSpan w:val="3"/>
            <w:shd w:val="clear" w:color="auto" w:fill="FF160F"/>
          </w:tcPr>
          <w:p>
            <w:pPr>
              <w:ind w:left="390"/>
              <w:spacing w:after="0"/>
              <w:rPr>
                <w:sz w:val="20"/>
                <w:szCs w:val="20"/>
                <w:color w:val="auto"/>
              </w:rPr>
            </w:pPr>
            <w:r>
              <w:rPr>
                <w:rFonts w:ascii="Arial" w:cs="Arial" w:eastAsia="Arial" w:hAnsi="Arial"/>
                <w:sz w:val="18"/>
                <w:szCs w:val="18"/>
                <w:b w:val="1"/>
                <w:bCs w:val="1"/>
                <w:color w:val="FFFFFF"/>
              </w:rPr>
              <w:t>Committee Memberships</w:t>
            </w:r>
          </w:p>
        </w:tc>
      </w:tr>
      <w:tr>
        <w:trPr>
          <w:trHeight w:val="282"/>
        </w:trPr>
        <w:tc>
          <w:tcPr>
            <w:tcW w:w="516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8"/>
                <w:szCs w:val="18"/>
                <w:b w:val="1"/>
                <w:bCs w:val="1"/>
                <w:color w:val="FFFFFF"/>
              </w:rPr>
              <w:t>Name and Principal Occupation</w:t>
            </w:r>
          </w:p>
        </w:tc>
        <w:tc>
          <w:tcPr>
            <w:tcW w:w="74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Age</w:t>
            </w:r>
          </w:p>
        </w:tc>
        <w:tc>
          <w:tcPr>
            <w:tcW w:w="96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Since</w:t>
            </w:r>
          </w:p>
        </w:tc>
        <w:tc>
          <w:tcPr>
            <w:tcW w:w="141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Independent</w:t>
            </w:r>
          </w:p>
        </w:tc>
        <w:tc>
          <w:tcPr>
            <w:tcW w:w="950" w:type="dxa"/>
            <w:vAlign w:val="bottom"/>
            <w:tcBorders>
              <w:bottom w:val="single" w:sz="8" w:color="FF160F"/>
            </w:tcBorders>
            <w:shd w:val="clear" w:color="auto" w:fill="FF160F"/>
          </w:tcPr>
          <w:p>
            <w:pPr>
              <w:ind w:left="350"/>
              <w:spacing w:after="0"/>
              <w:rPr>
                <w:sz w:val="20"/>
                <w:szCs w:val="20"/>
                <w:color w:val="auto"/>
              </w:rPr>
            </w:pPr>
            <w:r>
              <w:rPr>
                <w:rFonts w:ascii="Arial" w:cs="Arial" w:eastAsia="Arial" w:hAnsi="Arial"/>
                <w:sz w:val="18"/>
                <w:szCs w:val="18"/>
                <w:b w:val="1"/>
                <w:bCs w:val="1"/>
                <w:color w:val="FFFFFF"/>
              </w:rPr>
              <w:t>AC</w:t>
            </w:r>
          </w:p>
        </w:tc>
        <w:tc>
          <w:tcPr>
            <w:tcW w:w="96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CC</w:t>
            </w:r>
          </w:p>
        </w:tc>
        <w:tc>
          <w:tcPr>
            <w:tcW w:w="840" w:type="dxa"/>
            <w:vAlign w:val="bottom"/>
            <w:tcBorders>
              <w:bottom w:val="single" w:sz="8" w:color="FF160F"/>
            </w:tcBorders>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NC</w:t>
            </w:r>
          </w:p>
        </w:tc>
      </w:tr>
      <w:tr>
        <w:trPr>
          <w:trHeight w:val="216"/>
        </w:trPr>
        <w:tc>
          <w:tcPr>
            <w:tcW w:w="516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David W. Faeder±</w:t>
            </w:r>
          </w:p>
        </w:tc>
        <w:tc>
          <w:tcPr>
            <w:tcW w:w="7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69</w:t>
            </w:r>
          </w:p>
        </w:tc>
        <w:tc>
          <w:tcPr>
            <w:tcW w:w="9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2003</w:t>
            </w:r>
          </w:p>
        </w:tc>
        <w:tc>
          <w:tcPr>
            <w:tcW w:w="141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Yes</w:t>
            </w:r>
          </w:p>
        </w:tc>
        <w:tc>
          <w:tcPr>
            <w:tcW w:w="95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60" w:type="dxa"/>
            <w:vAlign w:val="bottom"/>
            <w:shd w:val="clear" w:color="auto" w:fill="D8D8D8"/>
          </w:tcPr>
          <w:p>
            <w:pPr>
              <w:spacing w:after="0"/>
              <w:rPr>
                <w:sz w:val="18"/>
                <w:szCs w:val="18"/>
                <w:color w:val="auto"/>
              </w:rPr>
            </w:pPr>
          </w:p>
        </w:tc>
        <w:tc>
          <w:tcPr>
            <w:tcW w:w="840" w:type="dxa"/>
            <w:vAlign w:val="bottom"/>
            <w:shd w:val="clear" w:color="auto" w:fill="D8D8D8"/>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5"/>
        </w:trPr>
        <w:tc>
          <w:tcPr>
            <w:tcW w:w="516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Managing Partner/Fountain Square Properties and Managing</w:t>
            </w:r>
          </w:p>
        </w:tc>
        <w:tc>
          <w:tcPr>
            <w:tcW w:w="7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1410" w:type="dxa"/>
            <w:vAlign w:val="bottom"/>
            <w:shd w:val="clear" w:color="auto" w:fill="D8D8D8"/>
          </w:tcPr>
          <w:p>
            <w:pPr>
              <w:spacing w:after="0"/>
              <w:rPr>
                <w:sz w:val="15"/>
                <w:szCs w:val="15"/>
                <w:color w:val="auto"/>
              </w:rPr>
            </w:pPr>
          </w:p>
        </w:tc>
        <w:tc>
          <w:tcPr>
            <w:tcW w:w="95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r>
      <w:tr>
        <w:trPr>
          <w:trHeight w:val="203"/>
        </w:trPr>
        <w:tc>
          <w:tcPr>
            <w:tcW w:w="5160" w:type="dxa"/>
            <w:vAlign w:val="bottom"/>
            <w:shd w:val="clear" w:color="auto" w:fill="D8D8D8"/>
          </w:tcPr>
          <w:p>
            <w:pPr>
              <w:spacing w:after="0"/>
              <w:rPr>
                <w:sz w:val="20"/>
                <w:szCs w:val="20"/>
                <w:color w:val="auto"/>
              </w:rPr>
            </w:pPr>
            <w:r>
              <w:rPr>
                <w:rFonts w:ascii="Arial" w:cs="Arial" w:eastAsia="Arial" w:hAnsi="Arial"/>
                <w:sz w:val="16"/>
                <w:szCs w:val="16"/>
                <w:color w:val="auto"/>
              </w:rPr>
              <w:t>Member/Kensington Senior Living</w:t>
            </w:r>
          </w:p>
        </w:tc>
        <w:tc>
          <w:tcPr>
            <w:tcW w:w="74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1410" w:type="dxa"/>
            <w:vAlign w:val="bottom"/>
            <w:shd w:val="clear" w:color="auto" w:fill="D8D8D8"/>
          </w:tcPr>
          <w:p>
            <w:pPr>
              <w:spacing w:after="0"/>
              <w:rPr>
                <w:sz w:val="17"/>
                <w:szCs w:val="17"/>
                <w:color w:val="auto"/>
              </w:rPr>
            </w:pPr>
          </w:p>
        </w:tc>
        <w:tc>
          <w:tcPr>
            <w:tcW w:w="95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840" w:type="dxa"/>
            <w:vAlign w:val="bottom"/>
            <w:shd w:val="clear" w:color="auto" w:fill="D8D8D8"/>
          </w:tcPr>
          <w:p>
            <w:pPr>
              <w:spacing w:after="0"/>
              <w:rPr>
                <w:sz w:val="17"/>
                <w:szCs w:val="17"/>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Joseph. D. Fisher</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2026</w:t>
            </w:r>
          </w:p>
        </w:tc>
        <w:tc>
          <w:tcPr>
            <w:tcW w:w="1410" w:type="dxa"/>
            <w:vAlign w:val="bottom"/>
          </w:tcPr>
          <w:p>
            <w:pPr>
              <w:jc w:val="center"/>
              <w:spacing w:after="0" w:line="202" w:lineRule="exact"/>
              <w:rPr>
                <w:sz w:val="20"/>
                <w:szCs w:val="20"/>
                <w:color w:val="auto"/>
              </w:rPr>
            </w:pPr>
            <w:r>
              <w:rPr>
                <w:rFonts w:ascii="Arial" w:cs="Arial" w:eastAsia="Arial" w:hAnsi="Arial"/>
                <w:sz w:val="18"/>
                <w:szCs w:val="18"/>
                <w:color w:val="auto"/>
                <w:w w:val="96"/>
              </w:rPr>
              <w:t>Yes</w:t>
            </w:r>
          </w:p>
        </w:tc>
        <w:tc>
          <w:tcPr>
            <w:tcW w:w="950" w:type="dxa"/>
            <w:vAlign w:val="bottom"/>
          </w:tcPr>
          <w:p>
            <w:pPr>
              <w:jc w:val="center"/>
              <w:spacing w:after="0" w:line="202"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President, Chief Financial Officer/Public Storage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95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16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Elizabeth I. Holland</w:t>
            </w:r>
          </w:p>
        </w:tc>
        <w:tc>
          <w:tcPr>
            <w:tcW w:w="7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60</w:t>
            </w:r>
          </w:p>
        </w:tc>
        <w:tc>
          <w:tcPr>
            <w:tcW w:w="9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2017</w:t>
            </w:r>
          </w:p>
        </w:tc>
        <w:tc>
          <w:tcPr>
            <w:tcW w:w="141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Yes</w:t>
            </w:r>
          </w:p>
        </w:tc>
        <w:tc>
          <w:tcPr>
            <w:tcW w:w="95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1"/>
              </w:rPr>
              <w:t>C</w:t>
            </w:r>
          </w:p>
        </w:tc>
        <w:tc>
          <w:tcPr>
            <w:tcW w:w="840" w:type="dxa"/>
            <w:vAlign w:val="bottom"/>
            <w:shd w:val="clear" w:color="auto" w:fill="D8D8D8"/>
          </w:tcPr>
          <w:p>
            <w:pPr>
              <w:spacing w:after="0"/>
              <w:rPr>
                <w:sz w:val="18"/>
                <w:szCs w:val="18"/>
                <w:color w:val="auto"/>
              </w:rPr>
            </w:pPr>
          </w:p>
        </w:tc>
      </w:tr>
      <w:tr>
        <w:trPr>
          <w:trHeight w:val="175"/>
        </w:trPr>
        <w:tc>
          <w:tcPr>
            <w:tcW w:w="516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Chief Executive Officer/Abbell Credit Corporation and Abbell</w:t>
            </w:r>
          </w:p>
        </w:tc>
        <w:tc>
          <w:tcPr>
            <w:tcW w:w="74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1410" w:type="dxa"/>
            <w:vAlign w:val="bottom"/>
            <w:shd w:val="clear" w:color="auto" w:fill="D8D8D8"/>
          </w:tcPr>
          <w:p>
            <w:pPr>
              <w:spacing w:after="0"/>
              <w:rPr>
                <w:sz w:val="15"/>
                <w:szCs w:val="15"/>
                <w:color w:val="auto"/>
              </w:rPr>
            </w:pPr>
          </w:p>
        </w:tc>
        <w:tc>
          <w:tcPr>
            <w:tcW w:w="95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840" w:type="dxa"/>
            <w:vAlign w:val="bottom"/>
            <w:shd w:val="clear" w:color="auto" w:fill="D8D8D8"/>
          </w:tcPr>
          <w:p>
            <w:pPr>
              <w:spacing w:after="0"/>
              <w:rPr>
                <w:sz w:val="15"/>
                <w:szCs w:val="15"/>
                <w:color w:val="auto"/>
              </w:rPr>
            </w:pPr>
          </w:p>
        </w:tc>
      </w:tr>
      <w:tr>
        <w:trPr>
          <w:trHeight w:val="203"/>
        </w:trPr>
        <w:tc>
          <w:tcPr>
            <w:tcW w:w="5160" w:type="dxa"/>
            <w:vAlign w:val="bottom"/>
            <w:shd w:val="clear" w:color="auto" w:fill="D8D8D8"/>
          </w:tcPr>
          <w:p>
            <w:pPr>
              <w:spacing w:after="0"/>
              <w:rPr>
                <w:sz w:val="20"/>
                <w:szCs w:val="20"/>
                <w:color w:val="auto"/>
              </w:rPr>
            </w:pPr>
            <w:r>
              <w:rPr>
                <w:rFonts w:ascii="Arial" w:cs="Arial" w:eastAsia="Arial" w:hAnsi="Arial"/>
                <w:sz w:val="16"/>
                <w:szCs w:val="16"/>
                <w:color w:val="auto"/>
              </w:rPr>
              <w:t>Associates, LLC</w:t>
            </w:r>
          </w:p>
        </w:tc>
        <w:tc>
          <w:tcPr>
            <w:tcW w:w="74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1410" w:type="dxa"/>
            <w:vAlign w:val="bottom"/>
            <w:shd w:val="clear" w:color="auto" w:fill="D8D8D8"/>
          </w:tcPr>
          <w:p>
            <w:pPr>
              <w:spacing w:after="0"/>
              <w:rPr>
                <w:sz w:val="17"/>
                <w:szCs w:val="17"/>
                <w:color w:val="auto"/>
              </w:rPr>
            </w:pPr>
          </w:p>
        </w:tc>
        <w:tc>
          <w:tcPr>
            <w:tcW w:w="95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c>
          <w:tcPr>
            <w:tcW w:w="840" w:type="dxa"/>
            <w:vAlign w:val="bottom"/>
            <w:shd w:val="clear" w:color="auto" w:fill="D8D8D8"/>
          </w:tcPr>
          <w:p>
            <w:pPr>
              <w:spacing w:after="0"/>
              <w:rPr>
                <w:sz w:val="17"/>
                <w:szCs w:val="17"/>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Nicole Y. Lamb-Hale</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59</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2020</w:t>
            </w:r>
          </w:p>
        </w:tc>
        <w:tc>
          <w:tcPr>
            <w:tcW w:w="1410" w:type="dxa"/>
            <w:vAlign w:val="bottom"/>
          </w:tcPr>
          <w:p>
            <w:pPr>
              <w:jc w:val="center"/>
              <w:spacing w:after="0" w:line="202" w:lineRule="exact"/>
              <w:rPr>
                <w:sz w:val="20"/>
                <w:szCs w:val="20"/>
                <w:color w:val="auto"/>
              </w:rPr>
            </w:pPr>
            <w:r>
              <w:rPr>
                <w:rFonts w:ascii="Arial" w:cs="Arial" w:eastAsia="Arial" w:hAnsi="Arial"/>
                <w:sz w:val="18"/>
                <w:szCs w:val="18"/>
                <w:color w:val="auto"/>
                <w:w w:val="96"/>
              </w:rPr>
              <w:t>Yes</w:t>
            </w:r>
          </w:p>
        </w:tc>
        <w:tc>
          <w:tcPr>
            <w:tcW w:w="950" w:type="dxa"/>
            <w:vAlign w:val="bottom"/>
          </w:tcPr>
          <w:p>
            <w:pPr>
              <w:spacing w:after="0"/>
              <w:rPr>
                <w:sz w:val="17"/>
                <w:szCs w:val="17"/>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9"/>
        </w:trPr>
        <w:tc>
          <w:tcPr>
            <w:tcW w:w="5160" w:type="dxa"/>
            <w:vAlign w:val="bottom"/>
          </w:tcPr>
          <w:p>
            <w:pPr>
              <w:spacing w:after="0"/>
              <w:rPr>
                <w:sz w:val="20"/>
                <w:szCs w:val="20"/>
                <w:color w:val="auto"/>
              </w:rPr>
            </w:pPr>
            <w:r>
              <w:rPr>
                <w:rFonts w:ascii="Arial" w:cs="Arial" w:eastAsia="Arial" w:hAnsi="Arial"/>
                <w:sz w:val="16"/>
                <w:szCs w:val="16"/>
                <w:color w:val="auto"/>
              </w:rPr>
              <w:t>Vice President, Chief Administrative Officer and Corporate</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10" w:type="dxa"/>
            <w:vAlign w:val="bottom"/>
          </w:tcPr>
          <w:p>
            <w:pPr>
              <w:spacing w:after="0"/>
              <w:rPr>
                <w:sz w:val="16"/>
                <w:szCs w:val="16"/>
                <w:color w:val="auto"/>
              </w:rPr>
            </w:pPr>
          </w:p>
        </w:tc>
        <w:tc>
          <w:tcPr>
            <w:tcW w:w="95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Secretary/Cummins Inc.</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95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16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Thomas A. McEachin</w:t>
            </w:r>
          </w:p>
        </w:tc>
        <w:tc>
          <w:tcPr>
            <w:tcW w:w="7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73</w:t>
            </w:r>
          </w:p>
        </w:tc>
        <w:tc>
          <w:tcPr>
            <w:tcW w:w="9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2022</w:t>
            </w:r>
          </w:p>
        </w:tc>
        <w:tc>
          <w:tcPr>
            <w:tcW w:w="141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Yes</w:t>
            </w:r>
          </w:p>
        </w:tc>
        <w:tc>
          <w:tcPr>
            <w:tcW w:w="950" w:type="dxa"/>
            <w:vAlign w:val="bottom"/>
            <w:shd w:val="clear" w:color="auto" w:fill="D8D8D8"/>
          </w:tcPr>
          <w:p>
            <w:pPr>
              <w:spacing w:after="0"/>
              <w:rPr>
                <w:sz w:val="18"/>
                <w:szCs w:val="18"/>
                <w:color w:val="auto"/>
              </w:rPr>
            </w:pPr>
          </w:p>
        </w:tc>
        <w:tc>
          <w:tcPr>
            <w:tcW w:w="96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8D8D8"/>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9"/>
        </w:trPr>
        <w:tc>
          <w:tcPr>
            <w:tcW w:w="5160" w:type="dxa"/>
            <w:vAlign w:val="bottom"/>
            <w:shd w:val="clear" w:color="auto" w:fill="D8D8D8"/>
          </w:tcPr>
          <w:p>
            <w:pPr>
              <w:spacing w:after="0"/>
              <w:rPr>
                <w:sz w:val="20"/>
                <w:szCs w:val="20"/>
                <w:color w:val="auto"/>
              </w:rPr>
            </w:pPr>
            <w:r>
              <w:rPr>
                <w:rFonts w:ascii="Arial" w:cs="Arial" w:eastAsia="Arial" w:hAnsi="Arial"/>
                <w:sz w:val="16"/>
                <w:szCs w:val="16"/>
                <w:color w:val="auto"/>
              </w:rPr>
              <w:t>Former Chief Financial Officer/Covidien Surgical Solutions</w:t>
            </w:r>
          </w:p>
        </w:tc>
        <w:tc>
          <w:tcPr>
            <w:tcW w:w="74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1410" w:type="dxa"/>
            <w:vAlign w:val="bottom"/>
            <w:shd w:val="clear" w:color="auto" w:fill="D8D8D8"/>
          </w:tcPr>
          <w:p>
            <w:pPr>
              <w:spacing w:after="0"/>
              <w:rPr>
                <w:sz w:val="16"/>
                <w:szCs w:val="16"/>
                <w:color w:val="auto"/>
              </w:rPr>
            </w:pPr>
          </w:p>
        </w:tc>
        <w:tc>
          <w:tcPr>
            <w:tcW w:w="95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Anthony P. Nader, III</w:t>
            </w: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99"/>
              </w:rPr>
              <w:t>62</w:t>
            </w: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w w:val="99"/>
              </w:rPr>
              <w:t>2020</w:t>
            </w:r>
          </w:p>
        </w:tc>
        <w:tc>
          <w:tcPr>
            <w:tcW w:w="1410" w:type="dxa"/>
            <w:vAlign w:val="bottom"/>
          </w:tcPr>
          <w:p>
            <w:pPr>
              <w:jc w:val="center"/>
              <w:spacing w:after="0" w:line="202" w:lineRule="exact"/>
              <w:rPr>
                <w:sz w:val="20"/>
                <w:szCs w:val="20"/>
                <w:color w:val="auto"/>
              </w:rPr>
            </w:pPr>
            <w:r>
              <w:rPr>
                <w:rFonts w:ascii="Arial" w:cs="Arial" w:eastAsia="Arial" w:hAnsi="Arial"/>
                <w:sz w:val="18"/>
                <w:szCs w:val="18"/>
                <w:color w:val="auto"/>
                <w:w w:val="96"/>
              </w:rPr>
              <w:t>Yes</w:t>
            </w:r>
          </w:p>
        </w:tc>
        <w:tc>
          <w:tcPr>
            <w:tcW w:w="950" w:type="dxa"/>
            <w:vAlign w:val="bottom"/>
          </w:tcPr>
          <w:p>
            <w:pPr>
              <w:jc w:val="center"/>
              <w:spacing w:after="0" w:line="202"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60" w:type="dxa"/>
            <w:vAlign w:val="bottom"/>
          </w:tcPr>
          <w:p>
            <w:pPr>
              <w:spacing w:after="0"/>
              <w:rPr>
                <w:sz w:val="17"/>
                <w:szCs w:val="17"/>
                <w:color w:val="auto"/>
              </w:rPr>
            </w:pPr>
          </w:p>
        </w:tc>
        <w:tc>
          <w:tcPr>
            <w:tcW w:w="840" w:type="dxa"/>
            <w:vAlign w:val="bottom"/>
          </w:tcPr>
          <w:p>
            <w:pPr>
              <w:jc w:val="center"/>
              <w:ind w:left="50"/>
              <w:spacing w:after="0" w:line="202" w:lineRule="exact"/>
              <w:rPr>
                <w:sz w:val="20"/>
                <w:szCs w:val="20"/>
                <w:color w:val="auto"/>
              </w:rPr>
            </w:pPr>
            <w:r>
              <w:rPr>
                <w:rFonts w:ascii="Arial" w:cs="Arial" w:eastAsia="Arial" w:hAnsi="Arial"/>
                <w:sz w:val="18"/>
                <w:szCs w:val="18"/>
                <w:color w:val="auto"/>
              </w:rPr>
              <w:t>C</w:t>
            </w:r>
          </w:p>
        </w:tc>
      </w:tr>
      <w:tr>
        <w:trPr>
          <w:trHeight w:val="203"/>
        </w:trPr>
        <w:tc>
          <w:tcPr>
            <w:tcW w:w="5160" w:type="dxa"/>
            <w:vAlign w:val="bottom"/>
          </w:tcPr>
          <w:p>
            <w:pPr>
              <w:spacing w:after="0"/>
              <w:rPr>
                <w:sz w:val="20"/>
                <w:szCs w:val="20"/>
                <w:color w:val="auto"/>
              </w:rPr>
            </w:pPr>
            <w:r>
              <w:rPr>
                <w:rFonts w:ascii="Arial" w:cs="Arial" w:eastAsia="Arial" w:hAnsi="Arial"/>
                <w:sz w:val="16"/>
                <w:szCs w:val="16"/>
                <w:color w:val="auto"/>
              </w:rPr>
              <w:t>Managing Director/SWaN &amp; Legend Partners</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10" w:type="dxa"/>
            <w:vAlign w:val="bottom"/>
          </w:tcPr>
          <w:p>
            <w:pPr>
              <w:spacing w:after="0"/>
              <w:rPr>
                <w:sz w:val="17"/>
                <w:szCs w:val="17"/>
                <w:color w:val="auto"/>
              </w:rPr>
            </w:pPr>
          </w:p>
        </w:tc>
        <w:tc>
          <w:tcPr>
            <w:tcW w:w="95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16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Gail P. Steinel</w:t>
            </w:r>
          </w:p>
        </w:tc>
        <w:tc>
          <w:tcPr>
            <w:tcW w:w="7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69</w:t>
            </w:r>
          </w:p>
        </w:tc>
        <w:tc>
          <w:tcPr>
            <w:tcW w:w="9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2006</w:t>
            </w:r>
          </w:p>
        </w:tc>
        <w:tc>
          <w:tcPr>
            <w:tcW w:w="141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Yes</w:t>
            </w:r>
          </w:p>
        </w:tc>
        <w:tc>
          <w:tcPr>
            <w:tcW w:w="950" w:type="dxa"/>
            <w:vAlign w:val="bottom"/>
            <w:shd w:val="clear" w:color="auto" w:fill="D8D8D8"/>
          </w:tcPr>
          <w:p>
            <w:pPr>
              <w:ind w:left="350"/>
              <w:spacing w:after="0"/>
              <w:rPr>
                <w:sz w:val="20"/>
                <w:szCs w:val="20"/>
                <w:color w:val="auto"/>
              </w:rPr>
            </w:pPr>
            <w:r>
              <w:rPr>
                <w:rFonts w:ascii="Arial" w:cs="Arial" w:eastAsia="Arial" w:hAnsi="Arial"/>
                <w:sz w:val="18"/>
                <w:szCs w:val="18"/>
                <w:color w:val="auto"/>
              </w:rPr>
              <w:t>C$</w:t>
            </w:r>
          </w:p>
        </w:tc>
        <w:tc>
          <w:tcPr>
            <w:tcW w:w="96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shd w:val="clear" w:color="auto" w:fill="D8D8D8"/>
          </w:tcPr>
          <w:p>
            <w:pPr>
              <w:spacing w:after="0"/>
              <w:rPr>
                <w:sz w:val="18"/>
                <w:szCs w:val="18"/>
                <w:color w:val="auto"/>
              </w:rPr>
            </w:pPr>
          </w:p>
        </w:tc>
      </w:tr>
      <w:tr>
        <w:trPr>
          <w:trHeight w:val="189"/>
        </w:trPr>
        <w:tc>
          <w:tcPr>
            <w:tcW w:w="5160" w:type="dxa"/>
            <w:vAlign w:val="bottom"/>
            <w:shd w:val="clear" w:color="auto" w:fill="D8D8D8"/>
          </w:tcPr>
          <w:p>
            <w:pPr>
              <w:spacing w:after="0"/>
              <w:rPr>
                <w:sz w:val="20"/>
                <w:szCs w:val="20"/>
                <w:color w:val="auto"/>
              </w:rPr>
            </w:pPr>
            <w:r>
              <w:rPr>
                <w:rFonts w:ascii="Arial" w:cs="Arial" w:eastAsia="Arial" w:hAnsi="Arial"/>
                <w:sz w:val="16"/>
                <w:szCs w:val="16"/>
                <w:color w:val="auto"/>
              </w:rPr>
              <w:t>Owner/Executive Advisors</w:t>
            </w:r>
          </w:p>
        </w:tc>
        <w:tc>
          <w:tcPr>
            <w:tcW w:w="74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1410" w:type="dxa"/>
            <w:vAlign w:val="bottom"/>
            <w:shd w:val="clear" w:color="auto" w:fill="D8D8D8"/>
          </w:tcPr>
          <w:p>
            <w:pPr>
              <w:spacing w:after="0"/>
              <w:rPr>
                <w:sz w:val="16"/>
                <w:szCs w:val="16"/>
                <w:color w:val="auto"/>
              </w:rPr>
            </w:pPr>
          </w:p>
        </w:tc>
        <w:tc>
          <w:tcPr>
            <w:tcW w:w="950" w:type="dxa"/>
            <w:vAlign w:val="bottom"/>
            <w:shd w:val="clear" w:color="auto" w:fill="D8D8D8"/>
          </w:tcPr>
          <w:p>
            <w:pPr>
              <w:spacing w:after="0"/>
              <w:rPr>
                <w:sz w:val="16"/>
                <w:szCs w:val="16"/>
                <w:color w:val="auto"/>
              </w:rPr>
            </w:pPr>
          </w:p>
        </w:tc>
        <w:tc>
          <w:tcPr>
            <w:tcW w:w="96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r>
      <w:tr>
        <w:trPr>
          <w:trHeight w:val="188"/>
        </w:trPr>
        <w:tc>
          <w:tcPr>
            <w:tcW w:w="5160" w:type="dxa"/>
            <w:vAlign w:val="bottom"/>
          </w:tcPr>
          <w:p>
            <w:pPr>
              <w:spacing w:after="0" w:line="189" w:lineRule="exact"/>
              <w:rPr>
                <w:sz w:val="20"/>
                <w:szCs w:val="20"/>
                <w:color w:val="auto"/>
              </w:rPr>
            </w:pPr>
            <w:r>
              <w:rPr>
                <w:rFonts w:ascii="Arial" w:cs="Arial" w:eastAsia="Arial" w:hAnsi="Arial"/>
                <w:sz w:val="18"/>
                <w:szCs w:val="18"/>
                <w:b w:val="1"/>
                <w:bCs w:val="1"/>
                <w:color w:val="auto"/>
              </w:rPr>
              <w:t>Donald C. Wood</w:t>
            </w:r>
          </w:p>
        </w:tc>
        <w:tc>
          <w:tcPr>
            <w:tcW w:w="740" w:type="dxa"/>
            <w:vAlign w:val="bottom"/>
          </w:tcPr>
          <w:p>
            <w:pPr>
              <w:jc w:val="center"/>
              <w:spacing w:after="0" w:line="189" w:lineRule="exact"/>
              <w:rPr>
                <w:sz w:val="20"/>
                <w:szCs w:val="20"/>
                <w:color w:val="auto"/>
              </w:rPr>
            </w:pPr>
            <w:r>
              <w:rPr>
                <w:rFonts w:ascii="Arial" w:cs="Arial" w:eastAsia="Arial" w:hAnsi="Arial"/>
                <w:sz w:val="18"/>
                <w:szCs w:val="18"/>
                <w:color w:val="auto"/>
                <w:w w:val="99"/>
              </w:rPr>
              <w:t>65</w:t>
            </w: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99"/>
              </w:rPr>
              <w:t>2003</w:t>
            </w:r>
          </w:p>
        </w:tc>
        <w:tc>
          <w:tcPr>
            <w:tcW w:w="1410" w:type="dxa"/>
            <w:vAlign w:val="bottom"/>
          </w:tcPr>
          <w:p>
            <w:pPr>
              <w:jc w:val="center"/>
              <w:spacing w:after="0" w:line="189" w:lineRule="exact"/>
              <w:rPr>
                <w:sz w:val="20"/>
                <w:szCs w:val="20"/>
                <w:color w:val="auto"/>
              </w:rPr>
            </w:pPr>
            <w:r>
              <w:rPr>
                <w:rFonts w:ascii="Arial" w:cs="Arial" w:eastAsia="Arial" w:hAnsi="Arial"/>
                <w:sz w:val="18"/>
                <w:szCs w:val="18"/>
                <w:color w:val="auto"/>
                <w:w w:val="95"/>
              </w:rPr>
              <w:t>No</w:t>
            </w:r>
          </w:p>
        </w:tc>
        <w:tc>
          <w:tcPr>
            <w:tcW w:w="95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6"/>
                <w:szCs w:val="16"/>
                <w:color w:val="auto"/>
              </w:rPr>
              <w:t>Chief Executive Officer/Federal Realty Investment Trust</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1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Legend:</w:t>
      </w:r>
    </w:p>
    <w:p>
      <w:pPr>
        <w:spacing w:after="0" w:line="1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AC-Audit Committee; CC-Compensation and Human Capital Management Committee; NC-Nominating and Corporate Governance Committee</w:t>
      </w:r>
    </w:p>
    <w:p>
      <w:pPr>
        <w:spacing w:after="0" w:line="1" w:lineRule="exact"/>
        <w:rPr>
          <w:sz w:val="20"/>
          <w:szCs w:val="20"/>
          <w:color w:val="auto"/>
        </w:rPr>
      </w:pPr>
    </w:p>
    <w:p>
      <w:pPr>
        <w:ind w:left="540" w:right="7580" w:firstLine="8"/>
        <w:spacing w:after="0" w:line="281"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Chairman of the Board C Indicates Committee Chair</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Indicates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1"/>
        </w:numPr>
        <w:rPr>
          <w:rFonts w:ascii="MS PGothic" w:cs="MS PGothic" w:eastAsia="MS PGothic" w:hAnsi="MS PGothic"/>
          <w:sz w:val="18"/>
          <w:szCs w:val="18"/>
          <w:color w:val="FF160F"/>
        </w:rPr>
      </w:pPr>
      <w:r>
        <w:rPr>
          <w:rFonts w:ascii="Arial" w:cs="Arial" w:eastAsia="Arial" w:hAnsi="Arial"/>
          <w:sz w:val="18"/>
          <w:szCs w:val="18"/>
          <w:b w:val="1"/>
          <w:bCs w:val="1"/>
          <w:color w:val="auto"/>
        </w:rPr>
        <w:t>SUSTAINABILITY SNAPSHOT</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sustainability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03415" cy="1346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1346200"/>
                    </a:xfrm>
                    <a:prstGeom prst="rect">
                      <a:avLst/>
                    </a:prstGeom>
                    <a:noFill/>
                  </pic:spPr>
                </pic:pic>
              </a:graphicData>
            </a:graphic>
          </wp:anchor>
        </w:drawing>
      </w:r>
    </w:p>
    <w:p>
      <w:pPr>
        <w:spacing w:after="0" w:line="365" w:lineRule="exact"/>
        <w:rPr>
          <w:sz w:val="20"/>
          <w:szCs w:val="20"/>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Science Based Target to reduce Scope 1&amp;2 emissions by 46% by 2030 (2019 baseline)</w:t>
      </w:r>
    </w:p>
    <w:p>
      <w:pPr>
        <w:spacing w:after="0" w:line="184"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35% Scope 1&amp;2 GHG emissions reduction from 2019 through 2024</w:t>
      </w:r>
    </w:p>
    <w:p>
      <w:pPr>
        <w:spacing w:after="0" w:line="102"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More than 5 million square feet of LEED certified buildings built or in process</w:t>
      </w:r>
    </w:p>
    <w:p>
      <w:pPr>
        <w:spacing w:after="0" w:line="10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51% of electric consumption in 2024 provided by zero carbon sources</w:t>
      </w:r>
    </w:p>
    <w:p>
      <w:pPr>
        <w:spacing w:after="0" w:line="10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15.3 MW solar power generating capacity in solar arrays at 28 properties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6" w:lineRule="exact"/>
        <w:rPr>
          <w:rFonts w:ascii="MS PGothic" w:cs="MS PGothic" w:eastAsia="MS PGothic" w:hAnsi="MS PGothic"/>
          <w:sz w:val="18"/>
          <w:szCs w:val="18"/>
          <w:color w:val="auto"/>
        </w:rPr>
      </w:pPr>
    </w:p>
    <w:p>
      <w:pPr>
        <w:ind w:left="3860" w:right="540" w:hanging="308"/>
        <w:spacing w:after="0" w:line="271" w:lineRule="auto"/>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Climate change scenario analysis using RCP 8.5 showing minimal financial risk over short-, medium- and long-term</w:t>
      </w:r>
    </w:p>
    <w:p>
      <w:pPr>
        <w:spacing w:after="0" w:line="72"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Management of water usage through technology and landscaping choices</w:t>
      </w:r>
    </w:p>
    <w:p>
      <w:pPr>
        <w:spacing w:after="0" w:line="90"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Focus on increasing waste diverted to recycling</w:t>
      </w:r>
    </w:p>
    <w:p>
      <w:pPr>
        <w:spacing w:after="0" w:line="76" w:lineRule="exact"/>
        <w:rPr>
          <w:rFonts w:ascii="MS PGothic" w:cs="MS PGothic" w:eastAsia="MS PGothic" w:hAnsi="MS PGothic"/>
          <w:sz w:val="18"/>
          <w:szCs w:val="18"/>
          <w:color w:val="auto"/>
        </w:rPr>
      </w:pPr>
    </w:p>
    <w:p>
      <w:pPr>
        <w:ind w:left="3860" w:right="280" w:hanging="308"/>
        <w:spacing w:after="0" w:line="271" w:lineRule="auto"/>
        <w:tabs>
          <w:tab w:leader="none" w:pos="386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Physical risk exposures incorporated into property level capital planning and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-1184275</wp:posOffset>
            </wp:positionV>
            <wp:extent cx="7003415" cy="1431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14312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5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7003415" cy="13627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1362710"/>
                    </a:xfrm>
                    <a:prstGeom prst="rect">
                      <a:avLst/>
                    </a:prstGeom>
                    <a:noFill/>
                  </pic:spPr>
                </pic:pic>
              </a:graphicData>
            </a:graphic>
          </wp:anchor>
        </w:drawing>
      </w:r>
    </w:p>
    <w:p>
      <w:pPr>
        <w:spacing w:after="0" w:line="10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Local cultural programming and events at properties</w:t>
      </w:r>
    </w:p>
    <w:p>
      <w:pPr>
        <w:spacing w:after="0" w:line="261" w:lineRule="exact"/>
        <w:rPr>
          <w:sz w:val="20"/>
          <w:szCs w:val="20"/>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Support local philanthropic initiatives and tenants</w:t>
      </w:r>
    </w:p>
    <w:p>
      <w:pPr>
        <w:spacing w:after="0" w:line="144"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Feature work of local artists in art installations at our properties</w:t>
      </w:r>
    </w:p>
    <w:p>
      <w:pPr>
        <w:spacing w:after="0" w:line="144"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Significant contributions to tax base of communities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51"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36"/>
          <w:szCs w:val="36"/>
          <w:color w:val="auto"/>
          <w:vertAlign w:val="subscript"/>
        </w:rPr>
      </w:pPr>
      <w:r>
        <w:rPr>
          <w:rFonts w:ascii="Arial" w:cs="Arial" w:eastAsia="Arial" w:hAnsi="Arial"/>
          <w:sz w:val="18"/>
          <w:szCs w:val="18"/>
          <w:color w:val="auto"/>
        </w:rPr>
        <w:t>Competitive pay and benefits</w:t>
      </w:r>
    </w:p>
    <w:p>
      <w:pPr>
        <w:spacing w:after="0" w:line="62" w:lineRule="exact"/>
        <w:rPr>
          <w:rFonts w:ascii="MS PGothic" w:cs="MS PGothic" w:eastAsia="MS PGothic" w:hAnsi="MS PGothic"/>
          <w:sz w:val="36"/>
          <w:szCs w:val="36"/>
          <w:color w:val="auto"/>
          <w:vertAlign w:val="subscript"/>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Average tenure of 9.4 years</w:t>
      </w:r>
    </w:p>
    <w:p>
      <w:pPr>
        <w:spacing w:after="0" w:line="3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Pay equity analysis shows no pay anomalies based on race or gender</w:t>
      </w:r>
    </w:p>
    <w:p>
      <w:pPr>
        <w:spacing w:after="0" w:line="3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Women represented 54% of our workforce in 2025</w:t>
      </w:r>
    </w:p>
    <w:p>
      <w:pPr>
        <w:spacing w:after="0" w:line="3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Minorities represented 48% of all new hires in 2025</w:t>
      </w:r>
    </w:p>
    <w:p>
      <w:pPr>
        <w:spacing w:after="0" w:line="3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Comprehensive health and wellness programs through our Be Well at Federal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-1064895</wp:posOffset>
            </wp:positionV>
            <wp:extent cx="7003415" cy="1834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63" w:lineRule="exact"/>
        <w:rPr>
          <w:sz w:val="20"/>
          <w:szCs w:val="20"/>
          <w:color w:val="auto"/>
        </w:rPr>
      </w:pPr>
    </w:p>
    <w:p>
      <w:pPr>
        <w:ind w:left="3860" w:hanging="275"/>
        <w:spacing w:after="0"/>
        <w:tabs>
          <w:tab w:leader="none" w:pos="3860" w:val="left"/>
        </w:tabs>
        <w:numPr>
          <w:ilvl w:val="2"/>
          <w:numId w:val="14"/>
        </w:numPr>
        <w:rPr>
          <w:rFonts w:ascii="MS PGothic" w:cs="MS PGothic" w:eastAsia="MS PGothic" w:hAnsi="MS PGothic"/>
          <w:sz w:val="18"/>
          <w:szCs w:val="18"/>
          <w:color w:val="auto"/>
        </w:rPr>
      </w:pPr>
      <w:r>
        <w:rPr>
          <w:rFonts w:ascii="Arial" w:cs="Arial" w:eastAsia="Arial" w:hAnsi="Arial"/>
          <w:sz w:val="18"/>
          <w:szCs w:val="18"/>
          <w:color w:val="auto"/>
        </w:rPr>
        <w:t>Annual election of all trustees</w:t>
      </w:r>
    </w:p>
    <w:p>
      <w:pPr>
        <w:spacing w:after="0" w:line="76" w:lineRule="exact"/>
        <w:rPr>
          <w:rFonts w:ascii="MS PGothic" w:cs="MS PGothic" w:eastAsia="MS PGothic" w:hAnsi="MS PGothic"/>
          <w:sz w:val="18"/>
          <w:szCs w:val="18"/>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Independent Non-Executive Chairman</w:t>
      </w:r>
    </w:p>
    <w:p>
      <w:pPr>
        <w:spacing w:after="0" w:line="76" w:lineRule="exact"/>
        <w:rPr>
          <w:rFonts w:ascii="MS PGothic" w:cs="MS PGothic" w:eastAsia="MS PGothic" w:hAnsi="MS PGothic"/>
          <w:sz w:val="18"/>
          <w:szCs w:val="18"/>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Majority voting and proxy access for trustee elections</w:t>
      </w:r>
    </w:p>
    <w:p>
      <w:pPr>
        <w:spacing w:after="0" w:line="90" w:lineRule="exact"/>
        <w:rPr>
          <w:rFonts w:ascii="MS PGothic" w:cs="MS PGothic" w:eastAsia="MS PGothic" w:hAnsi="MS PGothic"/>
          <w:sz w:val="18"/>
          <w:szCs w:val="18"/>
          <w:color w:val="auto"/>
        </w:rPr>
      </w:pPr>
    </w:p>
    <w:p>
      <w:pPr>
        <w:ind w:left="3860" w:right="100" w:hanging="308"/>
        <w:spacing w:after="0" w:line="266" w:lineRule="auto"/>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Prohibition on hedging and pledging our shares combined with clawback policy and equity hold requirements</w:t>
      </w:r>
    </w:p>
    <w:p>
      <w:pPr>
        <w:spacing w:after="0" w:line="40" w:lineRule="exact"/>
        <w:rPr>
          <w:rFonts w:ascii="MS PGothic" w:cs="MS PGothic" w:eastAsia="MS PGothic" w:hAnsi="MS PGothic"/>
          <w:sz w:val="18"/>
          <w:szCs w:val="18"/>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Maintain a policy addressing the use of artificial intelligence</w:t>
      </w:r>
    </w:p>
    <w:p>
      <w:pPr>
        <w:spacing w:after="0" w:line="275" w:lineRule="exact"/>
        <w:rPr>
          <w:rFonts w:ascii="MS PGothic" w:cs="MS PGothic" w:eastAsia="MS PGothic" w:hAnsi="MS PGothic"/>
          <w:sz w:val="18"/>
          <w:szCs w:val="18"/>
          <w:color w:val="auto"/>
        </w:rPr>
      </w:pPr>
    </w:p>
    <w:p>
      <w:pPr>
        <w:ind w:left="120"/>
        <w:spacing w:after="0"/>
        <w:rPr>
          <w:rFonts w:ascii="MS PGothic" w:cs="MS PGothic" w:eastAsia="MS PGothic" w:hAnsi="MS PGothic"/>
          <w:sz w:val="18"/>
          <w:szCs w:val="18"/>
          <w:color w:val="auto"/>
        </w:rPr>
      </w:pPr>
      <w:r>
        <w:rPr>
          <w:rFonts w:ascii="Arial" w:cs="Arial" w:eastAsia="Arial" w:hAnsi="Arial"/>
          <w:sz w:val="14"/>
          <w:szCs w:val="14"/>
          <w:color w:val="auto"/>
        </w:rPr>
        <w:t>* All information provided is as of December 31, 2025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-1278890</wp:posOffset>
            </wp:positionV>
            <wp:extent cx="7003415" cy="1165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1165860"/>
                    </a:xfrm>
                    <a:prstGeom prst="rect">
                      <a:avLst/>
                    </a:prstGeom>
                    <a:noFill/>
                  </pic:spPr>
                </pic:pic>
              </a:graphicData>
            </a:graphic>
          </wp:anchor>
        </w:drawing>
      </w:r>
    </w:p>
    <w:p>
      <w:pPr>
        <w:spacing w:after="0" w:line="18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More information about our sustainability initiatives can be found in our 2024 Sustainability Report which is available under the Sustainability tab on our website and can be accessed by using this link </w:t>
      </w:r>
      <w:r>
        <w:rPr>
          <w:rFonts w:ascii="Arial" w:cs="Arial" w:eastAsia="Arial" w:hAnsi="Arial"/>
          <w:sz w:val="18"/>
          <w:szCs w:val="18"/>
          <w:b w:val="1"/>
          <w:bCs w:val="1"/>
          <w:color w:val="FF160F"/>
        </w:rPr>
        <w:t>frt-2024-sustainability-report.pdf</w:t>
      </w:r>
      <w:r>
        <w:rPr>
          <w:rFonts w:ascii="Arial" w:cs="Arial" w:eastAsia="Arial" w:hAnsi="Arial"/>
          <w:sz w:val="18"/>
          <w:szCs w:val="18"/>
          <w:b w:val="1"/>
          <w:bCs w:val="1"/>
          <w:color w:val="auto"/>
        </w:rPr>
        <w:t>.</w:t>
      </w:r>
      <w:r>
        <w:rPr>
          <w:rFonts w:ascii="Arial" w:cs="Arial" w:eastAsia="Arial" w:hAnsi="Arial"/>
          <w:sz w:val="18"/>
          <w:szCs w:val="18"/>
          <w:color w:val="auto"/>
        </w:rPr>
        <w:t xml:space="preserve"> The report provides additional, detailed information in alignment with the frameworks established by the Global Reporting Initiative, Task Force for Climate Related Financial Disclosures and Sustainability Accounting Standards Board.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overall efforts on these 5 initiatives have earned us an AA rating from MSCI ESG ratings, best workplaces awards for our corporate headquarters and regional offices in San Jose, Northern Virginia and Philadelphia and wellness awards from the American Heart Association and Aetna.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Governing the Company</w:t>
      </w:r>
    </w:p>
    <w:p>
      <w:pPr>
        <w:spacing w:after="0" w:line="264" w:lineRule="exact"/>
        <w:rPr>
          <w:sz w:val="20"/>
          <w:szCs w:val="20"/>
          <w:color w:val="auto"/>
        </w:rPr>
      </w:pPr>
    </w:p>
    <w:p>
      <w:pPr>
        <w:ind w:left="540" w:hanging="424"/>
        <w:spacing w:after="0"/>
        <w:tabs>
          <w:tab w:leader="none" w:pos="540" w:val="left"/>
        </w:tabs>
        <w:numPr>
          <w:ilvl w:val="0"/>
          <w:numId w:val="15"/>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DOCUMENTS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74" w:lineRule="exact"/>
        <w:rPr>
          <w:sz w:val="20"/>
          <w:szCs w:val="20"/>
          <w:color w:val="auto"/>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Corporate Governance Guidelines</w:t>
      </w:r>
    </w:p>
    <w:p>
      <w:pPr>
        <w:spacing w:after="0" w:line="27" w:lineRule="exact"/>
        <w:rPr>
          <w:rFonts w:ascii="MS PGothic" w:cs="MS PGothic" w:eastAsia="MS PGothic" w:hAnsi="MS PGothic"/>
          <w:sz w:val="18"/>
          <w:szCs w:val="18"/>
          <w:color w:val="FF160F"/>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Code of Business Conduct</w:t>
      </w:r>
    </w:p>
    <w:p>
      <w:pPr>
        <w:spacing w:after="0" w:line="9" w:lineRule="exact"/>
        <w:rPr>
          <w:rFonts w:ascii="MS PGothic" w:cs="MS PGothic" w:eastAsia="MS PGothic" w:hAnsi="MS PGothic"/>
          <w:sz w:val="18"/>
          <w:szCs w:val="18"/>
          <w:color w:val="FF160F"/>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Code of Ethics for our Senior Financial Officers</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These documents are reviewed periodically and revised when needed to reflect changing regulatory and governmental requirements and best practices. Complete copies of these documents are available in the Investor/Corporate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Printed copies of these documents are available upon written request to our Investor Relations department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909 Rose Avenue, Suite 200, 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7"/>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POLICIES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commitment to good governance is an integral part of our business. Highlights of our corporate governance practices include: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3680" w:type="dxa"/>
            <w:vAlign w:val="bottom"/>
            <w:tcBorders>
              <w:top w:val="single" w:sz="8" w:color="auto"/>
              <w:left w:val="single" w:sz="8" w:color="auto"/>
            </w:tcBorders>
            <w:shd w:val="clear" w:color="auto" w:fill="D8D8D8"/>
          </w:tcPr>
          <w:p>
            <w:pPr>
              <w:ind w:left="16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election of Trustees and annual</w:t>
            </w:r>
          </w:p>
        </w:tc>
        <w:tc>
          <w:tcPr>
            <w:tcW w:w="3720" w:type="dxa"/>
            <w:vAlign w:val="bottom"/>
            <w:tcBorders>
              <w:top w:val="single" w:sz="8" w:color="auto"/>
            </w:tcBorders>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Independent non-executive chairman</w:t>
            </w:r>
          </w:p>
        </w:tc>
        <w:tc>
          <w:tcPr>
            <w:tcW w:w="3640" w:type="dxa"/>
            <w:vAlign w:val="bottom"/>
            <w:tcBorders>
              <w:top w:val="single" w:sz="8" w:color="auto"/>
              <w:right w:val="single" w:sz="8" w:color="auto"/>
            </w:tcBorders>
            <w:shd w:val="clear" w:color="auto" w:fill="D8D8D8"/>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Board oversight of sustainability, cyber</w:t>
            </w:r>
          </w:p>
        </w:tc>
      </w:tr>
      <w:tr>
        <w:trPr>
          <w:trHeight w:val="203"/>
        </w:trPr>
        <w:tc>
          <w:tcPr>
            <w:tcW w:w="368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Board and Trustee evaluations</w:t>
            </w:r>
          </w:p>
        </w:tc>
        <w:tc>
          <w:tcPr>
            <w:tcW w:w="3720" w:type="dxa"/>
            <w:vAlign w:val="bottom"/>
          </w:tcPr>
          <w:p>
            <w:pPr>
              <w:ind w:left="440"/>
              <w:spacing w:after="0" w:line="202" w:lineRule="exact"/>
              <w:rPr>
                <w:sz w:val="20"/>
                <w:szCs w:val="20"/>
                <w:color w:val="auto"/>
              </w:rPr>
            </w:pPr>
            <w:r>
              <w:rPr>
                <w:rFonts w:ascii="Arial" w:cs="Arial" w:eastAsia="Arial" w:hAnsi="Arial"/>
                <w:sz w:val="18"/>
                <w:szCs w:val="18"/>
                <w:color w:val="auto"/>
              </w:rPr>
              <w:t>since 2003</w:t>
            </w:r>
          </w:p>
        </w:tc>
        <w:tc>
          <w:tcPr>
            <w:tcW w:w="3640" w:type="dxa"/>
            <w:vAlign w:val="bottom"/>
            <w:tcBorders>
              <w:righ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security, data protection, artificial</w:t>
            </w:r>
          </w:p>
        </w:tc>
      </w:tr>
      <w:tr>
        <w:trPr>
          <w:trHeight w:val="203"/>
        </w:trPr>
        <w:tc>
          <w:tcPr>
            <w:tcW w:w="3680" w:type="dxa"/>
            <w:vAlign w:val="bottom"/>
            <w:tcBorders>
              <w:left w:val="single" w:sz="8" w:color="auto"/>
            </w:tcBorders>
            <w:shd w:val="clear" w:color="auto" w:fill="D8D8D8"/>
          </w:tcPr>
          <w:p>
            <w:pPr>
              <w:spacing w:after="0"/>
              <w:rPr>
                <w:sz w:val="17"/>
                <w:szCs w:val="17"/>
                <w:color w:val="auto"/>
              </w:rPr>
            </w:pPr>
          </w:p>
        </w:tc>
        <w:tc>
          <w:tcPr>
            <w:tcW w:w="3720" w:type="dxa"/>
            <w:vAlign w:val="bottom"/>
          </w:tcPr>
          <w:p>
            <w:pPr>
              <w:spacing w:after="0"/>
              <w:rPr>
                <w:sz w:val="17"/>
                <w:szCs w:val="17"/>
                <w:color w:val="auto"/>
              </w:rPr>
            </w:pPr>
          </w:p>
        </w:tc>
        <w:tc>
          <w:tcPr>
            <w:tcW w:w="3640" w:type="dxa"/>
            <w:vAlign w:val="bottom"/>
            <w:tcBorders>
              <w:righ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intelligence practices and human</w:t>
            </w:r>
          </w:p>
        </w:tc>
      </w:tr>
      <w:tr>
        <w:trPr>
          <w:trHeight w:val="239"/>
        </w:trPr>
        <w:tc>
          <w:tcPr>
            <w:tcW w:w="3680" w:type="dxa"/>
            <w:vAlign w:val="bottom"/>
            <w:tcBorders>
              <w:left w:val="single" w:sz="8" w:color="auto"/>
            </w:tcBorders>
            <w:shd w:val="clear" w:color="auto" w:fill="D8D8D8"/>
          </w:tcPr>
          <w:p>
            <w:pPr>
              <w:spacing w:after="0"/>
              <w:rPr>
                <w:sz w:val="20"/>
                <w:szCs w:val="20"/>
                <w:color w:val="auto"/>
              </w:rPr>
            </w:pPr>
          </w:p>
        </w:tc>
        <w:tc>
          <w:tcPr>
            <w:tcW w:w="3720" w:type="dxa"/>
            <w:vAlign w:val="bottom"/>
          </w:tcPr>
          <w:p>
            <w:pPr>
              <w:spacing w:after="0"/>
              <w:rPr>
                <w:sz w:val="20"/>
                <w:szCs w:val="20"/>
                <w:color w:val="auto"/>
              </w:rPr>
            </w:pPr>
          </w:p>
        </w:tc>
        <w:tc>
          <w:tcPr>
            <w:tcW w:w="3640" w:type="dxa"/>
            <w:vAlign w:val="bottom"/>
            <w:tcBorders>
              <w:right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resources</w:t>
            </w:r>
          </w:p>
        </w:tc>
      </w:tr>
      <w:tr>
        <w:trPr>
          <w:trHeight w:val="198"/>
        </w:trPr>
        <w:tc>
          <w:tcPr>
            <w:tcW w:w="3680" w:type="dxa"/>
            <w:vAlign w:val="bottom"/>
            <w:tcBorders>
              <w:left w:val="single" w:sz="8" w:color="auto"/>
            </w:tcBorders>
            <w:shd w:val="clear" w:color="auto" w:fill="D8D8D8"/>
          </w:tcPr>
          <w:p>
            <w:pPr>
              <w:spacing w:after="0"/>
              <w:rPr>
                <w:sz w:val="17"/>
                <w:szCs w:val="17"/>
                <w:color w:val="auto"/>
              </w:rPr>
            </w:pPr>
          </w:p>
        </w:tc>
        <w:tc>
          <w:tcPr>
            <w:tcW w:w="3720" w:type="dxa"/>
            <w:vAlign w:val="bottom"/>
          </w:tcPr>
          <w:p>
            <w:pPr>
              <w:spacing w:after="0"/>
              <w:rPr>
                <w:sz w:val="17"/>
                <w:szCs w:val="17"/>
                <w:color w:val="auto"/>
              </w:rPr>
            </w:pPr>
          </w:p>
        </w:tc>
        <w:tc>
          <w:tcPr>
            <w:tcW w:w="3640" w:type="dxa"/>
            <w:vAlign w:val="bottom"/>
            <w:tcBorders>
              <w:right w:val="single" w:sz="8" w:color="auto"/>
            </w:tcBorders>
            <w:shd w:val="clear" w:color="auto" w:fill="D8D8D8"/>
          </w:tcPr>
          <w:p>
            <w:pPr>
              <w:spacing w:after="0"/>
              <w:rPr>
                <w:sz w:val="17"/>
                <w:szCs w:val="17"/>
                <w:color w:val="auto"/>
              </w:rPr>
            </w:pPr>
          </w:p>
        </w:tc>
      </w:tr>
      <w:tr>
        <w:trPr>
          <w:trHeight w:val="184"/>
        </w:trPr>
        <w:tc>
          <w:tcPr>
            <w:tcW w:w="3680" w:type="dxa"/>
            <w:vAlign w:val="bottom"/>
            <w:tcBorders>
              <w:left w:val="single" w:sz="8" w:color="auto"/>
            </w:tcBorders>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serving on</w:t>
            </w:r>
          </w:p>
        </w:tc>
        <w:tc>
          <w:tcPr>
            <w:tcW w:w="3720" w:type="dxa"/>
            <w:vAlign w:val="bottom"/>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Majority voting in uncontested elections</w:t>
            </w:r>
          </w:p>
        </w:tc>
        <w:tc>
          <w:tcPr>
            <w:tcW w:w="3640" w:type="dxa"/>
            <w:vAlign w:val="bottom"/>
            <w:tcBorders>
              <w:right w:val="single" w:sz="8" w:color="auto"/>
            </w:tcBorders>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Proxy access for all shareholders</w:t>
            </w:r>
          </w:p>
        </w:tc>
      </w:tr>
      <w:tr>
        <w:trPr>
          <w:trHeight w:val="239"/>
        </w:trPr>
        <w:tc>
          <w:tcPr>
            <w:tcW w:w="368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excessive numbers of other boards</w:t>
            </w:r>
          </w:p>
        </w:tc>
        <w:tc>
          <w:tcPr>
            <w:tcW w:w="3720" w:type="dxa"/>
            <w:vAlign w:val="bottom"/>
            <w:shd w:val="clear" w:color="auto" w:fill="D8D8D8"/>
          </w:tcPr>
          <w:p>
            <w:pPr>
              <w:spacing w:after="0"/>
              <w:rPr>
                <w:sz w:val="20"/>
                <w:szCs w:val="20"/>
                <w:color w:val="auto"/>
              </w:rPr>
            </w:pPr>
          </w:p>
        </w:tc>
        <w:tc>
          <w:tcPr>
            <w:tcW w:w="3640" w:type="dxa"/>
            <w:vAlign w:val="bottom"/>
            <w:tcBorders>
              <w:right w:val="single" w:sz="8" w:color="auto"/>
            </w:tcBorders>
          </w:tcPr>
          <w:p>
            <w:pPr>
              <w:spacing w:after="0"/>
              <w:rPr>
                <w:sz w:val="20"/>
                <w:szCs w:val="20"/>
                <w:color w:val="auto"/>
              </w:rPr>
            </w:pPr>
          </w:p>
        </w:tc>
      </w:tr>
      <w:tr>
        <w:trPr>
          <w:trHeight w:val="198"/>
        </w:trPr>
        <w:tc>
          <w:tcPr>
            <w:tcW w:w="3680" w:type="dxa"/>
            <w:vAlign w:val="bottom"/>
            <w:tcBorders>
              <w:left w:val="single" w:sz="8" w:color="auto"/>
            </w:tcBorders>
          </w:tcPr>
          <w:p>
            <w:pPr>
              <w:spacing w:after="0"/>
              <w:rPr>
                <w:sz w:val="17"/>
                <w:szCs w:val="17"/>
                <w:color w:val="auto"/>
              </w:rPr>
            </w:pPr>
          </w:p>
        </w:tc>
        <w:tc>
          <w:tcPr>
            <w:tcW w:w="3720" w:type="dxa"/>
            <w:vAlign w:val="bottom"/>
            <w:shd w:val="clear" w:color="auto" w:fill="D8D8D8"/>
          </w:tcPr>
          <w:p>
            <w:pPr>
              <w:spacing w:after="0"/>
              <w:rPr>
                <w:sz w:val="17"/>
                <w:szCs w:val="17"/>
                <w:color w:val="auto"/>
              </w:rPr>
            </w:pPr>
          </w:p>
        </w:tc>
        <w:tc>
          <w:tcPr>
            <w:tcW w:w="3640" w:type="dxa"/>
            <w:vAlign w:val="bottom"/>
            <w:tcBorders>
              <w:right w:val="single" w:sz="8" w:color="auto"/>
            </w:tcBorders>
          </w:tcPr>
          <w:p>
            <w:pPr>
              <w:spacing w:after="0"/>
              <w:rPr>
                <w:sz w:val="17"/>
                <w:szCs w:val="17"/>
                <w:color w:val="auto"/>
              </w:rPr>
            </w:pPr>
          </w:p>
        </w:tc>
      </w:tr>
      <w:tr>
        <w:trPr>
          <w:trHeight w:val="184"/>
        </w:trPr>
        <w:tc>
          <w:tcPr>
            <w:tcW w:w="3680" w:type="dxa"/>
            <w:vAlign w:val="bottom"/>
            <w:tcBorders>
              <w:left w:val="single" w:sz="8" w:color="auto"/>
            </w:tcBorders>
            <w:shd w:val="clear" w:color="auto" w:fill="D8D8D8"/>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and</w:t>
            </w:r>
          </w:p>
        </w:tc>
        <w:tc>
          <w:tcPr>
            <w:tcW w:w="3720" w:type="dxa"/>
            <w:vAlign w:val="bottom"/>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Shareholder approval required to classify</w:t>
            </w:r>
          </w:p>
        </w:tc>
        <w:tc>
          <w:tcPr>
            <w:tcW w:w="3640" w:type="dxa"/>
            <w:vAlign w:val="bottom"/>
            <w:tcBorders>
              <w:right w:val="single" w:sz="8" w:color="auto"/>
            </w:tcBorders>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Robust share ownership guidelines in</w:t>
            </w:r>
          </w:p>
        </w:tc>
      </w:tr>
      <w:tr>
        <w:trPr>
          <w:trHeight w:val="203"/>
        </w:trPr>
        <w:tc>
          <w:tcPr>
            <w:tcW w:w="368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management hedging and pledging our</w:t>
            </w:r>
          </w:p>
        </w:tc>
        <w:tc>
          <w:tcPr>
            <w:tcW w:w="3720" w:type="dxa"/>
            <w:vAlign w:val="bottom"/>
          </w:tcPr>
          <w:p>
            <w:pPr>
              <w:ind w:left="440"/>
              <w:spacing w:after="0" w:line="202" w:lineRule="exact"/>
              <w:rPr>
                <w:sz w:val="20"/>
                <w:szCs w:val="20"/>
                <w:color w:val="auto"/>
              </w:rPr>
            </w:pPr>
            <w:r>
              <w:rPr>
                <w:rFonts w:ascii="Arial" w:cs="Arial" w:eastAsia="Arial" w:hAnsi="Arial"/>
                <w:sz w:val="18"/>
                <w:szCs w:val="18"/>
                <w:color w:val="auto"/>
              </w:rPr>
              <w:t>our Board</w:t>
            </w:r>
          </w:p>
        </w:tc>
        <w:tc>
          <w:tcPr>
            <w:tcW w:w="3640" w:type="dxa"/>
            <w:vAlign w:val="bottom"/>
            <w:tcBorders>
              <w:righ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place for Trustees and senior</w:t>
            </w:r>
          </w:p>
        </w:tc>
      </w:tr>
      <w:tr>
        <w:trPr>
          <w:trHeight w:val="221"/>
        </w:trPr>
        <w:tc>
          <w:tcPr>
            <w:tcW w:w="3680" w:type="dxa"/>
            <w:vAlign w:val="bottom"/>
            <w:tcBorders>
              <w:left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shares</w:t>
            </w:r>
          </w:p>
        </w:tc>
        <w:tc>
          <w:tcPr>
            <w:tcW w:w="3720" w:type="dxa"/>
            <w:vAlign w:val="bottom"/>
            <w:tcBorders>
              <w:bottom w:val="single" w:sz="8" w:color="auto"/>
            </w:tcBorders>
          </w:tcPr>
          <w:p>
            <w:pPr>
              <w:spacing w:after="0"/>
              <w:rPr>
                <w:sz w:val="19"/>
                <w:szCs w:val="19"/>
                <w:color w:val="auto"/>
              </w:rPr>
            </w:pPr>
          </w:p>
        </w:tc>
        <w:tc>
          <w:tcPr>
            <w:tcW w:w="3640" w:type="dxa"/>
            <w:vAlign w:val="bottom"/>
            <w:tcBorders>
              <w:bottom w:val="single" w:sz="8" w:color="auto"/>
              <w:right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management</w:t>
            </w:r>
          </w:p>
        </w:tc>
      </w:tr>
    </w:tbl>
    <w:p>
      <w:pPr>
        <w:spacing w:after="0" w:line="224" w:lineRule="exact"/>
        <w:rPr>
          <w:sz w:val="20"/>
          <w:szCs w:val="20"/>
          <w:color w:val="auto"/>
        </w:rPr>
      </w:pPr>
    </w:p>
    <w:p>
      <w:pPr>
        <w:ind w:left="540" w:hanging="424"/>
        <w:spacing w:after="0"/>
        <w:tabs>
          <w:tab w:leader="none" w:pos="540" w:val="left"/>
        </w:tabs>
        <w:numPr>
          <w:ilvl w:val="0"/>
          <w:numId w:val="1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LEADERSHIP</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has been led by an independent, Non-Executive Chairman for more than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540" w:hanging="424"/>
        <w:spacing w:after="0"/>
        <w:tabs>
          <w:tab w:leader="none" w:pos="540" w:val="left"/>
        </w:tabs>
        <w:numPr>
          <w:ilvl w:val="0"/>
          <w:numId w:val="1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MEETINGS</w:t>
      </w:r>
    </w:p>
    <w:p>
      <w:pPr>
        <w:spacing w:after="0" w:line="22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Board met five (5) times in 2025 and our trustees collectively attended 99% of all of the meetings of the Board and the committees on which they serve. Our policy is for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-238125</wp:posOffset>
            </wp:positionV>
            <wp:extent cx="17145"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34556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trustees to attend all meetings of each of the Board’s standing committees to ensure that</w:t>
      </w:r>
    </w:p>
    <w:p>
      <w:pPr>
        <w:spacing w:after="0" w:line="1" w:lineRule="exact"/>
        <w:rPr>
          <w:sz w:val="20"/>
          <w:szCs w:val="20"/>
          <w:color w:val="auto"/>
        </w:rPr>
      </w:pPr>
    </w:p>
    <w:p>
      <w:pPr>
        <w:ind w:left="120" w:right="20"/>
        <w:spacing w:after="0" w:line="226" w:lineRule="auto"/>
        <w:rPr>
          <w:sz w:val="20"/>
          <w:szCs w:val="20"/>
          <w:color w:val="auto"/>
        </w:rPr>
      </w:pPr>
      <w:r>
        <w:rPr>
          <w:rFonts w:ascii="Arial" w:cs="Arial" w:eastAsia="Arial" w:hAnsi="Arial"/>
          <w:sz w:val="18"/>
          <w:szCs w:val="18"/>
          <w:color w:val="auto"/>
        </w:rPr>
        <w:t>each Trustee is fully informed on all issues facing the Company and has the opportunity to participate in discussions surrounding those issues. Only trustees who are members of the</w:t>
      </w:r>
    </w:p>
    <w:p>
      <w:pPr>
        <w:spacing w:after="0" w:line="2" w:lineRule="exact"/>
        <w:rPr>
          <w:sz w:val="20"/>
          <w:szCs w:val="20"/>
          <w:color w:val="auto"/>
        </w:rPr>
      </w:pPr>
    </w:p>
    <w:p>
      <w:pPr>
        <w:ind w:left="120" w:right="20"/>
        <w:spacing w:after="0" w:line="226" w:lineRule="auto"/>
        <w:rPr>
          <w:sz w:val="20"/>
          <w:szCs w:val="20"/>
          <w:color w:val="auto"/>
        </w:rPr>
      </w:pPr>
      <w:r>
        <w:rPr>
          <w:rFonts w:ascii="Arial" w:cs="Arial" w:eastAsia="Arial" w:hAnsi="Arial"/>
          <w:sz w:val="18"/>
          <w:szCs w:val="18"/>
          <w:color w:val="auto"/>
        </w:rPr>
        <w:t>specific committee are entitled to vote on matters presented to that committee. At each quarterly meeting, the Trustees met in executive session with all Trustees and then with</w:t>
      </w:r>
    </w:p>
    <w:p>
      <w:pPr>
        <w:ind w:left="120"/>
        <w:spacing w:after="0" w:line="236" w:lineRule="auto"/>
        <w:rPr>
          <w:sz w:val="20"/>
          <w:szCs w:val="20"/>
          <w:color w:val="auto"/>
        </w:rPr>
      </w:pPr>
      <w:r>
        <w:rPr>
          <w:rFonts w:ascii="Arial" w:cs="Arial" w:eastAsia="Arial" w:hAnsi="Arial"/>
          <w:sz w:val="18"/>
          <w:szCs w:val="18"/>
          <w:color w:val="auto"/>
        </w:rPr>
        <w:t>just non-management Trustees, all of whom are independent. All Trustees are also</w:t>
      </w:r>
    </w:p>
    <w:p>
      <w:pPr>
        <w:spacing w:after="0" w:line="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expected to attend our annual shareholder meeting and all Trustees attended the 2025 annual shareholder meeting.</w:t>
      </w:r>
    </w:p>
    <w:p>
      <w:pPr>
        <w:spacing w:after="0" w:line="370" w:lineRule="exact"/>
        <w:rPr>
          <w:sz w:val="20"/>
          <w:szCs w:val="20"/>
          <w:color w:val="auto"/>
        </w:rPr>
      </w:pPr>
    </w:p>
    <w:p>
      <w:pPr>
        <w:ind w:left="540" w:hanging="424"/>
        <w:spacing w:after="0"/>
        <w:tabs>
          <w:tab w:leader="none" w:pos="540" w:val="left"/>
        </w:tabs>
        <w:numPr>
          <w:ilvl w:val="0"/>
          <w:numId w:val="2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160F"/>
        </w:rPr>
        <w:t>100%</w:t>
      </w:r>
    </w:p>
    <w:p>
      <w:pPr>
        <w:jc w:val="center"/>
        <w:ind w:right="240"/>
        <w:spacing w:after="0"/>
        <w:rPr>
          <w:sz w:val="20"/>
          <w:szCs w:val="20"/>
          <w:color w:val="auto"/>
        </w:rPr>
      </w:pPr>
      <w:r>
        <w:rPr>
          <w:rFonts w:ascii="Arial" w:cs="Arial" w:eastAsia="Arial" w:hAnsi="Arial"/>
          <w:sz w:val="17"/>
          <w:szCs w:val="17"/>
          <w:color w:val="auto"/>
        </w:rPr>
        <w:t>Attendance at the annual shareholder</w:t>
      </w:r>
    </w:p>
    <w:p>
      <w:pPr>
        <w:spacing w:after="0" w:line="7"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128270</wp:posOffset>
            </wp:positionV>
            <wp:extent cx="21602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397"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160F"/>
        </w:rPr>
        <w:t>99%</w:t>
      </w:r>
    </w:p>
    <w:p>
      <w:pPr>
        <w:spacing w:after="0" w:line="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Attendance by all Trustees of total Board</w:t>
      </w:r>
    </w:p>
    <w:p>
      <w:pPr>
        <w:spacing w:after="0" w:line="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meetings and meetings of</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 on which they serve</w:t>
      </w:r>
    </w:p>
    <w:p>
      <w:pPr>
        <w:spacing w:after="0" w:line="678" w:lineRule="exact"/>
        <w:rPr>
          <w:sz w:val="20"/>
          <w:szCs w:val="20"/>
          <w:color w:val="auto"/>
        </w:rPr>
      </w:pPr>
    </w:p>
    <w:p>
      <w:pPr>
        <w:sectPr>
          <w:pgSz w:w="11900" w:h="16838" w:orient="portrait"/>
          <w:cols w:equalWidth="0" w:num="2">
            <w:col w:w="7400" w:space="580"/>
            <w:col w:w="3160"/>
          </w:cols>
          <w:pgMar w:left="320" w:top="482" w:right="439" w:bottom="1440" w:gutter="0" w:footer="0" w:header="0"/>
          <w:type w:val="continuous"/>
        </w:sectPr>
      </w:pPr>
    </w:p>
    <w:p>
      <w:pPr>
        <w:spacing w:after="0" w:line="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The Board has three standing committees – the Audit Committee, the Compensation and Human Capital Management Committee (“Compensation Committee”) and the Nominating and Corporate Governance Committee (“Nominating Committee”). Each committee operates under a written charter that is available in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consists entirely of independent, non-employee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UDIT</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642620" cy="702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2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Gail P. Steinel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Joseph D. Fisher*†</w:t>
      </w:r>
    </w:p>
    <w:p>
      <w:pPr>
        <w:ind w:left="220"/>
        <w:spacing w:after="0" w:line="235" w:lineRule="auto"/>
        <w:rPr>
          <w:sz w:val="20"/>
          <w:szCs w:val="20"/>
          <w:color w:val="auto"/>
        </w:rPr>
      </w:pPr>
      <w:r>
        <w:rPr>
          <w:rFonts w:ascii="Arial" w:cs="Arial" w:eastAsia="Arial" w:hAnsi="Arial"/>
          <w:sz w:val="18"/>
          <w:szCs w:val="18"/>
          <w:color w:val="auto"/>
        </w:rPr>
        <w:t>Elizabeth I. Holland</w:t>
      </w:r>
    </w:p>
    <w:p>
      <w:pPr>
        <w:ind w:left="220"/>
        <w:spacing w:after="0"/>
        <w:rPr>
          <w:sz w:val="20"/>
          <w:szCs w:val="20"/>
          <w:color w:val="auto"/>
        </w:rPr>
      </w:pPr>
      <w:r>
        <w:rPr>
          <w:rFonts w:ascii="Arial" w:cs="Arial" w:eastAsia="Arial" w:hAnsi="Arial"/>
          <w:sz w:val="18"/>
          <w:szCs w:val="18"/>
          <w:color w:val="auto"/>
        </w:rPr>
        <w:t>Anthony P. Nader, III*</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2025: </w:t>
      </w:r>
      <w:r>
        <w:rPr>
          <w:rFonts w:ascii="Arial" w:cs="Arial" w:eastAsia="Arial" w:hAnsi="Arial"/>
          <w:sz w:val="18"/>
          <w:szCs w:val="18"/>
          <w:b w:val="1"/>
          <w:bCs w:val="1"/>
          <w:color w:val="FF160F"/>
        </w:rPr>
        <w:t>4</w:t>
      </w:r>
    </w:p>
    <w:p>
      <w:pPr>
        <w:spacing w:after="0" w:line="208" w:lineRule="exact"/>
        <w:rPr>
          <w:sz w:val="20"/>
          <w:szCs w:val="20"/>
          <w:color w:val="auto"/>
        </w:rPr>
      </w:pPr>
    </w:p>
    <w:p>
      <w:pPr>
        <w:ind w:left="220" w:firstLine="4"/>
        <w:spacing w:after="0" w:line="251" w:lineRule="auto"/>
        <w:tabs>
          <w:tab w:leader="none" w:pos="3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 committee financial expert as defined by the SEC.</w:t>
      </w:r>
    </w:p>
    <w:p>
      <w:pPr>
        <w:spacing w:after="0" w:line="1"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 Effective January 1,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668655" cy="720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Elizabeth I. Holland (Chair)</w:t>
      </w:r>
    </w:p>
    <w:p>
      <w:pPr>
        <w:ind w:left="220"/>
        <w:spacing w:after="0" w:line="234" w:lineRule="auto"/>
        <w:rPr>
          <w:sz w:val="20"/>
          <w:szCs w:val="20"/>
          <w:color w:val="auto"/>
        </w:rPr>
      </w:pPr>
      <w:r>
        <w:rPr>
          <w:rFonts w:ascii="Arial" w:cs="Arial" w:eastAsia="Arial" w:hAnsi="Arial"/>
          <w:sz w:val="18"/>
          <w:szCs w:val="18"/>
          <w:color w:val="auto"/>
        </w:rPr>
        <w:t>Joseph D. Fisher†</w:t>
      </w:r>
    </w:p>
    <w:p>
      <w:pPr>
        <w:ind w:left="220"/>
        <w:spacing w:after="0" w:line="235" w:lineRule="auto"/>
        <w:rPr>
          <w:sz w:val="20"/>
          <w:szCs w:val="20"/>
          <w:color w:val="auto"/>
        </w:rPr>
      </w:pPr>
      <w:r>
        <w:rPr>
          <w:rFonts w:ascii="Arial" w:cs="Arial" w:eastAsia="Arial" w:hAnsi="Arial"/>
          <w:sz w:val="18"/>
          <w:szCs w:val="18"/>
          <w:color w:val="auto"/>
        </w:rPr>
        <w:t>Nicole Y. Lamb-Hale</w:t>
      </w:r>
    </w:p>
    <w:p>
      <w:pPr>
        <w:ind w:left="220"/>
        <w:spacing w:after="0" w:line="235" w:lineRule="auto"/>
        <w:rPr>
          <w:sz w:val="20"/>
          <w:szCs w:val="20"/>
          <w:color w:val="auto"/>
        </w:rPr>
      </w:pPr>
      <w:r>
        <w:rPr>
          <w:rFonts w:ascii="Arial" w:cs="Arial" w:eastAsia="Arial" w:hAnsi="Arial"/>
          <w:sz w:val="18"/>
          <w:szCs w:val="18"/>
          <w:color w:val="auto"/>
        </w:rPr>
        <w:t>Thomas A. McEachin</w:t>
      </w:r>
    </w:p>
    <w:p>
      <w:pPr>
        <w:ind w:left="220"/>
        <w:spacing w:after="0"/>
        <w:rPr>
          <w:sz w:val="20"/>
          <w:szCs w:val="20"/>
          <w:color w:val="auto"/>
        </w:rPr>
      </w:pPr>
      <w:r>
        <w:rPr>
          <w:rFonts w:ascii="Arial" w:cs="Arial" w:eastAsia="Arial" w:hAnsi="Arial"/>
          <w:sz w:val="18"/>
          <w:szCs w:val="18"/>
          <w:color w:val="auto"/>
        </w:rPr>
        <w:t>Gail P. Steinel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2025: </w:t>
      </w:r>
      <w:r>
        <w:rPr>
          <w:rFonts w:ascii="Arial" w:cs="Arial" w:eastAsia="Arial" w:hAnsi="Arial"/>
          <w:sz w:val="18"/>
          <w:szCs w:val="18"/>
          <w:b w:val="1"/>
          <w:bCs w:val="1"/>
          <w:color w:val="FF160F"/>
        </w:rPr>
        <w:t>2</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Effective January 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-873125</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-307340</wp:posOffset>
            </wp:positionV>
            <wp:extent cx="699516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19" w:lineRule="exact"/>
        <w:rPr>
          <w:sz w:val="20"/>
          <w:szCs w:val="20"/>
          <w:color w:val="auto"/>
        </w:rPr>
      </w:pPr>
    </w:p>
    <w:p>
      <w:pPr>
        <w:ind w:left="320" w:hanging="319"/>
        <w:spacing w:after="0"/>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Select and oversee our independent auditor</w:t>
      </w:r>
    </w:p>
    <w:p>
      <w:pPr>
        <w:spacing w:after="0" w:line="265" w:lineRule="exact"/>
        <w:rPr>
          <w:rFonts w:ascii="MS PGothic" w:cs="MS PGothic" w:eastAsia="MS PGothic" w:hAnsi="MS PGothic"/>
          <w:sz w:val="18"/>
          <w:szCs w:val="18"/>
          <w:color w:val="FF160F"/>
        </w:rPr>
      </w:pPr>
    </w:p>
    <w:p>
      <w:pPr>
        <w:ind w:left="320" w:right="420" w:hanging="319"/>
        <w:spacing w:after="0" w:line="271" w:lineRule="auto"/>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our financial reporting including reviewing results with management and independent auditors</w:t>
      </w:r>
    </w:p>
    <w:p>
      <w:pPr>
        <w:spacing w:after="0" w:line="194" w:lineRule="exact"/>
        <w:rPr>
          <w:rFonts w:ascii="MS PGothic" w:cs="MS PGothic" w:eastAsia="MS PGothic" w:hAnsi="MS PGothic"/>
          <w:sz w:val="18"/>
          <w:szCs w:val="18"/>
          <w:color w:val="FF160F"/>
        </w:rPr>
      </w:pPr>
    </w:p>
    <w:p>
      <w:pPr>
        <w:ind w:left="320" w:hanging="319"/>
        <w:spacing w:after="0"/>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internal audit function</w:t>
      </w:r>
    </w:p>
    <w:p>
      <w:pPr>
        <w:spacing w:after="0" w:line="265" w:lineRule="exact"/>
        <w:rPr>
          <w:rFonts w:ascii="MS PGothic" w:cs="MS PGothic" w:eastAsia="MS PGothic" w:hAnsi="MS PGothic"/>
          <w:sz w:val="18"/>
          <w:szCs w:val="18"/>
          <w:color w:val="FF160F"/>
        </w:rPr>
      </w:pPr>
    </w:p>
    <w:p>
      <w:pPr>
        <w:ind w:left="320" w:right="600" w:hanging="319"/>
        <w:spacing w:after="0" w:line="271" w:lineRule="auto"/>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adequacy and integrity of financial statements, financial reporting and disclosures</w:t>
      </w:r>
    </w:p>
    <w:p>
      <w:pPr>
        <w:spacing w:after="0" w:line="194" w:lineRule="exact"/>
        <w:rPr>
          <w:rFonts w:ascii="MS PGothic" w:cs="MS PGothic" w:eastAsia="MS PGothic" w:hAnsi="MS PGothic"/>
          <w:sz w:val="18"/>
          <w:szCs w:val="18"/>
          <w:color w:val="FF160F"/>
        </w:rPr>
      </w:pPr>
    </w:p>
    <w:p>
      <w:pPr>
        <w:ind w:left="320" w:right="560" w:hanging="319"/>
        <w:spacing w:after="0" w:line="271" w:lineRule="auto"/>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financial risks and risks related to cybersecurity, data security, artificial intelligence and information protection</w:t>
      </w:r>
    </w:p>
    <w:p>
      <w:pPr>
        <w:spacing w:after="0" w:line="194" w:lineRule="exact"/>
        <w:rPr>
          <w:rFonts w:ascii="MS PGothic" w:cs="MS PGothic" w:eastAsia="MS PGothic" w:hAnsi="MS PGothic"/>
          <w:sz w:val="18"/>
          <w:szCs w:val="18"/>
          <w:color w:val="FF160F"/>
        </w:rPr>
      </w:pPr>
    </w:p>
    <w:p>
      <w:pPr>
        <w:ind w:left="320" w:hanging="319"/>
        <w:spacing w:after="0"/>
        <w:tabs>
          <w:tab w:leader="none" w:pos="32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Review and approve any related party transactions requiring disclosure</w:t>
      </w:r>
    </w:p>
    <w:p>
      <w:pPr>
        <w:spacing w:after="0" w:line="26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Additional information on the Audit Committee is included in “Proposal 3: Ratification of Independent Registered Public Accounting Firm” and the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135255</wp:posOffset>
            </wp:positionV>
            <wp:extent cx="699516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39" w:lineRule="exact"/>
        <w:rPr>
          <w:sz w:val="20"/>
          <w:szCs w:val="20"/>
          <w:color w:val="auto"/>
        </w:rPr>
      </w:pPr>
    </w:p>
    <w:p>
      <w:pPr>
        <w:ind w:left="320" w:hanging="319"/>
        <w:spacing w:after="0" w:line="271" w:lineRule="auto"/>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Evaluate performance of our CEO and recommend annual compensation and benefits for our CEO</w:t>
      </w:r>
    </w:p>
    <w:p>
      <w:pPr>
        <w:spacing w:after="0" w:line="194" w:lineRule="exact"/>
        <w:rPr>
          <w:rFonts w:ascii="MS PGothic" w:cs="MS PGothic" w:eastAsia="MS PGothic" w:hAnsi="MS PGothic"/>
          <w:sz w:val="18"/>
          <w:szCs w:val="18"/>
          <w:color w:val="FF160F"/>
        </w:rPr>
      </w:pPr>
    </w:p>
    <w:p>
      <w:pPr>
        <w:ind w:left="320" w:right="160" w:hanging="319"/>
        <w:spacing w:after="0" w:line="271" w:lineRule="auto"/>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compensation and benefits for our senior officers, including our NEOs</w:t>
      </w:r>
    </w:p>
    <w:p>
      <w:pPr>
        <w:spacing w:after="0" w:line="194" w:lineRule="exact"/>
        <w:rPr>
          <w:rFonts w:ascii="MS PGothic" w:cs="MS PGothic" w:eastAsia="MS PGothic" w:hAnsi="MS PGothic"/>
          <w:sz w:val="18"/>
          <w:szCs w:val="18"/>
          <w:color w:val="FF160F"/>
        </w:rPr>
      </w:pPr>
    </w:p>
    <w:p>
      <w:pPr>
        <w:ind w:left="320" w:hanging="319"/>
        <w:spacing w:after="0"/>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certain other benefit plans of the Company</w:t>
      </w:r>
    </w:p>
    <w:p>
      <w:pPr>
        <w:spacing w:after="0" w:line="265" w:lineRule="exact"/>
        <w:rPr>
          <w:rFonts w:ascii="MS PGothic" w:cs="MS PGothic" w:eastAsia="MS PGothic" w:hAnsi="MS PGothic"/>
          <w:sz w:val="18"/>
          <w:szCs w:val="18"/>
          <w:color w:val="FF160F"/>
        </w:rPr>
      </w:pPr>
    </w:p>
    <w:p>
      <w:pPr>
        <w:ind w:left="320" w:right="40" w:hanging="319"/>
        <w:spacing w:after="0" w:line="271" w:lineRule="auto"/>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employment related agreements for senior officers, including our NEOs</w:t>
      </w:r>
    </w:p>
    <w:p>
      <w:pPr>
        <w:spacing w:after="0" w:line="194" w:lineRule="exact"/>
        <w:rPr>
          <w:rFonts w:ascii="MS PGothic" w:cs="MS PGothic" w:eastAsia="MS PGothic" w:hAnsi="MS PGothic"/>
          <w:sz w:val="18"/>
          <w:szCs w:val="18"/>
          <w:color w:val="FF160F"/>
        </w:rPr>
      </w:pPr>
    </w:p>
    <w:p>
      <w:pPr>
        <w:ind w:left="320" w:hanging="319"/>
        <w:spacing w:after="0"/>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and make equity awards under our long-term plan</w:t>
      </w:r>
    </w:p>
    <w:p>
      <w:pPr>
        <w:spacing w:after="0" w:line="265" w:lineRule="exact"/>
        <w:rPr>
          <w:rFonts w:ascii="MS PGothic" w:cs="MS PGothic" w:eastAsia="MS PGothic" w:hAnsi="MS PGothic"/>
          <w:sz w:val="18"/>
          <w:szCs w:val="18"/>
          <w:color w:val="FF160F"/>
        </w:rPr>
      </w:pPr>
    </w:p>
    <w:p>
      <w:pPr>
        <w:ind w:left="320" w:hanging="319"/>
        <w:spacing w:after="0"/>
        <w:tabs>
          <w:tab w:leader="none" w:pos="32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Oversee key strategies and human resource policies and practices for all employees</w:t>
      </w:r>
    </w:p>
    <w:p>
      <w:pPr>
        <w:spacing w:after="0" w:line="200" w:lineRule="exact"/>
        <w:rPr>
          <w:sz w:val="20"/>
          <w:szCs w:val="20"/>
          <w:color w:val="auto"/>
        </w:rPr>
      </w:pPr>
    </w:p>
    <w:p>
      <w:pPr>
        <w:sectPr>
          <w:pgSz w:w="11900" w:h="16838" w:orient="portrait"/>
          <w:cols w:equalWidth="0" w:num="2">
            <w:col w:w="3500" w:space="260"/>
            <w:col w:w="7180"/>
          </w:cols>
          <w:pgMar w:left="320" w:top="482" w:right="639" w:bottom="1440" w:gutter="0" w:footer="0" w:header="0"/>
        </w:sectPr>
      </w:pPr>
    </w:p>
    <w:p>
      <w:pPr>
        <w:spacing w:after="0" w:line="66" w:lineRule="exact"/>
        <w:rPr>
          <w:sz w:val="20"/>
          <w:szCs w:val="20"/>
          <w:color w:val="auto"/>
        </w:rPr>
      </w:pPr>
    </w:p>
    <w:p>
      <w:pPr>
        <w:ind w:left="3760" w:right="20"/>
        <w:spacing w:after="0" w:line="271" w:lineRule="auto"/>
        <w:rPr>
          <w:sz w:val="20"/>
          <w:szCs w:val="20"/>
          <w:color w:val="auto"/>
        </w:rPr>
      </w:pPr>
      <w:r>
        <w:rPr>
          <w:rFonts w:ascii="Arial" w:cs="Arial" w:eastAsia="Arial" w:hAnsi="Arial"/>
          <w:sz w:val="18"/>
          <w:szCs w:val="18"/>
          <w:color w:val="auto"/>
        </w:rPr>
        <w:t>The Compensation Committee report is included below and more detail on the work of the Compensation Committee is included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0341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6</w:t>
      </w:r>
    </w:p>
    <w:p>
      <w:pPr>
        <w:sectPr>
          <w:pgSz w:w="11900" w:h="16838" w:orient="portrait"/>
          <w:cols w:equalWidth="0" w:num="1">
            <w:col w:w="10940"/>
          </w:cols>
          <w:pgMar w:left="320" w:top="482" w:right="6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N</w:t>
      </w:r>
      <w:r>
        <w:rPr>
          <w:rFonts w:ascii="Arial" w:cs="Arial" w:eastAsia="Arial" w:hAnsi="Arial"/>
          <w:sz w:val="14"/>
          <w:szCs w:val="14"/>
          <w:b w:val="1"/>
          <w:bCs w:val="1"/>
          <w:color w:val="FFFFFF"/>
        </w:rPr>
        <w:t>OMINATING</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Nominating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668655" cy="720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655" cy="720090"/>
                    </a:xfrm>
                    <a:prstGeom prst="rect">
                      <a:avLst/>
                    </a:prstGeom>
                    <a:noFill/>
                  </pic:spPr>
                </pic:pic>
              </a:graphicData>
            </a:graphic>
          </wp:anchor>
        </w:drawing>
      </w:r>
    </w:p>
    <w:p>
      <w:pPr>
        <w:spacing w:after="0" w:line="219" w:lineRule="exact"/>
        <w:rPr>
          <w:sz w:val="20"/>
          <w:szCs w:val="20"/>
          <w:color w:val="auto"/>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Identify and recommend individuals to stand for election to the Board</w:t>
      </w:r>
    </w:p>
    <w:p>
      <w:pPr>
        <w:spacing w:after="0" w:line="265" w:lineRule="exact"/>
        <w:rPr>
          <w:rFonts w:ascii="MS PGothic" w:cs="MS PGothic" w:eastAsia="MS PGothic" w:hAnsi="MS PGothic"/>
          <w:sz w:val="18"/>
          <w:szCs w:val="18"/>
          <w:color w:val="FF160F"/>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Develop and oversee corporate governance policies and procedures</w:t>
      </w:r>
    </w:p>
    <w:p>
      <w:pPr>
        <w:sectPr>
          <w:pgSz w:w="11900" w:h="16838" w:orient="portrait"/>
          <w:cols w:equalWidth="0" w:num="1">
            <w:col w:w="11120"/>
          </w:cols>
          <w:pgMar w:left="320" w:top="482" w:right="459" w:bottom="1440" w:gutter="0" w:footer="0" w:header="0"/>
        </w:sect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Anthony P. Nader, III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Nicole Y. Lamb-Hale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A. McEachin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2025: </w:t>
      </w:r>
      <w:r>
        <w:rPr>
          <w:rFonts w:ascii="Arial" w:cs="Arial" w:eastAsia="Arial" w:hAnsi="Arial"/>
          <w:sz w:val="18"/>
          <w:szCs w:val="18"/>
          <w:b w:val="1"/>
          <w:bCs w:val="1"/>
          <w:color w:val="FF160F"/>
        </w:rPr>
        <w:t>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hanging="424"/>
        <w:spacing w:after="0"/>
        <w:tabs>
          <w:tab w:leader="none" w:pos="540" w:val="left"/>
        </w:tabs>
        <w:numPr>
          <w:ilvl w:val="0"/>
          <w:numId w:val="25"/>
        </w:numPr>
        <w:rPr>
          <w:rFonts w:ascii="Wingdings" w:cs="Wingdings" w:eastAsia="Wingdings" w:hAnsi="Wingdings"/>
          <w:sz w:val="17"/>
          <w:szCs w:val="17"/>
          <w:b w:val="1"/>
          <w:bCs w:val="1"/>
          <w:color w:val="FF160F"/>
        </w:rPr>
      </w:pPr>
      <w:r>
        <w:rPr>
          <w:rFonts w:ascii="Arial" w:cs="Arial" w:eastAsia="Arial" w:hAnsi="Arial"/>
          <w:sz w:val="17"/>
          <w:szCs w:val="17"/>
          <w:b w:val="1"/>
          <w:bCs w:val="1"/>
          <w:color w:val="auto"/>
        </w:rPr>
        <w:t>BOARD’S ROLE IN RISK OVERSIGHT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annual trustee evaluation process</w:t>
      </w:r>
    </w:p>
    <w:p>
      <w:pPr>
        <w:spacing w:after="0" w:line="265" w:lineRule="exact"/>
        <w:rPr>
          <w:rFonts w:ascii="MS PGothic" w:cs="MS PGothic" w:eastAsia="MS PGothic" w:hAnsi="MS PGothic"/>
          <w:sz w:val="18"/>
          <w:szCs w:val="18"/>
          <w:color w:val="FF160F"/>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Recommend members of the Board to serve on its committees and in leadership roles</w:t>
      </w:r>
    </w:p>
    <w:p>
      <w:pPr>
        <w:spacing w:after="0" w:line="265" w:lineRule="exact"/>
        <w:rPr>
          <w:rFonts w:ascii="MS PGothic" w:cs="MS PGothic" w:eastAsia="MS PGothic" w:hAnsi="MS PGothic"/>
          <w:sz w:val="18"/>
          <w:szCs w:val="18"/>
          <w:color w:val="FF160F"/>
        </w:rPr>
      </w:pPr>
    </w:p>
    <w:p>
      <w:pPr>
        <w:ind w:left="319" w:right="400" w:hanging="319"/>
        <w:spacing w:after="0" w:line="271" w:lineRule="auto"/>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corporate responsibility and sustainability efforts and monitor priorities and progress on goals</w:t>
      </w:r>
    </w:p>
    <w:p>
      <w:pPr>
        <w:spacing w:after="0" w:line="1197" w:lineRule="exact"/>
        <w:rPr>
          <w:sz w:val="20"/>
          <w:szCs w:val="20"/>
          <w:color w:val="auto"/>
        </w:rPr>
      </w:pPr>
    </w:p>
    <w:p>
      <w:pPr>
        <w:sectPr>
          <w:pgSz w:w="11900" w:h="16838" w:orient="portrait"/>
          <w:cols w:equalWidth="0" w:num="2">
            <w:col w:w="3740" w:space="21"/>
            <w:col w:w="7359"/>
          </w:cols>
          <w:pgMar w:left="320" w:top="482" w:right="459" w:bottom="1440" w:gutter="0" w:footer="0" w:header="0"/>
          <w:type w:val="continuous"/>
        </w:sectPr>
      </w:pPr>
    </w:p>
    <w:p>
      <w:pPr>
        <w:spacing w:after="0" w:line="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0341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0"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7</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77790"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hanging="424"/>
        <w:spacing w:after="0"/>
        <w:tabs>
          <w:tab w:leader="none" w:pos="540" w:val="left"/>
        </w:tabs>
        <w:numPr>
          <w:ilvl w:val="0"/>
          <w:numId w:val="2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EVALUATION PROCESS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and each standing committee conducts annual evaluations that cover overall effectiveness of the Board and the committee as well as the effectiveness of each individual trustee. The Nominating Committee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8</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8"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COMMITTEE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1928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7565" cy="1928495"/>
                    </a:xfrm>
                    <a:prstGeom prst="rect">
                      <a:avLst/>
                    </a:prstGeom>
                    <a:noFill/>
                  </pic:spPr>
                </pic:pic>
              </a:graphicData>
            </a:graphic>
          </wp:anchor>
        </w:drawing>
      </w:r>
    </w:p>
    <w:p>
      <w:pPr>
        <w:spacing w:after="0" w:line="296" w:lineRule="exact"/>
        <w:rPr>
          <w:sz w:val="20"/>
          <w:szCs w:val="20"/>
          <w:color w:val="auto"/>
        </w:rPr>
      </w:pPr>
    </w:p>
    <w:p>
      <w:pPr>
        <w:jc w:val="both"/>
        <w:ind w:left="460" w:right="620"/>
        <w:spacing w:after="0" w:line="266" w:lineRule="auto"/>
        <w:rPr>
          <w:sz w:val="20"/>
          <w:szCs w:val="20"/>
          <w:color w:val="auto"/>
        </w:rPr>
      </w:pPr>
      <w:r>
        <w:rPr>
          <w:rFonts w:ascii="Arial" w:cs="Arial" w:eastAsia="Arial" w:hAnsi="Arial"/>
          <w:sz w:val="16"/>
          <w:szCs w:val="16"/>
          <w:color w:val="auto"/>
        </w:rPr>
        <w:t>Annual assessment by each committee of its effectiveness using a committee specific list of topics to guide an in-depth discussion of performance.</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Skills and expertise of committee members</w:t>
      </w:r>
    </w:p>
    <w:p>
      <w:pPr>
        <w:spacing w:after="0" w:line="22"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Adherence to committee charter</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Committee specific topics</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Information provided by and access to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576580</wp:posOffset>
            </wp:positionV>
            <wp:extent cx="3377565" cy="10883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756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CONTINUAL FEEDBACK</w:t>
      </w:r>
    </w:p>
    <w:p>
      <w:pPr>
        <w:spacing w:after="0" w:line="316" w:lineRule="exact"/>
        <w:rPr>
          <w:sz w:val="20"/>
          <w:szCs w:val="20"/>
          <w:color w:val="auto"/>
        </w:rPr>
      </w:pPr>
    </w:p>
    <w:p>
      <w:pPr>
        <w:ind w:left="460" w:right="320"/>
        <w:spacing w:after="0" w:line="259" w:lineRule="auto"/>
        <w:rPr>
          <w:sz w:val="20"/>
          <w:szCs w:val="20"/>
          <w:color w:val="auto"/>
        </w:rPr>
      </w:pPr>
      <w:r>
        <w:rPr>
          <w:rFonts w:ascii="Arial" w:cs="Arial" w:eastAsia="Arial" w:hAnsi="Arial"/>
          <w:sz w:val="16"/>
          <w:szCs w:val="16"/>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TRUSTEE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-673100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-107315</wp:posOffset>
            </wp:positionV>
            <wp:extent cx="3480435" cy="3514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0435" cy="3514725"/>
                    </a:xfrm>
                    <a:prstGeom prst="rect">
                      <a:avLst/>
                    </a:prstGeom>
                    <a:noFill/>
                  </pic:spPr>
                </pic:pic>
              </a:graphicData>
            </a:graphic>
          </wp:anchor>
        </w:drawing>
      </w:r>
    </w:p>
    <w:p>
      <w:pPr>
        <w:spacing w:after="0" w:line="29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Each Trustee completes a confidential questionnaire evaluating the performance of each other trustee with the results provided to the chair of the Nominating Committee.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right="1440" w:firstLine="3"/>
        <w:spacing w:after="0" w:line="257" w:lineRule="auto"/>
        <w:tabs>
          <w:tab w:leader="none" w:pos="108"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Preparedness for meetings and understanding       company business</w:t>
      </w:r>
    </w:p>
    <w:p>
      <w:pPr>
        <w:spacing w:after="0" w:line="1"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Overall contributions to Board and Committees</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Skill set</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Effectiveness in leadership roles (if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One-on-One Discussions</w:t>
      </w:r>
    </w:p>
    <w:p>
      <w:pPr>
        <w:spacing w:after="0" w:line="21"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The chair of the Nominating Committee discusses the individual assessments and overall Board effectiveness with each trustee. The Board chairman conducts the same process for the Nominating Committee chair.</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Summary and Action Taken</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900" w:h="16838" w:orient="portrait"/>
          <w:cols w:equalWidth="0" w:num="2">
            <w:col w:w="5360" w:space="720"/>
            <w:col w:w="5040"/>
          </w:cols>
          <w:pgMar w:left="320" w:top="482"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0" w:hanging="424"/>
        <w:spacing w:after="0"/>
        <w:tabs>
          <w:tab w:leader="none" w:pos="540" w:val="left"/>
        </w:tabs>
        <w:numPr>
          <w:ilvl w:val="0"/>
          <w:numId w:val="3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SUCCESSION PLANNING</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ind w:left="540" w:hanging="424"/>
        <w:spacing w:after="0"/>
        <w:tabs>
          <w:tab w:leader="none" w:pos="540" w:val="left"/>
        </w:tabs>
        <w:numPr>
          <w:ilvl w:val="0"/>
          <w:numId w:val="3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COMMUNICATIONS WITH THE BOARD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 as she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consists of Ms. Holland, Mr. Fisher (joined January 1, 2026), Ms. Lamb-Hale, Mr. McEachin and Ms. Steinel. There are no Compensation Committee interlocks and no member of the Compensation Committee serves, or has in the past served, as an employee or officer of the Company.</w:t>
      </w:r>
    </w:p>
    <w:p>
      <w:pPr>
        <w:spacing w:after="0" w:line="196" w:lineRule="exact"/>
        <w:rPr>
          <w:sz w:val="20"/>
          <w:szCs w:val="20"/>
          <w:color w:val="auto"/>
        </w:rPr>
      </w:pPr>
    </w:p>
    <w:p>
      <w:pPr>
        <w:ind w:left="540" w:hanging="424"/>
        <w:spacing w:after="0"/>
        <w:tabs>
          <w:tab w:leader="none" w:pos="540" w:val="left"/>
        </w:tabs>
        <w:numPr>
          <w:ilvl w:val="0"/>
          <w:numId w:val="3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no related party transactions with any of our Trustees that are required to be disclosed. None of our named executive officers (“NEOs”) has any indebtedness to the Company or any relationship with the Company other than as an employee, shareholder or Trustee. Employment and change-in-control arrangements between the Company and the NEOs are described in the “Potential Payments on Termination of Employment and Change-in-Control” section below.</w:t>
      </w:r>
    </w:p>
    <w:p>
      <w:pPr>
        <w:spacing w:after="0" w:line="201" w:lineRule="exact"/>
        <w:rPr>
          <w:sz w:val="20"/>
          <w:szCs w:val="20"/>
          <w:color w:val="auto"/>
        </w:rPr>
      </w:pPr>
    </w:p>
    <w:p>
      <w:pPr>
        <w:ind w:left="540" w:hanging="424"/>
        <w:spacing w:after="0"/>
        <w:tabs>
          <w:tab w:leader="none" w:pos="540" w:val="left"/>
        </w:tabs>
        <w:numPr>
          <w:ilvl w:val="0"/>
          <w:numId w:val="3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INDEPENDENCE</w:t>
      </w:r>
    </w:p>
    <w:p>
      <w:pPr>
        <w:spacing w:after="0" w:line="212"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or to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directly and indirectly in three of the Company’s small shop tenants. The Board determined that Mr. Nader’s passive investment in these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405765</wp:posOffset>
            </wp:positionV>
            <wp:extent cx="699516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1: Election of Trustees</w:t>
      </w:r>
    </w:p>
    <w:p>
      <w:pPr>
        <w:spacing w:after="0" w:line="2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On recommendation of the Nominating Committee, our Board has nominated eight (8) candidates for election as trustees at the Annual Meeting. All of the nominees are incumbent trustees and all other than Mr. Fisher were elected as trustees by our shareholders in May 2025. Mr. Fisher was appointed to the Board effective as of January 1, 2026 to fill a newly created trustee position. More detailed biographical information on each nominee can be found in the following pages.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At the Annual Meeting, each trustee will be elected to hold office for a one-year term expiring at the 2027 annual meeting of shareholders and until his or her successor is elected and qualified.</w:t>
      </w:r>
    </w:p>
    <w:p>
      <w:pPr>
        <w:spacing w:after="0" w:line="181" w:lineRule="exact"/>
        <w:rPr>
          <w:sz w:val="20"/>
          <w:szCs w:val="20"/>
          <w:color w:val="auto"/>
        </w:rPr>
      </w:pPr>
    </w:p>
    <w:p>
      <w:pPr>
        <w:ind w:left="540" w:hanging="424"/>
        <w:spacing w:after="0"/>
        <w:tabs>
          <w:tab w:leader="none" w:pos="540" w:val="left"/>
        </w:tabs>
        <w:numPr>
          <w:ilvl w:val="0"/>
          <w:numId w:val="3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VOTE REQUIRED AND MAJORITY VOTING STANDARD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You are entitled to cast one vote per share for each of the eight nominees. Proxies may not be voted for more than eight individuals. In an uncontested election such as this one, our Bylaws require that a nominee receive a majority of votes cast with respect to that nominee in order to be elected. Accordingly, any nominee who does not receive a majority of votes cast will be required to resign from the Board within ninety (90) days. Broker non-votes and abstentions, if any, will not be treated as votes cast and as a result, will have no effect on the outcome of the vote for this proposal. Over the past 5 years, our nominees who have stood for election have received, on average, nearly 97% votes “for” at each shareholder meeting.</w:t>
      </w: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Arial" w:cs="Arial" w:eastAsia="Arial" w:hAnsi="Arial"/>
          <w:sz w:val="25"/>
          <w:szCs w:val="2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-175895</wp:posOffset>
            </wp:positionV>
            <wp:extent cx="6858000" cy="659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00" cy="659765"/>
                    </a:xfrm>
                    <a:prstGeom prst="rect">
                      <a:avLst/>
                    </a:prstGeom>
                    <a:noFill/>
                  </pic:spPr>
                </pic:pic>
              </a:graphicData>
            </a:graphic>
          </wp:anchor>
        </w:drawing>
      </w:r>
    </w:p>
    <w:p>
      <w:pPr>
        <w:spacing w:after="0" w:line="42"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each of the eight nominees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hanging="424"/>
        <w:spacing w:after="0"/>
        <w:tabs>
          <w:tab w:leader="none" w:pos="540" w:val="left"/>
        </w:tabs>
        <w:numPr>
          <w:ilvl w:val="0"/>
          <w:numId w:val="36"/>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CHARACTERISTICS AND SELECTION</w:t>
      </w:r>
    </w:p>
    <w:p>
      <w:pPr>
        <w:spacing w:after="0" w:line="22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Nominating Committee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Nominating Committee assesses the contribution that a particular candidate’s skills and expertise will make with respect to guiding our strategy and management when considered as a whole with the skills and expertise of other trustees.</w:t>
      </w:r>
    </w:p>
    <w:p>
      <w:pPr>
        <w:spacing w:after="0" w:line="17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 nominate that individual. Further information on each nominee’s qualifications and relevant experience is provided in the individual biographical descriptions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FFFFFF"/>
        </w:rPr>
        <w:t>NOMINEE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-118745</wp:posOffset>
            </wp:positionV>
            <wp:extent cx="672084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20840" cy="197485"/>
                    </a:xfrm>
                    <a:prstGeom prst="rect">
                      <a:avLst/>
                    </a:prstGeom>
                    <a:noFill/>
                  </pic:spPr>
                </pic:pic>
              </a:graphicData>
            </a:graphic>
          </wp:anchor>
        </w:drawing>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840" w:type="dxa"/>
            <w:vAlign w:val="bottom"/>
            <w:tcBorders>
              <w:bottom w:val="single" w:sz="8" w:color="auto"/>
              <w:right w:val="single" w:sz="8" w:color="D8D8D8"/>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Qualification/Experience</w:t>
            </w:r>
          </w:p>
        </w:tc>
        <w:tc>
          <w:tcPr>
            <w:tcW w:w="72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9"/>
              </w:rPr>
              <w:t>Faeder</w:t>
            </w:r>
          </w:p>
        </w:tc>
        <w:tc>
          <w:tcPr>
            <w:tcW w:w="6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Fisher</w:t>
            </w:r>
          </w:p>
        </w:tc>
        <w:tc>
          <w:tcPr>
            <w:tcW w:w="78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Holland</w:t>
            </w:r>
          </w:p>
        </w:tc>
        <w:tc>
          <w:tcPr>
            <w:tcW w:w="10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Lamb-Hale</w:t>
            </w:r>
          </w:p>
        </w:tc>
        <w:tc>
          <w:tcPr>
            <w:tcW w:w="9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McEachin</w:t>
            </w:r>
          </w:p>
        </w:tc>
        <w:tc>
          <w:tcPr>
            <w:tcW w:w="64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Nader</w:t>
            </w:r>
          </w:p>
        </w:tc>
        <w:tc>
          <w:tcPr>
            <w:tcW w:w="720" w:type="dxa"/>
            <w:vAlign w:val="bottom"/>
            <w:tcBorders>
              <w:bottom w:val="single" w:sz="8" w:color="auto"/>
              <w:right w:val="single" w:sz="8" w:color="D8D8D8"/>
            </w:tcBorders>
            <w:shd w:val="clear" w:color="auto" w:fill="D8D8D8"/>
          </w:tcPr>
          <w:p>
            <w:pPr>
              <w:jc w:val="center"/>
              <w:ind w:left="1"/>
              <w:spacing w:after="0"/>
              <w:rPr>
                <w:sz w:val="20"/>
                <w:szCs w:val="20"/>
                <w:color w:val="auto"/>
              </w:rPr>
            </w:pPr>
            <w:r>
              <w:rPr>
                <w:rFonts w:ascii="Arial" w:cs="Arial" w:eastAsia="Arial" w:hAnsi="Arial"/>
                <w:sz w:val="14"/>
                <w:szCs w:val="14"/>
                <w:color w:val="auto"/>
              </w:rPr>
              <w:t>Steinel</w:t>
            </w:r>
          </w:p>
        </w:tc>
        <w:tc>
          <w:tcPr>
            <w:tcW w:w="6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Wood</w:t>
            </w:r>
          </w:p>
        </w:tc>
        <w:tc>
          <w:tcPr>
            <w:tcW w:w="20" w:type="dxa"/>
            <w:vAlign w:val="bottom"/>
            <w:tcBorders>
              <w:bottom w:val="single" w:sz="8" w:color="auto"/>
            </w:tcBorders>
          </w:tcPr>
          <w:p>
            <w:pPr>
              <w:spacing w:after="0"/>
              <w:rPr>
                <w:sz w:val="21"/>
                <w:szCs w:val="21"/>
                <w:color w:val="auto"/>
              </w:rPr>
            </w:pPr>
          </w:p>
        </w:tc>
      </w:tr>
      <w:tr>
        <w:trPr>
          <w:trHeight w:val="289"/>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Strategic Planning and Leadership</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3"/>
        </w:trPr>
        <w:tc>
          <w:tcPr>
            <w:tcW w:w="140" w:type="dxa"/>
            <w:vAlign w:val="bottom"/>
            <w:tcBorders>
              <w:bottom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88"/>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CEO/Executive Management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3"/>
        </w:trPr>
        <w:tc>
          <w:tcPr>
            <w:tcW w:w="140" w:type="dxa"/>
            <w:vAlign w:val="bottom"/>
            <w:tcBorders>
              <w:bottom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302"/>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REIT/Public Company Executive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56"/>
        </w:trPr>
        <w:tc>
          <w:tcPr>
            <w:tcW w:w="1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62"/>
        </w:trPr>
        <w:tc>
          <w:tcPr>
            <w:tcW w:w="140" w:type="dxa"/>
            <w:vAlign w:val="bottom"/>
          </w:tcPr>
          <w:p>
            <w:pPr>
              <w:spacing w:after="0"/>
              <w:rPr>
                <w:sz w:val="22"/>
                <w:szCs w:val="22"/>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Public Company Board Service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2"/>
                <w:szCs w:val="22"/>
                <w:color w:val="auto"/>
              </w:rPr>
            </w:pPr>
          </w:p>
        </w:tc>
      </w:tr>
      <w:tr>
        <w:trPr>
          <w:trHeight w:val="29"/>
        </w:trPr>
        <w:tc>
          <w:tcPr>
            <w:tcW w:w="140" w:type="dxa"/>
            <w:vAlign w:val="bottom"/>
            <w:tcBorders>
              <w:bottom w:val="single" w:sz="8" w:color="auto"/>
            </w:tcBorders>
          </w:tcPr>
          <w:p>
            <w:pPr>
              <w:spacing w:after="0"/>
              <w:rPr>
                <w:sz w:val="2"/>
                <w:szCs w:val="2"/>
                <w:color w:val="auto"/>
              </w:rPr>
            </w:pPr>
          </w:p>
        </w:tc>
        <w:tc>
          <w:tcPr>
            <w:tcW w:w="47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302"/>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Financial Expertise/Literacy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69"/>
        </w:trPr>
        <w:tc>
          <w:tcPr>
            <w:tcW w:w="140" w:type="dxa"/>
            <w:vAlign w:val="bottom"/>
            <w:tcBorders>
              <w:bottom w:val="single" w:sz="8" w:color="auto"/>
            </w:tcBorders>
          </w:tcPr>
          <w:p>
            <w:pPr>
              <w:spacing w:after="0"/>
              <w:rPr>
                <w:sz w:val="6"/>
                <w:szCs w:val="6"/>
                <w:color w:val="auto"/>
              </w:rPr>
            </w:pPr>
          </w:p>
        </w:tc>
        <w:tc>
          <w:tcPr>
            <w:tcW w:w="47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02"/>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Real Estate Investing/Finance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spacing w:after="0"/>
              <w:rPr>
                <w:sz w:val="24"/>
                <w:szCs w:val="24"/>
                <w:color w:val="auto"/>
              </w:rPr>
            </w:pP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56"/>
        </w:trPr>
        <w:tc>
          <w:tcPr>
            <w:tcW w:w="140" w:type="dxa"/>
            <w:vAlign w:val="bottom"/>
            <w:tcBorders>
              <w:bottom w:val="single" w:sz="8" w:color="auto"/>
            </w:tcBorders>
          </w:tcPr>
          <w:p>
            <w:pPr>
              <w:spacing w:after="0"/>
              <w:rPr>
                <w:sz w:val="4"/>
                <w:szCs w:val="4"/>
                <w:color w:val="auto"/>
              </w:rPr>
            </w:pPr>
          </w:p>
        </w:tc>
        <w:tc>
          <w:tcPr>
            <w:tcW w:w="47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316"/>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Retail Industry</w:t>
            </w:r>
          </w:p>
        </w:tc>
        <w:tc>
          <w:tcPr>
            <w:tcW w:w="7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69"/>
        </w:trPr>
        <w:tc>
          <w:tcPr>
            <w:tcW w:w="140" w:type="dxa"/>
            <w:vAlign w:val="bottom"/>
            <w:tcBorders>
              <w:bottom w:val="single" w:sz="8" w:color="auto"/>
            </w:tcBorders>
          </w:tcPr>
          <w:p>
            <w:pPr>
              <w:spacing w:after="0"/>
              <w:rPr>
                <w:sz w:val="6"/>
                <w:szCs w:val="6"/>
                <w:color w:val="auto"/>
              </w:rPr>
            </w:pPr>
          </w:p>
        </w:tc>
        <w:tc>
          <w:tcPr>
            <w:tcW w:w="47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16"/>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Risk Management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69"/>
        </w:trPr>
        <w:tc>
          <w:tcPr>
            <w:tcW w:w="140" w:type="dxa"/>
            <w:vAlign w:val="bottom"/>
            <w:tcBorders>
              <w:bottom w:val="single" w:sz="8" w:color="auto"/>
            </w:tcBorders>
          </w:tcPr>
          <w:p>
            <w:pPr>
              <w:spacing w:after="0"/>
              <w:rPr>
                <w:sz w:val="6"/>
                <w:szCs w:val="6"/>
                <w:color w:val="auto"/>
              </w:rPr>
            </w:pPr>
          </w:p>
        </w:tc>
        <w:tc>
          <w:tcPr>
            <w:tcW w:w="47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16"/>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Human Capital Management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69"/>
        </w:trPr>
        <w:tc>
          <w:tcPr>
            <w:tcW w:w="140" w:type="dxa"/>
            <w:vAlign w:val="bottom"/>
            <w:tcBorders>
              <w:bottom w:val="single" w:sz="8" w:color="auto"/>
            </w:tcBorders>
          </w:tcPr>
          <w:p>
            <w:pPr>
              <w:spacing w:after="0"/>
              <w:rPr>
                <w:sz w:val="6"/>
                <w:szCs w:val="6"/>
                <w:color w:val="auto"/>
              </w:rPr>
            </w:pPr>
          </w:p>
        </w:tc>
        <w:tc>
          <w:tcPr>
            <w:tcW w:w="470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89"/>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Corporate Governance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3"/>
        </w:trPr>
        <w:tc>
          <w:tcPr>
            <w:tcW w:w="140" w:type="dxa"/>
            <w:vAlign w:val="bottom"/>
            <w:tcBorders>
              <w:bottom w:val="single" w:sz="8" w:color="auto"/>
            </w:tcBorders>
          </w:tcPr>
          <w:p>
            <w:pPr>
              <w:spacing w:after="0"/>
              <w:rPr>
                <w:sz w:val="3"/>
                <w:szCs w:val="3"/>
                <w:color w:val="auto"/>
              </w:rPr>
            </w:pPr>
          </w:p>
        </w:tc>
        <w:tc>
          <w:tcPr>
            <w:tcW w:w="470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315"/>
        </w:trPr>
        <w:tc>
          <w:tcPr>
            <w:tcW w:w="140" w:type="dxa"/>
            <w:vAlign w:val="bottom"/>
          </w:tcPr>
          <w:p>
            <w:pPr>
              <w:spacing w:after="0"/>
              <w:rPr>
                <w:sz w:val="24"/>
                <w:szCs w:val="24"/>
                <w:color w:val="auto"/>
              </w:rPr>
            </w:pPr>
          </w:p>
        </w:tc>
        <w:tc>
          <w:tcPr>
            <w:tcW w:w="470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Sustainability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6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FF160F"/>
            </w:tcBorders>
          </w:tcPr>
          <w:p>
            <w:pPr>
              <w:spacing w:after="0"/>
              <w:rPr>
                <w:sz w:val="6"/>
                <w:szCs w:val="6"/>
                <w:color w:val="auto"/>
              </w:rPr>
            </w:pPr>
          </w:p>
        </w:tc>
        <w:tc>
          <w:tcPr>
            <w:tcW w:w="4700" w:type="dxa"/>
            <w:vAlign w:val="bottom"/>
            <w:tcBorders>
              <w:bottom w:val="single" w:sz="8" w:color="FF160F"/>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62"/>
        </w:trPr>
        <w:tc>
          <w:tcPr>
            <w:tcW w:w="140" w:type="dxa"/>
            <w:vAlign w:val="bottom"/>
            <w:shd w:val="clear" w:color="auto" w:fill="FF160F"/>
          </w:tcPr>
          <w:p>
            <w:pPr>
              <w:spacing w:after="0"/>
              <w:rPr>
                <w:sz w:val="22"/>
                <w:szCs w:val="22"/>
                <w:color w:val="auto"/>
              </w:rPr>
            </w:pPr>
          </w:p>
        </w:tc>
        <w:tc>
          <w:tcPr>
            <w:tcW w:w="4700" w:type="dxa"/>
            <w:vAlign w:val="bottom"/>
            <w:tcBorders>
              <w:right w:val="single" w:sz="8" w:color="FF160F"/>
            </w:tcBorders>
            <w:shd w:val="clear" w:color="auto" w:fill="FF160F"/>
          </w:tcPr>
          <w:p>
            <w:pPr>
              <w:spacing w:after="0"/>
              <w:rPr>
                <w:sz w:val="22"/>
                <w:szCs w:val="22"/>
                <w:color w:val="auto"/>
              </w:rPr>
            </w:pPr>
          </w:p>
        </w:tc>
        <w:tc>
          <w:tcPr>
            <w:tcW w:w="2160" w:type="dxa"/>
            <w:vAlign w:val="bottom"/>
            <w:tcBorders>
              <w:right w:val="single" w:sz="8" w:color="FF160F"/>
            </w:tcBorders>
            <w:gridSpan w:val="3"/>
            <w:shd w:val="clear" w:color="auto" w:fill="FF160F"/>
          </w:tcPr>
          <w:p>
            <w:pPr>
              <w:ind w:left="180"/>
              <w:spacing w:after="0"/>
              <w:rPr>
                <w:sz w:val="20"/>
                <w:szCs w:val="20"/>
                <w:color w:val="auto"/>
              </w:rPr>
            </w:pPr>
            <w:r>
              <w:rPr>
                <w:rFonts w:ascii="Arial" w:cs="Arial" w:eastAsia="Arial" w:hAnsi="Arial"/>
                <w:sz w:val="18"/>
                <w:szCs w:val="18"/>
                <w:b w:val="1"/>
                <w:bCs w:val="1"/>
                <w:color w:val="FFFFFF"/>
              </w:rPr>
              <w:t>DEMOGRAPHICS</w:t>
            </w:r>
          </w:p>
        </w:tc>
        <w:tc>
          <w:tcPr>
            <w:tcW w:w="1060" w:type="dxa"/>
            <w:vAlign w:val="bottom"/>
            <w:tcBorders>
              <w:right w:val="single" w:sz="8" w:color="FF160F"/>
            </w:tcBorders>
            <w:shd w:val="clear" w:color="auto" w:fill="FF160F"/>
          </w:tcPr>
          <w:p>
            <w:pPr>
              <w:spacing w:after="0"/>
              <w:rPr>
                <w:sz w:val="22"/>
                <w:szCs w:val="22"/>
                <w:color w:val="auto"/>
              </w:rPr>
            </w:pPr>
          </w:p>
        </w:tc>
        <w:tc>
          <w:tcPr>
            <w:tcW w:w="960" w:type="dxa"/>
            <w:vAlign w:val="bottom"/>
            <w:tcBorders>
              <w:right w:val="single" w:sz="8" w:color="FF160F"/>
            </w:tcBorders>
            <w:shd w:val="clear" w:color="auto" w:fill="FF160F"/>
          </w:tcPr>
          <w:p>
            <w:pPr>
              <w:spacing w:after="0"/>
              <w:rPr>
                <w:sz w:val="22"/>
                <w:szCs w:val="22"/>
                <w:color w:val="auto"/>
              </w:rPr>
            </w:pPr>
          </w:p>
        </w:tc>
        <w:tc>
          <w:tcPr>
            <w:tcW w:w="640" w:type="dxa"/>
            <w:vAlign w:val="bottom"/>
            <w:tcBorders>
              <w:right w:val="single" w:sz="8" w:color="FF160F"/>
            </w:tcBorders>
            <w:shd w:val="clear" w:color="auto" w:fill="FF160F"/>
          </w:tcPr>
          <w:p>
            <w:pPr>
              <w:spacing w:after="0"/>
              <w:rPr>
                <w:sz w:val="22"/>
                <w:szCs w:val="22"/>
                <w:color w:val="auto"/>
              </w:rPr>
            </w:pPr>
          </w:p>
        </w:tc>
        <w:tc>
          <w:tcPr>
            <w:tcW w:w="720" w:type="dxa"/>
            <w:vAlign w:val="bottom"/>
            <w:tcBorders>
              <w:right w:val="single" w:sz="8" w:color="FF160F"/>
            </w:tcBorders>
            <w:shd w:val="clear" w:color="auto" w:fill="FF160F"/>
          </w:tcPr>
          <w:p>
            <w:pPr>
              <w:spacing w:after="0"/>
              <w:rPr>
                <w:sz w:val="22"/>
                <w:szCs w:val="22"/>
                <w:color w:val="auto"/>
              </w:rPr>
            </w:pPr>
          </w:p>
        </w:tc>
        <w:tc>
          <w:tcPr>
            <w:tcW w:w="640" w:type="dxa"/>
            <w:vAlign w:val="bottom"/>
            <w:shd w:val="clear" w:color="auto" w:fill="FF160F"/>
          </w:tcPr>
          <w:p>
            <w:pPr>
              <w:spacing w:after="0"/>
              <w:rPr>
                <w:sz w:val="22"/>
                <w:szCs w:val="22"/>
                <w:color w:val="auto"/>
              </w:rPr>
            </w:pPr>
          </w:p>
        </w:tc>
        <w:tc>
          <w:tcPr>
            <w:tcW w:w="20" w:type="dxa"/>
            <w:vAlign w:val="bottom"/>
          </w:tcPr>
          <w:p>
            <w:pPr>
              <w:spacing w:after="0"/>
              <w:rPr>
                <w:sz w:val="22"/>
                <w:szCs w:val="22"/>
                <w:color w:val="auto"/>
              </w:rPr>
            </w:pPr>
          </w:p>
        </w:tc>
      </w:tr>
      <w:tr>
        <w:trPr>
          <w:trHeight w:val="83"/>
        </w:trPr>
        <w:tc>
          <w:tcPr>
            <w:tcW w:w="140" w:type="dxa"/>
            <w:vAlign w:val="bottom"/>
            <w:shd w:val="clear" w:color="auto" w:fill="FF160F"/>
          </w:tcPr>
          <w:p>
            <w:pPr>
              <w:spacing w:after="0"/>
              <w:rPr>
                <w:sz w:val="7"/>
                <w:szCs w:val="7"/>
                <w:color w:val="auto"/>
              </w:rPr>
            </w:pPr>
          </w:p>
        </w:tc>
        <w:tc>
          <w:tcPr>
            <w:tcW w:w="4700" w:type="dxa"/>
            <w:vAlign w:val="bottom"/>
            <w:tcBorders>
              <w:right w:val="single" w:sz="8" w:color="FF160F"/>
            </w:tcBorders>
            <w:shd w:val="clear" w:color="auto" w:fill="FF160F"/>
          </w:tcPr>
          <w:p>
            <w:pPr>
              <w:spacing w:after="0"/>
              <w:rPr>
                <w:sz w:val="7"/>
                <w:szCs w:val="7"/>
                <w:color w:val="auto"/>
              </w:rPr>
            </w:pPr>
          </w:p>
        </w:tc>
        <w:tc>
          <w:tcPr>
            <w:tcW w:w="720" w:type="dxa"/>
            <w:vAlign w:val="bottom"/>
            <w:tcBorders>
              <w:right w:val="single" w:sz="8" w:color="FF160F"/>
            </w:tcBorders>
            <w:shd w:val="clear" w:color="auto" w:fill="FF160F"/>
          </w:tcPr>
          <w:p>
            <w:pPr>
              <w:spacing w:after="0"/>
              <w:rPr>
                <w:sz w:val="7"/>
                <w:szCs w:val="7"/>
                <w:color w:val="auto"/>
              </w:rPr>
            </w:pPr>
          </w:p>
        </w:tc>
        <w:tc>
          <w:tcPr>
            <w:tcW w:w="660" w:type="dxa"/>
            <w:vAlign w:val="bottom"/>
            <w:tcBorders>
              <w:right w:val="single" w:sz="8" w:color="FF160F"/>
            </w:tcBorders>
            <w:shd w:val="clear" w:color="auto" w:fill="FF160F"/>
          </w:tcPr>
          <w:p>
            <w:pPr>
              <w:spacing w:after="0"/>
              <w:rPr>
                <w:sz w:val="7"/>
                <w:szCs w:val="7"/>
                <w:color w:val="auto"/>
              </w:rPr>
            </w:pPr>
          </w:p>
        </w:tc>
        <w:tc>
          <w:tcPr>
            <w:tcW w:w="780" w:type="dxa"/>
            <w:vAlign w:val="bottom"/>
            <w:tcBorders>
              <w:right w:val="single" w:sz="8" w:color="FF160F"/>
            </w:tcBorders>
            <w:shd w:val="clear" w:color="auto" w:fill="FF160F"/>
          </w:tcPr>
          <w:p>
            <w:pPr>
              <w:spacing w:after="0"/>
              <w:rPr>
                <w:sz w:val="7"/>
                <w:szCs w:val="7"/>
                <w:color w:val="auto"/>
              </w:rPr>
            </w:pPr>
          </w:p>
        </w:tc>
        <w:tc>
          <w:tcPr>
            <w:tcW w:w="1060" w:type="dxa"/>
            <w:vAlign w:val="bottom"/>
            <w:tcBorders>
              <w:right w:val="single" w:sz="8" w:color="FF160F"/>
            </w:tcBorders>
            <w:shd w:val="clear" w:color="auto" w:fill="FF160F"/>
          </w:tcPr>
          <w:p>
            <w:pPr>
              <w:spacing w:after="0"/>
              <w:rPr>
                <w:sz w:val="7"/>
                <w:szCs w:val="7"/>
                <w:color w:val="auto"/>
              </w:rPr>
            </w:pPr>
          </w:p>
        </w:tc>
        <w:tc>
          <w:tcPr>
            <w:tcW w:w="960" w:type="dxa"/>
            <w:vAlign w:val="bottom"/>
            <w:tcBorders>
              <w:right w:val="single" w:sz="8" w:color="FF160F"/>
            </w:tcBorders>
            <w:shd w:val="clear" w:color="auto" w:fill="FF160F"/>
          </w:tcPr>
          <w:p>
            <w:pPr>
              <w:spacing w:after="0"/>
              <w:rPr>
                <w:sz w:val="7"/>
                <w:szCs w:val="7"/>
                <w:color w:val="auto"/>
              </w:rPr>
            </w:pPr>
          </w:p>
        </w:tc>
        <w:tc>
          <w:tcPr>
            <w:tcW w:w="640" w:type="dxa"/>
            <w:vAlign w:val="bottom"/>
            <w:tcBorders>
              <w:right w:val="single" w:sz="8" w:color="FF160F"/>
            </w:tcBorders>
            <w:shd w:val="clear" w:color="auto" w:fill="FF160F"/>
          </w:tcPr>
          <w:p>
            <w:pPr>
              <w:spacing w:after="0"/>
              <w:rPr>
                <w:sz w:val="7"/>
                <w:szCs w:val="7"/>
                <w:color w:val="auto"/>
              </w:rPr>
            </w:pPr>
          </w:p>
        </w:tc>
        <w:tc>
          <w:tcPr>
            <w:tcW w:w="720" w:type="dxa"/>
            <w:vAlign w:val="bottom"/>
            <w:tcBorders>
              <w:right w:val="single" w:sz="8" w:color="FF160F"/>
            </w:tcBorders>
            <w:shd w:val="clear" w:color="auto" w:fill="FF160F"/>
          </w:tcPr>
          <w:p>
            <w:pPr>
              <w:spacing w:after="0"/>
              <w:rPr>
                <w:sz w:val="7"/>
                <w:szCs w:val="7"/>
                <w:color w:val="auto"/>
              </w:rPr>
            </w:pPr>
          </w:p>
        </w:tc>
        <w:tc>
          <w:tcPr>
            <w:tcW w:w="640" w:type="dxa"/>
            <w:vAlign w:val="bottom"/>
            <w:shd w:val="clear" w:color="auto" w:fill="FF160F"/>
          </w:tcPr>
          <w:p>
            <w:pPr>
              <w:spacing w:after="0"/>
              <w:rPr>
                <w:sz w:val="7"/>
                <w:szCs w:val="7"/>
                <w:color w:val="auto"/>
              </w:rPr>
            </w:pPr>
          </w:p>
        </w:tc>
        <w:tc>
          <w:tcPr>
            <w:tcW w:w="20" w:type="dxa"/>
            <w:vAlign w:val="bottom"/>
          </w:tcPr>
          <w:p>
            <w:pPr>
              <w:spacing w:after="0"/>
              <w:rPr>
                <w:sz w:val="7"/>
                <w:szCs w:val="7"/>
                <w:color w:val="auto"/>
              </w:rPr>
            </w:pPr>
          </w:p>
        </w:tc>
      </w:tr>
      <w:tr>
        <w:trPr>
          <w:trHeight w:val="243"/>
        </w:trPr>
        <w:tc>
          <w:tcPr>
            <w:tcW w:w="4840" w:type="dxa"/>
            <w:vAlign w:val="bottom"/>
            <w:tcBorders>
              <w:bottom w:val="single" w:sz="8" w:color="auto"/>
              <w:right w:val="single" w:sz="8" w:color="D8D8D8"/>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Race/Ethnicity</w:t>
            </w:r>
          </w:p>
        </w:tc>
        <w:tc>
          <w:tcPr>
            <w:tcW w:w="72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9"/>
              </w:rPr>
              <w:t>Faeder</w:t>
            </w:r>
          </w:p>
        </w:tc>
        <w:tc>
          <w:tcPr>
            <w:tcW w:w="6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Fisher</w:t>
            </w:r>
          </w:p>
        </w:tc>
        <w:tc>
          <w:tcPr>
            <w:tcW w:w="78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Holland</w:t>
            </w:r>
          </w:p>
        </w:tc>
        <w:tc>
          <w:tcPr>
            <w:tcW w:w="10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Lamb-Hale</w:t>
            </w:r>
          </w:p>
        </w:tc>
        <w:tc>
          <w:tcPr>
            <w:tcW w:w="9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McEachin</w:t>
            </w:r>
          </w:p>
        </w:tc>
        <w:tc>
          <w:tcPr>
            <w:tcW w:w="64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Nader</w:t>
            </w:r>
          </w:p>
        </w:tc>
        <w:tc>
          <w:tcPr>
            <w:tcW w:w="720" w:type="dxa"/>
            <w:vAlign w:val="bottom"/>
            <w:tcBorders>
              <w:bottom w:val="single" w:sz="8" w:color="auto"/>
              <w:right w:val="single" w:sz="8" w:color="D8D8D8"/>
            </w:tcBorders>
            <w:shd w:val="clear" w:color="auto" w:fill="D8D8D8"/>
          </w:tcPr>
          <w:p>
            <w:pPr>
              <w:jc w:val="center"/>
              <w:ind w:left="1"/>
              <w:spacing w:after="0"/>
              <w:rPr>
                <w:sz w:val="20"/>
                <w:szCs w:val="20"/>
                <w:color w:val="auto"/>
              </w:rPr>
            </w:pPr>
            <w:r>
              <w:rPr>
                <w:rFonts w:ascii="Arial" w:cs="Arial" w:eastAsia="Arial" w:hAnsi="Arial"/>
                <w:sz w:val="14"/>
                <w:szCs w:val="14"/>
                <w:color w:val="auto"/>
              </w:rPr>
              <w:t>Steinel</w:t>
            </w:r>
          </w:p>
        </w:tc>
        <w:tc>
          <w:tcPr>
            <w:tcW w:w="64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w w:val="98"/>
              </w:rPr>
              <w:t>Wood</w:t>
            </w:r>
          </w:p>
        </w:tc>
        <w:tc>
          <w:tcPr>
            <w:tcW w:w="20" w:type="dxa"/>
            <w:vAlign w:val="bottom"/>
            <w:tcBorders>
              <w:bottom w:val="single" w:sz="8" w:color="auto"/>
            </w:tcBorders>
          </w:tcPr>
          <w:p>
            <w:pPr>
              <w:spacing w:after="0"/>
              <w:rPr>
                <w:sz w:val="21"/>
                <w:szCs w:val="21"/>
                <w:color w:val="auto"/>
              </w:rPr>
            </w:pPr>
          </w:p>
        </w:tc>
      </w:tr>
      <w:tr>
        <w:trPr>
          <w:trHeight w:val="217"/>
        </w:trPr>
        <w:tc>
          <w:tcPr>
            <w:tcW w:w="48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    Black or African American</w:t>
            </w:r>
          </w:p>
        </w:tc>
        <w:tc>
          <w:tcPr>
            <w:tcW w:w="7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23"/>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1"/>
              </w:rPr>
              <w:t>  </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White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19"/>
                <w:szCs w:val="19"/>
                <w:color w:val="auto"/>
              </w:rPr>
            </w:pPr>
          </w:p>
        </w:tc>
      </w:tr>
      <w:tr>
        <w:trPr>
          <w:trHeight w:val="266"/>
        </w:trPr>
        <w:tc>
          <w:tcPr>
            <w:tcW w:w="4840" w:type="dxa"/>
            <w:vAlign w:val="bottom"/>
            <w:tcBorders>
              <w:bottom w:val="single" w:sz="8" w:color="auto"/>
              <w:right w:val="single" w:sz="8" w:color="D8D8D8"/>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Gender</w:t>
            </w:r>
          </w:p>
        </w:tc>
        <w:tc>
          <w:tcPr>
            <w:tcW w:w="720" w:type="dxa"/>
            <w:vAlign w:val="bottom"/>
            <w:tcBorders>
              <w:bottom w:val="single" w:sz="8" w:color="auto"/>
              <w:right w:val="single" w:sz="8" w:color="D8D8D8"/>
            </w:tcBorders>
            <w:shd w:val="clear" w:color="auto" w:fill="D8D8D8"/>
          </w:tcPr>
          <w:p>
            <w:pPr>
              <w:spacing w:after="0"/>
              <w:rPr>
                <w:sz w:val="23"/>
                <w:szCs w:val="23"/>
                <w:color w:val="auto"/>
              </w:rPr>
            </w:pPr>
          </w:p>
        </w:tc>
        <w:tc>
          <w:tcPr>
            <w:tcW w:w="660" w:type="dxa"/>
            <w:vAlign w:val="bottom"/>
            <w:tcBorders>
              <w:bottom w:val="single" w:sz="8" w:color="auto"/>
              <w:right w:val="single" w:sz="8" w:color="D8D8D8"/>
            </w:tcBorders>
            <w:shd w:val="clear" w:color="auto" w:fill="D8D8D8"/>
          </w:tcPr>
          <w:p>
            <w:pPr>
              <w:spacing w:after="0"/>
              <w:rPr>
                <w:sz w:val="23"/>
                <w:szCs w:val="23"/>
                <w:color w:val="auto"/>
              </w:rPr>
            </w:pPr>
          </w:p>
        </w:tc>
        <w:tc>
          <w:tcPr>
            <w:tcW w:w="780" w:type="dxa"/>
            <w:vAlign w:val="bottom"/>
            <w:tcBorders>
              <w:bottom w:val="single" w:sz="8" w:color="auto"/>
              <w:right w:val="single" w:sz="8" w:color="D8D8D8"/>
            </w:tcBorders>
            <w:shd w:val="clear" w:color="auto" w:fill="D8D8D8"/>
          </w:tcPr>
          <w:p>
            <w:pPr>
              <w:spacing w:after="0"/>
              <w:rPr>
                <w:sz w:val="23"/>
                <w:szCs w:val="23"/>
                <w:color w:val="auto"/>
              </w:rPr>
            </w:pPr>
          </w:p>
        </w:tc>
        <w:tc>
          <w:tcPr>
            <w:tcW w:w="1060" w:type="dxa"/>
            <w:vAlign w:val="bottom"/>
            <w:tcBorders>
              <w:bottom w:val="single" w:sz="8" w:color="auto"/>
              <w:right w:val="single" w:sz="8" w:color="D8D8D8"/>
            </w:tcBorders>
            <w:shd w:val="clear" w:color="auto" w:fill="D8D8D8"/>
          </w:tcPr>
          <w:p>
            <w:pPr>
              <w:spacing w:after="0"/>
              <w:rPr>
                <w:sz w:val="23"/>
                <w:szCs w:val="23"/>
                <w:color w:val="auto"/>
              </w:rPr>
            </w:pPr>
          </w:p>
        </w:tc>
        <w:tc>
          <w:tcPr>
            <w:tcW w:w="960" w:type="dxa"/>
            <w:vAlign w:val="bottom"/>
            <w:tcBorders>
              <w:bottom w:val="single" w:sz="8" w:color="auto"/>
              <w:right w:val="single" w:sz="8" w:color="D8D8D8"/>
            </w:tcBorders>
            <w:shd w:val="clear" w:color="auto" w:fill="D8D8D8"/>
          </w:tcPr>
          <w:p>
            <w:pPr>
              <w:spacing w:after="0"/>
              <w:rPr>
                <w:sz w:val="23"/>
                <w:szCs w:val="23"/>
                <w:color w:val="auto"/>
              </w:rPr>
            </w:pPr>
          </w:p>
        </w:tc>
        <w:tc>
          <w:tcPr>
            <w:tcW w:w="640" w:type="dxa"/>
            <w:vAlign w:val="bottom"/>
            <w:tcBorders>
              <w:bottom w:val="single" w:sz="8" w:color="auto"/>
              <w:right w:val="single" w:sz="8" w:color="D8D8D8"/>
            </w:tcBorders>
            <w:shd w:val="clear" w:color="auto" w:fill="D8D8D8"/>
          </w:tcPr>
          <w:p>
            <w:pPr>
              <w:spacing w:after="0"/>
              <w:rPr>
                <w:sz w:val="23"/>
                <w:szCs w:val="23"/>
                <w:color w:val="auto"/>
              </w:rPr>
            </w:pPr>
          </w:p>
        </w:tc>
        <w:tc>
          <w:tcPr>
            <w:tcW w:w="720" w:type="dxa"/>
            <w:vAlign w:val="bottom"/>
            <w:tcBorders>
              <w:bottom w:val="single" w:sz="8" w:color="auto"/>
              <w:right w:val="single" w:sz="8" w:color="D8D8D8"/>
            </w:tcBorders>
            <w:shd w:val="clear" w:color="auto" w:fill="D8D8D8"/>
          </w:tcPr>
          <w:p>
            <w:pPr>
              <w:spacing w:after="0"/>
              <w:rPr>
                <w:sz w:val="23"/>
                <w:szCs w:val="23"/>
                <w:color w:val="auto"/>
              </w:rPr>
            </w:pPr>
          </w:p>
        </w:tc>
        <w:tc>
          <w:tcPr>
            <w:tcW w:w="640" w:type="dxa"/>
            <w:vAlign w:val="bottom"/>
            <w:tcBorders>
              <w:bottom w:val="single" w:sz="8" w:color="auto"/>
            </w:tcBorders>
            <w:shd w:val="clear" w:color="auto" w:fill="D8D8D8"/>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220"/>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1"/>
              </w:rPr>
              <w:t>  </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Female</w:t>
            </w:r>
          </w:p>
        </w:tc>
        <w:tc>
          <w:tcPr>
            <w:tcW w:w="7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10"/>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1"/>
              </w:rPr>
              <w:t>  </w:t>
            </w:r>
          </w:p>
        </w:tc>
        <w:tc>
          <w:tcPr>
            <w:tcW w:w="4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Male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2"/>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-3771265</wp:posOffset>
            </wp:positionV>
            <wp:extent cx="15430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-3548380</wp:posOffset>
            </wp:positionV>
            <wp:extent cx="15430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-3325495</wp:posOffset>
            </wp:positionV>
            <wp:extent cx="18859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-3085465</wp:posOffset>
            </wp:positionV>
            <wp:extent cx="17145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-2888615</wp:posOffset>
            </wp:positionV>
            <wp:extent cx="18859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-2639695</wp:posOffset>
            </wp:positionV>
            <wp:extent cx="1714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-2399665</wp:posOffset>
            </wp:positionV>
            <wp:extent cx="18859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-2142490</wp:posOffset>
            </wp:positionV>
            <wp:extent cx="18859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-1885315</wp:posOffset>
            </wp:positionV>
            <wp:extent cx="154305"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17970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-1628140</wp:posOffset>
            </wp:positionV>
            <wp:extent cx="20574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5740" cy="14541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-1405255</wp:posOffset>
            </wp:positionV>
            <wp:extent cx="22288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18859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Company’s Corporate Governance Guidelines provide that no trustee who is the CEO of a publicly traded company can serve on more than two public company boards, including the Board of the Company, and no other trustee who is not the CEO or a named executive officer of a public company can serve on more than four public company boards, including the Board of the Company. These limitations were considered before nominating our existing trustees to stand for reelection in 2026.</w:t>
      </w:r>
    </w:p>
    <w:p>
      <w:pPr>
        <w:spacing w:after="0" w:line="17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2027 Annual Meeting” section later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0341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7"/>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DIVERSITY AND TENURE</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01" w:lineRule="exact"/>
        <w:rPr>
          <w:sz w:val="20"/>
          <w:szCs w:val="20"/>
          <w:color w:val="auto"/>
        </w:rPr>
      </w:pPr>
    </w:p>
    <w:p>
      <w:pPr>
        <w:ind w:left="1680"/>
        <w:spacing w:after="0"/>
        <w:tabs>
          <w:tab w:leader="none" w:pos="5260" w:val="left"/>
          <w:tab w:leader="none" w:pos="8040" w:val="left"/>
        </w:tabs>
        <w:rPr>
          <w:sz w:val="20"/>
          <w:szCs w:val="20"/>
          <w:color w:val="auto"/>
        </w:rPr>
      </w:pPr>
      <w:r>
        <w:rPr>
          <w:rFonts w:ascii="Arial" w:cs="Arial" w:eastAsia="Arial" w:hAnsi="Arial"/>
          <w:sz w:val="18"/>
          <w:szCs w:val="18"/>
          <w:color w:val="FF160F"/>
        </w:rPr>
        <w:t>AGE</w:t>
      </w:r>
      <w:r>
        <w:rPr>
          <w:sz w:val="20"/>
          <w:szCs w:val="20"/>
          <w:color w:val="auto"/>
        </w:rPr>
        <w:tab/>
      </w:r>
      <w:r>
        <w:rPr>
          <w:rFonts w:ascii="Arial" w:cs="Arial" w:eastAsia="Arial" w:hAnsi="Arial"/>
          <w:sz w:val="18"/>
          <w:szCs w:val="18"/>
          <w:color w:val="FF160F"/>
        </w:rPr>
        <w:t>TENURE</w:t>
      </w:r>
      <w:r>
        <w:rPr>
          <w:sz w:val="20"/>
          <w:szCs w:val="20"/>
          <w:color w:val="auto"/>
        </w:rPr>
        <w:tab/>
      </w:r>
      <w:r>
        <w:rPr>
          <w:rFonts w:ascii="Arial" w:cs="Arial" w:eastAsia="Arial" w:hAnsi="Arial"/>
          <w:sz w:val="17"/>
          <w:szCs w:val="17"/>
          <w:color w:val="FF160F"/>
        </w:rPr>
        <w:t>GENDER &amp;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52070</wp:posOffset>
            </wp:positionV>
            <wp:extent cx="6549390" cy="1131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49390" cy="11315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Average age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Average tenure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Committees chaired by women</w:t>
      </w:r>
    </w:p>
    <w:p>
      <w:pPr>
        <w:spacing w:after="0" w:line="31" w:lineRule="exact"/>
        <w:rPr>
          <w:sz w:val="20"/>
          <w:szCs w:val="20"/>
          <w:color w:val="auto"/>
        </w:rPr>
      </w:pPr>
    </w:p>
    <w:p>
      <w:pPr>
        <w:sectPr>
          <w:pgSz w:w="11900" w:h="16838" w:orient="portrait"/>
          <w:cols w:equalWidth="0" w:num="3">
            <w:col w:w="3500" w:space="720"/>
            <w:col w:w="3340" w:space="720"/>
            <w:col w:w="2840"/>
          </w:cols>
          <w:pgMar w:left="320" w:top="482" w:right="459" w:bottom="1440" w:gutter="0" w:footer="0" w:header="0"/>
          <w:type w:val="continuous"/>
        </w:sectPr>
      </w:pPr>
    </w:p>
    <w:p>
      <w:pPr>
        <w:ind w:left="1480"/>
        <w:spacing w:after="0"/>
        <w:rPr>
          <w:sz w:val="20"/>
          <w:szCs w:val="20"/>
          <w:color w:val="auto"/>
        </w:rPr>
      </w:pPr>
      <w:r>
        <w:rPr>
          <w:rFonts w:ascii="Arial" w:cs="Arial" w:eastAsia="Arial" w:hAnsi="Arial"/>
          <w:sz w:val="16"/>
          <w:szCs w:val="16"/>
          <w:b w:val="1"/>
          <w:bCs w:val="1"/>
          <w:color w:val="FF160F"/>
        </w:rPr>
        <w:t>62.6 years</w:t>
      </w:r>
    </w:p>
    <w:p>
      <w:pPr>
        <w:spacing w:after="0" w:line="20" w:lineRule="exact"/>
        <w:rPr>
          <w:sz w:val="20"/>
          <w:szCs w:val="20"/>
          <w:color w:val="auto"/>
        </w:rPr>
      </w:pPr>
      <w:r>
        <w:rPr>
          <w:sz w:val="20"/>
          <w:szCs w:val="20"/>
          <w:color w:val="auto"/>
        </w:rPr>
        <w:br w:type="column"/>
      </w:r>
    </w:p>
    <w:p>
      <w:pPr>
        <w:jc w:val="center"/>
        <w:ind w:right="2520"/>
        <w:spacing w:after="0"/>
        <w:rPr>
          <w:sz w:val="20"/>
          <w:szCs w:val="20"/>
          <w:color w:val="auto"/>
        </w:rPr>
      </w:pPr>
      <w:r>
        <w:rPr>
          <w:rFonts w:ascii="Arial" w:cs="Arial" w:eastAsia="Arial" w:hAnsi="Arial"/>
          <w:sz w:val="16"/>
          <w:szCs w:val="16"/>
          <w:b w:val="1"/>
          <w:bCs w:val="1"/>
          <w:color w:val="FF160F"/>
        </w:rPr>
        <w:t>9.7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160F"/>
        </w:rPr>
        <w:t>67%</w:t>
      </w:r>
    </w:p>
    <w:p>
      <w:pPr>
        <w:spacing w:after="0" w:line="211" w:lineRule="exact"/>
        <w:rPr>
          <w:sz w:val="20"/>
          <w:szCs w:val="20"/>
          <w:color w:val="auto"/>
        </w:rPr>
      </w:pPr>
    </w:p>
    <w:p>
      <w:pPr>
        <w:sectPr>
          <w:pgSz w:w="11900" w:h="16838" w:orient="portrait"/>
          <w:cols w:equalWidth="0" w:num="3">
            <w:col w:w="4580" w:space="720"/>
            <w:col w:w="3220" w:space="720"/>
            <w:col w:w="1880"/>
          </w:cols>
          <w:pgMar w:left="320" w:top="482" w:right="459" w:bottom="1440" w:gutter="0" w:footer="0" w:header="0"/>
          <w:type w:val="continuous"/>
        </w:sectPr>
      </w:pPr>
    </w:p>
    <w:p>
      <w:pPr>
        <w:spacing w:after="0" w:line="31" w:lineRule="exact"/>
        <w:rPr>
          <w:sz w:val="20"/>
          <w:szCs w:val="20"/>
          <w:color w:val="auto"/>
        </w:rPr>
      </w:pPr>
    </w:p>
    <w:p>
      <w:pPr>
        <w:ind w:left="540" w:hanging="424"/>
        <w:spacing w:after="0"/>
        <w:tabs>
          <w:tab w:leader="none" w:pos="540" w:val="left"/>
        </w:tabs>
        <w:numPr>
          <w:ilvl w:val="0"/>
          <w:numId w:val="38"/>
        </w:numPr>
        <w:rPr>
          <w:rFonts w:ascii="MS PGothic" w:cs="MS PGothic" w:eastAsia="MS PGothic" w:hAnsi="MS PGothic"/>
          <w:sz w:val="18"/>
          <w:szCs w:val="18"/>
          <w:color w:val="FF160F"/>
        </w:rPr>
      </w:pPr>
      <w:r>
        <w:rPr>
          <w:rFonts w:ascii="Arial" w:cs="Arial" w:eastAsia="Arial" w:hAnsi="Arial"/>
          <w:sz w:val="18"/>
          <w:szCs w:val="18"/>
          <w:b w:val="1"/>
          <w:bCs w:val="1"/>
          <w:color w:val="auto"/>
        </w:rPr>
        <w:t>OUR NOMINEES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biographical descriptions set forth certain information with respect to each nominee for election at the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13</w:t>
      </w:r>
    </w:p>
    <w:p>
      <w:pPr>
        <w:sectPr>
          <w:pgSz w:w="11900" w:h="16838" w:orient="portrait"/>
          <w:cols w:equalWidth="0" w:num="1">
            <w:col w:w="11120"/>
          </w:cols>
          <w:pgMar w:left="320" w:top="482"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DAVID W. FAEDER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69</w:t>
      </w:r>
    </w:p>
    <w:p>
      <w:pPr>
        <w:ind w:left="2780"/>
        <w:spacing w:after="0" w:line="234" w:lineRule="auto"/>
        <w:rPr>
          <w:sz w:val="20"/>
          <w:szCs w:val="20"/>
          <w:color w:val="auto"/>
        </w:rPr>
      </w:pPr>
      <w:r>
        <w:rPr>
          <w:rFonts w:ascii="Arial" w:cs="Arial" w:eastAsia="Arial" w:hAnsi="Arial"/>
          <w:sz w:val="18"/>
          <w:szCs w:val="18"/>
          <w:color w:val="auto"/>
        </w:rPr>
        <w:t>Trustee Since: 2003</w:t>
      </w:r>
    </w:p>
    <w:p>
      <w:pPr>
        <w:ind w:left="2780"/>
        <w:spacing w:after="0" w:line="235" w:lineRule="auto"/>
        <w:rPr>
          <w:sz w:val="20"/>
          <w:szCs w:val="20"/>
          <w:color w:val="auto"/>
        </w:rPr>
      </w:pPr>
      <w:r>
        <w:rPr>
          <w:rFonts w:ascii="Arial" w:cs="Arial" w:eastAsia="Arial" w:hAnsi="Arial"/>
          <w:sz w:val="18"/>
          <w:szCs w:val="18"/>
          <w:b w:val="1"/>
          <w:bCs w:val="1"/>
          <w:color w:val="auto"/>
        </w:rPr>
        <w:t>Non-Executive Chairman</w:t>
      </w:r>
    </w:p>
    <w:p>
      <w:pPr>
        <w:ind w:left="2780"/>
        <w:spacing w:after="0" w:line="235" w:lineRule="auto"/>
        <w:rPr>
          <w:sz w:val="20"/>
          <w:szCs w:val="20"/>
          <w:color w:val="auto"/>
        </w:rPr>
      </w:pPr>
      <w:r>
        <w:rPr>
          <w:rFonts w:ascii="Arial" w:cs="Arial" w:eastAsia="Arial" w:hAnsi="Arial"/>
          <w:sz w:val="18"/>
          <w:szCs w:val="18"/>
          <w:color w:val="auto"/>
        </w:rPr>
        <w:t>Managing Partner of Fountain</w:t>
      </w:r>
    </w:p>
    <w:p>
      <w:pPr>
        <w:ind w:left="2780"/>
        <w:spacing w:after="0" w:line="235" w:lineRule="auto"/>
        <w:rPr>
          <w:sz w:val="20"/>
          <w:szCs w:val="20"/>
          <w:color w:val="auto"/>
        </w:rPr>
      </w:pPr>
      <w:r>
        <w:rPr>
          <w:rFonts w:ascii="Arial" w:cs="Arial" w:eastAsia="Arial" w:hAnsi="Arial"/>
          <w:sz w:val="18"/>
          <w:szCs w:val="18"/>
          <w:color w:val="auto"/>
        </w:rPr>
        <w:t>Square Properties and</w:t>
      </w:r>
    </w:p>
    <w:p>
      <w:pPr>
        <w:ind w:left="2780"/>
        <w:spacing w:after="0" w:line="235" w:lineRule="auto"/>
        <w:rPr>
          <w:sz w:val="20"/>
          <w:szCs w:val="20"/>
          <w:color w:val="auto"/>
        </w:rPr>
      </w:pPr>
      <w:r>
        <w:rPr>
          <w:rFonts w:ascii="Arial" w:cs="Arial" w:eastAsia="Arial" w:hAnsi="Arial"/>
          <w:sz w:val="18"/>
          <w:szCs w:val="18"/>
          <w:color w:val="auto"/>
        </w:rPr>
        <w:t>Managing Member of</w:t>
      </w:r>
    </w:p>
    <w:p>
      <w:pPr>
        <w:ind w:left="2780"/>
        <w:spacing w:after="0"/>
        <w:rPr>
          <w:sz w:val="20"/>
          <w:szCs w:val="20"/>
          <w:color w:val="auto"/>
        </w:rPr>
      </w:pPr>
      <w:r>
        <w:rPr>
          <w:rFonts w:ascii="Arial" w:cs="Arial" w:eastAsia="Arial" w:hAnsi="Arial"/>
          <w:sz w:val="18"/>
          <w:szCs w:val="18"/>
          <w:color w:val="auto"/>
        </w:rPr>
        <w:t>Kensington Senior Living</w:t>
      </w:r>
    </w:p>
    <w:p>
      <w:pPr>
        <w:spacing w:after="0" w:line="261"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 (until 2023)</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JOSEPH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-1002030</wp:posOffset>
            </wp:positionV>
            <wp:extent cx="7174865" cy="7063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706374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Age: 46</w:t>
      </w:r>
    </w:p>
    <w:p>
      <w:pPr>
        <w:ind w:left="2200"/>
        <w:spacing w:after="0" w:line="234" w:lineRule="auto"/>
        <w:rPr>
          <w:sz w:val="20"/>
          <w:szCs w:val="20"/>
          <w:color w:val="auto"/>
        </w:rPr>
      </w:pPr>
      <w:r>
        <w:rPr>
          <w:rFonts w:ascii="Arial" w:cs="Arial" w:eastAsia="Arial" w:hAnsi="Arial"/>
          <w:sz w:val="18"/>
          <w:szCs w:val="18"/>
          <w:color w:val="auto"/>
        </w:rPr>
        <w:t>Trustee Since: 2026</w:t>
      </w:r>
    </w:p>
    <w:p>
      <w:pPr>
        <w:ind w:left="2200"/>
        <w:spacing w:after="0" w:line="235" w:lineRule="auto"/>
        <w:rPr>
          <w:sz w:val="20"/>
          <w:szCs w:val="20"/>
          <w:color w:val="auto"/>
        </w:rPr>
      </w:pPr>
      <w:r>
        <w:rPr>
          <w:rFonts w:ascii="Arial" w:cs="Arial" w:eastAsia="Arial" w:hAnsi="Arial"/>
          <w:sz w:val="18"/>
          <w:szCs w:val="18"/>
          <w:color w:val="auto"/>
        </w:rPr>
        <w:t>President, Chief Financial Officer</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of Public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Fisher is the President, Chief Financial Officer of Public Storage (2026 to present), a publicly traded real estate investment trust that primarily acquires, develops, owns, and operates self-storage facilities. Prior to that, Mr. Fisher served as the President (2022 – 2025), Chief Financial Officer (2017 – 2025) and Chief Investment officer (2025) of UDR, Inc., a publicly traded real estate investment trust focused on managing, buying, selling, developing and redeveloping multifamily properties in targeted U.S. markets. Before joining UDR, Mr. Fisher held various positions at Deutsche Asset and Wealth Management (now known as DWS), a global asset management firm, where he held various roles, including Co-Head of the Americas and Co-Lead Portfolio Manager (2007 – 2016), Associate, Structured Debt Investments (2005 – 2007) and Portfolio Analyst, Portfolio Management Group (2004 – 2006). Mr. Fisher began his career as an Asset Management Analyst for Principal Real Estate Advisors (2003 – 2004). Mr. Fisher received a Bachelor of Business Administration from the University of Iowa and an MBA from the Kellogg School of Management at Northwestern University. Mr. Fisher has been designated by the Board as an audit committee financial expert in accordance with the SEC definition.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Fisher has extensive experience in public company and real estate financing and investment and expertise in the multifamily apartment industry. His financial and investment acumen, experience as a public real estate investment trust executive and deep knowledge of the multifamily industry provide a multitude of valuable insights into areas critical for our success.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254635</wp:posOffset>
            </wp:positionV>
            <wp:extent cx="7003415"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200" w:space="660"/>
            <w:col w:w="4840"/>
          </w:cols>
          <w:pgMar w:left="320" w:top="482" w:right="87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14</w:t>
      </w:r>
    </w:p>
    <w:p>
      <w:pPr>
        <w:sectPr>
          <w:pgSz w:w="11900" w:h="16838" w:orient="portrait"/>
          <w:cols w:equalWidth="0" w:num="1">
            <w:col w:w="10700"/>
          </w:cols>
          <w:pgMar w:left="320" w:top="482" w:right="8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6652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ELIZABETH I. HOLLAND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Age: 60</w:t>
      </w:r>
    </w:p>
    <w:p>
      <w:pPr>
        <w:ind w:left="2860"/>
        <w:spacing w:after="0" w:line="234" w:lineRule="auto"/>
        <w:rPr>
          <w:sz w:val="20"/>
          <w:szCs w:val="20"/>
          <w:color w:val="auto"/>
        </w:rPr>
      </w:pPr>
      <w:r>
        <w:rPr>
          <w:rFonts w:ascii="Arial" w:cs="Arial" w:eastAsia="Arial" w:hAnsi="Arial"/>
          <w:sz w:val="18"/>
          <w:szCs w:val="18"/>
          <w:color w:val="auto"/>
        </w:rPr>
        <w:t>Trustee Since: 2017</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Chief Executive Officer of Abbell</w:t>
      </w:r>
    </w:p>
    <w:p>
      <w:pPr>
        <w:spacing w:after="0" w:line="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Credit Corporation and Abbell</w:t>
      </w:r>
    </w:p>
    <w:p>
      <w:pPr>
        <w:ind w:left="2860"/>
        <w:spacing w:after="0"/>
        <w:rPr>
          <w:sz w:val="20"/>
          <w:szCs w:val="20"/>
          <w:color w:val="auto"/>
        </w:rPr>
      </w:pPr>
      <w:r>
        <w:rPr>
          <w:rFonts w:ascii="Arial" w:cs="Arial" w:eastAsia="Arial" w:hAnsi="Arial"/>
          <w:sz w:val="18"/>
          <w:szCs w:val="18"/>
          <w:color w:val="auto"/>
        </w:rPr>
        <w:t>Associates, LLC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40" w:right="60"/>
        <w:spacing w:after="0" w:line="248" w:lineRule="auto"/>
        <w:rPr>
          <w:sz w:val="20"/>
          <w:szCs w:val="20"/>
          <w:color w:val="auto"/>
        </w:rPr>
      </w:pPr>
      <w:r>
        <w:rPr>
          <w:rFonts w:ascii="Arial" w:cs="Arial" w:eastAsia="Arial" w:hAnsi="Arial"/>
          <w:sz w:val="16"/>
          <w:szCs w:val="16"/>
          <w:color w:val="auto"/>
        </w:rPr>
        <w:t>Ms. Holland is the Chief Executive Officer of Abbell Credit Corporation and Abbell Associates, LLC, a private retail real estate company. She has held that position since 1997. Ms. Holland is also Chief Executive Officer of Consortial Technologies, L.L.C., a software development company since 2017.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The Village Bank &amp; Trust, a Chicago based owner, manager and developer of multi-family properties, and Primo Center for Women &amp; Children, a non-profit organization whose mission is to provide family shelter and permanent supportive housing and other supportive services to homeless families in Chicago.</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Skills and Qualifications</w:t>
      </w:r>
    </w:p>
    <w:p>
      <w:pPr>
        <w:spacing w:after="0" w:line="21" w:lineRule="exact"/>
        <w:rPr>
          <w:sz w:val="20"/>
          <w:szCs w:val="20"/>
          <w:color w:val="auto"/>
        </w:rPr>
      </w:pPr>
    </w:p>
    <w:p>
      <w:pPr>
        <w:jc w:val="both"/>
        <w:ind w:left="540" w:right="60"/>
        <w:spacing w:after="0" w:line="250" w:lineRule="auto"/>
        <w:rPr>
          <w:sz w:val="20"/>
          <w:szCs w:val="20"/>
          <w:color w:val="auto"/>
        </w:rPr>
      </w:pPr>
      <w:r>
        <w:rPr>
          <w:rFonts w:ascii="Arial" w:cs="Arial" w:eastAsia="Arial" w:hAnsi="Arial"/>
          <w:sz w:val="16"/>
          <w:szCs w:val="16"/>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Current Public Company Directorships: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VICI Properties, Inc.</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Audit Committee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799465</wp:posOffset>
            </wp:positionV>
            <wp:extent cx="700341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NICOLE Y. LAMB HALE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59</w:t>
      </w:r>
    </w:p>
    <w:p>
      <w:pPr>
        <w:ind w:left="2200"/>
        <w:spacing w:after="0" w:line="234" w:lineRule="auto"/>
        <w:rPr>
          <w:sz w:val="20"/>
          <w:szCs w:val="20"/>
          <w:color w:val="auto"/>
        </w:rPr>
      </w:pPr>
      <w:r>
        <w:rPr>
          <w:rFonts w:ascii="Arial" w:cs="Arial" w:eastAsia="Arial" w:hAnsi="Arial"/>
          <w:sz w:val="18"/>
          <w:szCs w:val="18"/>
          <w:color w:val="auto"/>
        </w:rPr>
        <w:t>Trustee Since: 2020</w:t>
      </w:r>
    </w:p>
    <w:p>
      <w:pPr>
        <w:ind w:left="2200"/>
        <w:spacing w:after="0" w:line="235" w:lineRule="auto"/>
        <w:rPr>
          <w:sz w:val="20"/>
          <w:szCs w:val="20"/>
          <w:color w:val="auto"/>
        </w:rPr>
      </w:pPr>
      <w:r>
        <w:rPr>
          <w:rFonts w:ascii="Arial" w:cs="Arial" w:eastAsia="Arial" w:hAnsi="Arial"/>
          <w:sz w:val="18"/>
          <w:szCs w:val="18"/>
          <w:color w:val="auto"/>
        </w:rPr>
        <w:t>Vice President, Chief</w:t>
      </w:r>
    </w:p>
    <w:p>
      <w:pPr>
        <w:ind w:left="2200"/>
        <w:spacing w:after="0" w:line="235" w:lineRule="auto"/>
        <w:rPr>
          <w:sz w:val="20"/>
          <w:szCs w:val="20"/>
          <w:color w:val="auto"/>
        </w:rPr>
      </w:pPr>
      <w:r>
        <w:rPr>
          <w:rFonts w:ascii="Arial" w:cs="Arial" w:eastAsia="Arial" w:hAnsi="Arial"/>
          <w:sz w:val="18"/>
          <w:szCs w:val="18"/>
          <w:color w:val="auto"/>
        </w:rPr>
        <w:t>Administrative Officer and</w:t>
      </w:r>
    </w:p>
    <w:p>
      <w:pPr>
        <w:ind w:left="2200"/>
        <w:spacing w:after="0"/>
        <w:rPr>
          <w:sz w:val="20"/>
          <w:szCs w:val="20"/>
          <w:color w:val="auto"/>
        </w:rPr>
      </w:pPr>
      <w:r>
        <w:rPr>
          <w:rFonts w:ascii="Arial" w:cs="Arial" w:eastAsia="Arial" w:hAnsi="Arial"/>
          <w:sz w:val="17"/>
          <w:szCs w:val="17"/>
          <w:color w:val="auto"/>
        </w:rPr>
        <w:t>Corporate Secretary of Cummins,</w:t>
      </w:r>
    </w:p>
    <w:p>
      <w:pPr>
        <w:spacing w:after="0" w:line="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68" w:lineRule="exact"/>
        <w:rPr>
          <w:sz w:val="20"/>
          <w:szCs w:val="20"/>
          <w:color w:val="auto"/>
        </w:rPr>
      </w:pPr>
    </w:p>
    <w:p>
      <w:pPr>
        <w:jc w:val="both"/>
        <w:ind w:right="140"/>
        <w:spacing w:after="0" w:line="247" w:lineRule="auto"/>
        <w:rPr>
          <w:sz w:val="20"/>
          <w:szCs w:val="20"/>
          <w:color w:val="auto"/>
        </w:rPr>
      </w:pPr>
      <w:r>
        <w:rPr>
          <w:rFonts w:ascii="Arial" w:cs="Arial" w:eastAsia="Arial" w:hAnsi="Arial"/>
          <w:sz w:val="16"/>
          <w:szCs w:val="16"/>
          <w:color w:val="auto"/>
        </w:rPr>
        <w:t>Ms. Lamb-Hale currently serves as the Vice President, Chief Administrative Officer and Corporate Secretary of Cummins Inc., a position she has held since 2025 overseeing multiple global functions including product compliance and regulatory affairs, communications, marketing, government relations, corporate responsibility, facilities, security, global enterprise risk, ethics and compliance and the company’s global shared services organization. She also serves as Corporate Secretary advising the company’s board of directors and executive management on corporate governance and compliance with SEC reporting requirements and NYSE rules. While at Cummins Inc., Ms. Lamb-Hale has also held the titles Vice President and Chief Legal Officer (2023-2025) and Vice President and General Counsel (2021-2022). Prior to that time,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several non-profit groups including the Cummins Foundation and the U.S. Chamber of Commerce Foundation.</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1" w:lineRule="exact"/>
        <w:rPr>
          <w:sz w:val="20"/>
          <w:szCs w:val="20"/>
          <w:color w:val="auto"/>
        </w:rPr>
      </w:pPr>
    </w:p>
    <w:p>
      <w:pPr>
        <w:jc w:val="both"/>
        <w:ind w:right="140"/>
        <w:spacing w:after="0" w:line="250" w:lineRule="auto"/>
        <w:rPr>
          <w:sz w:val="20"/>
          <w:szCs w:val="20"/>
          <w:color w:val="auto"/>
        </w:rPr>
      </w:pPr>
      <w:r>
        <w:rPr>
          <w:rFonts w:ascii="Arial" w:cs="Arial" w:eastAsia="Arial" w:hAnsi="Arial"/>
          <w:sz w:val="16"/>
          <w:szCs w:val="16"/>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Nominating Committee</w:t>
      </w:r>
    </w:p>
    <w:p>
      <w:pPr>
        <w:spacing w:after="0" w:line="200" w:lineRule="exact"/>
        <w:rPr>
          <w:sz w:val="20"/>
          <w:szCs w:val="20"/>
          <w:color w:val="auto"/>
        </w:rPr>
      </w:pPr>
    </w:p>
    <w:p>
      <w:pPr>
        <w:sectPr>
          <w:pgSz w:w="11900" w:h="16838" w:orient="portrait"/>
          <w:cols w:equalWidth="0" w:num="2">
            <w:col w:w="5440" w:space="580"/>
            <w:col w:w="5000"/>
          </w:cols>
          <w:pgMar w:left="320" w:top="482" w:right="559" w:bottom="1440" w:gutter="0" w:footer="0" w:header="0"/>
        </w:sectPr>
      </w:pPr>
    </w:p>
    <w:p>
      <w:pPr>
        <w:spacing w:after="0" w:line="17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15</w:t>
      </w:r>
    </w:p>
    <w:p>
      <w:pPr>
        <w:sectPr>
          <w:pgSz w:w="11900" w:h="16838" w:orient="portrait"/>
          <w:cols w:equalWidth="0" w:num="1">
            <w:col w:w="11020"/>
          </w:cols>
          <w:pgMar w:left="320" w:top="482"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294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THOMAS A. McEACHIN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Age: 73</w:t>
      </w:r>
    </w:p>
    <w:p>
      <w:pPr>
        <w:ind w:left="2860"/>
        <w:spacing w:after="0" w:line="234" w:lineRule="auto"/>
        <w:rPr>
          <w:sz w:val="20"/>
          <w:szCs w:val="20"/>
          <w:color w:val="auto"/>
        </w:rPr>
      </w:pPr>
      <w:r>
        <w:rPr>
          <w:rFonts w:ascii="Arial" w:cs="Arial" w:eastAsia="Arial" w:hAnsi="Arial"/>
          <w:sz w:val="18"/>
          <w:szCs w:val="18"/>
          <w:color w:val="auto"/>
        </w:rPr>
        <w:t>Trustee Since: 2022</w:t>
      </w:r>
    </w:p>
    <w:p>
      <w:pPr>
        <w:ind w:left="2860"/>
        <w:spacing w:after="0" w:line="235" w:lineRule="auto"/>
        <w:rPr>
          <w:sz w:val="20"/>
          <w:szCs w:val="20"/>
          <w:color w:val="auto"/>
        </w:rPr>
      </w:pPr>
      <w:r>
        <w:rPr>
          <w:rFonts w:ascii="Arial" w:cs="Arial" w:eastAsia="Arial" w:hAnsi="Arial"/>
          <w:sz w:val="18"/>
          <w:szCs w:val="18"/>
          <w:color w:val="auto"/>
        </w:rPr>
        <w:t>Retired Vice President and</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Group Chief Financial Officer of</w:t>
      </w:r>
    </w:p>
    <w:p>
      <w:pPr>
        <w:spacing w:after="0" w:line="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Covidien Surgical Solutions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540"/>
        <w:spacing w:after="0" w:line="236" w:lineRule="auto"/>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School of Engineering, an MBA from Stanford University and completed the Advanced Management Program at University of Pennsylvania’s Wharton School.</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Pediatrix Medical Group, Inc.</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Surgalign Holdings, Inc. (until 2023)</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Compensation Committee</w:t>
      </w:r>
    </w:p>
    <w:p>
      <w:pPr>
        <w:ind w:left="54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7003415"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ANTHONY P. NADER, III</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62</w:t>
      </w:r>
    </w:p>
    <w:p>
      <w:pPr>
        <w:ind w:left="2200"/>
        <w:spacing w:after="0" w:line="234" w:lineRule="auto"/>
        <w:rPr>
          <w:sz w:val="20"/>
          <w:szCs w:val="20"/>
          <w:color w:val="auto"/>
        </w:rPr>
      </w:pPr>
      <w:r>
        <w:rPr>
          <w:rFonts w:ascii="Arial" w:cs="Arial" w:eastAsia="Arial" w:hAnsi="Arial"/>
          <w:sz w:val="18"/>
          <w:szCs w:val="18"/>
          <w:color w:val="auto"/>
        </w:rPr>
        <w:t>Trustee Since: 2020</w:t>
      </w:r>
    </w:p>
    <w:p>
      <w:pPr>
        <w:ind w:left="2200"/>
        <w:spacing w:after="0" w:line="235" w:lineRule="auto"/>
        <w:rPr>
          <w:sz w:val="20"/>
          <w:szCs w:val="20"/>
          <w:color w:val="auto"/>
        </w:rPr>
      </w:pPr>
      <w:r>
        <w:rPr>
          <w:rFonts w:ascii="Arial" w:cs="Arial" w:eastAsia="Arial" w:hAnsi="Arial"/>
          <w:sz w:val="18"/>
          <w:szCs w:val="18"/>
          <w:color w:val="auto"/>
        </w:rPr>
        <w:t>Managing Director of SWaN &amp;</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Legend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Nader is a Managing Director of SWaN &amp; Legend Venture Partners, an investment firm that Mr. Nader co-founded in 2006, making investments in growth-oriented companies. Mr. Nader served as Vice Chairman of Asurion, a privately held company with over 19,000 employees that provides technology protection to approximately 300 million customers worldwide until the end of 2025.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served as the Chairman of the Inova Health System Board of Trustees until December 31 2023. Mr. Nader has been designated by the Board as an audit committee financial expert in accordance with the SEC definition.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Arlington Asset Investment Corp. (until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Nominating Committee (Chair)</w:t>
      </w:r>
    </w:p>
    <w:p>
      <w:pPr>
        <w:spacing w:after="0" w:line="1252" w:lineRule="exact"/>
        <w:rPr>
          <w:sz w:val="20"/>
          <w:szCs w:val="20"/>
          <w:color w:val="auto"/>
        </w:rPr>
      </w:pPr>
    </w:p>
    <w:p>
      <w:pPr>
        <w:sectPr>
          <w:pgSz w:w="11900" w:h="16838" w:orient="portrait"/>
          <w:cols w:equalWidth="0" w:num="2">
            <w:col w:w="5380" w:space="640"/>
            <w:col w:w="4860"/>
          </w:cols>
          <w:pgMar w:left="320" w:top="482" w:right="69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16</w:t>
      </w:r>
    </w:p>
    <w:p>
      <w:pPr>
        <w:sectPr>
          <w:pgSz w:w="11900" w:h="16838" w:orient="portrait"/>
          <w:cols w:equalWidth="0" w:num="1">
            <w:col w:w="10880"/>
          </w:cols>
          <w:pgMar w:left="320" w:top="482" w:right="6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6755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GAIL P. STEINEL</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Age: 69</w:t>
      </w:r>
    </w:p>
    <w:p>
      <w:pPr>
        <w:ind w:left="2800"/>
        <w:spacing w:after="0" w:line="234" w:lineRule="auto"/>
        <w:rPr>
          <w:sz w:val="20"/>
          <w:szCs w:val="20"/>
          <w:color w:val="auto"/>
        </w:rPr>
      </w:pPr>
      <w:r>
        <w:rPr>
          <w:rFonts w:ascii="Arial" w:cs="Arial" w:eastAsia="Arial" w:hAnsi="Arial"/>
          <w:sz w:val="18"/>
          <w:szCs w:val="18"/>
          <w:color w:val="auto"/>
        </w:rPr>
        <w:t>Trustee Since: 2006</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Owner of Executive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as the lead independent director since 2024 of Invesque, Inc., a Toronto stock exchange company that invests in a highly diversified portfolio of properties across the health care spectrum throughout the US and Canada, and serves on the board of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9" w:lineRule="auto"/>
        <w:rPr>
          <w:sz w:val="20"/>
          <w:szCs w:val="20"/>
          <w:color w:val="auto"/>
        </w:rPr>
      </w:pPr>
      <w:r>
        <w:rPr>
          <w:rFonts w:ascii="Arial" w:cs="Arial" w:eastAsia="Arial" w:hAnsi="Arial"/>
          <w:sz w:val="18"/>
          <w:szCs w:val="18"/>
          <w:color w:val="auto"/>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MTS Systems Corporation (until 2020)</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 (Chair)</w:t>
      </w:r>
    </w:p>
    <w:p>
      <w:pPr>
        <w:ind w:left="580"/>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700341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65</w:t>
      </w:r>
    </w:p>
    <w:p>
      <w:pPr>
        <w:ind w:left="2200"/>
        <w:spacing w:after="0" w:line="234" w:lineRule="auto"/>
        <w:rPr>
          <w:sz w:val="20"/>
          <w:szCs w:val="20"/>
          <w:color w:val="auto"/>
        </w:rPr>
      </w:pPr>
      <w:r>
        <w:rPr>
          <w:rFonts w:ascii="Arial" w:cs="Arial" w:eastAsia="Arial" w:hAnsi="Arial"/>
          <w:sz w:val="18"/>
          <w:szCs w:val="18"/>
          <w:color w:val="auto"/>
        </w:rPr>
        <w:t>Trustee Since: 2003</w:t>
      </w:r>
    </w:p>
    <w:p>
      <w:pPr>
        <w:ind w:left="2200"/>
        <w:spacing w:after="0" w:line="235" w:lineRule="auto"/>
        <w:rPr>
          <w:sz w:val="20"/>
          <w:szCs w:val="20"/>
          <w:color w:val="auto"/>
        </w:rPr>
      </w:pPr>
      <w:r>
        <w:rPr>
          <w:rFonts w:ascii="Arial" w:cs="Arial" w:eastAsia="Arial" w:hAnsi="Arial"/>
          <w:sz w:val="18"/>
          <w:szCs w:val="18"/>
          <w:color w:val="auto"/>
        </w:rPr>
        <w:t>Chief Executive Officer of</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320"/>
        <w:spacing w:after="0" w:line="237" w:lineRule="auto"/>
        <w:rPr>
          <w:sz w:val="20"/>
          <w:szCs w:val="20"/>
          <w:color w:val="auto"/>
        </w:rPr>
      </w:pPr>
      <w:r>
        <w:rPr>
          <w:rFonts w:ascii="Arial" w:cs="Arial" w:eastAsia="Arial" w:hAnsi="Arial"/>
          <w:sz w:val="18"/>
          <w:szCs w:val="18"/>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Mr. Wood’s more than 27 years of experience with Federal, including his responsibilities as chief executive officer and as a REIT CFO, provide the Board with familiarity and details on all aspects of the operations and financial condition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Healthcare Realty Trust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Quality Care Properties (until 2018)</w:t>
      </w:r>
    </w:p>
    <w:p>
      <w:pPr>
        <w:spacing w:after="0"/>
        <w:rPr>
          <w:sz w:val="20"/>
          <w:szCs w:val="20"/>
          <w:color w:val="auto"/>
        </w:rPr>
      </w:pPr>
      <w:r>
        <w:rPr>
          <w:rFonts w:ascii="Arial" w:cs="Arial" w:eastAsia="Arial" w:hAnsi="Arial"/>
          <w:sz w:val="18"/>
          <w:szCs w:val="18"/>
          <w:color w:val="auto"/>
        </w:rPr>
        <w:t>Post Properties (until 2016)</w:t>
      </w:r>
    </w:p>
    <w:p>
      <w:pPr>
        <w:spacing w:after="0" w:line="1415" w:lineRule="exact"/>
        <w:rPr>
          <w:sz w:val="20"/>
          <w:szCs w:val="20"/>
          <w:color w:val="auto"/>
        </w:rPr>
      </w:pPr>
    </w:p>
    <w:p>
      <w:pPr>
        <w:sectPr>
          <w:pgSz w:w="11900" w:h="16838" w:orient="portrait"/>
          <w:cols w:equalWidth="0" w:num="2">
            <w:col w:w="5320" w:space="660"/>
            <w:col w:w="5040"/>
          </w:cols>
          <w:pgMar w:left="320" w:top="482" w:right="559" w:bottom="1440" w:gutter="0" w:footer="0" w:header="0"/>
        </w:sectPr>
      </w:pPr>
    </w:p>
    <w:p>
      <w:pPr>
        <w:spacing w:after="0" w:line="16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17</w:t>
      </w:r>
    </w:p>
    <w:p>
      <w:pPr>
        <w:sectPr>
          <w:pgSz w:w="11900" w:h="16838" w:orient="portrait"/>
          <w:cols w:equalWidth="0" w:num="1">
            <w:col w:w="11020"/>
          </w:cols>
          <w:pgMar w:left="320" w:top="482" w:right="5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2025,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163195</wp:posOffset>
            </wp:positionV>
            <wp:extent cx="1714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2057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163195</wp:posOffset>
            </wp:positionV>
            <wp:extent cx="1714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205740"/>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442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6"/>
                <w:szCs w:val="16"/>
                <w:b w:val="1"/>
                <w:bCs w:val="1"/>
                <w:color w:val="FFFFFF"/>
              </w:rPr>
              <w:t> Trustee Compensation Element</w:t>
            </w:r>
          </w:p>
        </w:tc>
        <w:tc>
          <w:tcPr>
            <w:tcW w:w="1180" w:type="dxa"/>
            <w:vAlign w:val="bottom"/>
            <w:tcBorders>
              <w:bottom w:val="single" w:sz="8" w:color="FF160F"/>
            </w:tcBorders>
            <w:gridSpan w:val="2"/>
            <w:shd w:val="clear" w:color="auto" w:fill="FF160F"/>
          </w:tcPr>
          <w:p>
            <w:pPr>
              <w:ind w:left="100"/>
              <w:spacing w:after="0"/>
              <w:rPr>
                <w:sz w:val="20"/>
                <w:szCs w:val="20"/>
                <w:color w:val="auto"/>
              </w:rPr>
            </w:pPr>
            <w:r>
              <w:rPr>
                <w:rFonts w:ascii="Arial" w:cs="Arial" w:eastAsia="Arial" w:hAnsi="Arial"/>
                <w:sz w:val="16"/>
                <w:szCs w:val="16"/>
                <w:b w:val="1"/>
                <w:bCs w:val="1"/>
                <w:color w:val="FFFFFF"/>
              </w:rPr>
              <w:t>Amount </w:t>
            </w:r>
          </w:p>
        </w:tc>
        <w:tc>
          <w:tcPr>
            <w:tcW w:w="2420" w:type="dxa"/>
            <w:vAlign w:val="bottom"/>
            <w:tcBorders>
              <w:bottom w:val="single" w:sz="8" w:color="FF160F"/>
            </w:tcBorders>
            <w:shd w:val="clear" w:color="auto" w:fill="FF160F"/>
          </w:tcPr>
          <w:p>
            <w:pPr>
              <w:ind w:left="100"/>
              <w:spacing w:after="0"/>
              <w:rPr>
                <w:sz w:val="20"/>
                <w:szCs w:val="20"/>
                <w:color w:val="auto"/>
              </w:rPr>
            </w:pPr>
            <w:r>
              <w:rPr>
                <w:rFonts w:ascii="Arial" w:cs="Arial" w:eastAsia="Arial" w:hAnsi="Arial"/>
                <w:sz w:val="16"/>
                <w:szCs w:val="16"/>
                <w:b w:val="1"/>
                <w:bCs w:val="1"/>
                <w:color w:val="FFFFFF"/>
              </w:rPr>
              <w:t>Payment Form</w:t>
            </w:r>
          </w:p>
        </w:tc>
      </w:tr>
      <w:tr>
        <w:trPr>
          <w:trHeight w:val="276"/>
        </w:trPr>
        <w:tc>
          <w:tcPr>
            <w:tcW w:w="4420" w:type="dxa"/>
            <w:vAlign w:val="bottom"/>
          </w:tcPr>
          <w:p>
            <w:pPr>
              <w:spacing w:after="0"/>
              <w:rPr>
                <w:sz w:val="20"/>
                <w:szCs w:val="20"/>
                <w:color w:val="auto"/>
              </w:rPr>
            </w:pPr>
            <w:r>
              <w:rPr>
                <w:rFonts w:ascii="Arial" w:cs="Arial" w:eastAsia="Arial" w:hAnsi="Arial"/>
                <w:sz w:val="16"/>
                <w:szCs w:val="16"/>
                <w:b w:val="1"/>
                <w:bCs w:val="1"/>
                <w:color w:val="auto"/>
              </w:rPr>
              <w:t> Board Service</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Pr>
          <w:p>
            <w:pPr>
              <w:spacing w:after="0"/>
              <w:rPr>
                <w:sz w:val="20"/>
                <w:szCs w:val="20"/>
                <w:color w:val="auto"/>
              </w:rPr>
            </w:pPr>
            <w:r>
              <w:rPr>
                <w:rFonts w:ascii="Arial" w:cs="Arial" w:eastAsia="Arial" w:hAnsi="Arial"/>
                <w:sz w:val="16"/>
                <w:szCs w:val="16"/>
                <w:color w:val="auto"/>
              </w:rPr>
              <w:t> Annual Retainer</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225,000</w:t>
            </w:r>
          </w:p>
        </w:tc>
        <w:tc>
          <w:tcPr>
            <w:tcW w:w="2420" w:type="dxa"/>
            <w:vAlign w:val="bottom"/>
          </w:tcPr>
          <w:p>
            <w:pPr>
              <w:ind w:left="100"/>
              <w:spacing w:after="0"/>
              <w:rPr>
                <w:sz w:val="20"/>
                <w:szCs w:val="20"/>
                <w:color w:val="auto"/>
              </w:rPr>
            </w:pPr>
            <w:r>
              <w:rPr>
                <w:rFonts w:ascii="Arial" w:cs="Arial" w:eastAsia="Arial" w:hAnsi="Arial"/>
                <w:sz w:val="16"/>
                <w:szCs w:val="16"/>
                <w:color w:val="auto"/>
              </w:rPr>
              <w:t>40% cash; 60% equity</w:t>
            </w:r>
          </w:p>
        </w:tc>
      </w:tr>
      <w:tr>
        <w:trPr>
          <w:trHeight w:val="293"/>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Annual Retainer Non-Executive Chairman</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275,000</w:t>
            </w:r>
          </w:p>
        </w:tc>
        <w:tc>
          <w:tcPr>
            <w:tcW w:w="2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60% cash; 40% equity</w:t>
            </w:r>
          </w:p>
        </w:tc>
      </w:tr>
      <w:tr>
        <w:trPr>
          <w:trHeight w:val="330"/>
        </w:trPr>
        <w:tc>
          <w:tcPr>
            <w:tcW w:w="4420" w:type="dxa"/>
            <w:vAlign w:val="bottom"/>
          </w:tcPr>
          <w:p>
            <w:pPr>
              <w:spacing w:after="0"/>
              <w:rPr>
                <w:sz w:val="20"/>
                <w:szCs w:val="20"/>
                <w:color w:val="auto"/>
              </w:rPr>
            </w:pPr>
            <w:r>
              <w:rPr>
                <w:rFonts w:ascii="Arial" w:cs="Arial" w:eastAsia="Arial" w:hAnsi="Arial"/>
                <w:sz w:val="16"/>
                <w:szCs w:val="16"/>
                <w:b w:val="1"/>
                <w:bCs w:val="1"/>
                <w:color w:val="auto"/>
              </w:rPr>
              <w:t> Committee Chairs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48"/>
        </w:trPr>
        <w:tc>
          <w:tcPr>
            <w:tcW w:w="4420" w:type="dxa"/>
            <w:vAlign w:val="bottom"/>
          </w:tcPr>
          <w:p>
            <w:pPr>
              <w:spacing w:after="0"/>
              <w:rPr>
                <w:sz w:val="20"/>
                <w:szCs w:val="20"/>
                <w:color w:val="auto"/>
              </w:rPr>
            </w:pPr>
            <w:r>
              <w:rPr>
                <w:rFonts w:ascii="Arial" w:cs="Arial" w:eastAsia="Arial" w:hAnsi="Arial"/>
                <w:sz w:val="16"/>
                <w:szCs w:val="16"/>
                <w:color w:val="auto"/>
              </w:rPr>
              <w:t> Audit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25,000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spacing w:after="0"/>
              <w:rPr>
                <w:sz w:val="20"/>
                <w:szCs w:val="20"/>
                <w:color w:val="auto"/>
              </w:rPr>
            </w:pPr>
            <w:r>
              <w:rPr>
                <w:rFonts w:ascii="Arial" w:cs="Arial" w:eastAsia="Arial" w:hAnsi="Arial"/>
                <w:sz w:val="16"/>
                <w:szCs w:val="16"/>
                <w:color w:val="auto"/>
              </w:rPr>
              <w:t> Compensation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spacing w:after="0"/>
              <w:rPr>
                <w:sz w:val="20"/>
                <w:szCs w:val="20"/>
                <w:color w:val="auto"/>
              </w:rPr>
            </w:pPr>
            <w:r>
              <w:rPr>
                <w:rFonts w:ascii="Arial" w:cs="Arial" w:eastAsia="Arial" w:hAnsi="Arial"/>
                <w:sz w:val="16"/>
                <w:szCs w:val="16"/>
                <w:color w:val="auto"/>
              </w:rPr>
              <w:t> Nominating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are prorated for any partial years of service and shares issued are fully vested on the grant date.</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non-management Trustees are required to maintain ownership of our shares having a value equal to at least 5 times the amount of their annual cash retainer. This requirement must be met within 5 years after joining the Board. As of December 31, 2025, all of our Trustees were in full compliance with this ownership requirement except for Mr. McEachin who joined the Board in 2022. We expect Mr. McEachin to be in compliance with this equity ownership requirement within the 5-year time frame.</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compensation awarded to our Trustees for service in 2025 was as set forth in the table below. Mr. Fisher did not serve as a Trustee in 2025 and accordingly received no compensation for 2025.</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720" w:type="dxa"/>
            <w:vAlign w:val="bottom"/>
            <w:shd w:val="clear" w:color="auto" w:fill="FF160F"/>
          </w:tcPr>
          <w:p>
            <w:pPr>
              <w:spacing w:after="0"/>
              <w:rPr>
                <w:sz w:val="24"/>
                <w:szCs w:val="24"/>
                <w:color w:val="auto"/>
              </w:rPr>
            </w:pPr>
          </w:p>
        </w:tc>
        <w:tc>
          <w:tcPr>
            <w:tcW w:w="340" w:type="dxa"/>
            <w:vAlign w:val="bottom"/>
            <w:shd w:val="clear" w:color="auto" w:fill="FF160F"/>
          </w:tcPr>
          <w:p>
            <w:pPr>
              <w:spacing w:after="0"/>
              <w:rPr>
                <w:sz w:val="24"/>
                <w:szCs w:val="24"/>
                <w:color w:val="auto"/>
              </w:rPr>
            </w:pPr>
          </w:p>
        </w:tc>
        <w:tc>
          <w:tcPr>
            <w:tcW w:w="1980" w:type="dxa"/>
            <w:vAlign w:val="bottom"/>
            <w:gridSpan w:val="3"/>
            <w:shd w:val="clear" w:color="auto" w:fill="FF160F"/>
          </w:tcPr>
          <w:p>
            <w:pPr>
              <w:ind w:left="560"/>
              <w:spacing w:after="0"/>
              <w:rPr>
                <w:sz w:val="20"/>
                <w:szCs w:val="20"/>
                <w:color w:val="auto"/>
              </w:rPr>
            </w:pPr>
            <w:r>
              <w:rPr>
                <w:rFonts w:ascii="Arial" w:cs="Arial" w:eastAsia="Arial" w:hAnsi="Arial"/>
                <w:sz w:val="18"/>
                <w:szCs w:val="18"/>
                <w:b w:val="1"/>
                <w:bCs w:val="1"/>
                <w:color w:val="FFFFFF"/>
              </w:rPr>
              <w:t>Annual Retainer</w:t>
            </w:r>
          </w:p>
        </w:tc>
        <w:tc>
          <w:tcPr>
            <w:tcW w:w="860" w:type="dxa"/>
            <w:vAlign w:val="bottom"/>
            <w:shd w:val="clear" w:color="auto" w:fill="FF160F"/>
          </w:tcPr>
          <w:p>
            <w:pPr>
              <w:spacing w:after="0"/>
              <w:rPr>
                <w:sz w:val="24"/>
                <w:szCs w:val="24"/>
                <w:color w:val="auto"/>
              </w:rPr>
            </w:pPr>
          </w:p>
        </w:tc>
        <w:tc>
          <w:tcPr>
            <w:tcW w:w="300" w:type="dxa"/>
            <w:vAlign w:val="bottom"/>
            <w:shd w:val="clear" w:color="auto" w:fill="FF160F"/>
          </w:tcPr>
          <w:p>
            <w:pPr>
              <w:spacing w:after="0"/>
              <w:rPr>
                <w:sz w:val="24"/>
                <w:szCs w:val="24"/>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Committee</w:t>
            </w:r>
          </w:p>
        </w:tc>
        <w:tc>
          <w:tcPr>
            <w:tcW w:w="640" w:type="dxa"/>
            <w:vAlign w:val="bottom"/>
            <w:shd w:val="clear" w:color="auto" w:fill="FF160F"/>
          </w:tcPr>
          <w:p>
            <w:pPr>
              <w:spacing w:after="0"/>
              <w:rPr>
                <w:sz w:val="24"/>
                <w:szCs w:val="24"/>
                <w:color w:val="auto"/>
              </w:rPr>
            </w:pPr>
          </w:p>
        </w:tc>
        <w:tc>
          <w:tcPr>
            <w:tcW w:w="1040" w:type="dxa"/>
            <w:vAlign w:val="bottom"/>
            <w:shd w:val="clear" w:color="auto" w:fill="FF160F"/>
          </w:tcPr>
          <w:p>
            <w:pPr>
              <w:spacing w:after="0"/>
              <w:rPr>
                <w:sz w:val="24"/>
                <w:szCs w:val="24"/>
                <w:color w:val="auto"/>
              </w:rPr>
            </w:pPr>
          </w:p>
        </w:tc>
      </w:tr>
      <w:tr>
        <w:trPr>
          <w:trHeight w:val="258"/>
        </w:trPr>
        <w:tc>
          <w:tcPr>
            <w:tcW w:w="472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 Name</w:t>
            </w:r>
          </w:p>
        </w:tc>
        <w:tc>
          <w:tcPr>
            <w:tcW w:w="340" w:type="dxa"/>
            <w:vAlign w:val="bottom"/>
            <w:shd w:val="clear" w:color="auto" w:fill="FF160F"/>
          </w:tcPr>
          <w:p>
            <w:pPr>
              <w:spacing w:after="0"/>
              <w:rPr>
                <w:sz w:val="22"/>
                <w:szCs w:val="22"/>
                <w:color w:val="auto"/>
              </w:rPr>
            </w:pPr>
          </w:p>
        </w:tc>
        <w:tc>
          <w:tcPr>
            <w:tcW w:w="12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Paid in Cash</w:t>
            </w:r>
          </w:p>
        </w:tc>
        <w:tc>
          <w:tcPr>
            <w:tcW w:w="1600" w:type="dxa"/>
            <w:vAlign w:val="bottom"/>
            <w:gridSpan w:val="3"/>
            <w:shd w:val="clear" w:color="auto" w:fill="FF160F"/>
          </w:tcPr>
          <w:p>
            <w:pPr>
              <w:jc w:val="right"/>
              <w:ind w:right="30"/>
              <w:spacing w:after="0" w:line="258" w:lineRule="exact"/>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26"/>
                <w:szCs w:val="26"/>
                <w:b w:val="1"/>
                <w:bCs w:val="1"/>
                <w:color w:val="FFFFFF"/>
                <w:vertAlign w:val="superscript"/>
              </w:rPr>
              <w:t>(1)</w:t>
            </w:r>
          </w:p>
        </w:tc>
        <w:tc>
          <w:tcPr>
            <w:tcW w:w="300" w:type="dxa"/>
            <w:vAlign w:val="bottom"/>
            <w:shd w:val="clear" w:color="auto" w:fill="FF160F"/>
          </w:tcPr>
          <w:p>
            <w:pPr>
              <w:spacing w:after="0"/>
              <w:rPr>
                <w:sz w:val="22"/>
                <w:szCs w:val="22"/>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Chair Fees</w:t>
            </w:r>
          </w:p>
        </w:tc>
        <w:tc>
          <w:tcPr>
            <w:tcW w:w="640" w:type="dxa"/>
            <w:vAlign w:val="bottom"/>
            <w:shd w:val="clear" w:color="auto" w:fill="FF160F"/>
          </w:tcPr>
          <w:p>
            <w:pPr>
              <w:spacing w:after="0"/>
              <w:rPr>
                <w:sz w:val="22"/>
                <w:szCs w:val="22"/>
                <w:color w:val="auto"/>
              </w:rPr>
            </w:pPr>
          </w:p>
        </w:tc>
        <w:tc>
          <w:tcPr>
            <w:tcW w:w="10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Total </w:t>
            </w:r>
          </w:p>
        </w:tc>
      </w:tr>
      <w:tr>
        <w:trPr>
          <w:trHeight w:val="288"/>
        </w:trPr>
        <w:tc>
          <w:tcPr>
            <w:tcW w:w="4720" w:type="dxa"/>
            <w:vAlign w:val="bottom"/>
          </w:tcPr>
          <w:p>
            <w:pPr>
              <w:spacing w:after="0"/>
              <w:rPr>
                <w:sz w:val="20"/>
                <w:szCs w:val="20"/>
                <w:color w:val="auto"/>
              </w:rPr>
            </w:pPr>
            <w:r>
              <w:rPr>
                <w:rFonts w:ascii="Arial" w:cs="Arial" w:eastAsia="Arial" w:hAnsi="Arial"/>
                <w:sz w:val="18"/>
                <w:szCs w:val="18"/>
                <w:color w:val="auto"/>
              </w:rPr>
              <w:t> David W. Faeder</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165,000 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110,000  </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275,000 </w:t>
            </w:r>
          </w:p>
        </w:tc>
      </w:tr>
      <w:tr>
        <w:trPr>
          <w:trHeight w:val="297"/>
        </w:trPr>
        <w:tc>
          <w:tcPr>
            <w:tcW w:w="4720" w:type="dxa"/>
            <w:vAlign w:val="bottom"/>
          </w:tcPr>
          <w:p>
            <w:pPr>
              <w:spacing w:after="0"/>
              <w:rPr>
                <w:sz w:val="20"/>
                <w:szCs w:val="20"/>
                <w:color w:val="auto"/>
              </w:rPr>
            </w:pPr>
            <w:r>
              <w:rPr>
                <w:rFonts w:ascii="Arial" w:cs="Arial" w:eastAsia="Arial" w:hAnsi="Arial"/>
                <w:sz w:val="18"/>
                <w:szCs w:val="18"/>
                <w:color w:val="auto"/>
              </w:rPr>
              <w:t> Elizabeth I. Holland</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135,000  </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240,000 </w:t>
            </w:r>
          </w:p>
        </w:tc>
      </w:tr>
      <w:tr>
        <w:trPr>
          <w:trHeight w:val="297"/>
        </w:trPr>
        <w:tc>
          <w:tcPr>
            <w:tcW w:w="4720" w:type="dxa"/>
            <w:vAlign w:val="bottom"/>
          </w:tcPr>
          <w:p>
            <w:pPr>
              <w:spacing w:after="0"/>
              <w:rPr>
                <w:sz w:val="20"/>
                <w:szCs w:val="20"/>
                <w:color w:val="auto"/>
              </w:rPr>
            </w:pPr>
            <w:r>
              <w:rPr>
                <w:rFonts w:ascii="Arial" w:cs="Arial" w:eastAsia="Arial" w:hAnsi="Arial"/>
                <w:sz w:val="18"/>
                <w:szCs w:val="18"/>
                <w:color w:val="auto"/>
              </w:rPr>
              <w:t> Nicole Y. Lamb-Hale</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135,000  </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225,000 </w:t>
            </w:r>
          </w:p>
        </w:tc>
      </w:tr>
      <w:tr>
        <w:trPr>
          <w:trHeight w:val="297"/>
        </w:trPr>
        <w:tc>
          <w:tcPr>
            <w:tcW w:w="4720" w:type="dxa"/>
            <w:vAlign w:val="bottom"/>
          </w:tcPr>
          <w:p>
            <w:pPr>
              <w:spacing w:after="0"/>
              <w:rPr>
                <w:sz w:val="20"/>
                <w:szCs w:val="20"/>
                <w:color w:val="auto"/>
              </w:rPr>
            </w:pPr>
            <w:r>
              <w:rPr>
                <w:rFonts w:ascii="Arial" w:cs="Arial" w:eastAsia="Arial" w:hAnsi="Arial"/>
                <w:sz w:val="18"/>
                <w:szCs w:val="18"/>
                <w:color w:val="auto"/>
              </w:rPr>
              <w:t> Thomas A. McEachin</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135,000  </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225,000 </w:t>
            </w:r>
          </w:p>
        </w:tc>
      </w:tr>
      <w:tr>
        <w:trPr>
          <w:trHeight w:val="297"/>
        </w:trPr>
        <w:tc>
          <w:tcPr>
            <w:tcW w:w="4720" w:type="dxa"/>
            <w:vAlign w:val="bottom"/>
          </w:tcPr>
          <w:p>
            <w:pPr>
              <w:spacing w:after="0"/>
              <w:rPr>
                <w:sz w:val="20"/>
                <w:szCs w:val="20"/>
                <w:color w:val="auto"/>
              </w:rPr>
            </w:pPr>
            <w:r>
              <w:rPr>
                <w:rFonts w:ascii="Arial" w:cs="Arial" w:eastAsia="Arial" w:hAnsi="Arial"/>
                <w:sz w:val="18"/>
                <w:szCs w:val="18"/>
                <w:color w:val="auto"/>
              </w:rPr>
              <w:t> Anthony P. Nader, III</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135,000  </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240,000 </w:t>
            </w:r>
          </w:p>
        </w:tc>
      </w:tr>
      <w:tr>
        <w:trPr>
          <w:trHeight w:val="302"/>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 Gail P. Steinel</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135,000  </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25,000  </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250,000 </w:t>
            </w:r>
          </w:p>
        </w:tc>
      </w:tr>
      <w:tr>
        <w:trPr>
          <w:trHeight w:val="280"/>
        </w:trPr>
        <w:tc>
          <w:tcPr>
            <w:tcW w:w="4720" w:type="dxa"/>
            <w:vAlign w:val="bottom"/>
          </w:tcPr>
          <w:p>
            <w:pPr>
              <w:spacing w:after="0"/>
              <w:rPr>
                <w:sz w:val="20"/>
                <w:szCs w:val="20"/>
                <w:color w:val="auto"/>
              </w:rPr>
            </w:pPr>
            <w:r>
              <w:rPr>
                <w:rFonts w:ascii="Arial" w:cs="Arial" w:eastAsia="Arial" w:hAnsi="Arial"/>
                <w:sz w:val="18"/>
                <w:szCs w:val="18"/>
                <w:b w:val="1"/>
                <w:bCs w:val="1"/>
                <w:color w:val="auto"/>
              </w:rPr>
              <w:t> Total</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 xml:space="preserve">$ </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    615,000  </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 xml:space="preserve">     </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785,000  </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 xml:space="preserve">$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    55,000  </w:t>
            </w: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 xml:space="preserve">$      </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1,455,000 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hanging="424"/>
        <w:spacing w:after="0" w:line="210" w:lineRule="auto"/>
        <w:tabs>
          <w:tab w:leader="none" w:pos="54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Shares were issued on January 2, 2026 with the number of shares received by each Trustee determined by dividing the amount to be paid in shares by $100.80, the closing price of our shares on the NYSE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00341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2: Approving our Executive Compensation</w:t>
      </w:r>
    </w:p>
    <w:p>
      <w:pPr>
        <w:spacing w:after="0" w:line="2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are seeking an advisory vote to approve our executive compensation for 2025. We have always held our “Say on Pay” vote annually and in 2023, a majority of our shareholders voted to continue to hold this vote annually. Although this “Say on Pay” vote is advisory and is not binding on our Board, our Compensation Committee will take into consideration the outcome of this vote when making future executive compensation decisions.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ind w:left="440" w:right="20"/>
        <w:spacing w:after="0" w:line="271" w:lineRule="auto"/>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Board has designed our current executive compensation program to appropriately link compensation realized by our NEOs to our performance and properly align the interests of our NEOs with those of our shareholders. The details of this compensation for 2025, and the reasons we awarded it, are described in the “Compensation Discussion and Analysis,” starting below.</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5"/>
          <w:szCs w:val="2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6858000" cy="685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00" cy="685800"/>
                    </a:xfrm>
                    <a:prstGeom prst="rect">
                      <a:avLst/>
                    </a:prstGeom>
                    <a:noFill/>
                  </pic:spPr>
                </pic:pic>
              </a:graphicData>
            </a:graphic>
          </wp:anchor>
        </w:drawing>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373380</wp:posOffset>
            </wp:positionV>
            <wp:extent cx="7003415"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19</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699516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520"/>
          </w:cols>
          <w:pgMar w:left="320" w:top="482" w:right="10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100" w:type="dxa"/>
            <w:vAlign w:val="bottom"/>
            <w:gridSpan w:val="30"/>
            <w:shd w:val="clear" w:color="auto" w:fill="FF160F"/>
          </w:tcPr>
          <w:p>
            <w:pPr>
              <w:spacing w:after="0"/>
              <w:rPr>
                <w:sz w:val="20"/>
                <w:szCs w:val="20"/>
                <w:color w:val="auto"/>
              </w:rPr>
            </w:pPr>
            <w:r>
              <w:rPr>
                <w:rFonts w:ascii="Arial" w:cs="Arial" w:eastAsia="Arial" w:hAnsi="Arial"/>
                <w:sz w:val="18"/>
                <w:szCs w:val="18"/>
                <w:b w:val="1"/>
                <w:bCs w:val="1"/>
                <w:color w:val="FFFFFF"/>
              </w:rPr>
              <w:t>CD&amp;A TABLE OF CONTENTS</w:t>
            </w:r>
          </w:p>
        </w:tc>
        <w:tc>
          <w:tcPr>
            <w:tcW w:w="118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Page #</w:t>
            </w:r>
          </w:p>
        </w:tc>
        <w:tc>
          <w:tcPr>
            <w:tcW w:w="0" w:type="dxa"/>
            <w:vAlign w:val="bottom"/>
          </w:tcPr>
          <w:p>
            <w:pPr>
              <w:spacing w:after="0"/>
              <w:rPr>
                <w:sz w:val="1"/>
                <w:szCs w:val="1"/>
                <w:color w:val="auto"/>
              </w:rPr>
            </w:pPr>
          </w:p>
        </w:tc>
      </w:tr>
      <w:tr>
        <w:trPr>
          <w:trHeight w:val="311"/>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Introduction</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3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38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0"/>
          </w:tcPr>
          <w:p>
            <w:pPr>
              <w:spacing w:after="0" w:line="156" w:lineRule="exact"/>
              <w:rPr>
                <w:sz w:val="20"/>
                <w:szCs w:val="20"/>
                <w:color w:val="auto"/>
              </w:rPr>
            </w:pPr>
            <w:r>
              <w:rPr>
                <w:rFonts w:ascii="Arial" w:cs="Arial" w:eastAsia="Arial" w:hAnsi="Arial"/>
                <w:sz w:val="18"/>
                <w:szCs w:val="18"/>
                <w:color w:val="0000EE"/>
              </w:rPr>
              <w:t>2025 Business Highlights Supporting</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Compensation Decisions</w:t>
            </w:r>
          </w:p>
        </w:tc>
        <w:tc>
          <w:tcPr>
            <w:tcW w:w="76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9"/>
          </w:tcPr>
          <w:p>
            <w:pPr>
              <w:spacing w:after="0" w:line="182" w:lineRule="exact"/>
              <w:rPr>
                <w:sz w:val="20"/>
                <w:szCs w:val="20"/>
                <w:color w:val="auto"/>
              </w:rPr>
            </w:pPr>
            <w:r>
              <w:rPr>
                <w:rFonts w:ascii="Arial" w:cs="Arial" w:eastAsia="Arial" w:hAnsi="Arial"/>
                <w:sz w:val="18"/>
                <w:szCs w:val="18"/>
                <w:color w:val="0000EE"/>
              </w:rPr>
              <w:t>Program Philosophy and</w:t>
            </w:r>
          </w:p>
        </w:tc>
        <w:tc>
          <w:tcPr>
            <w:tcW w:w="1920" w:type="dxa"/>
            <w:vAlign w:val="bottom"/>
            <w:gridSpan w:val="21"/>
          </w:tcPr>
          <w:p>
            <w:pPr>
              <w:spacing w:after="0" w:line="182" w:lineRule="exact"/>
              <w:rPr>
                <w:sz w:val="20"/>
                <w:szCs w:val="20"/>
                <w:color w:val="auto"/>
              </w:rPr>
            </w:pPr>
            <w:r>
              <w:rPr>
                <w:rFonts w:ascii="Arial" w:cs="Arial" w:eastAsia="Arial" w:hAnsi="Arial"/>
                <w:sz w:val="18"/>
                <w:szCs w:val="18"/>
                <w:color w:val="0000EE"/>
              </w:rPr>
              <w:t>Objectives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Executive Compensation Practices</w:t>
            </w: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Components of Compensation</w:t>
            </w:r>
          </w:p>
        </w:tc>
        <w:tc>
          <w:tcPr>
            <w:tcW w:w="3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Compensation Setting Process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0"/>
          </w:tcPr>
          <w:p>
            <w:pPr>
              <w:spacing w:after="0" w:line="156" w:lineRule="exact"/>
              <w:rPr>
                <w:sz w:val="20"/>
                <w:szCs w:val="20"/>
                <w:color w:val="auto"/>
              </w:rPr>
            </w:pPr>
            <w:r>
              <w:rPr>
                <w:rFonts w:ascii="Arial" w:cs="Arial" w:eastAsia="Arial" w:hAnsi="Arial"/>
                <w:sz w:val="18"/>
                <w:szCs w:val="18"/>
                <w:color w:val="0000EE"/>
              </w:rPr>
              <w:t>Annual Compensation Decision Making</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Role of the Compensation Committee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Role of Management</w:t>
            </w: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rPr>
              <w:t>Role of Independent</w:t>
            </w:r>
          </w:p>
        </w:tc>
        <w:tc>
          <w:tcPr>
            <w:tcW w:w="2420" w:type="dxa"/>
            <w:vAlign w:val="bottom"/>
            <w:gridSpan w:val="24"/>
          </w:tcPr>
          <w:p>
            <w:pPr>
              <w:spacing w:after="0" w:line="182" w:lineRule="exact"/>
              <w:rPr>
                <w:sz w:val="20"/>
                <w:szCs w:val="20"/>
                <w:color w:val="auto"/>
              </w:rPr>
            </w:pPr>
            <w:r>
              <w:rPr>
                <w:rFonts w:ascii="Arial" w:cs="Arial" w:eastAsia="Arial" w:hAnsi="Arial"/>
                <w:sz w:val="18"/>
                <w:szCs w:val="18"/>
                <w:color w:val="0000EE"/>
              </w:rPr>
              <w:t>Compensation Consultant</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3740" w:type="dxa"/>
            <w:vAlign w:val="bottom"/>
            <w:tcBorders>
              <w:top w:val="single" w:sz="8" w:color="0000EE"/>
            </w:tcBorders>
            <w:gridSpan w:val="28"/>
          </w:tcPr>
          <w:p>
            <w:pPr>
              <w:spacing w:after="0"/>
              <w:rPr>
                <w:sz w:val="20"/>
                <w:szCs w:val="20"/>
                <w:color w:val="auto"/>
              </w:rPr>
            </w:pPr>
            <w:r>
              <w:rPr>
                <w:rFonts w:ascii="Arial" w:cs="Arial" w:eastAsia="Arial" w:hAnsi="Arial"/>
                <w:sz w:val="18"/>
                <w:szCs w:val="18"/>
                <w:b w:val="1"/>
                <w:bCs w:val="1"/>
                <w:color w:val="0000EE"/>
              </w:rPr>
              <w:t>2025 Compensation Decisions</w:t>
            </w:r>
          </w:p>
        </w:tc>
        <w:tc>
          <w:tcPr>
            <w:tcW w:w="360" w:type="dxa"/>
            <w:vAlign w:val="bottom"/>
            <w:gridSpan w:val="2"/>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0"/>
          </w:tcPr>
          <w:p>
            <w:pPr>
              <w:spacing w:after="0" w:line="156" w:lineRule="exact"/>
              <w:rPr>
                <w:sz w:val="20"/>
                <w:szCs w:val="20"/>
                <w:color w:val="auto"/>
              </w:rPr>
            </w:pPr>
            <w:r>
              <w:rPr>
                <w:rFonts w:ascii="Arial" w:cs="Arial" w:eastAsia="Arial" w:hAnsi="Arial"/>
                <w:sz w:val="18"/>
                <w:szCs w:val="18"/>
                <w:color w:val="0000EE"/>
              </w:rPr>
              <w:t>Setting 2025 Target Compensation</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7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Individual Elements of 2025 Pay</w:t>
            </w:r>
          </w:p>
        </w:tc>
        <w:tc>
          <w:tcPr>
            <w:tcW w:w="8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i w:val="1"/>
                <w:iCs w:val="1"/>
                <w:color w:val="0000EE"/>
                <w:w w:val="98"/>
              </w:rPr>
              <w:t>Base Pay</w:t>
            </w:r>
          </w:p>
        </w:tc>
        <w:tc>
          <w:tcPr>
            <w:tcW w:w="1440" w:type="dxa"/>
            <w:vAlign w:val="bottom"/>
            <w:tcBorders>
              <w:top w:val="single" w:sz="8" w:color="0000EE"/>
            </w:tcBorders>
            <w:gridSpan w:val="10"/>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28"/>
          </w:tcPr>
          <w:p>
            <w:pPr>
              <w:spacing w:after="0" w:line="182" w:lineRule="exact"/>
              <w:rPr>
                <w:sz w:val="20"/>
                <w:szCs w:val="20"/>
                <w:color w:val="auto"/>
              </w:rPr>
            </w:pPr>
            <w:r>
              <w:rPr>
                <w:rFonts w:ascii="Arial" w:cs="Arial" w:eastAsia="Arial" w:hAnsi="Arial"/>
                <w:sz w:val="18"/>
                <w:szCs w:val="18"/>
                <w:i w:val="1"/>
                <w:iCs w:val="1"/>
                <w:color w:val="0000EE"/>
              </w:rPr>
              <w:t>Annual Bonus Program</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i w:val="1"/>
                <w:iCs w:val="1"/>
                <w:color w:val="0000EE"/>
                <w:w w:val="98"/>
              </w:rPr>
              <w:t>Long-Term Incentive Program</w:t>
            </w:r>
          </w:p>
        </w:tc>
        <w:tc>
          <w:tcPr>
            <w:tcW w:w="1360" w:type="dxa"/>
            <w:vAlign w:val="bottom"/>
            <w:gridSpan w:val="12"/>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2025 NEO Performance Summary</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Other Compensation Practices and Policies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0000EE"/>
            </w:tcBorders>
            <w:gridSpan w:val="17"/>
          </w:tcPr>
          <w:p>
            <w:pPr>
              <w:spacing w:after="0" w:line="156" w:lineRule="exact"/>
              <w:rPr>
                <w:sz w:val="20"/>
                <w:szCs w:val="20"/>
                <w:color w:val="auto"/>
              </w:rPr>
            </w:pPr>
            <w:r>
              <w:rPr>
                <w:rFonts w:ascii="Arial" w:cs="Arial" w:eastAsia="Arial" w:hAnsi="Arial"/>
                <w:sz w:val="18"/>
                <w:szCs w:val="18"/>
                <w:color w:val="0000EE"/>
                <w:w w:val="99"/>
              </w:rPr>
              <w:t>Consideration of Say on Pay Vote</w:t>
            </w:r>
          </w:p>
        </w:tc>
        <w:tc>
          <w:tcPr>
            <w:tcW w:w="1400" w:type="dxa"/>
            <w:vAlign w:val="bottom"/>
            <w:gridSpan w:val="13"/>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No Hedging or Pledging of Our Shares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Severance and Change-in-Control Arrangements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0000EE"/>
              </w:rPr>
              <w:t>Clawback Policy</w:t>
            </w: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3"/>
              </w:rPr>
              <w:t>Share Ownership</w:t>
            </w:r>
          </w:p>
        </w:tc>
        <w:tc>
          <w:tcPr>
            <w:tcW w:w="980" w:type="dxa"/>
            <w:vAlign w:val="bottom"/>
            <w:tcBorders>
              <w:bottom w:val="single" w:sz="8" w:color="0000EE"/>
            </w:tcBorders>
            <w:gridSpan w:val="7"/>
          </w:tcPr>
          <w:p>
            <w:pPr>
              <w:ind w:left="120"/>
              <w:spacing w:after="0" w:line="182" w:lineRule="exact"/>
              <w:rPr>
                <w:sz w:val="20"/>
                <w:szCs w:val="20"/>
                <w:color w:val="auto"/>
              </w:rPr>
            </w:pPr>
            <w:r>
              <w:rPr>
                <w:rFonts w:ascii="Arial" w:cs="Arial" w:eastAsia="Arial" w:hAnsi="Arial"/>
                <w:sz w:val="18"/>
                <w:szCs w:val="18"/>
                <w:color w:val="0000EE"/>
                <w:w w:val="98"/>
              </w:rPr>
              <w:t>Guidelines</w:t>
            </w:r>
          </w:p>
        </w:tc>
        <w:tc>
          <w:tcPr>
            <w:tcW w:w="1800" w:type="dxa"/>
            <w:vAlign w:val="bottom"/>
            <w:gridSpan w:val="18"/>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Risk Assessment of Compensation Programs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362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Equity Grant Practices</w:t>
            </w:r>
          </w:p>
        </w:tc>
        <w:tc>
          <w:tcPr>
            <w:tcW w:w="480" w:type="dxa"/>
            <w:vAlign w:val="bottom"/>
            <w:gridSpan w:val="3"/>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Insider Trading Policy</w:t>
            </w:r>
          </w:p>
        </w:tc>
        <w:tc>
          <w:tcPr>
            <w:tcW w:w="440" w:type="dxa"/>
            <w:vAlign w:val="bottom"/>
            <w:gridSpan w:val="3"/>
          </w:tcPr>
          <w:p>
            <w:pPr>
              <w:spacing w:after="0"/>
              <w:rPr>
                <w:sz w:val="15"/>
                <w:szCs w:val="15"/>
                <w:color w:val="auto"/>
              </w:rPr>
            </w:pPr>
          </w:p>
        </w:tc>
        <w:tc>
          <w:tcPr>
            <w:tcW w:w="620" w:type="dxa"/>
            <w:vAlign w:val="bottom"/>
            <w:gridSpan w:val="10"/>
          </w:tcPr>
          <w:p>
            <w:pPr>
              <w:spacing w:after="0"/>
              <w:rPr>
                <w:sz w:val="15"/>
                <w:szCs w:val="15"/>
                <w:color w:val="auto"/>
              </w:rPr>
            </w:pPr>
          </w:p>
        </w:tc>
        <w:tc>
          <w:tcPr>
            <w:tcW w:w="680" w:type="dxa"/>
            <w:vAlign w:val="bottom"/>
            <w:gridSpan w:val="5"/>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7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Tax Deductibility of</w:t>
            </w:r>
          </w:p>
        </w:tc>
        <w:tc>
          <w:tcPr>
            <w:tcW w:w="2380" w:type="dxa"/>
            <w:vAlign w:val="bottom"/>
            <w:gridSpan w:val="23"/>
          </w:tcPr>
          <w:p>
            <w:pPr>
              <w:spacing w:after="0" w:line="182" w:lineRule="exact"/>
              <w:rPr>
                <w:sz w:val="20"/>
                <w:szCs w:val="20"/>
                <w:color w:val="auto"/>
              </w:rPr>
            </w:pPr>
            <w:r>
              <w:rPr>
                <w:rFonts w:ascii="Arial" w:cs="Arial" w:eastAsia="Arial" w:hAnsi="Arial"/>
                <w:sz w:val="18"/>
                <w:szCs w:val="18"/>
                <w:color w:val="0000EE"/>
              </w:rPr>
              <w:t>Executive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Health and Welfare Benefits</w:t>
            </w:r>
          </w:p>
        </w:tc>
        <w:tc>
          <w:tcPr>
            <w:tcW w:w="1300" w:type="dxa"/>
            <w:vAlign w:val="bottom"/>
            <w:tcBorders>
              <w:top w:val="single" w:sz="8" w:color="0000EE"/>
            </w:tcBorders>
            <w:gridSpan w:val="15"/>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3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700341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480" w:firstLine="694"/>
        <w:spacing w:after="0" w:line="309" w:lineRule="auto"/>
        <w:rPr>
          <w:sz w:val="20"/>
          <w:szCs w:val="20"/>
          <w:color w:val="auto"/>
        </w:rPr>
      </w:pPr>
      <w:r>
        <w:rPr>
          <w:rFonts w:ascii="Arial" w:cs="Arial" w:eastAsia="Arial" w:hAnsi="Arial"/>
          <w:sz w:val="17"/>
          <w:szCs w:val="17"/>
          <w:b w:val="1"/>
          <w:bCs w:val="1"/>
          <w:color w:val="auto"/>
        </w:rPr>
        <w:t>Current NEOs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-306705</wp:posOffset>
            </wp:positionV>
            <wp:extent cx="3420110" cy="2434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0110" cy="2434590"/>
                    </a:xfrm>
                    <a:prstGeom prst="rect">
                      <a:avLst/>
                    </a:prstGeom>
                    <a:noFill/>
                  </pic:spPr>
                </pic:pic>
              </a:graphicData>
            </a:graphic>
          </wp:anchor>
        </w:drawing>
      </w:r>
    </w:p>
    <w:p>
      <w:pPr>
        <w:ind w:right="360"/>
        <w:spacing w:after="0" w:line="234" w:lineRule="auto"/>
        <w:rPr>
          <w:sz w:val="20"/>
          <w:szCs w:val="20"/>
          <w:color w:val="auto"/>
        </w:rPr>
      </w:pPr>
      <w:r>
        <w:rPr>
          <w:rFonts w:ascii="Arial" w:cs="Arial" w:eastAsia="Arial" w:hAnsi="Arial"/>
          <w:sz w:val="18"/>
          <w:szCs w:val="18"/>
          <w:color w:val="auto"/>
        </w:rPr>
        <w:t>Chief Executive Officer and President Age: 65         Joined Federal: 1998</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position since: 2003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GUGLIELMONE</w:t>
      </w:r>
    </w:p>
    <w:p>
      <w:pPr>
        <w:spacing w:after="0" w:line="1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EVP-Chief Financial Officer and Treasurer Age: 59         Joined Federal: 2016</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 position since: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DAWN M. BECKER</w:t>
      </w:r>
    </w:p>
    <w:p>
      <w:pPr>
        <w:spacing w:after="0" w:line="14" w:lineRule="exact"/>
        <w:rPr>
          <w:sz w:val="20"/>
          <w:szCs w:val="20"/>
          <w:color w:val="auto"/>
        </w:rPr>
      </w:pPr>
    </w:p>
    <w:p>
      <w:pPr>
        <w:jc w:val="right"/>
        <w:ind w:right="240"/>
        <w:spacing w:after="0" w:line="242" w:lineRule="auto"/>
        <w:rPr>
          <w:sz w:val="20"/>
          <w:szCs w:val="20"/>
          <w:color w:val="auto"/>
        </w:rPr>
      </w:pPr>
      <w:r>
        <w:rPr>
          <w:rFonts w:ascii="Arial" w:cs="Arial" w:eastAsia="Arial" w:hAnsi="Arial"/>
          <w:sz w:val="18"/>
          <w:szCs w:val="18"/>
          <w:color w:val="auto"/>
        </w:rPr>
        <w:t>EVP-Chief Legal Officer and Secretary Age: 62            Joined Federal: 1997 In position since: 2002</w:t>
      </w:r>
    </w:p>
    <w:p>
      <w:pPr>
        <w:spacing w:after="0" w:line="3867" w:lineRule="exact"/>
        <w:rPr>
          <w:sz w:val="20"/>
          <w:szCs w:val="20"/>
          <w:color w:val="auto"/>
        </w:rPr>
      </w:pPr>
    </w:p>
    <w:p>
      <w:pPr>
        <w:sectPr>
          <w:pgSz w:w="11900" w:h="16838" w:orient="portrait"/>
          <w:cols w:equalWidth="0" w:num="2">
            <w:col w:w="6440" w:space="720"/>
            <w:col w:w="3360"/>
          </w:cols>
          <w:pgMar w:left="320" w:top="482" w:right="1059" w:bottom="1440" w:gutter="0" w:footer="0" w:header="0"/>
          <w:type w:val="continuous"/>
        </w:sectPr>
      </w:pPr>
    </w:p>
    <w:p>
      <w:pPr>
        <w:spacing w:after="0" w:line="88"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20</w:t>
      </w:r>
    </w:p>
    <w:p>
      <w:pPr>
        <w:sectPr>
          <w:pgSz w:w="11900" w:h="16838" w:orient="portrait"/>
          <w:cols w:equalWidth="0" w:num="1">
            <w:col w:w="10520"/>
          </w:cols>
          <w:pgMar w:left="320" w:top="482" w:right="10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20" w:hanging="104"/>
        <w:spacing w:after="0"/>
        <w:tabs>
          <w:tab w:leader="none" w:pos="220" w:val="left"/>
        </w:tabs>
        <w:numPr>
          <w:ilvl w:val="0"/>
          <w:numId w:val="41"/>
        </w:numPr>
        <w:rPr>
          <w:rFonts w:ascii="Arial" w:cs="Arial" w:eastAsia="Arial" w:hAnsi="Arial"/>
          <w:sz w:val="19"/>
          <w:szCs w:val="19"/>
          <w:b w:val="1"/>
          <w:bCs w:val="1"/>
          <w:color w:val="FF160F"/>
        </w:rPr>
      </w:pPr>
      <w:r>
        <w:rPr>
          <w:rFonts w:ascii="Arial" w:cs="Arial" w:eastAsia="Arial" w:hAnsi="Arial"/>
          <w:sz w:val="19"/>
          <w:szCs w:val="19"/>
          <w:b w:val="1"/>
          <w:bCs w:val="1"/>
          <w:color w:val="FF160F"/>
        </w:rPr>
        <w:t>I</w:t>
      </w:r>
      <w:r>
        <w:rPr>
          <w:rFonts w:ascii="Arial" w:cs="Arial" w:eastAsia="Arial" w:hAnsi="Arial"/>
          <w:sz w:val="15"/>
          <w:szCs w:val="15"/>
          <w:b w:val="1"/>
          <w:bCs w:val="1"/>
          <w:color w:val="FF160F"/>
        </w:rPr>
        <w:t>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540" w:hanging="424"/>
        <w:spacing w:after="0"/>
        <w:tabs>
          <w:tab w:leader="none" w:pos="540" w:val="left"/>
        </w:tabs>
        <w:numPr>
          <w:ilvl w:val="0"/>
          <w:numId w:val="42"/>
        </w:numPr>
        <w:rPr>
          <w:rFonts w:ascii="MS PGothic" w:cs="MS PGothic" w:eastAsia="MS PGothic" w:hAnsi="MS PGothic"/>
          <w:sz w:val="18"/>
          <w:szCs w:val="18"/>
          <w:color w:val="FF160F"/>
        </w:rPr>
      </w:pPr>
      <w:r>
        <w:rPr>
          <w:rFonts w:ascii="Arial" w:cs="Arial" w:eastAsia="Arial" w:hAnsi="Arial"/>
          <w:sz w:val="18"/>
          <w:szCs w:val="18"/>
          <w:b w:val="1"/>
          <w:bCs w:val="1"/>
          <w:color w:val="auto"/>
        </w:rPr>
        <w:t>2025 BUSINESS HIGHLIGHTS SUPPORTING COMPENSATION DECISIONS:</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Business accomplishments for the year ended December 31, 2025 that were considered as part of compensation decisions included,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3094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30943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left="1700"/>
        <w:spacing w:after="0" w:line="257" w:lineRule="auto"/>
        <w:rPr>
          <w:sz w:val="20"/>
          <w:szCs w:val="20"/>
          <w:color w:val="auto"/>
        </w:rPr>
      </w:pPr>
      <w:r>
        <w:rPr>
          <w:rFonts w:ascii="Arial" w:cs="Arial" w:eastAsia="Arial" w:hAnsi="Arial"/>
          <w:sz w:val="18"/>
          <w:szCs w:val="18"/>
          <w:b w:val="1"/>
          <w:bCs w:val="1"/>
          <w:color w:val="FFFFFF"/>
        </w:rPr>
        <w:t>NAREIT FFO Per Share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 xml:space="preserve">NAREIT FFO per diluted share* of </w:t>
      </w:r>
      <w:r>
        <w:rPr>
          <w:rFonts w:ascii="Arial" w:cs="Arial" w:eastAsia="Arial" w:hAnsi="Arial"/>
          <w:sz w:val="18"/>
          <w:szCs w:val="18"/>
          <w:color w:val="FF160F"/>
        </w:rPr>
        <w:t>$7.22</w:t>
      </w:r>
      <w:r>
        <w:rPr>
          <w:rFonts w:ascii="Arial" w:cs="Arial" w:eastAsia="Arial" w:hAnsi="Arial"/>
          <w:sz w:val="18"/>
          <w:szCs w:val="18"/>
          <w:color w:val="auto"/>
        </w:rPr>
        <w:t xml:space="preserve"> representing growth of </w:t>
      </w:r>
      <w:r>
        <w:rPr>
          <w:rFonts w:ascii="Arial" w:cs="Arial" w:eastAsia="Arial" w:hAnsi="Arial"/>
          <w:sz w:val="18"/>
          <w:szCs w:val="18"/>
          <w:color w:val="FF160F"/>
        </w:rPr>
        <w:t>6.6%</w:t>
      </w:r>
      <w:r>
        <w:rPr>
          <w:rFonts w:ascii="Arial" w:cs="Arial" w:eastAsia="Arial" w:hAnsi="Arial"/>
          <w:sz w:val="18"/>
          <w:szCs w:val="18"/>
          <w:color w:val="auto"/>
        </w:rPr>
        <w:t xml:space="preserve"> over 2024 driven by record levels of total revenue, positive impacts from capital investment, and overall continued strength in the broader retail real estate market</w:t>
      </w:r>
    </w:p>
    <w:p>
      <w:pPr>
        <w:spacing w:after="0" w:line="200" w:lineRule="exact"/>
        <w:rPr>
          <w:sz w:val="20"/>
          <w:szCs w:val="20"/>
          <w:color w:val="auto"/>
        </w:rPr>
      </w:pPr>
    </w:p>
    <w:p>
      <w:pPr>
        <w:sectPr>
          <w:pgSz w:w="11900" w:h="16838" w:orient="portrait"/>
          <w:cols w:equalWidth="0" w:num="2">
            <w:col w:w="2960" w:space="240"/>
            <w:col w:w="7940"/>
          </w:cols>
          <w:pgMar w:left="320" w:top="482" w:right="439" w:bottom="1440" w:gutter="0" w:footer="0" w:header="0"/>
          <w:type w:val="continuous"/>
        </w:sectPr>
      </w:pPr>
    </w:p>
    <w:p>
      <w:pPr>
        <w:spacing w:after="0" w:line="185" w:lineRule="exact"/>
        <w:rPr>
          <w:sz w:val="20"/>
          <w:szCs w:val="20"/>
          <w:color w:val="auto"/>
        </w:rPr>
      </w:pPr>
    </w:p>
    <w:p>
      <w:pPr>
        <w:ind w:left="1680"/>
        <w:spacing w:after="0"/>
        <w:tabs>
          <w:tab w:leader="none" w:pos="3180" w:val="left"/>
        </w:tabs>
        <w:rPr>
          <w:sz w:val="20"/>
          <w:szCs w:val="20"/>
          <w:color w:val="auto"/>
        </w:rPr>
      </w:pPr>
      <w:r>
        <w:rPr>
          <w:rFonts w:ascii="Arial" w:cs="Arial" w:eastAsia="Arial" w:hAnsi="Arial"/>
          <w:sz w:val="18"/>
          <w:szCs w:val="18"/>
          <w:b w:val="1"/>
          <w:bCs w:val="1"/>
          <w:color w:val="FFFFFF"/>
        </w:rPr>
        <w:t>Strong Leasing</w:t>
      </w:r>
      <w:r>
        <w:rPr>
          <w:sz w:val="20"/>
          <w:szCs w:val="20"/>
          <w:color w:val="auto"/>
        </w:rPr>
        <w:tab/>
      </w:r>
      <w:r>
        <w:rPr>
          <w:rFonts w:ascii="Arial" w:cs="Arial" w:eastAsia="Arial" w:hAnsi="Arial"/>
          <w:sz w:val="18"/>
          <w:szCs w:val="18"/>
          <w:color w:val="auto"/>
        </w:rPr>
        <w:t xml:space="preserve">Signed new and renewal comparable space leases covering more than </w:t>
      </w:r>
      <w:r>
        <w:rPr>
          <w:rFonts w:ascii="Arial" w:cs="Arial" w:eastAsia="Arial" w:hAnsi="Arial"/>
          <w:sz w:val="18"/>
          <w:szCs w:val="18"/>
          <w:color w:val="FF160F"/>
        </w:rPr>
        <w:t>2.3 million</w:t>
      </w:r>
      <w:r>
        <w:rPr>
          <w:rFonts w:ascii="Arial" w:cs="Arial" w:eastAsia="Arial" w:hAnsi="Arial"/>
          <w:sz w:val="18"/>
          <w:szCs w:val="18"/>
          <w:color w:val="auto"/>
        </w:rPr>
        <w:t xml:space="preserve"> square feet of</w:t>
      </w:r>
    </w:p>
    <w:p>
      <w:pPr>
        <w:spacing w:after="0" w:line="14" w:lineRule="exact"/>
        <w:rPr>
          <w:sz w:val="20"/>
          <w:szCs w:val="20"/>
          <w:color w:val="auto"/>
        </w:rPr>
      </w:pPr>
    </w:p>
    <w:p>
      <w:pPr>
        <w:ind w:left="2000"/>
        <w:spacing w:after="0"/>
        <w:tabs>
          <w:tab w:leader="none" w:pos="3180" w:val="left"/>
        </w:tabs>
        <w:rPr>
          <w:sz w:val="20"/>
          <w:szCs w:val="20"/>
          <w:color w:val="auto"/>
        </w:rPr>
      </w:pPr>
      <w:r>
        <w:rPr>
          <w:rFonts w:ascii="Arial" w:cs="Arial" w:eastAsia="Arial" w:hAnsi="Arial"/>
          <w:sz w:val="18"/>
          <w:szCs w:val="18"/>
          <w:b w:val="1"/>
          <w:bCs w:val="1"/>
          <w:color w:val="FFFFFF"/>
        </w:rPr>
        <w:t>Activity</w:t>
      </w:r>
      <w:r>
        <w:rPr>
          <w:sz w:val="20"/>
          <w:szCs w:val="20"/>
          <w:color w:val="auto"/>
        </w:rPr>
        <w:tab/>
      </w:r>
      <w:r>
        <w:rPr>
          <w:rFonts w:ascii="Arial" w:cs="Arial" w:eastAsia="Arial" w:hAnsi="Arial"/>
          <w:sz w:val="18"/>
          <w:szCs w:val="18"/>
          <w:color w:val="auto"/>
        </w:rPr>
        <w:t>space and approximately $88.9 million of year 1 revenue</w:t>
      </w:r>
    </w:p>
    <w:p>
      <w:pPr>
        <w:spacing w:after="0" w:line="200" w:lineRule="exact"/>
        <w:rPr>
          <w:sz w:val="20"/>
          <w:szCs w:val="20"/>
          <w:color w:val="auto"/>
        </w:rPr>
      </w:pPr>
    </w:p>
    <w:p>
      <w:pPr>
        <w:spacing w:after="0" w:line="210" w:lineRule="exact"/>
        <w:rPr>
          <w:sz w:val="20"/>
          <w:szCs w:val="20"/>
          <w:color w:val="auto"/>
        </w:rPr>
      </w:pPr>
    </w:p>
    <w:p>
      <w:pPr>
        <w:ind w:left="1860"/>
        <w:spacing w:after="0"/>
        <w:tabs>
          <w:tab w:leader="none" w:pos="3180" w:val="left"/>
        </w:tabs>
        <w:rPr>
          <w:sz w:val="20"/>
          <w:szCs w:val="20"/>
          <w:color w:val="auto"/>
        </w:rPr>
      </w:pPr>
      <w:r>
        <w:rPr>
          <w:rFonts w:ascii="Arial" w:cs="Arial" w:eastAsia="Arial" w:hAnsi="Arial"/>
          <w:sz w:val="18"/>
          <w:szCs w:val="18"/>
          <w:b w:val="1"/>
          <w:bCs w:val="1"/>
          <w:color w:val="FFFFFF"/>
        </w:rPr>
        <w:t>Productive</w:t>
      </w:r>
      <w:r>
        <w:rPr>
          <w:sz w:val="20"/>
          <w:szCs w:val="20"/>
          <w:color w:val="auto"/>
        </w:rPr>
        <w:tab/>
      </w:r>
      <w:r>
        <w:rPr>
          <w:rFonts w:ascii="Arial" w:cs="Arial" w:eastAsia="Arial" w:hAnsi="Arial"/>
          <w:sz w:val="18"/>
          <w:szCs w:val="18"/>
          <w:color w:val="auto"/>
        </w:rPr>
        <w:t xml:space="preserve">Investments in new acquisitions such as </w:t>
      </w:r>
      <w:r>
        <w:rPr>
          <w:rFonts w:ascii="Arial" w:cs="Arial" w:eastAsia="Arial" w:hAnsi="Arial"/>
          <w:sz w:val="18"/>
          <w:szCs w:val="18"/>
          <w:color w:val="FF160F"/>
        </w:rPr>
        <w:t>Del Monte Shopping Center, Town Center Plaza and</w:t>
      </w:r>
    </w:p>
    <w:p>
      <w:pPr>
        <w:spacing w:after="0" w:line="14" w:lineRule="exact"/>
        <w:rPr>
          <w:sz w:val="20"/>
          <w:szCs w:val="20"/>
          <w:color w:val="auto"/>
        </w:rPr>
      </w:pPr>
    </w:p>
    <w:p>
      <w:pPr>
        <w:ind w:left="1800" w:right="120" w:firstLine="225"/>
        <w:spacing w:after="0" w:line="260" w:lineRule="auto"/>
        <w:rPr>
          <w:sz w:val="20"/>
          <w:szCs w:val="20"/>
          <w:color w:val="auto"/>
        </w:rPr>
      </w:pPr>
      <w:r>
        <w:rPr>
          <w:rFonts w:ascii="Arial" w:cs="Arial" w:eastAsia="Arial" w:hAnsi="Arial"/>
          <w:sz w:val="18"/>
          <w:szCs w:val="18"/>
          <w:b w:val="1"/>
          <w:bCs w:val="1"/>
          <w:color w:val="FFFFFF"/>
        </w:rPr>
        <w:t xml:space="preserve">Capital </w:t>
      </w:r>
      <w:r>
        <w:rPr>
          <w:rFonts w:ascii="Arial" w:cs="Arial" w:eastAsia="Arial" w:hAnsi="Arial"/>
          <w:sz w:val="18"/>
          <w:szCs w:val="18"/>
          <w:color w:val="FF160F"/>
        </w:rPr>
        <w:t>Town Center Crossing, Annapolis Town Center</w:t>
      </w:r>
      <w:r>
        <w:rPr>
          <w:rFonts w:ascii="Arial" w:cs="Arial" w:eastAsia="Arial" w:hAnsi="Arial"/>
          <w:sz w:val="18"/>
          <w:szCs w:val="18"/>
          <w:b w:val="1"/>
          <w:bCs w:val="1"/>
          <w:color w:val="FFFFFF"/>
        </w:rPr>
        <w:t xml:space="preserve"> </w:t>
      </w:r>
      <w:r>
        <w:rPr>
          <w:rFonts w:ascii="Arial" w:cs="Arial" w:eastAsia="Arial" w:hAnsi="Arial"/>
          <w:sz w:val="18"/>
          <w:szCs w:val="18"/>
          <w:color w:val="000000"/>
        </w:rPr>
        <w:t>and</w:t>
      </w:r>
      <w:r>
        <w:rPr>
          <w:rFonts w:ascii="Arial" w:cs="Arial" w:eastAsia="Arial" w:hAnsi="Arial"/>
          <w:sz w:val="18"/>
          <w:szCs w:val="18"/>
          <w:b w:val="1"/>
          <w:bCs w:val="1"/>
          <w:color w:val="FFFFFF"/>
        </w:rPr>
        <w:t xml:space="preserve"> </w:t>
      </w:r>
      <w:r>
        <w:rPr>
          <w:rFonts w:ascii="Arial" w:cs="Arial" w:eastAsia="Arial" w:hAnsi="Arial"/>
          <w:sz w:val="18"/>
          <w:szCs w:val="18"/>
          <w:color w:val="FF160F"/>
        </w:rPr>
        <w:t>Village Pointe</w:t>
      </w:r>
      <w:r>
        <w:rPr>
          <w:rFonts w:ascii="Arial" w:cs="Arial" w:eastAsia="Arial" w:hAnsi="Arial"/>
          <w:sz w:val="18"/>
          <w:szCs w:val="18"/>
          <w:b w:val="1"/>
          <w:bCs w:val="1"/>
          <w:color w:val="FFFFFF"/>
        </w:rPr>
        <w:t xml:space="preserve"> </w:t>
      </w:r>
      <w:r>
        <w:rPr>
          <w:rFonts w:ascii="Arial" w:cs="Arial" w:eastAsia="Arial" w:hAnsi="Arial"/>
          <w:sz w:val="18"/>
          <w:szCs w:val="18"/>
          <w:color w:val="000000"/>
        </w:rPr>
        <w:t>producing year over year</w:t>
      </w:r>
      <w:r>
        <w:rPr>
          <w:rFonts w:ascii="Arial" w:cs="Arial" w:eastAsia="Arial" w:hAnsi="Arial"/>
          <w:sz w:val="18"/>
          <w:szCs w:val="18"/>
          <w:b w:val="1"/>
          <w:bCs w:val="1"/>
          <w:color w:val="FFFFFF"/>
        </w:rPr>
        <w:t xml:space="preserve"> Investments </w:t>
      </w:r>
      <w:r>
        <w:rPr>
          <w:rFonts w:ascii="Arial" w:cs="Arial" w:eastAsia="Arial" w:hAnsi="Arial"/>
          <w:sz w:val="18"/>
          <w:szCs w:val="18"/>
          <w:color w:val="000000"/>
        </w:rPr>
        <w:t>growth and positioning the company for continued growth</w:t>
      </w:r>
    </w:p>
    <w:p>
      <w:pPr>
        <w:sectPr>
          <w:pgSz w:w="11900" w:h="16838" w:orient="portrait"/>
          <w:cols w:equalWidth="0" w:num="1">
            <w:col w:w="11140"/>
          </w:cols>
          <w:pgMar w:left="320" w:top="482" w:right="439" w:bottom="1440" w:gutter="0" w:footer="0" w:header="0"/>
          <w:type w:val="continuous"/>
        </w:sectPr>
      </w:pPr>
    </w:p>
    <w:p>
      <w:pPr>
        <w:spacing w:after="0" w:line="330" w:lineRule="exact"/>
        <w:rPr>
          <w:sz w:val="20"/>
          <w:szCs w:val="20"/>
          <w:color w:val="auto"/>
        </w:rPr>
      </w:pPr>
    </w:p>
    <w:p>
      <w:pPr>
        <w:jc w:val="center"/>
        <w:ind w:left="1820"/>
        <w:spacing w:after="0" w:line="257" w:lineRule="auto"/>
        <w:rPr>
          <w:sz w:val="20"/>
          <w:szCs w:val="20"/>
          <w:color w:val="auto"/>
        </w:rPr>
      </w:pPr>
      <w:r>
        <w:rPr>
          <w:rFonts w:ascii="Arial" w:cs="Arial" w:eastAsia="Arial" w:hAnsi="Arial"/>
          <w:sz w:val="18"/>
          <w:szCs w:val="18"/>
          <w:b w:val="1"/>
          <w:bCs w:val="1"/>
          <w:color w:val="FFFFFF"/>
        </w:rPr>
        <w:t>58th Year of Dividend Increases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58th</w:t>
      </w:r>
      <w:r>
        <w:rPr>
          <w:rFonts w:ascii="Arial" w:cs="Arial" w:eastAsia="Arial" w:hAnsi="Arial"/>
          <w:sz w:val="18"/>
          <w:szCs w:val="18"/>
          <w:color w:val="auto"/>
        </w:rPr>
        <w:t xml:space="preserve"> consecutive year, a record in the REIT industry, representing a compound annual growth rate of approximately </w:t>
      </w:r>
      <w:r>
        <w:rPr>
          <w:rFonts w:ascii="Arial" w:cs="Arial" w:eastAsia="Arial" w:hAnsi="Arial"/>
          <w:sz w:val="18"/>
          <w:szCs w:val="18"/>
          <w:color w:val="FF160F"/>
        </w:rPr>
        <w:t>6.5%</w:t>
      </w:r>
      <w:r>
        <w:rPr>
          <w:rFonts w:ascii="Arial" w:cs="Arial" w:eastAsia="Arial" w:hAnsi="Arial"/>
          <w:sz w:val="18"/>
          <w:szCs w:val="18"/>
          <w:color w:val="auto"/>
        </w:rPr>
        <w:t xml:space="preserve"> over that 58-year period</w:t>
      </w:r>
    </w:p>
    <w:p>
      <w:pPr>
        <w:spacing w:after="0" w:line="250" w:lineRule="exact"/>
        <w:rPr>
          <w:sz w:val="20"/>
          <w:szCs w:val="20"/>
          <w:color w:val="auto"/>
        </w:rPr>
      </w:pPr>
    </w:p>
    <w:p>
      <w:pPr>
        <w:sectPr>
          <w:pgSz w:w="11900" w:h="16838" w:orient="portrait"/>
          <w:cols w:equalWidth="0" w:num="2">
            <w:col w:w="2840" w:space="360"/>
            <w:col w:w="7940"/>
          </w:cols>
          <w:pgMar w:left="320" w:top="482" w:right="439" w:bottom="1440" w:gutter="0" w:footer="0" w:header="0"/>
          <w:type w:val="continuous"/>
        </w:sectPr>
      </w:pPr>
    </w:p>
    <w:p>
      <w:pPr>
        <w:spacing w:after="0" w:line="53"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35%</w:t>
            </w:r>
            <w:r>
              <w:rPr>
                <w:rFonts w:ascii="Arial" w:cs="Arial" w:eastAsia="Arial" w:hAnsi="Arial"/>
                <w:sz w:val="18"/>
                <w:szCs w:val="18"/>
                <w:color w:val="auto"/>
              </w:rPr>
              <w:t xml:space="preserve"> decrease in Scope 1 and 2 GHG emissions through 2024 versus 2019 baseline</w:t>
            </w:r>
          </w:p>
        </w:tc>
      </w:tr>
      <w:tr>
        <w:trPr>
          <w:trHeight w:val="221"/>
        </w:trPr>
        <w:tc>
          <w:tcPr>
            <w:tcW w:w="1320" w:type="dxa"/>
            <w:vAlign w:val="bottom"/>
          </w:tcPr>
          <w:p>
            <w:pPr>
              <w:spacing w:after="0"/>
              <w:rPr>
                <w:sz w:val="20"/>
                <w:szCs w:val="20"/>
                <w:color w:val="auto"/>
              </w:rPr>
            </w:pPr>
            <w:r>
              <w:rPr>
                <w:rFonts w:ascii="Arial" w:cs="Arial" w:eastAsia="Arial" w:hAnsi="Arial"/>
                <w:sz w:val="18"/>
                <w:szCs w:val="18"/>
                <w:b w:val="1"/>
                <w:bCs w:val="1"/>
                <w:color w:val="FFFFFF"/>
              </w:rPr>
              <w:t>Sustainability</w:t>
            </w:r>
          </w:p>
        </w:tc>
        <w:tc>
          <w:tcPr>
            <w:tcW w:w="7960" w:type="dxa"/>
            <w:vAlign w:val="bottom"/>
          </w:tcPr>
          <w:p>
            <w:pPr>
              <w:ind w:left="140"/>
              <w:spacing w:after="0"/>
              <w:rPr>
                <w:sz w:val="20"/>
                <w:szCs w:val="20"/>
                <w:color w:val="auto"/>
              </w:rPr>
            </w:pPr>
            <w:r>
              <w:rPr>
                <w:rFonts w:ascii="Arial" w:cs="Arial" w:eastAsia="Arial" w:hAnsi="Arial"/>
                <w:sz w:val="18"/>
                <w:szCs w:val="18"/>
                <w:color w:val="auto"/>
                <w:w w:val="99"/>
              </w:rPr>
              <w:t>in alignment with our 2030 GHG reduction target set in accordance with the Science-Based Target</w:t>
            </w:r>
          </w:p>
        </w:tc>
      </w:tr>
      <w:tr>
        <w:trPr>
          <w:trHeight w:val="239"/>
        </w:trPr>
        <w:tc>
          <w:tcPr>
            <w:tcW w:w="1320" w:type="dxa"/>
            <w:vAlign w:val="bottom"/>
          </w:tcPr>
          <w:p>
            <w:pPr>
              <w:spacing w:after="0"/>
              <w:rPr>
                <w:sz w:val="20"/>
                <w:szCs w:val="20"/>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initiative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7" w:lineRule="exact"/>
        <w:rPr>
          <w:sz w:val="20"/>
          <w:szCs w:val="20"/>
          <w:color w:val="auto"/>
        </w:rPr>
      </w:pPr>
    </w:p>
    <w:p>
      <w:pPr>
        <w:ind w:left="540" w:hanging="424"/>
        <w:spacing w:after="0" w:line="271"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NAREIT FFO per share is a non-GAAP financial measure that we consider significant in our business. See Appendix A for a reconciliation of NAREIT FFO per share to net income.</w:t>
      </w:r>
    </w:p>
    <w:p>
      <w:pPr>
        <w:spacing w:after="0" w:line="181" w:lineRule="exact"/>
        <w:rPr>
          <w:sz w:val="20"/>
          <w:szCs w:val="20"/>
          <w:color w:val="auto"/>
        </w:rPr>
      </w:pPr>
    </w:p>
    <w:p>
      <w:pPr>
        <w:ind w:left="540" w:hanging="424"/>
        <w:spacing w:after="0"/>
        <w:tabs>
          <w:tab w:leader="none" w:pos="540" w:val="left"/>
        </w:tabs>
        <w:numPr>
          <w:ilvl w:val="0"/>
          <w:numId w:val="44"/>
        </w:numPr>
        <w:rPr>
          <w:rFonts w:ascii="MS PGothic" w:cs="MS PGothic" w:eastAsia="MS PGothic" w:hAnsi="MS PGothic"/>
          <w:sz w:val="18"/>
          <w:szCs w:val="18"/>
          <w:color w:val="FF160F"/>
        </w:rPr>
      </w:pPr>
      <w:r>
        <w:rPr>
          <w:rFonts w:ascii="Arial" w:cs="Arial" w:eastAsia="Arial" w:hAnsi="Arial"/>
          <w:sz w:val="18"/>
          <w:szCs w:val="18"/>
          <w:b w:val="1"/>
          <w:bCs w:val="1"/>
          <w:color w:val="auto"/>
        </w:rPr>
        <w:t>PROGRAM PHILOSOPHY AND OBJECTIVES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74"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Align the financial interest of our NEOs with our shareholders, particularly over the longer term</w:t>
      </w: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Reinforce business strategies and objectives and drive sustained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21</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46"/>
        </w:numPr>
        <w:rPr>
          <w:rFonts w:ascii="MS PGothic" w:cs="MS PGothic" w:eastAsia="MS PGothic" w:hAnsi="MS PGothic"/>
          <w:sz w:val="18"/>
          <w:szCs w:val="18"/>
          <w:color w:val="FF160F"/>
        </w:rPr>
      </w:pPr>
      <w:r>
        <w:rPr>
          <w:rFonts w:ascii="Arial" w:cs="Arial" w:eastAsia="Arial" w:hAnsi="Arial"/>
          <w:sz w:val="18"/>
          <w:szCs w:val="18"/>
          <w:b w:val="1"/>
          <w:bCs w:val="1"/>
          <w:color w:val="auto"/>
        </w:rPr>
        <w:t>EXECUTIVE COMPENSATION PRACTICES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key governance elements related to our compensation programs: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5880" w:type="dxa"/>
            <w:vAlign w:val="bottom"/>
            <w:tcBorders>
              <w:right w:val="single" w:sz="8" w:color="auto"/>
            </w:tcBorders>
            <w:gridSpan w:val="2"/>
            <w:shd w:val="clear" w:color="auto" w:fill="FF160F"/>
          </w:tcPr>
          <w:p>
            <w:pPr>
              <w:spacing w:after="0"/>
              <w:rPr>
                <w:sz w:val="20"/>
                <w:szCs w:val="20"/>
                <w:color w:val="auto"/>
              </w:rPr>
            </w:pPr>
            <w:r>
              <w:rPr>
                <w:rFonts w:ascii="Arial" w:cs="Arial" w:eastAsia="Arial" w:hAnsi="Arial"/>
                <w:sz w:val="18"/>
                <w:szCs w:val="18"/>
                <w:b w:val="1"/>
                <w:bCs w:val="1"/>
                <w:color w:val="FFFFFF"/>
              </w:rPr>
              <w:t>  What We Do</w:t>
            </w:r>
          </w:p>
        </w:tc>
        <w:tc>
          <w:tcPr>
            <w:tcW w:w="5140" w:type="dxa"/>
            <w:vAlign w:val="bottom"/>
            <w:shd w:val="clear" w:color="auto" w:fill="FF160F"/>
          </w:tcPr>
          <w:p>
            <w:pPr>
              <w:ind w:left="8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172"/>
        </w:trPr>
        <w:tc>
          <w:tcPr>
            <w:tcW w:w="360" w:type="dxa"/>
            <w:vAlign w:val="bottom"/>
            <w:shd w:val="clear" w:color="auto" w:fill="FF160F"/>
          </w:tcPr>
          <w:p>
            <w:pPr>
              <w:spacing w:after="0"/>
              <w:rPr>
                <w:sz w:val="14"/>
                <w:szCs w:val="14"/>
                <w:color w:val="auto"/>
              </w:rPr>
            </w:pPr>
          </w:p>
        </w:tc>
        <w:tc>
          <w:tcPr>
            <w:tcW w:w="5520" w:type="dxa"/>
            <w:vAlign w:val="bottom"/>
            <w:tcBorders>
              <w:right w:val="single" w:sz="8" w:color="auto"/>
            </w:tcBorders>
            <w:shd w:val="clear" w:color="auto" w:fill="FF160F"/>
          </w:tcPr>
          <w:p>
            <w:pPr>
              <w:spacing w:after="0"/>
              <w:rPr>
                <w:sz w:val="14"/>
                <w:szCs w:val="14"/>
                <w:color w:val="auto"/>
              </w:rPr>
            </w:pPr>
          </w:p>
        </w:tc>
        <w:tc>
          <w:tcPr>
            <w:tcW w:w="514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 xml:space="preserve">Maintain a pay mix that is heavily performance-based          </w:t>
            </w:r>
          </w:p>
        </w:tc>
        <w:tc>
          <w:tcPr>
            <w:tcW w:w="5140" w:type="dxa"/>
            <w:vAlign w:val="bottom"/>
          </w:tcPr>
          <w:p>
            <w:pPr>
              <w:ind w:left="620"/>
              <w:spacing w:after="0" w:line="183" w:lineRule="exact"/>
              <w:rPr>
                <w:sz w:val="20"/>
                <w:szCs w:val="20"/>
                <w:color w:val="auto"/>
              </w:rPr>
            </w:pPr>
            <w:r>
              <w:rPr>
                <w:rFonts w:ascii="Arial" w:cs="Arial" w:eastAsia="Arial" w:hAnsi="Arial"/>
                <w:sz w:val="18"/>
                <w:szCs w:val="18"/>
                <w:color w:val="auto"/>
              </w:rPr>
              <w:t>Have employment agreements with our NEOs with</w:t>
            </w:r>
          </w:p>
        </w:tc>
        <w:tc>
          <w:tcPr>
            <w:tcW w:w="0" w:type="dxa"/>
            <w:vAlign w:val="bottom"/>
          </w:tcPr>
          <w:p>
            <w:pPr>
              <w:spacing w:after="0"/>
              <w:rPr>
                <w:sz w:val="1"/>
                <w:szCs w:val="1"/>
                <w:color w:val="auto"/>
              </w:rPr>
            </w:pPr>
          </w:p>
        </w:tc>
      </w:tr>
      <w:tr>
        <w:trPr>
          <w:trHeight w:val="239"/>
        </w:trPr>
        <w:tc>
          <w:tcPr>
            <w:tcW w:w="360" w:type="dxa"/>
            <w:vAlign w:val="bottom"/>
            <w:vMerge w:val="continue"/>
          </w:tcPr>
          <w:p>
            <w:pPr>
              <w:spacing w:after="0"/>
              <w:rPr>
                <w:sz w:val="20"/>
                <w:szCs w:val="20"/>
                <w:color w:val="auto"/>
              </w:rPr>
            </w:pPr>
          </w:p>
        </w:tc>
        <w:tc>
          <w:tcPr>
            <w:tcW w:w="5520" w:type="dxa"/>
            <w:vAlign w:val="bottom"/>
            <w:tcBorders>
              <w:right w:val="single" w:sz="8" w:color="auto"/>
            </w:tcBorders>
            <w:vMerge w:val="continue"/>
          </w:tcPr>
          <w:p>
            <w:pPr>
              <w:spacing w:after="0"/>
              <w:rPr>
                <w:sz w:val="20"/>
                <w:szCs w:val="20"/>
                <w:color w:val="auto"/>
              </w:rPr>
            </w:pPr>
          </w:p>
        </w:tc>
        <w:tc>
          <w:tcPr>
            <w:tcW w:w="5140" w:type="dxa"/>
            <w:vAlign w:val="bottom"/>
          </w:tcPr>
          <w:p>
            <w:pPr>
              <w:ind w:left="620"/>
              <w:spacing w:after="0"/>
              <w:rPr>
                <w:sz w:val="20"/>
                <w:szCs w:val="20"/>
                <w:color w:val="auto"/>
              </w:rPr>
            </w:pPr>
            <w:r>
              <w:rPr>
                <w:rFonts w:ascii="Arial" w:cs="Arial" w:eastAsia="Arial" w:hAnsi="Arial"/>
                <w:sz w:val="18"/>
                <w:szCs w:val="18"/>
                <w:color w:val="auto"/>
              </w:rPr>
              <w:t>required fixed compensation increases</w:t>
            </w:r>
          </w:p>
        </w:tc>
        <w:tc>
          <w:tcPr>
            <w:tcW w:w="0" w:type="dxa"/>
            <w:vAlign w:val="bottom"/>
          </w:tcPr>
          <w:p>
            <w:pPr>
              <w:spacing w:after="0"/>
              <w:rPr>
                <w:sz w:val="1"/>
                <w:szCs w:val="1"/>
                <w:color w:val="auto"/>
              </w:rPr>
            </w:pPr>
          </w:p>
        </w:tc>
      </w:tr>
      <w:tr>
        <w:trPr>
          <w:trHeight w:val="382"/>
        </w:trPr>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Align compensation with company and individual</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Grant options below fair market value or reprice options</w:t>
            </w:r>
          </w:p>
        </w:tc>
        <w:tc>
          <w:tcPr>
            <w:tcW w:w="0" w:type="dxa"/>
            <w:vAlign w:val="bottom"/>
          </w:tcPr>
          <w:p>
            <w:pPr>
              <w:spacing w:after="0"/>
              <w:rPr>
                <w:sz w:val="1"/>
                <w:szCs w:val="1"/>
                <w:color w:val="auto"/>
              </w:rPr>
            </w:pPr>
          </w:p>
        </w:tc>
      </w:tr>
      <w:tr>
        <w:trPr>
          <w:trHeight w:val="239"/>
        </w:trPr>
        <w:tc>
          <w:tcPr>
            <w:tcW w:w="360" w:type="dxa"/>
            <w:vAlign w:val="bottom"/>
            <w:vMerge w:val="continue"/>
          </w:tcPr>
          <w:p>
            <w:pPr>
              <w:spacing w:after="0"/>
              <w:rPr>
                <w:sz w:val="20"/>
                <w:szCs w:val="20"/>
                <w:color w:val="auto"/>
              </w:rPr>
            </w:pP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performance</w:t>
            </w:r>
          </w:p>
        </w:tc>
        <w:tc>
          <w:tcPr>
            <w:tcW w:w="5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Seek annual shareholder advisory approval of</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Permit hedging or pledging of our shares</w:t>
            </w:r>
          </w:p>
        </w:tc>
        <w:tc>
          <w:tcPr>
            <w:tcW w:w="0" w:type="dxa"/>
            <w:vAlign w:val="bottom"/>
          </w:tcPr>
          <w:p>
            <w:pPr>
              <w:spacing w:after="0"/>
              <w:rPr>
                <w:sz w:val="1"/>
                <w:szCs w:val="1"/>
                <w:color w:val="auto"/>
              </w:rPr>
            </w:pPr>
          </w:p>
        </w:tc>
      </w:tr>
      <w:tr>
        <w:trPr>
          <w:trHeight w:val="239"/>
        </w:trPr>
        <w:tc>
          <w:tcPr>
            <w:tcW w:w="360" w:type="dxa"/>
            <w:vAlign w:val="bottom"/>
            <w:vMerge w:val="continue"/>
          </w:tcPr>
          <w:p>
            <w:pPr>
              <w:spacing w:after="0"/>
              <w:rPr>
                <w:sz w:val="20"/>
                <w:szCs w:val="20"/>
                <w:color w:val="auto"/>
              </w:rPr>
            </w:pP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executive compensation</w:t>
            </w:r>
          </w:p>
        </w:tc>
        <w:tc>
          <w:tcPr>
            <w:tcW w:w="5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360" w:type="dxa"/>
            <w:vAlign w:val="bottom"/>
          </w:tcPr>
          <w:p>
            <w:pPr>
              <w:spacing w:after="0"/>
              <w:rPr>
                <w:sz w:val="24"/>
                <w:szCs w:val="24"/>
                <w:color w:val="auto"/>
              </w:rPr>
            </w:pP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Maintain strong share ownership guidelines of 7x base</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Provide perquisites that are not made available to all of</w:t>
            </w:r>
          </w:p>
        </w:tc>
        <w:tc>
          <w:tcPr>
            <w:tcW w:w="0" w:type="dxa"/>
            <w:vAlign w:val="bottom"/>
          </w:tcPr>
          <w:p>
            <w:pPr>
              <w:spacing w:after="0"/>
              <w:rPr>
                <w:sz w:val="1"/>
                <w:szCs w:val="1"/>
                <w:color w:val="auto"/>
              </w:rPr>
            </w:pPr>
          </w:p>
        </w:tc>
      </w:tr>
      <w:tr>
        <w:trPr>
          <w:trHeight w:val="94"/>
        </w:trPr>
        <w:tc>
          <w:tcPr>
            <w:tcW w:w="360" w:type="dxa"/>
            <w:vAlign w:val="bottom"/>
            <w:vMerge w:val="restart"/>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salary for our CEO and 2.5x base salary plus annual</w:t>
            </w:r>
          </w:p>
        </w:tc>
        <w:tc>
          <w:tcPr>
            <w:tcW w:w="5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60" w:type="dxa"/>
            <w:vAlign w:val="bottom"/>
            <w:vMerge w:val="continue"/>
          </w:tcPr>
          <w:p>
            <w:pPr>
              <w:spacing w:after="0"/>
              <w:rPr>
                <w:sz w:val="15"/>
                <w:szCs w:val="15"/>
                <w:color w:val="auto"/>
              </w:rPr>
            </w:pPr>
          </w:p>
        </w:tc>
        <w:tc>
          <w:tcPr>
            <w:tcW w:w="5520" w:type="dxa"/>
            <w:vAlign w:val="bottom"/>
            <w:tcBorders>
              <w:right w:val="single" w:sz="8" w:color="auto"/>
            </w:tcBorders>
            <w:vMerge w:val="continue"/>
          </w:tcPr>
          <w:p>
            <w:pPr>
              <w:spacing w:after="0"/>
              <w:rPr>
                <w:sz w:val="15"/>
                <w:szCs w:val="15"/>
                <w:color w:val="auto"/>
              </w:rPr>
            </w:pPr>
          </w:p>
        </w:tc>
        <w:tc>
          <w:tcPr>
            <w:tcW w:w="5140" w:type="dxa"/>
            <w:vAlign w:val="bottom"/>
          </w:tcPr>
          <w:p>
            <w:pPr>
              <w:ind w:left="620"/>
              <w:spacing w:after="0" w:line="181" w:lineRule="exact"/>
              <w:rPr>
                <w:sz w:val="20"/>
                <w:szCs w:val="20"/>
                <w:color w:val="auto"/>
              </w:rPr>
            </w:pPr>
            <w:r>
              <w:rPr>
                <w:rFonts w:ascii="Arial" w:cs="Arial" w:eastAsia="Arial" w:hAnsi="Arial"/>
                <w:sz w:val="18"/>
                <w:szCs w:val="18"/>
                <w:color w:val="auto"/>
              </w:rPr>
              <w:t>our employees</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bonus for our other NEOs</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Maintain incentive compensation clawback policy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55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Conduct annual compensation risk assessment</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-2228215</wp:posOffset>
            </wp:positionV>
            <wp:extent cx="18859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-2219960</wp:posOffset>
            </wp:positionV>
            <wp:extent cx="17970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-1833880</wp:posOffset>
            </wp:positionV>
            <wp:extent cx="18859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-1825625</wp:posOffset>
            </wp:positionV>
            <wp:extent cx="17970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-1439545</wp:posOffset>
            </wp:positionV>
            <wp:extent cx="18859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-1431290</wp:posOffset>
            </wp:positionV>
            <wp:extent cx="17970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-985520</wp:posOffset>
            </wp:positionV>
            <wp:extent cx="18859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-968375</wp:posOffset>
            </wp:positionV>
            <wp:extent cx="17970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-548005</wp:posOffset>
            </wp:positionV>
            <wp:extent cx="18859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-205105</wp:posOffset>
            </wp:positionV>
            <wp:extent cx="18859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171450"/>
                    </a:xfrm>
                    <a:prstGeom prst="rect">
                      <a:avLst/>
                    </a:prstGeom>
                    <a:noFill/>
                  </pic:spPr>
                </pic:pic>
              </a:graphicData>
            </a:graphic>
          </wp:anchor>
        </w:drawing>
      </w:r>
    </w:p>
    <w:p>
      <w:pPr>
        <w:spacing w:after="0" w:line="204" w:lineRule="exact"/>
        <w:rPr>
          <w:sz w:val="20"/>
          <w:szCs w:val="20"/>
          <w:color w:val="auto"/>
        </w:rPr>
      </w:pPr>
    </w:p>
    <w:p>
      <w:pPr>
        <w:ind w:left="540" w:hanging="424"/>
        <w:spacing w:after="0"/>
        <w:tabs>
          <w:tab w:leader="none" w:pos="540" w:val="left"/>
        </w:tabs>
        <w:numPr>
          <w:ilvl w:val="0"/>
          <w:numId w:val="47"/>
        </w:numPr>
        <w:rPr>
          <w:rFonts w:ascii="MS PGothic" w:cs="MS PGothic" w:eastAsia="MS PGothic" w:hAnsi="MS PGothic"/>
          <w:sz w:val="18"/>
          <w:szCs w:val="18"/>
          <w:color w:val="FF160F"/>
        </w:rPr>
      </w:pPr>
      <w:r>
        <w:rPr>
          <w:rFonts w:ascii="Arial" w:cs="Arial" w:eastAsia="Arial" w:hAnsi="Arial"/>
          <w:sz w:val="18"/>
          <w:szCs w:val="18"/>
          <w:b w:val="1"/>
          <w:bCs w:val="1"/>
          <w:color w:val="auto"/>
        </w:rPr>
        <w:t>COMPONENTS OF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three components of our compensation plan as well as key information about each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03415" cy="6172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Pay Component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Time</w:t>
            </w:r>
          </w:p>
        </w:tc>
        <w:tc>
          <w:tcPr>
            <w:tcW w:w="22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Metric</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Purpose</w:t>
            </w: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Impact</w:t>
            </w:r>
          </w:p>
        </w:tc>
        <w:tc>
          <w:tcPr>
            <w:tcW w:w="120" w:type="dxa"/>
            <w:vAlign w:val="bottom"/>
            <w:tcBorders>
              <w:bottom w:val="single" w:sz="8" w:color="auto"/>
            </w:tcBorders>
          </w:tcPr>
          <w:p>
            <w:pPr>
              <w:spacing w:after="0"/>
              <w:rPr>
                <w:sz w:val="17"/>
                <w:szCs w:val="17"/>
                <w:color w:val="auto"/>
              </w:rPr>
            </w:pPr>
          </w:p>
        </w:tc>
      </w:tr>
      <w:tr>
        <w:trPr>
          <w:trHeight w:val="168"/>
        </w:trPr>
        <w:tc>
          <w:tcPr>
            <w:tcW w:w="800" w:type="dxa"/>
            <w:vAlign w:val="bottom"/>
            <w:tcBorders>
              <w:left w:val="single" w:sz="8" w:color="auto"/>
            </w:tcBorders>
            <w:shd w:val="clear" w:color="auto" w:fill="000000"/>
          </w:tcPr>
          <w:p>
            <w:pPr>
              <w:jc w:val="center"/>
              <w:spacing w:after="0" w:line="168" w:lineRule="exact"/>
              <w:rPr>
                <w:sz w:val="20"/>
                <w:szCs w:val="20"/>
                <w:color w:val="auto"/>
              </w:rPr>
            </w:pPr>
            <w:r>
              <w:rPr>
                <w:rFonts w:ascii="Arial" w:cs="Arial" w:eastAsia="Arial" w:hAnsi="Arial"/>
                <w:sz w:val="16"/>
                <w:szCs w:val="16"/>
                <w:color w:val="FFFFFF"/>
              </w:rPr>
              <w:t>Annual /</w:t>
            </w:r>
          </w:p>
        </w:tc>
        <w:tc>
          <w:tcPr>
            <w:tcW w:w="1800" w:type="dxa"/>
            <w:vAlign w:val="bottom"/>
          </w:tcPr>
          <w:p>
            <w:pPr>
              <w:ind w:left="100"/>
              <w:spacing w:after="0" w:line="168" w:lineRule="exact"/>
              <w:rPr>
                <w:sz w:val="20"/>
                <w:szCs w:val="20"/>
                <w:color w:val="auto"/>
              </w:rPr>
            </w:pPr>
            <w:r>
              <w:rPr>
                <w:rFonts w:ascii="Arial" w:cs="Arial" w:eastAsia="Arial" w:hAnsi="Arial"/>
                <w:sz w:val="16"/>
                <w:szCs w:val="16"/>
                <w:b w:val="1"/>
                <w:bCs w:val="1"/>
                <w:color w:val="auto"/>
              </w:rPr>
              <w:t>Base Pay</w:t>
            </w:r>
          </w:p>
        </w:tc>
        <w:tc>
          <w:tcPr>
            <w:tcW w:w="760" w:type="dxa"/>
            <w:vAlign w:val="bottom"/>
          </w:tcPr>
          <w:p>
            <w:pPr>
              <w:ind w:left="120"/>
              <w:spacing w:after="0" w:line="168" w:lineRule="exact"/>
              <w:rPr>
                <w:sz w:val="20"/>
                <w:szCs w:val="20"/>
                <w:color w:val="auto"/>
              </w:rPr>
            </w:pPr>
            <w:r>
              <w:rPr>
                <w:rFonts w:ascii="Arial" w:cs="Arial" w:eastAsia="Arial" w:hAnsi="Arial"/>
                <w:sz w:val="16"/>
                <w:szCs w:val="16"/>
                <w:color w:val="auto"/>
              </w:rPr>
              <w:t>1 year</w:t>
            </w:r>
          </w:p>
        </w:tc>
        <w:tc>
          <w:tcPr>
            <w:tcW w:w="2200" w:type="dxa"/>
            <w:vAlign w:val="bottom"/>
          </w:tcPr>
          <w:p>
            <w:pPr>
              <w:ind w:left="100"/>
              <w:spacing w:after="0" w:line="168" w:lineRule="exact"/>
              <w:rPr>
                <w:sz w:val="20"/>
                <w:szCs w:val="20"/>
                <w:color w:val="auto"/>
              </w:rPr>
            </w:pPr>
            <w:r>
              <w:rPr>
                <w:rFonts w:ascii="Arial" w:cs="Arial" w:eastAsia="Arial" w:hAnsi="Arial"/>
                <w:sz w:val="16"/>
                <w:szCs w:val="16"/>
                <w:color w:val="auto"/>
              </w:rPr>
              <w:t>Individual performance</w:t>
            </w:r>
          </w:p>
        </w:tc>
        <w:tc>
          <w:tcPr>
            <w:tcW w:w="2580" w:type="dxa"/>
            <w:vAlign w:val="bottom"/>
          </w:tcPr>
          <w:p>
            <w:pPr>
              <w:ind w:left="220"/>
              <w:spacing w:after="0" w:line="168" w:lineRule="exact"/>
              <w:rPr>
                <w:sz w:val="20"/>
                <w:szCs w:val="20"/>
                <w:color w:val="auto"/>
              </w:rPr>
            </w:pPr>
            <w:r>
              <w:rPr>
                <w:rFonts w:ascii="Arial" w:cs="Arial" w:eastAsia="Arial" w:hAnsi="Arial"/>
                <w:sz w:val="16"/>
                <w:szCs w:val="16"/>
                <w:color w:val="auto"/>
              </w:rPr>
              <w:t>To provide fair and competitive</w:t>
            </w:r>
          </w:p>
        </w:tc>
        <w:tc>
          <w:tcPr>
            <w:tcW w:w="2080" w:type="dxa"/>
            <w:vAlign w:val="bottom"/>
          </w:tcPr>
          <w:p>
            <w:pPr>
              <w:ind w:left="60"/>
              <w:spacing w:after="0" w:line="168" w:lineRule="exact"/>
              <w:rPr>
                <w:sz w:val="20"/>
                <w:szCs w:val="20"/>
                <w:color w:val="auto"/>
              </w:rPr>
            </w:pPr>
            <w:r>
              <w:rPr>
                <w:rFonts w:ascii="Arial" w:cs="Arial" w:eastAsia="Arial" w:hAnsi="Arial"/>
                <w:sz w:val="16"/>
                <w:szCs w:val="16"/>
                <w:color w:val="auto"/>
              </w:rPr>
              <w:t>Attract and retain talent</w:t>
            </w:r>
          </w:p>
        </w:tc>
        <w:tc>
          <w:tcPr>
            <w:tcW w:w="120" w:type="dxa"/>
            <w:vAlign w:val="bottom"/>
            <w:shd w:val="clear" w:color="auto" w:fill="000000"/>
          </w:tcPr>
          <w:p>
            <w:pPr>
              <w:spacing w:after="0"/>
              <w:rPr>
                <w:sz w:val="14"/>
                <w:szCs w:val="14"/>
                <w:color w:val="auto"/>
              </w:rPr>
            </w:pPr>
          </w:p>
        </w:tc>
      </w:tr>
      <w:tr>
        <w:trPr>
          <w:trHeight w:val="189"/>
        </w:trPr>
        <w:tc>
          <w:tcPr>
            <w:tcW w:w="800" w:type="dxa"/>
            <w:vAlign w:val="bottom"/>
            <w:tcBorders>
              <w:left w:val="single" w:sz="8" w:color="auto"/>
            </w:tcBorders>
            <w:shd w:val="clear" w:color="auto" w:fill="000000"/>
          </w:tcPr>
          <w:p>
            <w:pPr>
              <w:jc w:val="center"/>
              <w:spacing w:after="0"/>
              <w:rPr>
                <w:sz w:val="20"/>
                <w:szCs w:val="20"/>
                <w:color w:val="auto"/>
              </w:rPr>
            </w:pPr>
            <w:r>
              <w:rPr>
                <w:rFonts w:ascii="Arial" w:cs="Arial" w:eastAsia="Arial" w:hAnsi="Arial"/>
                <w:sz w:val="16"/>
                <w:szCs w:val="16"/>
                <w:color w:val="FFFFFF"/>
                <w:w w:val="98"/>
              </w:rPr>
              <w:t>Short-Term</w:t>
            </w: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80" w:type="dxa"/>
            <w:vAlign w:val="bottom"/>
          </w:tcPr>
          <w:p>
            <w:pPr>
              <w:ind w:left="220"/>
              <w:spacing w:after="0"/>
              <w:rPr>
                <w:sz w:val="20"/>
                <w:szCs w:val="20"/>
                <w:color w:val="auto"/>
              </w:rPr>
            </w:pPr>
            <w:r>
              <w:rPr>
                <w:rFonts w:ascii="Arial" w:cs="Arial" w:eastAsia="Arial" w:hAnsi="Arial"/>
                <w:sz w:val="16"/>
                <w:szCs w:val="16"/>
                <w:color w:val="auto"/>
              </w:rPr>
              <w:t>compensation for individual</w:t>
            </w:r>
          </w:p>
        </w:tc>
        <w:tc>
          <w:tcPr>
            <w:tcW w:w="208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80" w:type="dxa"/>
            <w:vAlign w:val="bottom"/>
          </w:tcPr>
          <w:p>
            <w:pPr>
              <w:ind w:left="220"/>
              <w:spacing w:after="0"/>
              <w:rPr>
                <w:sz w:val="20"/>
                <w:szCs w:val="20"/>
                <w:color w:val="auto"/>
              </w:rPr>
            </w:pPr>
            <w:r>
              <w:rPr>
                <w:rFonts w:ascii="Arial" w:cs="Arial" w:eastAsia="Arial" w:hAnsi="Arial"/>
                <w:sz w:val="16"/>
                <w:szCs w:val="16"/>
                <w:color w:val="auto"/>
              </w:rPr>
              <w:t>performance and level of</w:t>
            </w:r>
          </w:p>
        </w:tc>
        <w:tc>
          <w:tcPr>
            <w:tcW w:w="208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r>
      <w:tr>
        <w:trPr>
          <w:trHeight w:val="203"/>
        </w:trPr>
        <w:tc>
          <w:tcPr>
            <w:tcW w:w="800" w:type="dxa"/>
            <w:vAlign w:val="bottom"/>
            <w:tcBorders>
              <w:left w:val="single" w:sz="8" w:color="auto"/>
              <w:bottom w:val="single" w:sz="8" w:color="auto"/>
            </w:tcBorders>
            <w:shd w:val="clear" w:color="auto" w:fill="000000"/>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responsibility of position held</w:t>
            </w:r>
          </w:p>
        </w:tc>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000000"/>
          </w:tcPr>
          <w:p>
            <w:pPr>
              <w:spacing w:after="0"/>
              <w:rPr>
                <w:sz w:val="17"/>
                <w:szCs w:val="17"/>
                <w:color w:val="auto"/>
              </w:rPr>
            </w:pPr>
          </w:p>
        </w:tc>
      </w:tr>
      <w:tr>
        <w:trPr>
          <w:trHeight w:val="209"/>
        </w:trPr>
        <w:tc>
          <w:tcPr>
            <w:tcW w:w="800" w:type="dxa"/>
            <w:vAlign w:val="bottom"/>
            <w:tcBorders>
              <w:left w:val="single" w:sz="8" w:color="auto"/>
            </w:tcBorders>
            <w:shd w:val="clear" w:color="auto" w:fill="000000"/>
          </w:tcPr>
          <w:p>
            <w:pPr>
              <w:spacing w:after="0"/>
              <w:rPr>
                <w:sz w:val="18"/>
                <w:szCs w:val="18"/>
                <w:color w:val="auto"/>
              </w:rPr>
            </w:pPr>
          </w:p>
        </w:tc>
        <w:tc>
          <w:tcPr>
            <w:tcW w:w="1800" w:type="dxa"/>
            <w:vAlign w:val="bottom"/>
          </w:tcPr>
          <w:p>
            <w:pPr>
              <w:ind w:left="100"/>
              <w:spacing w:after="0"/>
              <w:rPr>
                <w:sz w:val="20"/>
                <w:szCs w:val="20"/>
                <w:color w:val="auto"/>
              </w:rPr>
            </w:pPr>
            <w:r>
              <w:rPr>
                <w:rFonts w:ascii="Arial" w:cs="Arial" w:eastAsia="Arial" w:hAnsi="Arial"/>
                <w:sz w:val="16"/>
                <w:szCs w:val="16"/>
                <w:b w:val="1"/>
                <w:bCs w:val="1"/>
                <w:color w:val="auto"/>
              </w:rPr>
              <w:t>Annual Performance</w:t>
            </w:r>
          </w:p>
        </w:tc>
        <w:tc>
          <w:tcPr>
            <w:tcW w:w="760" w:type="dxa"/>
            <w:vAlign w:val="bottom"/>
          </w:tcPr>
          <w:p>
            <w:pPr>
              <w:ind w:left="120"/>
              <w:spacing w:after="0"/>
              <w:rPr>
                <w:sz w:val="20"/>
                <w:szCs w:val="20"/>
                <w:color w:val="auto"/>
              </w:rPr>
            </w:pPr>
            <w:r>
              <w:rPr>
                <w:rFonts w:ascii="Arial" w:cs="Arial" w:eastAsia="Arial" w:hAnsi="Arial"/>
                <w:sz w:val="16"/>
                <w:szCs w:val="16"/>
                <w:color w:val="auto"/>
              </w:rPr>
              <w:t>1 year</w:t>
            </w:r>
          </w:p>
        </w:tc>
        <w:tc>
          <w:tcPr>
            <w:tcW w:w="2200" w:type="dxa"/>
            <w:vAlign w:val="bottom"/>
          </w:tcPr>
          <w:p>
            <w:pPr>
              <w:ind w:left="100"/>
              <w:spacing w:after="0"/>
              <w:rPr>
                <w:sz w:val="20"/>
                <w:szCs w:val="20"/>
                <w:color w:val="auto"/>
              </w:rPr>
            </w:pPr>
            <w:r>
              <w:rPr>
                <w:rFonts w:ascii="Arial" w:cs="Arial" w:eastAsia="Arial" w:hAnsi="Arial"/>
                <w:sz w:val="16"/>
                <w:szCs w:val="16"/>
                <w:color w:val="auto"/>
              </w:rPr>
              <w:t>NAREIT FFO per Share*</w:t>
            </w:r>
          </w:p>
        </w:tc>
        <w:tc>
          <w:tcPr>
            <w:tcW w:w="2580" w:type="dxa"/>
            <w:vAlign w:val="bottom"/>
          </w:tcPr>
          <w:p>
            <w:pPr>
              <w:ind w:left="220"/>
              <w:spacing w:after="0"/>
              <w:rPr>
                <w:sz w:val="20"/>
                <w:szCs w:val="20"/>
                <w:color w:val="auto"/>
              </w:rPr>
            </w:pPr>
            <w:r>
              <w:rPr>
                <w:rFonts w:ascii="Arial" w:cs="Arial" w:eastAsia="Arial" w:hAnsi="Arial"/>
                <w:sz w:val="16"/>
                <w:szCs w:val="16"/>
                <w:color w:val="auto"/>
              </w:rPr>
              <w:t>To provide performance based</w:t>
            </w:r>
          </w:p>
        </w:tc>
        <w:tc>
          <w:tcPr>
            <w:tcW w:w="2080" w:type="dxa"/>
            <w:vAlign w:val="bottom"/>
          </w:tcPr>
          <w:p>
            <w:pPr>
              <w:ind w:left="60"/>
              <w:spacing w:after="0"/>
              <w:rPr>
                <w:sz w:val="20"/>
                <w:szCs w:val="20"/>
                <w:color w:val="auto"/>
              </w:rPr>
            </w:pPr>
            <w:r>
              <w:rPr>
                <w:rFonts w:ascii="Arial" w:cs="Arial" w:eastAsia="Arial" w:hAnsi="Arial"/>
                <w:sz w:val="16"/>
                <w:szCs w:val="16"/>
                <w:color w:val="auto"/>
              </w:rPr>
              <w:t>Drive near-term corporate</w:t>
            </w:r>
          </w:p>
        </w:tc>
        <w:tc>
          <w:tcPr>
            <w:tcW w:w="120" w:type="dxa"/>
            <w:vAlign w:val="bottom"/>
            <w:shd w:val="clear" w:color="auto" w:fill="FF160F"/>
          </w:tcPr>
          <w:p>
            <w:pPr>
              <w:spacing w:after="0"/>
              <w:rPr>
                <w:sz w:val="18"/>
                <w:szCs w:val="18"/>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b w:val="1"/>
                <w:bCs w:val="1"/>
                <w:color w:val="auto"/>
              </w:rPr>
              <w:t>Bonus</w:t>
            </w:r>
          </w:p>
        </w:tc>
        <w:tc>
          <w:tcPr>
            <w:tcW w:w="76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Individual performance</w:t>
            </w:r>
          </w:p>
        </w:tc>
        <w:tc>
          <w:tcPr>
            <w:tcW w:w="2580" w:type="dxa"/>
            <w:vAlign w:val="bottom"/>
          </w:tcPr>
          <w:p>
            <w:pPr>
              <w:ind w:left="220"/>
              <w:spacing w:after="0"/>
              <w:rPr>
                <w:sz w:val="20"/>
                <w:szCs w:val="20"/>
                <w:color w:val="auto"/>
              </w:rPr>
            </w:pPr>
            <w:r>
              <w:rPr>
                <w:rFonts w:ascii="Arial" w:cs="Arial" w:eastAsia="Arial" w:hAnsi="Arial"/>
                <w:sz w:val="16"/>
                <w:szCs w:val="16"/>
                <w:color w:val="auto"/>
              </w:rPr>
              <w:t>annual cash awards to motivate</w:t>
            </w:r>
          </w:p>
        </w:tc>
        <w:tc>
          <w:tcPr>
            <w:tcW w:w="2080" w:type="dxa"/>
            <w:vAlign w:val="bottom"/>
          </w:tcPr>
          <w:p>
            <w:pPr>
              <w:ind w:left="60"/>
              <w:spacing w:after="0"/>
              <w:rPr>
                <w:sz w:val="20"/>
                <w:szCs w:val="20"/>
                <w:color w:val="auto"/>
              </w:rPr>
            </w:pPr>
            <w:r>
              <w:rPr>
                <w:rFonts w:ascii="Arial" w:cs="Arial" w:eastAsia="Arial" w:hAnsi="Arial"/>
                <w:sz w:val="16"/>
                <w:szCs w:val="16"/>
                <w:color w:val="auto"/>
              </w:rPr>
              <w:t>and individual performance</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80" w:type="dxa"/>
            <w:vAlign w:val="bottom"/>
          </w:tcPr>
          <w:p>
            <w:pPr>
              <w:ind w:left="220"/>
              <w:spacing w:after="0"/>
              <w:rPr>
                <w:sz w:val="20"/>
                <w:szCs w:val="20"/>
                <w:color w:val="auto"/>
              </w:rPr>
            </w:pPr>
            <w:r>
              <w:rPr>
                <w:rFonts w:ascii="Arial" w:cs="Arial" w:eastAsia="Arial" w:hAnsi="Arial"/>
                <w:sz w:val="16"/>
                <w:szCs w:val="16"/>
                <w:color w:val="auto"/>
              </w:rPr>
              <w:t>and reward employees for</w:t>
            </w:r>
          </w:p>
        </w:tc>
        <w:tc>
          <w:tcPr>
            <w:tcW w:w="2080" w:type="dxa"/>
            <w:vAlign w:val="bottom"/>
          </w:tcPr>
          <w:p>
            <w:pPr>
              <w:ind w:left="60"/>
              <w:spacing w:after="0"/>
              <w:rPr>
                <w:sz w:val="20"/>
                <w:szCs w:val="20"/>
                <w:color w:val="auto"/>
              </w:rPr>
            </w:pPr>
            <w:r>
              <w:rPr>
                <w:rFonts w:ascii="Arial" w:cs="Arial" w:eastAsia="Arial" w:hAnsi="Arial"/>
                <w:sz w:val="16"/>
                <w:szCs w:val="16"/>
                <w:color w:val="auto"/>
              </w:rPr>
              <w:t>goals</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580" w:type="dxa"/>
            <w:vAlign w:val="bottom"/>
          </w:tcPr>
          <w:p>
            <w:pPr>
              <w:ind w:left="220"/>
              <w:spacing w:after="0"/>
              <w:rPr>
                <w:sz w:val="20"/>
                <w:szCs w:val="20"/>
                <w:color w:val="auto"/>
              </w:rPr>
            </w:pPr>
            <w:r>
              <w:rPr>
                <w:rFonts w:ascii="Arial" w:cs="Arial" w:eastAsia="Arial" w:hAnsi="Arial"/>
                <w:sz w:val="16"/>
                <w:szCs w:val="16"/>
                <w:color w:val="auto"/>
              </w:rPr>
              <w:t>achieving our short-term</w:t>
            </w:r>
          </w:p>
        </w:tc>
        <w:tc>
          <w:tcPr>
            <w:tcW w:w="2080" w:type="dxa"/>
            <w:vAlign w:val="bottom"/>
          </w:tcPr>
          <w:p>
            <w:pPr>
              <w:spacing w:after="0"/>
              <w:rPr>
                <w:sz w:val="16"/>
                <w:szCs w:val="16"/>
                <w:color w:val="auto"/>
              </w:rPr>
            </w:pPr>
          </w:p>
        </w:tc>
        <w:tc>
          <w:tcPr>
            <w:tcW w:w="120" w:type="dxa"/>
            <w:vAlign w:val="bottom"/>
            <w:shd w:val="clear" w:color="auto" w:fill="FF160F"/>
          </w:tcPr>
          <w:p>
            <w:pPr>
              <w:spacing w:after="0"/>
              <w:rPr>
                <w:sz w:val="16"/>
                <w:szCs w:val="16"/>
                <w:color w:val="auto"/>
              </w:rPr>
            </w:pPr>
          </w:p>
        </w:tc>
      </w:tr>
      <w:tr>
        <w:trPr>
          <w:trHeight w:val="203"/>
        </w:trPr>
        <w:tc>
          <w:tcPr>
            <w:tcW w:w="800" w:type="dxa"/>
            <w:vAlign w:val="bottom"/>
            <w:tcBorders>
              <w:left w:val="single" w:sz="8" w:color="auto"/>
              <w:bottom w:val="single" w:sz="8" w:color="FF160F"/>
            </w:tcBorders>
            <w:shd w:val="clear" w:color="auto" w:fill="000000"/>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business objectives</w:t>
            </w:r>
          </w:p>
        </w:tc>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FF160F"/>
            </w:tcBorders>
            <w:shd w:val="clear" w:color="auto" w:fill="FF160F"/>
          </w:tcPr>
          <w:p>
            <w:pPr>
              <w:spacing w:after="0"/>
              <w:rPr>
                <w:sz w:val="17"/>
                <w:szCs w:val="17"/>
                <w:color w:val="auto"/>
              </w:rPr>
            </w:pPr>
          </w:p>
        </w:tc>
      </w:tr>
      <w:tr>
        <w:trPr>
          <w:trHeight w:val="168"/>
        </w:trPr>
        <w:tc>
          <w:tcPr>
            <w:tcW w:w="800" w:type="dxa"/>
            <w:vAlign w:val="bottom"/>
            <w:tcBorders>
              <w:left w:val="single" w:sz="8" w:color="FF160F"/>
            </w:tcBorders>
            <w:shd w:val="clear" w:color="auto" w:fill="FF160F"/>
          </w:tcPr>
          <w:p>
            <w:pPr>
              <w:jc w:val="center"/>
              <w:spacing w:after="0" w:line="168" w:lineRule="exact"/>
              <w:rPr>
                <w:sz w:val="20"/>
                <w:szCs w:val="20"/>
                <w:color w:val="auto"/>
              </w:rPr>
            </w:pPr>
            <w:r>
              <w:rPr>
                <w:rFonts w:ascii="Arial" w:cs="Arial" w:eastAsia="Arial" w:hAnsi="Arial"/>
                <w:sz w:val="16"/>
                <w:szCs w:val="16"/>
                <w:color w:val="FFFFFF"/>
                <w:w w:val="97"/>
              </w:rPr>
              <w:t>Long-Term</w:t>
            </w:r>
          </w:p>
        </w:tc>
        <w:tc>
          <w:tcPr>
            <w:tcW w:w="1800" w:type="dxa"/>
            <w:vAlign w:val="bottom"/>
          </w:tcPr>
          <w:p>
            <w:pPr>
              <w:ind w:left="100"/>
              <w:spacing w:after="0" w:line="168" w:lineRule="exact"/>
              <w:rPr>
                <w:sz w:val="20"/>
                <w:szCs w:val="20"/>
                <w:color w:val="auto"/>
              </w:rPr>
            </w:pPr>
            <w:r>
              <w:rPr>
                <w:rFonts w:ascii="Arial" w:cs="Arial" w:eastAsia="Arial" w:hAnsi="Arial"/>
                <w:sz w:val="16"/>
                <w:szCs w:val="16"/>
                <w:b w:val="1"/>
                <w:bCs w:val="1"/>
                <w:color w:val="auto"/>
              </w:rPr>
              <w:t>Equity Incentive</w:t>
            </w:r>
          </w:p>
        </w:tc>
        <w:tc>
          <w:tcPr>
            <w:tcW w:w="760" w:type="dxa"/>
            <w:vAlign w:val="bottom"/>
          </w:tcPr>
          <w:p>
            <w:pPr>
              <w:ind w:left="120"/>
              <w:spacing w:after="0" w:line="168" w:lineRule="exact"/>
              <w:rPr>
                <w:sz w:val="20"/>
                <w:szCs w:val="20"/>
                <w:color w:val="auto"/>
              </w:rPr>
            </w:pPr>
            <w:r>
              <w:rPr>
                <w:rFonts w:ascii="Arial" w:cs="Arial" w:eastAsia="Arial" w:hAnsi="Arial"/>
                <w:sz w:val="16"/>
                <w:szCs w:val="16"/>
                <w:color w:val="auto"/>
              </w:rPr>
              <w:t>3 years</w:t>
            </w:r>
          </w:p>
        </w:tc>
        <w:tc>
          <w:tcPr>
            <w:tcW w:w="2200" w:type="dxa"/>
            <w:vAlign w:val="bottom"/>
          </w:tcPr>
          <w:p>
            <w:pPr>
              <w:ind w:left="100"/>
              <w:spacing w:after="0" w:line="168" w:lineRule="exact"/>
              <w:rPr>
                <w:sz w:val="20"/>
                <w:szCs w:val="20"/>
                <w:color w:val="auto"/>
              </w:rPr>
            </w:pPr>
            <w:r>
              <w:rPr>
                <w:rFonts w:ascii="Arial" w:cs="Arial" w:eastAsia="Arial" w:hAnsi="Arial"/>
                <w:sz w:val="16"/>
                <w:szCs w:val="16"/>
                <w:color w:val="auto"/>
              </w:rPr>
              <w:t>Relative total shareholder</w:t>
            </w:r>
          </w:p>
        </w:tc>
        <w:tc>
          <w:tcPr>
            <w:tcW w:w="2580" w:type="dxa"/>
            <w:vAlign w:val="bottom"/>
          </w:tcPr>
          <w:p>
            <w:pPr>
              <w:ind w:left="220"/>
              <w:spacing w:after="0" w:line="168" w:lineRule="exact"/>
              <w:rPr>
                <w:sz w:val="20"/>
                <w:szCs w:val="20"/>
                <w:color w:val="auto"/>
              </w:rPr>
            </w:pPr>
            <w:r>
              <w:rPr>
                <w:rFonts w:ascii="Arial" w:cs="Arial" w:eastAsia="Arial" w:hAnsi="Arial"/>
                <w:sz w:val="16"/>
                <w:szCs w:val="16"/>
                <w:color w:val="auto"/>
              </w:rPr>
              <w:t>To provide performance-based</w:t>
            </w:r>
          </w:p>
        </w:tc>
        <w:tc>
          <w:tcPr>
            <w:tcW w:w="2080" w:type="dxa"/>
            <w:vAlign w:val="bottom"/>
          </w:tcPr>
          <w:p>
            <w:pPr>
              <w:ind w:left="60"/>
              <w:spacing w:after="0" w:line="168" w:lineRule="exact"/>
              <w:rPr>
                <w:sz w:val="20"/>
                <w:szCs w:val="20"/>
                <w:color w:val="auto"/>
              </w:rPr>
            </w:pPr>
            <w:r>
              <w:rPr>
                <w:rFonts w:ascii="Arial" w:cs="Arial" w:eastAsia="Arial" w:hAnsi="Arial"/>
                <w:sz w:val="16"/>
                <w:szCs w:val="16"/>
                <w:color w:val="auto"/>
              </w:rPr>
              <w:t>Drive medium and long-</w:t>
            </w:r>
          </w:p>
        </w:tc>
        <w:tc>
          <w:tcPr>
            <w:tcW w:w="120" w:type="dxa"/>
            <w:vAlign w:val="bottom"/>
            <w:shd w:val="clear" w:color="auto" w:fill="FF160F"/>
          </w:tcPr>
          <w:p>
            <w:pPr>
              <w:spacing w:after="0"/>
              <w:rPr>
                <w:sz w:val="14"/>
                <w:szCs w:val="14"/>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return (34%)</w:t>
            </w:r>
          </w:p>
        </w:tc>
        <w:tc>
          <w:tcPr>
            <w:tcW w:w="2580" w:type="dxa"/>
            <w:vAlign w:val="bottom"/>
          </w:tcPr>
          <w:p>
            <w:pPr>
              <w:ind w:left="220"/>
              <w:spacing w:after="0"/>
              <w:rPr>
                <w:sz w:val="20"/>
                <w:szCs w:val="20"/>
                <w:color w:val="auto"/>
              </w:rPr>
            </w:pPr>
            <w:r>
              <w:rPr>
                <w:rFonts w:ascii="Arial" w:cs="Arial" w:eastAsia="Arial" w:hAnsi="Arial"/>
                <w:sz w:val="16"/>
                <w:szCs w:val="16"/>
                <w:color w:val="auto"/>
              </w:rPr>
              <w:t>equity compensation in the form</w:t>
            </w:r>
          </w:p>
        </w:tc>
        <w:tc>
          <w:tcPr>
            <w:tcW w:w="2080" w:type="dxa"/>
            <w:vAlign w:val="bottom"/>
          </w:tcPr>
          <w:p>
            <w:pPr>
              <w:ind w:left="60"/>
              <w:spacing w:after="0"/>
              <w:rPr>
                <w:sz w:val="20"/>
                <w:szCs w:val="20"/>
                <w:color w:val="auto"/>
              </w:rPr>
            </w:pPr>
            <w:r>
              <w:rPr>
                <w:rFonts w:ascii="Arial" w:cs="Arial" w:eastAsia="Arial" w:hAnsi="Arial"/>
                <w:sz w:val="16"/>
                <w:szCs w:val="16"/>
                <w:color w:val="auto"/>
              </w:rPr>
              <w:t>term performance goals</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NAREIT FFO multiple</w:t>
            </w:r>
          </w:p>
        </w:tc>
        <w:tc>
          <w:tcPr>
            <w:tcW w:w="2580" w:type="dxa"/>
            <w:vAlign w:val="bottom"/>
          </w:tcPr>
          <w:p>
            <w:pPr>
              <w:ind w:left="220"/>
              <w:spacing w:after="0"/>
              <w:rPr>
                <w:sz w:val="20"/>
                <w:szCs w:val="20"/>
                <w:color w:val="auto"/>
              </w:rPr>
            </w:pPr>
            <w:r>
              <w:rPr>
                <w:rFonts w:ascii="Arial" w:cs="Arial" w:eastAsia="Arial" w:hAnsi="Arial"/>
                <w:sz w:val="16"/>
                <w:szCs w:val="16"/>
                <w:color w:val="auto"/>
              </w:rPr>
              <w:t>of restricted shares to drive</w:t>
            </w:r>
          </w:p>
        </w:tc>
        <w:tc>
          <w:tcPr>
            <w:tcW w:w="2080" w:type="dxa"/>
            <w:vAlign w:val="bottom"/>
          </w:tcPr>
          <w:p>
            <w:pPr>
              <w:ind w:left="60"/>
              <w:spacing w:after="0"/>
              <w:rPr>
                <w:sz w:val="20"/>
                <w:szCs w:val="20"/>
                <w:color w:val="auto"/>
              </w:rPr>
            </w:pPr>
            <w:r>
              <w:rPr>
                <w:rFonts w:ascii="Arial" w:cs="Arial" w:eastAsia="Arial" w:hAnsi="Arial"/>
                <w:sz w:val="16"/>
                <w:szCs w:val="16"/>
                <w:color w:val="auto"/>
              </w:rPr>
              <w:t>and retain talent</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premium (33%)</w:t>
            </w:r>
          </w:p>
        </w:tc>
        <w:tc>
          <w:tcPr>
            <w:tcW w:w="2580" w:type="dxa"/>
            <w:vAlign w:val="bottom"/>
          </w:tcPr>
          <w:p>
            <w:pPr>
              <w:ind w:left="220"/>
              <w:spacing w:after="0"/>
              <w:rPr>
                <w:sz w:val="20"/>
                <w:szCs w:val="20"/>
                <w:color w:val="auto"/>
              </w:rPr>
            </w:pPr>
            <w:r>
              <w:rPr>
                <w:rFonts w:ascii="Arial" w:cs="Arial" w:eastAsia="Arial" w:hAnsi="Arial"/>
                <w:sz w:val="16"/>
                <w:szCs w:val="16"/>
                <w:color w:val="auto"/>
              </w:rPr>
              <w:t>medium and longer-term</w:t>
            </w:r>
          </w:p>
        </w:tc>
        <w:tc>
          <w:tcPr>
            <w:tcW w:w="2080" w:type="dxa"/>
            <w:vAlign w:val="bottom"/>
          </w:tcPr>
          <w:p>
            <w:pPr>
              <w:spacing w:after="0"/>
              <w:rPr>
                <w:sz w:val="16"/>
                <w:szCs w:val="16"/>
                <w:color w:val="auto"/>
              </w:rPr>
            </w:pP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Return on invested capital</w:t>
            </w:r>
          </w:p>
        </w:tc>
        <w:tc>
          <w:tcPr>
            <w:tcW w:w="2580" w:type="dxa"/>
            <w:vAlign w:val="bottom"/>
          </w:tcPr>
          <w:p>
            <w:pPr>
              <w:ind w:left="220"/>
              <w:spacing w:after="0"/>
              <w:rPr>
                <w:sz w:val="20"/>
                <w:szCs w:val="20"/>
                <w:color w:val="auto"/>
              </w:rPr>
            </w:pPr>
            <w:r>
              <w:rPr>
                <w:rFonts w:ascii="Arial" w:cs="Arial" w:eastAsia="Arial" w:hAnsi="Arial"/>
                <w:sz w:val="16"/>
                <w:szCs w:val="16"/>
                <w:color w:val="auto"/>
              </w:rPr>
              <w:t>business objectives</w:t>
            </w:r>
          </w:p>
        </w:tc>
        <w:tc>
          <w:tcPr>
            <w:tcW w:w="2080" w:type="dxa"/>
            <w:vAlign w:val="bottom"/>
          </w:tcPr>
          <w:p>
            <w:pPr>
              <w:spacing w:after="0"/>
              <w:rPr>
                <w:sz w:val="16"/>
                <w:szCs w:val="16"/>
                <w:color w:val="auto"/>
              </w:rPr>
            </w:pPr>
          </w:p>
        </w:tc>
        <w:tc>
          <w:tcPr>
            <w:tcW w:w="120" w:type="dxa"/>
            <w:vAlign w:val="bottom"/>
            <w:shd w:val="clear" w:color="auto" w:fill="FF160F"/>
          </w:tcPr>
          <w:p>
            <w:pPr>
              <w:spacing w:after="0"/>
              <w:rPr>
                <w:sz w:val="16"/>
                <w:szCs w:val="16"/>
                <w:color w:val="auto"/>
              </w:rPr>
            </w:pPr>
          </w:p>
        </w:tc>
      </w:tr>
      <w:tr>
        <w:trPr>
          <w:trHeight w:val="217"/>
        </w:trPr>
        <w:tc>
          <w:tcPr>
            <w:tcW w:w="800" w:type="dxa"/>
            <w:vAlign w:val="bottom"/>
            <w:tcBorders>
              <w:left w:val="single" w:sz="8" w:color="FF160F"/>
            </w:tcBorders>
            <w:shd w:val="clear" w:color="auto" w:fill="FF160F"/>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6"/>
                <w:szCs w:val="16"/>
                <w:color w:val="auto"/>
              </w:rPr>
              <w:t>(33%)</w:t>
            </w:r>
          </w:p>
        </w:tc>
        <w:tc>
          <w:tcPr>
            <w:tcW w:w="2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shd w:val="clear" w:color="auto" w:fill="FF160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428625"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86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FFFFFF"/>
        </w:rPr>
        <w:t>Variable /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428625" cy="13373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8625" cy="1337310"/>
                    </a:xfrm>
                    <a:prstGeom prst="rect">
                      <a:avLst/>
                    </a:prstGeom>
                    <a:noFill/>
                  </pic:spPr>
                </pic:pic>
              </a:graphicData>
            </a:graphic>
          </wp:anchor>
        </w:drawing>
      </w:r>
    </w:p>
    <w:p>
      <w:pPr>
        <w:spacing w:after="0" w:line="1868" w:lineRule="exact"/>
        <w:rPr>
          <w:sz w:val="20"/>
          <w:szCs w:val="20"/>
          <w:color w:val="auto"/>
        </w:rPr>
      </w:pPr>
    </w:p>
    <w:p>
      <w:pPr>
        <w:sectPr>
          <w:pgSz w:w="11900" w:h="16838" w:orient="portrait"/>
          <w:cols w:equalWidth="0" w:num="2">
            <w:col w:w="10460" w:space="0"/>
            <w:col w:w="680"/>
          </w:cols>
          <w:pgMar w:left="320" w:top="482" w:right="439" w:bottom="1440" w:gutter="0" w:footer="0" w:header="0"/>
          <w:type w:val="continuous"/>
        </w:sectPr>
      </w:pPr>
    </w:p>
    <w:p>
      <w:pPr>
        <w:spacing w:after="0" w:line="38" w:lineRule="exact"/>
        <w:rPr>
          <w:sz w:val="20"/>
          <w:szCs w:val="20"/>
          <w:color w:val="auto"/>
        </w:rPr>
      </w:pPr>
    </w:p>
    <w:p>
      <w:pPr>
        <w:ind w:left="540" w:right="20" w:hanging="424"/>
        <w:spacing w:after="0" w:line="271"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NAREIT FFO per share is a non-GAAP financial measure that we consider significant in our business. See Appendix A for a reconciliation of NAREIT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22</w:t>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20" w:hanging="104"/>
        <w:spacing w:after="0"/>
        <w:tabs>
          <w:tab w:leader="none" w:pos="220" w:val="left"/>
        </w:tabs>
        <w:numPr>
          <w:ilvl w:val="0"/>
          <w:numId w:val="49"/>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S</w:t>
      </w:r>
      <w:r>
        <w:rPr>
          <w:rFonts w:ascii="Arial" w:cs="Arial" w:eastAsia="Arial" w:hAnsi="Arial"/>
          <w:sz w:val="15"/>
          <w:szCs w:val="15"/>
          <w:b w:val="1"/>
          <w:bCs w:val="1"/>
          <w:color w:val="FF160F"/>
        </w:rPr>
        <w:t>ETTING</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540" w:hanging="424"/>
        <w:spacing w:after="0"/>
        <w:tabs>
          <w:tab w:leader="none" w:pos="540" w:val="left"/>
        </w:tabs>
        <w:numPr>
          <w:ilvl w:val="0"/>
          <w:numId w:val="50"/>
        </w:numPr>
        <w:rPr>
          <w:rFonts w:ascii="MS PGothic" w:cs="MS PGothic" w:eastAsia="MS PGothic" w:hAnsi="MS PGothic"/>
          <w:sz w:val="18"/>
          <w:szCs w:val="18"/>
          <w:color w:val="FF160F"/>
        </w:rPr>
      </w:pPr>
      <w:r>
        <w:rPr>
          <w:rFonts w:ascii="Arial" w:cs="Arial" w:eastAsia="Arial" w:hAnsi="Arial"/>
          <w:sz w:val="18"/>
          <w:szCs w:val="18"/>
          <w:b w:val="1"/>
          <w:bCs w:val="1"/>
          <w:color w:val="auto"/>
        </w:rPr>
        <w:t>ANNUAL COMPENSATION DECISION MAKING</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96" w:lineRule="exact"/>
        <w:rPr>
          <w:sz w:val="20"/>
          <w:szCs w:val="20"/>
          <w:color w:val="auto"/>
        </w:rPr>
      </w:pPr>
    </w:p>
    <w:p>
      <w:pPr>
        <w:ind w:left="540" w:hanging="424"/>
        <w:spacing w:after="0"/>
        <w:tabs>
          <w:tab w:leader="none" w:pos="540" w:val="left"/>
        </w:tabs>
        <w:numPr>
          <w:ilvl w:val="0"/>
          <w:numId w:val="51"/>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THE COMPENSATION COMMITTEE</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81" w:lineRule="exact"/>
        <w:rPr>
          <w:sz w:val="20"/>
          <w:szCs w:val="20"/>
          <w:color w:val="auto"/>
        </w:rPr>
      </w:pPr>
    </w:p>
    <w:p>
      <w:pPr>
        <w:ind w:left="540" w:hanging="424"/>
        <w:spacing w:after="0"/>
        <w:tabs>
          <w:tab w:leader="none" w:pos="540" w:val="left"/>
        </w:tabs>
        <w:numPr>
          <w:ilvl w:val="0"/>
          <w:numId w:val="52"/>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MANAGEMENT</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1" w:lineRule="exact"/>
        <w:rPr>
          <w:sz w:val="20"/>
          <w:szCs w:val="20"/>
          <w:color w:val="auto"/>
        </w:rPr>
      </w:pPr>
    </w:p>
    <w:p>
      <w:pPr>
        <w:ind w:left="540" w:hanging="424"/>
        <w:spacing w:after="0"/>
        <w:tabs>
          <w:tab w:leader="none" w:pos="540" w:val="left"/>
        </w:tabs>
        <w:numPr>
          <w:ilvl w:val="0"/>
          <w:numId w:val="53"/>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INDEPENDENT COMPENSATION CONSULTANT</w:t>
      </w:r>
    </w:p>
    <w:p>
      <w:pPr>
        <w:spacing w:after="0" w:line="22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Compensation Committee retains consultants periodically to assist with setting compensation. For 2025 compensation, we did not use any compensation consultant; however, we did ask Semler Brossy Consulting Group (“SBCG”) to identify acceptable ways to calculate long-term incentive awards for a 3-year performance period when the third party measuring index used in the calculation is discontinued approximately 2.5 years into the 3-year performance period. See “Long-Term Incentive Program” below for a discussion of the discontinuation of the BBRESHOP.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220" w:hanging="104"/>
        <w:spacing w:after="0"/>
        <w:tabs>
          <w:tab w:leader="none" w:pos="220" w:val="left"/>
        </w:tabs>
        <w:numPr>
          <w:ilvl w:val="0"/>
          <w:numId w:val="54"/>
        </w:numPr>
        <w:rPr>
          <w:rFonts w:ascii="Arial" w:cs="Arial" w:eastAsia="Arial" w:hAnsi="Arial"/>
          <w:sz w:val="19"/>
          <w:szCs w:val="19"/>
          <w:b w:val="1"/>
          <w:bCs w:val="1"/>
          <w:color w:val="FF160F"/>
        </w:rPr>
      </w:pPr>
      <w:r>
        <w:rPr>
          <w:rFonts w:ascii="Arial" w:cs="Arial" w:eastAsia="Arial" w:hAnsi="Arial"/>
          <w:sz w:val="19"/>
          <w:szCs w:val="19"/>
          <w:b w:val="1"/>
          <w:bCs w:val="1"/>
          <w:color w:val="FF160F"/>
        </w:rPr>
        <w:t>2025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D</w:t>
      </w:r>
      <w:r>
        <w:rPr>
          <w:rFonts w:ascii="Arial" w:cs="Arial" w:eastAsia="Arial" w:hAnsi="Arial"/>
          <w:sz w:val="15"/>
          <w:szCs w:val="15"/>
          <w:b w:val="1"/>
          <w:bCs w:val="1"/>
          <w:color w:val="FF160F"/>
        </w:rPr>
        <w:t>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ind w:left="540" w:hanging="424"/>
        <w:spacing w:after="0"/>
        <w:tabs>
          <w:tab w:leader="none" w:pos="540" w:val="left"/>
        </w:tabs>
        <w:numPr>
          <w:ilvl w:val="0"/>
          <w:numId w:val="55"/>
        </w:numPr>
        <w:rPr>
          <w:rFonts w:ascii="MS PGothic" w:cs="MS PGothic" w:eastAsia="MS PGothic" w:hAnsi="MS PGothic"/>
          <w:sz w:val="18"/>
          <w:szCs w:val="18"/>
          <w:color w:val="FF160F"/>
        </w:rPr>
      </w:pPr>
      <w:r>
        <w:rPr>
          <w:rFonts w:ascii="Arial" w:cs="Arial" w:eastAsia="Arial" w:hAnsi="Arial"/>
          <w:sz w:val="18"/>
          <w:szCs w:val="18"/>
          <w:b w:val="1"/>
          <w:bCs w:val="1"/>
          <w:color w:val="auto"/>
        </w:rPr>
        <w:t>SETTING 2025 TARGET COMPENSATION</w:t>
      </w:r>
    </w:p>
    <w:p>
      <w:pPr>
        <w:spacing w:after="0" w:line="225"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Compensation Committee determined target compensation for each NEO by considering numerous individual factors, including job responsibilities and skill sets, performance in their position, importance to achieving our corporate objectives, retention risk, ability to replace the role, previously issued equity awards and tenure with the company. The Compensation Committee then reviewed the annual NAREIT compensation survey that gathers data from more than 100 REITs for the market compensation information for our NEOs. Applying their individual judgments to our NEOs after consulting the NAREIT survey, the Compensation Committee established the following target compensation for our NEOs in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60" w:type="dxa"/>
            <w:vAlign w:val="bottom"/>
            <w:shd w:val="clear" w:color="auto" w:fill="FF160F"/>
          </w:tcPr>
          <w:p>
            <w:pPr>
              <w:spacing w:after="0"/>
              <w:rPr>
                <w:sz w:val="16"/>
                <w:szCs w:val="16"/>
                <w:color w:val="auto"/>
              </w:rPr>
            </w:pPr>
          </w:p>
        </w:tc>
        <w:tc>
          <w:tcPr>
            <w:tcW w:w="520" w:type="dxa"/>
            <w:vAlign w:val="bottom"/>
            <w:shd w:val="clear" w:color="auto" w:fill="FF160F"/>
          </w:tcPr>
          <w:p>
            <w:pPr>
              <w:spacing w:after="0"/>
              <w:rPr>
                <w:sz w:val="16"/>
                <w:szCs w:val="16"/>
                <w:color w:val="auto"/>
              </w:rPr>
            </w:pPr>
          </w:p>
        </w:tc>
        <w:tc>
          <w:tcPr>
            <w:tcW w:w="1140" w:type="dxa"/>
            <w:vAlign w:val="bottom"/>
            <w:shd w:val="clear" w:color="auto" w:fill="FF160F"/>
          </w:tcPr>
          <w:p>
            <w:pPr>
              <w:spacing w:after="0"/>
              <w:rPr>
                <w:sz w:val="16"/>
                <w:szCs w:val="16"/>
                <w:color w:val="auto"/>
              </w:rPr>
            </w:pPr>
          </w:p>
        </w:tc>
        <w:tc>
          <w:tcPr>
            <w:tcW w:w="2700" w:type="dxa"/>
            <w:vAlign w:val="bottom"/>
            <w:gridSpan w:val="3"/>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Target Annual Bonus</w:t>
            </w:r>
          </w:p>
        </w:tc>
        <w:tc>
          <w:tcPr>
            <w:tcW w:w="1800" w:type="dxa"/>
            <w:vAlign w:val="bottom"/>
            <w:gridSpan w:val="2"/>
            <w:shd w:val="clear" w:color="auto" w:fill="FF160F"/>
          </w:tcPr>
          <w:p>
            <w:pPr>
              <w:ind w:left="520"/>
              <w:spacing w:after="0"/>
              <w:rPr>
                <w:sz w:val="20"/>
                <w:szCs w:val="20"/>
                <w:color w:val="auto"/>
              </w:rPr>
            </w:pPr>
            <w:r>
              <w:rPr>
                <w:rFonts w:ascii="Arial" w:cs="Arial" w:eastAsia="Arial" w:hAnsi="Arial"/>
                <w:sz w:val="16"/>
                <w:szCs w:val="16"/>
                <w:b w:val="1"/>
                <w:bCs w:val="1"/>
                <w:color w:val="FFFFFF"/>
              </w:rPr>
              <w:t>Target Long-</w:t>
            </w:r>
          </w:p>
        </w:tc>
        <w:tc>
          <w:tcPr>
            <w:tcW w:w="46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03"/>
        </w:trPr>
        <w:tc>
          <w:tcPr>
            <w:tcW w:w="3560" w:type="dxa"/>
            <w:vAlign w:val="bottom"/>
            <w:shd w:val="clear" w:color="auto" w:fill="FF160F"/>
          </w:tcPr>
          <w:p>
            <w:pPr>
              <w:spacing w:after="0"/>
              <w:rPr>
                <w:sz w:val="17"/>
                <w:szCs w:val="17"/>
                <w:color w:val="auto"/>
              </w:rPr>
            </w:pPr>
          </w:p>
        </w:tc>
        <w:tc>
          <w:tcPr>
            <w:tcW w:w="520" w:type="dxa"/>
            <w:vAlign w:val="bottom"/>
            <w:shd w:val="clear" w:color="auto" w:fill="FF160F"/>
          </w:tcPr>
          <w:p>
            <w:pPr>
              <w:spacing w:after="0"/>
              <w:rPr>
                <w:sz w:val="17"/>
                <w:szCs w:val="17"/>
                <w:color w:val="auto"/>
              </w:rPr>
            </w:pPr>
          </w:p>
        </w:tc>
        <w:tc>
          <w:tcPr>
            <w:tcW w:w="114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Base Pay</w:t>
            </w:r>
          </w:p>
        </w:tc>
        <w:tc>
          <w:tcPr>
            <w:tcW w:w="1420" w:type="dxa"/>
            <w:vAlign w:val="bottom"/>
            <w:shd w:val="clear" w:color="auto" w:fill="FF160F"/>
          </w:tcPr>
          <w:p>
            <w:pPr>
              <w:jc w:val="right"/>
              <w:ind w:right="319"/>
              <w:spacing w:after="0"/>
              <w:rPr>
                <w:sz w:val="20"/>
                <w:szCs w:val="20"/>
                <w:color w:val="auto"/>
              </w:rPr>
            </w:pPr>
            <w:r>
              <w:rPr>
                <w:rFonts w:ascii="Arial" w:cs="Arial" w:eastAsia="Arial" w:hAnsi="Arial"/>
                <w:sz w:val="16"/>
                <w:szCs w:val="16"/>
                <w:b w:val="1"/>
                <w:bCs w:val="1"/>
                <w:color w:val="FFFFFF"/>
              </w:rPr>
              <w:t>% of Base</w:t>
            </w:r>
          </w:p>
        </w:tc>
        <w:tc>
          <w:tcPr>
            <w:tcW w:w="400" w:type="dxa"/>
            <w:vAlign w:val="bottom"/>
            <w:shd w:val="clear" w:color="auto" w:fill="FF160F"/>
          </w:tcPr>
          <w:p>
            <w:pPr>
              <w:spacing w:after="0"/>
              <w:rPr>
                <w:sz w:val="17"/>
                <w:szCs w:val="17"/>
                <w:color w:val="auto"/>
              </w:rPr>
            </w:pPr>
          </w:p>
        </w:tc>
        <w:tc>
          <w:tcPr>
            <w:tcW w:w="88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80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Term Incentive</w:t>
            </w:r>
          </w:p>
        </w:tc>
        <w:tc>
          <w:tcPr>
            <w:tcW w:w="1300" w:type="dxa"/>
            <w:vAlign w:val="bottom"/>
            <w:gridSpan w:val="2"/>
            <w:shd w:val="clear" w:color="auto" w:fill="FF160F"/>
          </w:tcPr>
          <w:p>
            <w:pPr>
              <w:jc w:val="right"/>
              <w:ind w:right="39"/>
              <w:spacing w:after="0"/>
              <w:rPr>
                <w:sz w:val="20"/>
                <w:szCs w:val="20"/>
                <w:color w:val="auto"/>
              </w:rPr>
            </w:pPr>
            <w:r>
              <w:rPr>
                <w:rFonts w:ascii="Arial" w:cs="Arial" w:eastAsia="Arial" w:hAnsi="Arial"/>
                <w:sz w:val="16"/>
                <w:szCs w:val="16"/>
                <w:b w:val="1"/>
                <w:bCs w:val="1"/>
                <w:color w:val="FFFFFF"/>
              </w:rPr>
              <w:t>2025 Target</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1"/>
              </w:rPr>
              <w:t>   1,000,000</w:t>
            </w:r>
          </w:p>
        </w:tc>
        <w:tc>
          <w:tcPr>
            <w:tcW w:w="1420" w:type="dxa"/>
            <w:vAlign w:val="bottom"/>
          </w:tcPr>
          <w:p>
            <w:pPr>
              <w:jc w:val="right"/>
              <w:ind w:right="159"/>
              <w:spacing w:after="0" w:line="175" w:lineRule="exact"/>
              <w:rPr>
                <w:sz w:val="20"/>
                <w:szCs w:val="20"/>
                <w:color w:val="auto"/>
              </w:rPr>
            </w:pPr>
            <w:r>
              <w:rPr>
                <w:rFonts w:ascii="Arial" w:cs="Arial" w:eastAsia="Arial" w:hAnsi="Arial"/>
                <w:sz w:val="16"/>
                <w:szCs w:val="16"/>
                <w:color w:val="auto"/>
              </w:rPr>
              <w:t>150%</w:t>
            </w:r>
          </w:p>
        </w:tc>
        <w:tc>
          <w:tcPr>
            <w:tcW w:w="400" w:type="dxa"/>
            <w:vAlign w:val="bottom"/>
          </w:tcPr>
          <w:p>
            <w:pPr>
              <w:ind w:left="240"/>
              <w:spacing w:after="0" w:line="175" w:lineRule="exact"/>
              <w:rPr>
                <w:sz w:val="20"/>
                <w:szCs w:val="20"/>
                <w:color w:val="auto"/>
              </w:rPr>
            </w:pPr>
            <w:r>
              <w:rPr>
                <w:rFonts w:ascii="Arial" w:cs="Arial" w:eastAsia="Arial" w:hAnsi="Arial"/>
                <w:sz w:val="16"/>
                <w:szCs w:val="16"/>
                <w:color w:val="auto"/>
              </w:rPr>
              <w:t xml:space="preserve">$ </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600" w:type="dxa"/>
            <w:vAlign w:val="bottom"/>
          </w:tcPr>
          <w:p>
            <w:pPr>
              <w:ind w:left="440"/>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7"/>
              </w:rPr>
              <w:t>   6,000,000</w:t>
            </w:r>
          </w:p>
        </w:tc>
        <w:tc>
          <w:tcPr>
            <w:tcW w:w="460" w:type="dxa"/>
            <w:vAlign w:val="bottom"/>
          </w:tcPr>
          <w:p>
            <w:pPr>
              <w:ind w:left="26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8,500,000</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Mr. Guglielmone</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650,000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150%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1,500,000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3,125,000</w:t>
            </w:r>
          </w:p>
        </w:tc>
      </w:t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Ms. Becker</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21"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2025 target compensation set for Mr. Wood and Ms. Becker was unchanged from 2024. The 2025 compensation for Mr. Guglielmone included a base pay increase and a change to his target bonus percentage. The target pay packages for all of our NEOs are heavily weighted to components that are paid based on both company and individual performance which creates significant alignment between our NEOs and shareholders.</w:t>
      </w: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rPr>
              <w:t>CEO Pay</w:t>
            </w:r>
          </w:p>
        </w:tc>
        <w:tc>
          <w:tcPr>
            <w:tcW w:w="1140" w:type="dxa"/>
            <w:vAlign w:val="bottom"/>
            <w:tcBorders>
              <w:bottom w:val="single" w:sz="8" w:color="E5E5E5"/>
            </w:tcBorders>
          </w:tcPr>
          <w:p>
            <w:pPr>
              <w:jc w:val="center"/>
              <w:ind w:left="349"/>
              <w:spacing w:after="0"/>
              <w:rPr>
                <w:sz w:val="20"/>
                <w:szCs w:val="20"/>
                <w:color w:val="auto"/>
              </w:rPr>
            </w:pPr>
            <w:r>
              <w:rPr>
                <w:rFonts w:ascii="Arial" w:cs="Arial" w:eastAsia="Arial" w:hAnsi="Arial"/>
                <w:sz w:val="15"/>
                <w:szCs w:val="15"/>
                <w:color w:val="auto"/>
                <w:w w:val="99"/>
              </w:rPr>
              <w:t>Base Pay</w:t>
            </w:r>
          </w:p>
        </w:tc>
        <w:tc>
          <w:tcPr>
            <w:tcW w:w="180" w:type="dxa"/>
            <w:vAlign w:val="bottom"/>
            <w:tcBorders>
              <w:bottom w:val="single" w:sz="8" w:color="E5E5E5"/>
            </w:tcBorders>
          </w:tcPr>
          <w:p>
            <w:pPr>
              <w:spacing w:after="0"/>
              <w:rPr>
                <w:sz w:val="18"/>
                <w:szCs w:val="18"/>
                <w:color w:val="auto"/>
              </w:rPr>
            </w:pPr>
          </w:p>
        </w:tc>
        <w:tc>
          <w:tcPr>
            <w:tcW w:w="1540" w:type="dxa"/>
            <w:vAlign w:val="bottom"/>
            <w:tcBorders>
              <w:bottom w:val="single" w:sz="8" w:color="CCCCCC"/>
            </w:tcBorders>
            <w:gridSpan w:val="2"/>
          </w:tcPr>
          <w:p>
            <w:pPr>
              <w:jc w:val="center"/>
              <w:ind w:left="49"/>
              <w:spacing w:after="0"/>
              <w:rPr>
                <w:sz w:val="20"/>
                <w:szCs w:val="20"/>
                <w:color w:val="auto"/>
              </w:rPr>
            </w:pPr>
            <w:r>
              <w:rPr>
                <w:rFonts w:ascii="Arial" w:cs="Arial" w:eastAsia="Arial" w:hAnsi="Arial"/>
                <w:sz w:val="15"/>
                <w:szCs w:val="15"/>
                <w:color w:val="auto"/>
              </w:rPr>
              <w:t>Annual Bonus</w:t>
            </w:r>
          </w:p>
        </w:tc>
        <w:tc>
          <w:tcPr>
            <w:tcW w:w="2060" w:type="dxa"/>
            <w:vAlign w:val="bottom"/>
            <w:tcBorders>
              <w:bottom w:val="single" w:sz="8" w:color="FF160F"/>
            </w:tcBorders>
          </w:tcPr>
          <w:p>
            <w:pPr>
              <w:spacing w:after="0"/>
              <w:rPr>
                <w:sz w:val="18"/>
                <w:szCs w:val="18"/>
                <w:color w:val="auto"/>
              </w:rPr>
            </w:pPr>
          </w:p>
        </w:tc>
        <w:tc>
          <w:tcPr>
            <w:tcW w:w="480" w:type="dxa"/>
            <w:vAlign w:val="bottom"/>
            <w:tcBorders>
              <w:bottom w:val="single" w:sz="8" w:color="FF160F"/>
            </w:tcBorders>
          </w:tcPr>
          <w:p>
            <w:pPr>
              <w:spacing w:after="0"/>
              <w:rPr>
                <w:sz w:val="18"/>
                <w:szCs w:val="18"/>
                <w:color w:val="auto"/>
              </w:rPr>
            </w:pPr>
          </w:p>
        </w:tc>
        <w:tc>
          <w:tcPr>
            <w:tcW w:w="4520" w:type="dxa"/>
            <w:vAlign w:val="bottom"/>
            <w:tcBorders>
              <w:bottom w:val="single" w:sz="8" w:color="FF160F"/>
            </w:tcBorders>
          </w:tcPr>
          <w:p>
            <w:pPr>
              <w:jc w:val="center"/>
              <w:ind w:right="236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Mix</w:t>
            </w:r>
          </w:p>
        </w:tc>
        <w:tc>
          <w:tcPr>
            <w:tcW w:w="1140" w:type="dxa"/>
            <w:vAlign w:val="bottom"/>
            <w:shd w:val="clear" w:color="auto" w:fill="E5E5E5"/>
          </w:tcPr>
          <w:p>
            <w:pPr>
              <w:jc w:val="right"/>
              <w:ind w:right="129"/>
              <w:spacing w:after="0" w:line="114" w:lineRule="exact"/>
              <w:rPr>
                <w:sz w:val="20"/>
                <w:szCs w:val="20"/>
                <w:color w:val="auto"/>
              </w:rPr>
            </w:pPr>
            <w:r>
              <w:rPr>
                <w:rFonts w:ascii="Arial" w:cs="Arial" w:eastAsia="Arial" w:hAnsi="Arial"/>
                <w:sz w:val="13"/>
                <w:szCs w:val="13"/>
                <w:b w:val="1"/>
                <w:bCs w:val="1"/>
                <w:color w:val="auto"/>
              </w:rPr>
              <w:t>12%</w:t>
            </w:r>
          </w:p>
        </w:tc>
        <w:tc>
          <w:tcPr>
            <w:tcW w:w="180" w:type="dxa"/>
            <w:vAlign w:val="bottom"/>
            <w:shd w:val="clear" w:color="auto" w:fill="E5E5E5"/>
          </w:tcPr>
          <w:p>
            <w:pPr>
              <w:spacing w:after="0"/>
              <w:rPr>
                <w:sz w:val="9"/>
                <w:szCs w:val="9"/>
                <w:color w:val="auto"/>
              </w:rPr>
            </w:pPr>
          </w:p>
        </w:tc>
        <w:tc>
          <w:tcPr>
            <w:tcW w:w="1460" w:type="dxa"/>
            <w:vAlign w:val="bottom"/>
            <w:shd w:val="clear" w:color="auto" w:fill="CCCCCC"/>
          </w:tcPr>
          <w:p>
            <w:pPr>
              <w:jc w:val="right"/>
              <w:ind w:right="409"/>
              <w:spacing w:after="0" w:line="114" w:lineRule="exact"/>
              <w:rPr>
                <w:sz w:val="20"/>
                <w:szCs w:val="20"/>
                <w:color w:val="auto"/>
              </w:rPr>
            </w:pPr>
            <w:r>
              <w:rPr>
                <w:rFonts w:ascii="Arial" w:cs="Arial" w:eastAsia="Arial" w:hAnsi="Arial"/>
                <w:sz w:val="13"/>
                <w:szCs w:val="13"/>
                <w:b w:val="1"/>
                <w:bCs w:val="1"/>
                <w:color w:val="auto"/>
              </w:rPr>
              <w:t>18%</w:t>
            </w:r>
          </w:p>
        </w:tc>
        <w:tc>
          <w:tcPr>
            <w:tcW w:w="80" w:type="dxa"/>
            <w:vAlign w:val="bottom"/>
            <w:shd w:val="clear" w:color="auto" w:fill="CCCCCC"/>
          </w:tcPr>
          <w:p>
            <w:pPr>
              <w:spacing w:after="0"/>
              <w:rPr>
                <w:sz w:val="9"/>
                <w:szCs w:val="9"/>
                <w:color w:val="auto"/>
              </w:rPr>
            </w:pPr>
          </w:p>
        </w:tc>
        <w:tc>
          <w:tcPr>
            <w:tcW w:w="2060" w:type="dxa"/>
            <w:vAlign w:val="bottom"/>
            <w:shd w:val="clear" w:color="auto" w:fill="FF160F"/>
          </w:tcPr>
          <w:p>
            <w:pPr>
              <w:spacing w:after="0"/>
              <w:rPr>
                <w:sz w:val="9"/>
                <w:szCs w:val="9"/>
                <w:color w:val="auto"/>
              </w:rPr>
            </w:pPr>
          </w:p>
        </w:tc>
        <w:tc>
          <w:tcPr>
            <w:tcW w:w="5000" w:type="dxa"/>
            <w:vAlign w:val="bottom"/>
            <w:gridSpan w:val="2"/>
            <w:shd w:val="clear" w:color="auto" w:fill="FF160F"/>
          </w:tcPr>
          <w:p>
            <w:pPr>
              <w:jc w:val="right"/>
              <w:ind w:right="3244"/>
              <w:spacing w:after="0" w:line="114" w:lineRule="exact"/>
              <w:rPr>
                <w:sz w:val="20"/>
                <w:szCs w:val="20"/>
                <w:color w:val="auto"/>
              </w:rPr>
            </w:pPr>
            <w:r>
              <w:rPr>
                <w:rFonts w:ascii="Arial" w:cs="Arial" w:eastAsia="Arial" w:hAnsi="Arial"/>
                <w:sz w:val="13"/>
                <w:szCs w:val="13"/>
                <w:b w:val="1"/>
                <w:bCs w:val="1"/>
                <w:color w:val="FFFFFF"/>
              </w:rPr>
              <w:t>70%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7060" w:type="dxa"/>
            <w:vAlign w:val="bottom"/>
            <w:gridSpan w:val="3"/>
            <w:vMerge w:val="restart"/>
            <w:shd w:val="clear" w:color="auto" w:fill="000000"/>
          </w:tcPr>
          <w:p>
            <w:pPr>
              <w:ind w:left="1640"/>
              <w:spacing w:after="0" w:line="162" w:lineRule="exact"/>
              <w:rPr>
                <w:sz w:val="20"/>
                <w:szCs w:val="20"/>
                <w:color w:val="auto"/>
              </w:rPr>
            </w:pPr>
            <w:r>
              <w:rPr>
                <w:rFonts w:ascii="Arial" w:cs="Arial" w:eastAsia="Arial" w:hAnsi="Arial"/>
                <w:sz w:val="15"/>
                <w:szCs w:val="15"/>
                <w:b w:val="1"/>
                <w:bCs w:val="1"/>
                <w:color w:val="FFFFFF"/>
              </w:rPr>
              <w:t>88% Performance-Based At Risk</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60" w:type="dxa"/>
            <w:vAlign w:val="bottom"/>
            <w:gridSpan w:val="3"/>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w w:val="97"/>
              </w:rPr>
              <w:t>Average</w:t>
            </w:r>
          </w:p>
        </w:tc>
        <w:tc>
          <w:tcPr>
            <w:tcW w:w="1140" w:type="dxa"/>
            <w:vAlign w:val="bottom"/>
          </w:tcPr>
          <w:p>
            <w:pPr>
              <w:spacing w:after="0"/>
              <w:rPr>
                <w:sz w:val="24"/>
                <w:szCs w:val="24"/>
                <w:color w:val="auto"/>
              </w:rPr>
            </w:pPr>
          </w:p>
        </w:tc>
        <w:tc>
          <w:tcPr>
            <w:tcW w:w="1720" w:type="dxa"/>
            <w:vAlign w:val="bottom"/>
            <w:gridSpan w:val="3"/>
          </w:tcPr>
          <w:p>
            <w:pPr>
              <w:jc w:val="center"/>
              <w:ind w:right="1000"/>
              <w:spacing w:after="0"/>
              <w:rPr>
                <w:sz w:val="20"/>
                <w:szCs w:val="20"/>
                <w:color w:val="auto"/>
              </w:rPr>
            </w:pPr>
            <w:r>
              <w:rPr>
                <w:rFonts w:ascii="Arial" w:cs="Arial" w:eastAsia="Arial" w:hAnsi="Arial"/>
                <w:sz w:val="15"/>
                <w:szCs w:val="15"/>
                <w:color w:val="auto"/>
                <w:w w:val="99"/>
              </w:rPr>
              <w:t>Base Pay</w:t>
            </w:r>
          </w:p>
        </w:tc>
        <w:tc>
          <w:tcPr>
            <w:tcW w:w="2060" w:type="dxa"/>
            <w:vAlign w:val="bottom"/>
          </w:tcPr>
          <w:p>
            <w:pPr>
              <w:jc w:val="center"/>
              <w:ind w:left="424"/>
              <w:spacing w:after="0"/>
              <w:rPr>
                <w:sz w:val="20"/>
                <w:szCs w:val="20"/>
                <w:color w:val="auto"/>
              </w:rPr>
            </w:pPr>
            <w:r>
              <w:rPr>
                <w:rFonts w:ascii="Arial" w:cs="Arial" w:eastAsia="Arial" w:hAnsi="Arial"/>
                <w:sz w:val="15"/>
                <w:szCs w:val="15"/>
                <w:color w:val="auto"/>
              </w:rPr>
              <w:t>Annual Bonus</w:t>
            </w:r>
          </w:p>
        </w:tc>
        <w:tc>
          <w:tcPr>
            <w:tcW w:w="480" w:type="dxa"/>
            <w:vAlign w:val="bottom"/>
          </w:tcPr>
          <w:p>
            <w:pPr>
              <w:spacing w:after="0"/>
              <w:rPr>
                <w:sz w:val="24"/>
                <w:szCs w:val="24"/>
                <w:color w:val="auto"/>
              </w:rPr>
            </w:pPr>
          </w:p>
        </w:tc>
        <w:tc>
          <w:tcPr>
            <w:tcW w:w="4520" w:type="dxa"/>
            <w:vAlign w:val="bottom"/>
          </w:tcPr>
          <w:p>
            <w:pPr>
              <w:jc w:val="center"/>
              <w:ind w:left="24"/>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181"/>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Other NEOs</w:t>
            </w:r>
          </w:p>
        </w:tc>
        <w:tc>
          <w:tcPr>
            <w:tcW w:w="1140" w:type="dxa"/>
            <w:vAlign w:val="bottom"/>
            <w:shd w:val="clear" w:color="auto" w:fill="E5E5E5"/>
          </w:tcPr>
          <w:p>
            <w:pPr>
              <w:spacing w:after="0"/>
              <w:rPr>
                <w:sz w:val="15"/>
                <w:szCs w:val="15"/>
                <w:color w:val="auto"/>
              </w:rPr>
            </w:pPr>
          </w:p>
        </w:tc>
        <w:tc>
          <w:tcPr>
            <w:tcW w:w="1640" w:type="dxa"/>
            <w:vAlign w:val="bottom"/>
            <w:gridSpan w:val="2"/>
            <w:shd w:val="clear" w:color="auto" w:fill="E5E5E5"/>
          </w:tcPr>
          <w:p>
            <w:pPr>
              <w:jc w:val="right"/>
              <w:ind w:right="1049"/>
              <w:spacing w:after="0" w:line="162" w:lineRule="exact"/>
              <w:rPr>
                <w:sz w:val="20"/>
                <w:szCs w:val="20"/>
                <w:color w:val="auto"/>
              </w:rPr>
            </w:pPr>
            <w:r>
              <w:rPr>
                <w:rFonts w:ascii="Arial" w:cs="Arial" w:eastAsia="Arial" w:hAnsi="Arial"/>
                <w:sz w:val="15"/>
                <w:szCs w:val="15"/>
                <w:b w:val="1"/>
                <w:bCs w:val="1"/>
                <w:color w:val="auto"/>
              </w:rPr>
              <w:t>23%</w:t>
            </w:r>
          </w:p>
        </w:tc>
        <w:tc>
          <w:tcPr>
            <w:tcW w:w="80" w:type="dxa"/>
            <w:vAlign w:val="bottom"/>
            <w:shd w:val="clear" w:color="auto" w:fill="CCCCCC"/>
          </w:tcPr>
          <w:p>
            <w:pPr>
              <w:spacing w:after="0"/>
              <w:rPr>
                <w:sz w:val="15"/>
                <w:szCs w:val="15"/>
                <w:color w:val="auto"/>
              </w:rPr>
            </w:pPr>
          </w:p>
        </w:tc>
        <w:tc>
          <w:tcPr>
            <w:tcW w:w="2060" w:type="dxa"/>
            <w:vAlign w:val="bottom"/>
            <w:shd w:val="clear" w:color="auto" w:fill="CCCCCC"/>
          </w:tcPr>
          <w:p>
            <w:pPr>
              <w:jc w:val="right"/>
              <w:ind w:right="544"/>
              <w:spacing w:after="0" w:line="162" w:lineRule="exact"/>
              <w:rPr>
                <w:sz w:val="20"/>
                <w:szCs w:val="20"/>
                <w:color w:val="auto"/>
              </w:rPr>
            </w:pPr>
            <w:r>
              <w:rPr>
                <w:rFonts w:ascii="Arial" w:cs="Arial" w:eastAsia="Arial" w:hAnsi="Arial"/>
                <w:sz w:val="15"/>
                <w:szCs w:val="15"/>
                <w:b w:val="1"/>
                <w:bCs w:val="1"/>
                <w:color w:val="auto"/>
              </w:rPr>
              <w:t>29%</w:t>
            </w:r>
          </w:p>
        </w:tc>
        <w:tc>
          <w:tcPr>
            <w:tcW w:w="480" w:type="dxa"/>
            <w:vAlign w:val="bottom"/>
            <w:shd w:val="clear" w:color="auto" w:fill="CCCCCC"/>
          </w:tcPr>
          <w:p>
            <w:pPr>
              <w:spacing w:after="0"/>
              <w:rPr>
                <w:sz w:val="15"/>
                <w:szCs w:val="15"/>
                <w:color w:val="auto"/>
              </w:rPr>
            </w:pPr>
          </w:p>
        </w:tc>
        <w:tc>
          <w:tcPr>
            <w:tcW w:w="4520" w:type="dxa"/>
            <w:vAlign w:val="bottom"/>
            <w:shd w:val="clear" w:color="auto" w:fill="FF160F"/>
          </w:tcPr>
          <w:p>
            <w:pPr>
              <w:jc w:val="right"/>
              <w:ind w:right="1984"/>
              <w:spacing w:after="0" w:line="162" w:lineRule="exact"/>
              <w:rPr>
                <w:sz w:val="20"/>
                <w:szCs w:val="20"/>
                <w:color w:val="auto"/>
              </w:rPr>
            </w:pPr>
            <w:r>
              <w:rPr>
                <w:rFonts w:ascii="Arial" w:cs="Arial" w:eastAsia="Arial" w:hAnsi="Arial"/>
                <w:sz w:val="15"/>
                <w:szCs w:val="15"/>
                <w:b w:val="1"/>
                <w:bCs w:val="1"/>
                <w:color w:val="FFFFFF"/>
              </w:rPr>
              <w:t>48%</w:t>
            </w:r>
          </w:p>
        </w:tc>
        <w:tc>
          <w:tcPr>
            <w:tcW w:w="0" w:type="dxa"/>
            <w:vAlign w:val="bottom"/>
          </w:tcPr>
          <w:p>
            <w:pPr>
              <w:spacing w:after="0"/>
              <w:rPr>
                <w:sz w:val="1"/>
                <w:szCs w:val="1"/>
                <w:color w:val="auto"/>
              </w:rPr>
            </w:pPr>
          </w:p>
        </w:tc>
      </w:tr>
      <w:tr>
        <w:trPr>
          <w:trHeight w:val="162"/>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Pay Mix</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2060" w:type="dxa"/>
            <w:vAlign w:val="bottom"/>
            <w:shd w:val="clear" w:color="auto" w:fill="000000"/>
          </w:tcPr>
          <w:p>
            <w:pPr>
              <w:spacing w:after="0"/>
              <w:rPr>
                <w:sz w:val="14"/>
                <w:szCs w:val="14"/>
                <w:color w:val="auto"/>
              </w:rPr>
            </w:pPr>
          </w:p>
        </w:tc>
        <w:tc>
          <w:tcPr>
            <w:tcW w:w="5000" w:type="dxa"/>
            <w:vAlign w:val="bottom"/>
            <w:gridSpan w:val="2"/>
            <w:shd w:val="clear" w:color="auto" w:fill="000000"/>
          </w:tcPr>
          <w:p>
            <w:pPr>
              <w:ind w:left="300"/>
              <w:spacing w:after="0" w:line="162" w:lineRule="exact"/>
              <w:rPr>
                <w:sz w:val="20"/>
                <w:szCs w:val="20"/>
                <w:color w:val="auto"/>
              </w:rPr>
            </w:pPr>
            <w:r>
              <w:rPr>
                <w:rFonts w:ascii="Arial" w:cs="Arial" w:eastAsia="Arial" w:hAnsi="Arial"/>
                <w:sz w:val="15"/>
                <w:szCs w:val="15"/>
                <w:b w:val="1"/>
                <w:bCs w:val="1"/>
                <w:color w:val="FFFFFF"/>
              </w:rPr>
              <w:t>77% Performance-Based At Risk</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56"/>
        </w:numPr>
        <w:rPr>
          <w:rFonts w:ascii="MS PGothic" w:cs="MS PGothic" w:eastAsia="MS PGothic" w:hAnsi="MS PGothic"/>
          <w:sz w:val="18"/>
          <w:szCs w:val="18"/>
          <w:color w:val="FF160F"/>
        </w:rPr>
      </w:pPr>
      <w:r>
        <w:rPr>
          <w:rFonts w:ascii="Arial" w:cs="Arial" w:eastAsia="Arial" w:hAnsi="Arial"/>
          <w:sz w:val="18"/>
          <w:szCs w:val="18"/>
          <w:b w:val="1"/>
          <w:bCs w:val="1"/>
          <w:color w:val="auto"/>
        </w:rPr>
        <w:t>INDIVIDUAL ELEMENTS OF 2025 PAY</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Pay</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base pay level established for each of our NEOs represents a modest portion of each individual’s total compensation package and the Compensation Committee believes them to be competitive and appropriate based on market data.</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Program</w:t>
      </w:r>
    </w:p>
    <w:p>
      <w:pPr>
        <w:spacing w:after="0" w:line="21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bonus plan is an annual cash incentive program designed to reward achievement for the current year based on achieving a level of NAREIT FFO per share that the Compensation Committee has determined is necessary for the Company to achieve its business objectives for the year. The Compensation Committee has determined that NAREIT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NAREIT FFO per share at the beginning of each year with levels reflecting performance that ranges from acceptable at the threshold level to exceptional at the stretch level based on budgets reviewed by the entire Board. Approximately 96% of our employees participate in this annual bonus plan.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40" w:type="dxa"/>
            <w:vAlign w:val="bottom"/>
            <w:shd w:val="clear" w:color="auto" w:fill="FF160F"/>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shd w:val="clear" w:color="auto" w:fill="FF160F"/>
          </w:tcPr>
          <w:p>
            <w:pPr>
              <w:ind w:left="900"/>
              <w:spacing w:after="0"/>
              <w:rPr>
                <w:sz w:val="20"/>
                <w:szCs w:val="20"/>
                <w:color w:val="auto"/>
              </w:rPr>
            </w:pPr>
            <w:r>
              <w:rPr>
                <w:rFonts w:ascii="Arial" w:cs="Arial" w:eastAsia="Arial" w:hAnsi="Arial"/>
                <w:sz w:val="16"/>
                <w:szCs w:val="16"/>
                <w:b w:val="1"/>
                <w:bCs w:val="1"/>
                <w:color w:val="FFFFFF"/>
              </w:rPr>
              <w:t>Performance Levels</w:t>
            </w:r>
          </w:p>
        </w:tc>
        <w:tc>
          <w:tcPr>
            <w:tcW w:w="280" w:type="dxa"/>
            <w:vAlign w:val="bottom"/>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300" w:type="dxa"/>
            <w:vAlign w:val="bottom"/>
          </w:tcPr>
          <w:p>
            <w:pPr>
              <w:spacing w:after="0"/>
              <w:rPr>
                <w:sz w:val="17"/>
                <w:szCs w:val="17"/>
                <w:color w:val="auto"/>
              </w:rPr>
            </w:pPr>
          </w:p>
        </w:tc>
        <w:tc>
          <w:tcPr>
            <w:tcW w:w="1100" w:type="dxa"/>
            <w:vAlign w:val="bottom"/>
            <w:shd w:val="clear" w:color="auto" w:fill="FF160F"/>
          </w:tcPr>
          <w:p>
            <w:pPr>
              <w:ind w:left="140"/>
              <w:spacing w:after="0"/>
              <w:rPr>
                <w:sz w:val="20"/>
                <w:szCs w:val="20"/>
                <w:color w:val="auto"/>
              </w:rPr>
            </w:pPr>
            <w:r>
              <w:rPr>
                <w:rFonts w:ascii="Arial" w:cs="Arial" w:eastAsia="Arial" w:hAnsi="Arial"/>
                <w:sz w:val="16"/>
                <w:szCs w:val="16"/>
                <w:b w:val="1"/>
                <w:bCs w:val="1"/>
                <w:color w:val="FFFFFF"/>
              </w:rPr>
              <w:t>Threshold</w:t>
            </w:r>
          </w:p>
        </w:tc>
        <w:tc>
          <w:tcPr>
            <w:tcW w:w="880" w:type="dxa"/>
            <w:vAlign w:val="bottom"/>
            <w:tcBorders>
              <w:right w:val="single" w:sz="8" w:color="FF160F"/>
            </w:tcBorders>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Target</w:t>
            </w:r>
          </w:p>
        </w:tc>
        <w:tc>
          <w:tcPr>
            <w:tcW w:w="1280" w:type="dxa"/>
            <w:vAlign w:val="bottom"/>
            <w:shd w:val="clear" w:color="auto" w:fill="FF160F"/>
          </w:tcPr>
          <w:p>
            <w:pPr>
              <w:jc w:val="center"/>
              <w:ind w:left="79"/>
              <w:spacing w:after="0"/>
              <w:rPr>
                <w:sz w:val="20"/>
                <w:szCs w:val="20"/>
                <w:color w:val="auto"/>
              </w:rPr>
            </w:pPr>
            <w:r>
              <w:rPr>
                <w:rFonts w:ascii="Arial" w:cs="Arial" w:eastAsia="Arial" w:hAnsi="Arial"/>
                <w:sz w:val="16"/>
                <w:szCs w:val="16"/>
                <w:b w:val="1"/>
                <w:bCs w:val="1"/>
                <w:color w:val="FFFFFF"/>
              </w:rPr>
              <w:t>Stretch</w:t>
            </w:r>
          </w:p>
        </w:tc>
        <w:tc>
          <w:tcPr>
            <w:tcW w:w="280" w:type="dxa"/>
            <w:vAlign w:val="bottom"/>
          </w:tcPr>
          <w:p>
            <w:pPr>
              <w:spacing w:after="0"/>
              <w:rPr>
                <w:sz w:val="17"/>
                <w:szCs w:val="17"/>
                <w:color w:val="auto"/>
              </w:rPr>
            </w:pPr>
          </w:p>
        </w:tc>
        <w:tc>
          <w:tcPr>
            <w:tcW w:w="720" w:type="dxa"/>
            <w:vAlign w:val="bottom"/>
            <w:shd w:val="clear" w:color="auto" w:fill="FF160F"/>
          </w:tcPr>
          <w:p>
            <w:pPr>
              <w:ind w:left="160"/>
              <w:spacing w:after="0"/>
              <w:rPr>
                <w:sz w:val="20"/>
                <w:szCs w:val="20"/>
                <w:color w:val="auto"/>
              </w:rPr>
            </w:pPr>
            <w:r>
              <w:rPr>
                <w:rFonts w:ascii="Arial" w:cs="Arial" w:eastAsia="Arial" w:hAnsi="Arial"/>
                <w:sz w:val="16"/>
                <w:szCs w:val="16"/>
                <w:b w:val="1"/>
                <w:bCs w:val="1"/>
                <w:color w:val="FFFFFF"/>
                <w:shd w:val="clear" w:color="auto" w:fill="FF160F"/>
              </w:rPr>
              <w:t>Actual</w:t>
            </w:r>
          </w:p>
        </w:tc>
        <w:tc>
          <w:tcPr>
            <w:tcW w:w="20" w:type="dxa"/>
            <w:vAlign w:val="bottom"/>
          </w:tcPr>
          <w:p>
            <w:pPr>
              <w:spacing w:after="0"/>
              <w:rPr>
                <w:sz w:val="17"/>
                <w:szCs w:val="17"/>
                <w:color w:val="auto"/>
              </w:rPr>
            </w:pPr>
          </w:p>
        </w:tc>
      </w:tr>
      <w:tr>
        <w:trPr>
          <w:trHeight w:val="189"/>
        </w:trPr>
        <w:tc>
          <w:tcPr>
            <w:tcW w:w="53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300" w:type="dxa"/>
            <w:vAlign w:val="bottom"/>
          </w:tcPr>
          <w:p>
            <w:pPr>
              <w:spacing w:after="0"/>
              <w:rPr>
                <w:sz w:val="16"/>
                <w:szCs w:val="16"/>
                <w:color w:val="auto"/>
              </w:rPr>
            </w:pPr>
          </w:p>
        </w:tc>
        <w:tc>
          <w:tcPr>
            <w:tcW w:w="11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75%</w:t>
            </w:r>
          </w:p>
        </w:tc>
        <w:tc>
          <w:tcPr>
            <w:tcW w:w="880" w:type="dxa"/>
            <w:vAlign w:val="bottom"/>
            <w:tcBorders>
              <w:right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i w:val="1"/>
                <w:iCs w:val="1"/>
                <w:color w:val="auto"/>
              </w:rPr>
              <w:t>100%</w:t>
            </w:r>
          </w:p>
        </w:tc>
        <w:tc>
          <w:tcPr>
            <w:tcW w:w="1280" w:type="dxa"/>
            <w:vAlign w:val="bottom"/>
            <w:shd w:val="clear" w:color="auto" w:fill="E5E5E5"/>
          </w:tcPr>
          <w:p>
            <w:pPr>
              <w:jc w:val="center"/>
              <w:ind w:left="99"/>
              <w:spacing w:after="0"/>
              <w:rPr>
                <w:sz w:val="20"/>
                <w:szCs w:val="20"/>
                <w:color w:val="auto"/>
              </w:rPr>
            </w:pPr>
            <w:r>
              <w:rPr>
                <w:rFonts w:ascii="Arial" w:cs="Arial" w:eastAsia="Arial" w:hAnsi="Arial"/>
                <w:sz w:val="16"/>
                <w:szCs w:val="16"/>
                <w:i w:val="1"/>
                <w:iCs w:val="1"/>
                <w:color w:val="auto"/>
              </w:rPr>
              <w:t>125%</w:t>
            </w:r>
          </w:p>
        </w:tc>
        <w:tc>
          <w:tcPr>
            <w:tcW w:w="280" w:type="dxa"/>
            <w:vAlign w:val="bottom"/>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NAREIT FFO per diluted Share</w:t>
            </w:r>
          </w:p>
        </w:tc>
        <w:tc>
          <w:tcPr>
            <w:tcW w:w="3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$7.04</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$7.14</w:t>
            </w:r>
          </w:p>
        </w:tc>
        <w:tc>
          <w:tcPr>
            <w:tcW w:w="12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$7.24</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w:t>
            </w:r>
          </w:p>
        </w:tc>
        <w:tc>
          <w:tcPr>
            <w:tcW w:w="2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Final Payout</w:t>
            </w: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120.0%</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-505460</wp:posOffset>
            </wp:positionV>
            <wp:extent cx="2065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7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achievement levels of NAREIT FFO per share were consistent with the annual budget approved by the Board in February 2025.</w:t>
      </w:r>
    </w:p>
    <w:p>
      <w:pPr>
        <w:spacing w:after="0" w:line="15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 Company within that NEO’s area of responsibility. Based on a review of each individual’s performance and the considerations outlined in detail below, the Compensation Committee elected to award each of our NEOs the full amount of the individual performance portion of his/her bonus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24</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66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shd w:val="clear" w:color="auto" w:fill="FF160F"/>
          </w:tcPr>
          <w:p>
            <w:pPr>
              <w:spacing w:after="0"/>
              <w:rPr>
                <w:sz w:val="21"/>
                <w:szCs w:val="21"/>
                <w:color w:val="auto"/>
              </w:rPr>
            </w:pPr>
          </w:p>
        </w:tc>
        <w:tc>
          <w:tcPr>
            <w:tcW w:w="240" w:type="dxa"/>
            <w:vAlign w:val="bottom"/>
            <w:shd w:val="clear" w:color="auto" w:fill="FF160F"/>
          </w:tcPr>
          <w:p>
            <w:pPr>
              <w:spacing w:after="0"/>
              <w:rPr>
                <w:sz w:val="21"/>
                <w:szCs w:val="21"/>
                <w:color w:val="auto"/>
              </w:rPr>
            </w:pPr>
          </w:p>
        </w:tc>
        <w:tc>
          <w:tcPr>
            <w:tcW w:w="84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shd w:val="clear" w:color="auto" w:fill="FF160F"/>
          </w:tcPr>
          <w:p>
            <w:pPr>
              <w:spacing w:after="0"/>
              <w:rPr>
                <w:sz w:val="21"/>
                <w:szCs w:val="21"/>
                <w:color w:val="auto"/>
              </w:rPr>
            </w:pPr>
          </w:p>
        </w:tc>
        <w:tc>
          <w:tcPr>
            <w:tcW w:w="940" w:type="dxa"/>
            <w:vAlign w:val="bottom"/>
            <w:vMerge w:val="restart"/>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Potential</w:t>
            </w:r>
          </w:p>
        </w:tc>
        <w:tc>
          <w:tcPr>
            <w:tcW w:w="180" w:type="dxa"/>
            <w:vAlign w:val="bottom"/>
          </w:tcPr>
          <w:p>
            <w:pPr>
              <w:spacing w:after="0"/>
              <w:rPr>
                <w:sz w:val="21"/>
                <w:szCs w:val="21"/>
                <w:color w:val="auto"/>
              </w:rPr>
            </w:pPr>
          </w:p>
        </w:tc>
        <w:tc>
          <w:tcPr>
            <w:tcW w:w="180" w:type="dxa"/>
            <w:vAlign w:val="bottom"/>
            <w:shd w:val="clear" w:color="auto" w:fill="FF160F"/>
          </w:tcPr>
          <w:p>
            <w:pPr>
              <w:spacing w:after="0"/>
              <w:rPr>
                <w:sz w:val="21"/>
                <w:szCs w:val="21"/>
                <w:color w:val="auto"/>
              </w:rPr>
            </w:pPr>
          </w:p>
        </w:tc>
        <w:tc>
          <w:tcPr>
            <w:tcW w:w="940" w:type="dxa"/>
            <w:vAlign w:val="bottom"/>
            <w:shd w:val="clear" w:color="auto" w:fill="FF160F"/>
          </w:tcPr>
          <w:p>
            <w:pPr>
              <w:spacing w:after="0"/>
              <w:rPr>
                <w:sz w:val="21"/>
                <w:szCs w:val="21"/>
                <w:color w:val="auto"/>
              </w:rPr>
            </w:pPr>
          </w:p>
        </w:tc>
        <w:tc>
          <w:tcPr>
            <w:tcW w:w="1200" w:type="dxa"/>
            <w:vAlign w:val="bottom"/>
            <w:gridSpan w:val="2"/>
            <w:shd w:val="clear" w:color="auto" w:fill="FF160F"/>
          </w:tcPr>
          <w:p>
            <w:pPr>
              <w:ind w:left="40"/>
              <w:spacing w:after="0"/>
              <w:rPr>
                <w:sz w:val="20"/>
                <w:szCs w:val="20"/>
                <w:color w:val="auto"/>
              </w:rPr>
            </w:pPr>
            <w:r>
              <w:rPr>
                <w:rFonts w:ascii="Arial" w:cs="Arial" w:eastAsia="Arial" w:hAnsi="Arial"/>
                <w:sz w:val="16"/>
                <w:szCs w:val="16"/>
                <w:b w:val="1"/>
                <w:bCs w:val="1"/>
                <w:color w:val="FFFFFF"/>
              </w:rPr>
              <w:t>Actual Earned</w:t>
            </w:r>
          </w:p>
        </w:tc>
        <w:tc>
          <w:tcPr>
            <w:tcW w:w="260" w:type="dxa"/>
            <w:vAlign w:val="bottom"/>
            <w:shd w:val="clear" w:color="auto" w:fill="FF160F"/>
          </w:tcPr>
          <w:p>
            <w:pPr>
              <w:spacing w:after="0"/>
              <w:rPr>
                <w:sz w:val="21"/>
                <w:szCs w:val="21"/>
                <w:color w:val="auto"/>
              </w:rPr>
            </w:pPr>
          </w:p>
        </w:tc>
        <w:tc>
          <w:tcPr>
            <w:tcW w:w="820" w:type="dxa"/>
            <w:vAlign w:val="bottom"/>
            <w:shd w:val="clear" w:color="auto" w:fill="FF160F"/>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660" w:type="dxa"/>
            <w:vAlign w:val="bottom"/>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shd w:val="clear" w:color="auto" w:fill="FF160F"/>
          </w:tcPr>
          <w:p>
            <w:pPr>
              <w:spacing w:after="0"/>
              <w:rPr>
                <w:sz w:val="7"/>
                <w:szCs w:val="7"/>
                <w:color w:val="auto"/>
              </w:rPr>
            </w:pPr>
          </w:p>
        </w:tc>
        <w:tc>
          <w:tcPr>
            <w:tcW w:w="240" w:type="dxa"/>
            <w:vAlign w:val="bottom"/>
            <w:shd w:val="clear" w:color="auto" w:fill="FF160F"/>
          </w:tcPr>
          <w:p>
            <w:pPr>
              <w:spacing w:after="0"/>
              <w:rPr>
                <w:sz w:val="7"/>
                <w:szCs w:val="7"/>
                <w:color w:val="auto"/>
              </w:rPr>
            </w:pPr>
          </w:p>
        </w:tc>
        <w:tc>
          <w:tcPr>
            <w:tcW w:w="840" w:type="dxa"/>
            <w:vAlign w:val="bottom"/>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shd w:val="clear" w:color="auto" w:fill="FF160F"/>
          </w:tcPr>
          <w:p>
            <w:pPr>
              <w:spacing w:after="0"/>
              <w:rPr>
                <w:sz w:val="7"/>
                <w:szCs w:val="7"/>
                <w:color w:val="auto"/>
              </w:rPr>
            </w:pPr>
          </w:p>
        </w:tc>
        <w:tc>
          <w:tcPr>
            <w:tcW w:w="940" w:type="dxa"/>
            <w:vAlign w:val="bottom"/>
            <w:vMerge w:val="continue"/>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shd w:val="clear" w:color="auto" w:fill="FF160F"/>
          </w:tcPr>
          <w:p>
            <w:pPr>
              <w:spacing w:after="0"/>
              <w:rPr>
                <w:sz w:val="7"/>
                <w:szCs w:val="7"/>
                <w:color w:val="auto"/>
              </w:rPr>
            </w:pPr>
          </w:p>
        </w:tc>
        <w:tc>
          <w:tcPr>
            <w:tcW w:w="940" w:type="dxa"/>
            <w:vAlign w:val="bottom"/>
            <w:shd w:val="clear" w:color="auto" w:fill="FF160F"/>
          </w:tcPr>
          <w:p>
            <w:pPr>
              <w:spacing w:after="0"/>
              <w:rPr>
                <w:sz w:val="7"/>
                <w:szCs w:val="7"/>
                <w:color w:val="auto"/>
              </w:rPr>
            </w:pPr>
          </w:p>
        </w:tc>
        <w:tc>
          <w:tcPr>
            <w:tcW w:w="200" w:type="dxa"/>
            <w:vAlign w:val="bottom"/>
            <w:shd w:val="clear" w:color="auto" w:fill="FF160F"/>
          </w:tcPr>
          <w:p>
            <w:pPr>
              <w:spacing w:after="0"/>
              <w:rPr>
                <w:sz w:val="7"/>
                <w:szCs w:val="7"/>
                <w:color w:val="auto"/>
              </w:rPr>
            </w:pPr>
          </w:p>
        </w:tc>
        <w:tc>
          <w:tcPr>
            <w:tcW w:w="1000" w:type="dxa"/>
            <w:vAlign w:val="bottom"/>
            <w:shd w:val="clear" w:color="auto" w:fill="FF160F"/>
          </w:tcPr>
          <w:p>
            <w:pPr>
              <w:spacing w:after="0"/>
              <w:rPr>
                <w:sz w:val="7"/>
                <w:szCs w:val="7"/>
                <w:color w:val="auto"/>
              </w:rPr>
            </w:pPr>
          </w:p>
        </w:tc>
        <w:tc>
          <w:tcPr>
            <w:tcW w:w="260" w:type="dxa"/>
            <w:vAlign w:val="bottom"/>
            <w:shd w:val="clear" w:color="auto" w:fill="FF160F"/>
          </w:tcPr>
          <w:p>
            <w:pPr>
              <w:spacing w:after="0"/>
              <w:rPr>
                <w:sz w:val="7"/>
                <w:szCs w:val="7"/>
                <w:color w:val="auto"/>
              </w:rPr>
            </w:pPr>
          </w:p>
        </w:tc>
        <w:tc>
          <w:tcPr>
            <w:tcW w:w="820" w:type="dxa"/>
            <w:vAlign w:val="bottom"/>
            <w:shd w:val="clear" w:color="auto" w:fill="FF160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FF160F"/>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24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19"/>
              <w:spacing w:after="0"/>
              <w:rPr>
                <w:sz w:val="20"/>
                <w:szCs w:val="20"/>
                <w:color w:val="auto"/>
              </w:rPr>
            </w:pPr>
            <w:r>
              <w:rPr>
                <w:rFonts w:ascii="Arial" w:cs="Arial" w:eastAsia="Arial" w:hAnsi="Arial"/>
                <w:sz w:val="16"/>
                <w:szCs w:val="16"/>
                <w:b w:val="1"/>
                <w:bCs w:val="1"/>
                <w:color w:val="FFFFFF"/>
              </w:rPr>
              <w:t>Target</w:t>
            </w:r>
          </w:p>
        </w:tc>
        <w:tc>
          <w:tcPr>
            <w:tcW w:w="180" w:type="dxa"/>
            <w:vAlign w:val="bottom"/>
          </w:tcPr>
          <w:p>
            <w:pPr>
              <w:spacing w:after="0"/>
              <w:rPr>
                <w:sz w:val="16"/>
                <w:szCs w:val="16"/>
                <w:color w:val="auto"/>
              </w:rPr>
            </w:pPr>
          </w:p>
        </w:tc>
        <w:tc>
          <w:tcPr>
            <w:tcW w:w="16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Maximum</w:t>
            </w:r>
          </w:p>
        </w:tc>
        <w:tc>
          <w:tcPr>
            <w:tcW w:w="180" w:type="dxa"/>
            <w:vAlign w:val="bottom"/>
          </w:tcPr>
          <w:p>
            <w:pPr>
              <w:spacing w:after="0"/>
              <w:rPr>
                <w:sz w:val="16"/>
                <w:szCs w:val="16"/>
                <w:color w:val="auto"/>
              </w:rPr>
            </w:pPr>
          </w:p>
        </w:tc>
        <w:tc>
          <w:tcPr>
            <w:tcW w:w="180" w:type="dxa"/>
            <w:vAlign w:val="bottom"/>
            <w:shd w:val="clear" w:color="auto" w:fill="FF160F"/>
          </w:tcPr>
          <w:p>
            <w:pPr>
              <w:spacing w:after="0"/>
              <w:rPr>
                <w:sz w:val="16"/>
                <w:szCs w:val="16"/>
                <w:color w:val="auto"/>
              </w:rPr>
            </w:pPr>
          </w:p>
        </w:tc>
        <w:tc>
          <w:tcPr>
            <w:tcW w:w="940" w:type="dxa"/>
            <w:vAlign w:val="bottom"/>
            <w:shd w:val="clear" w:color="auto" w:fill="FF160F"/>
          </w:tcPr>
          <w:p>
            <w:pPr>
              <w:jc w:val="right"/>
              <w:ind w:right="99"/>
              <w:spacing w:after="0"/>
              <w:rPr>
                <w:sz w:val="20"/>
                <w:szCs w:val="20"/>
                <w:color w:val="auto"/>
              </w:rPr>
            </w:pPr>
            <w:r>
              <w:rPr>
                <w:rFonts w:ascii="Arial" w:cs="Arial" w:eastAsia="Arial" w:hAnsi="Arial"/>
                <w:sz w:val="16"/>
                <w:szCs w:val="16"/>
                <w:b w:val="1"/>
                <w:bCs w:val="1"/>
                <w:color w:val="FFFFFF"/>
              </w:rPr>
              <w:t>Company</w:t>
            </w:r>
          </w:p>
        </w:tc>
        <w:tc>
          <w:tcPr>
            <w:tcW w:w="200" w:type="dxa"/>
            <w:vAlign w:val="bottom"/>
            <w:shd w:val="clear" w:color="auto" w:fill="FF160F"/>
          </w:tcPr>
          <w:p>
            <w:pPr>
              <w:spacing w:after="0"/>
              <w:rPr>
                <w:sz w:val="16"/>
                <w:szCs w:val="16"/>
                <w:color w:val="auto"/>
              </w:rPr>
            </w:pPr>
          </w:p>
        </w:tc>
        <w:tc>
          <w:tcPr>
            <w:tcW w:w="1000" w:type="dxa"/>
            <w:vAlign w:val="bottom"/>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Individual</w:t>
            </w:r>
          </w:p>
        </w:tc>
        <w:tc>
          <w:tcPr>
            <w:tcW w:w="260" w:type="dxa"/>
            <w:vAlign w:val="bottom"/>
            <w:shd w:val="clear" w:color="auto" w:fill="FF160F"/>
          </w:tcPr>
          <w:p>
            <w:pPr>
              <w:spacing w:after="0"/>
              <w:rPr>
                <w:sz w:val="16"/>
                <w:szCs w:val="16"/>
                <w:color w:val="auto"/>
              </w:rPr>
            </w:pPr>
          </w:p>
        </w:tc>
        <w:tc>
          <w:tcPr>
            <w:tcW w:w="82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7"/>
        </w:trPr>
        <w:tc>
          <w:tcPr>
            <w:tcW w:w="266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  NEO</w:t>
            </w:r>
          </w:p>
        </w:tc>
        <w:tc>
          <w:tcPr>
            <w:tcW w:w="180" w:type="dxa"/>
            <w:vAlign w:val="bottom"/>
          </w:tcPr>
          <w:p>
            <w:pPr>
              <w:spacing w:after="0"/>
              <w:rPr>
                <w:sz w:val="18"/>
                <w:szCs w:val="18"/>
                <w:color w:val="auto"/>
              </w:rPr>
            </w:pPr>
          </w:p>
        </w:tc>
        <w:tc>
          <w:tcPr>
            <w:tcW w:w="11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 Base Pay)</w:t>
            </w:r>
          </w:p>
        </w:tc>
        <w:tc>
          <w:tcPr>
            <w:tcW w:w="240" w:type="dxa"/>
            <w:vAlign w:val="bottom"/>
            <w:shd w:val="clear" w:color="auto" w:fill="FF160F"/>
          </w:tcPr>
          <w:p>
            <w:pPr>
              <w:spacing w:after="0"/>
              <w:rPr>
                <w:sz w:val="18"/>
                <w:szCs w:val="18"/>
                <w:color w:val="auto"/>
              </w:rPr>
            </w:pPr>
          </w:p>
        </w:tc>
        <w:tc>
          <w:tcPr>
            <w:tcW w:w="840" w:type="dxa"/>
            <w:vAlign w:val="bottom"/>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w:t>
            </w:r>
          </w:p>
        </w:tc>
        <w:tc>
          <w:tcPr>
            <w:tcW w:w="180" w:type="dxa"/>
            <w:vAlign w:val="bottom"/>
          </w:tcPr>
          <w:p>
            <w:pPr>
              <w:spacing w:after="0"/>
              <w:rPr>
                <w:sz w:val="18"/>
                <w:szCs w:val="18"/>
                <w:color w:val="auto"/>
              </w:rPr>
            </w:pPr>
          </w:p>
        </w:tc>
        <w:tc>
          <w:tcPr>
            <w:tcW w:w="160" w:type="dxa"/>
            <w:vAlign w:val="bottom"/>
            <w:shd w:val="clear" w:color="auto" w:fill="FF160F"/>
          </w:tcPr>
          <w:p>
            <w:pPr>
              <w:spacing w:after="0"/>
              <w:rPr>
                <w:sz w:val="18"/>
                <w:szCs w:val="18"/>
                <w:color w:val="auto"/>
              </w:rPr>
            </w:pPr>
          </w:p>
        </w:tc>
        <w:tc>
          <w:tcPr>
            <w:tcW w:w="940" w:type="dxa"/>
            <w:vAlign w:val="bottom"/>
            <w:shd w:val="clear" w:color="auto" w:fill="FF160F"/>
          </w:tcPr>
          <w:p>
            <w:pPr>
              <w:jc w:val="center"/>
              <w:ind w:right="39"/>
              <w:spacing w:after="0"/>
              <w:rPr>
                <w:sz w:val="20"/>
                <w:szCs w:val="20"/>
                <w:color w:val="auto"/>
              </w:rPr>
            </w:pPr>
            <w:r>
              <w:rPr>
                <w:rFonts w:ascii="Arial" w:cs="Arial" w:eastAsia="Arial" w:hAnsi="Arial"/>
                <w:sz w:val="16"/>
                <w:szCs w:val="16"/>
                <w:b w:val="1"/>
                <w:bCs w:val="1"/>
                <w:color w:val="FFFFFF"/>
              </w:rPr>
              <w:t>Payout</w:t>
            </w:r>
          </w:p>
        </w:tc>
        <w:tc>
          <w:tcPr>
            <w:tcW w:w="180" w:type="dxa"/>
            <w:vAlign w:val="bottom"/>
          </w:tcPr>
          <w:p>
            <w:pPr>
              <w:spacing w:after="0"/>
              <w:rPr>
                <w:sz w:val="18"/>
                <w:szCs w:val="18"/>
                <w:color w:val="auto"/>
              </w:rPr>
            </w:pPr>
          </w:p>
        </w:tc>
        <w:tc>
          <w:tcPr>
            <w:tcW w:w="1120" w:type="dxa"/>
            <w:vAlign w:val="bottom"/>
            <w:gridSpan w:val="2"/>
            <w:shd w:val="clear" w:color="auto" w:fill="FF160F"/>
          </w:tcPr>
          <w:p>
            <w:pPr>
              <w:jc w:val="right"/>
              <w:spacing w:after="0"/>
              <w:rPr>
                <w:sz w:val="20"/>
                <w:szCs w:val="20"/>
                <w:color w:val="auto"/>
              </w:rPr>
            </w:pPr>
            <w:r>
              <w:rPr>
                <w:rFonts w:ascii="Arial" w:cs="Arial" w:eastAsia="Arial" w:hAnsi="Arial"/>
                <w:sz w:val="16"/>
                <w:szCs w:val="16"/>
                <w:b w:val="1"/>
                <w:bCs w:val="1"/>
                <w:color w:val="FFFFFF"/>
              </w:rPr>
              <w:t>Performance</w:t>
            </w:r>
          </w:p>
        </w:tc>
        <w:tc>
          <w:tcPr>
            <w:tcW w:w="1200" w:type="dxa"/>
            <w:vAlign w:val="bottom"/>
            <w:gridSpan w:val="2"/>
            <w:shd w:val="clear" w:color="auto" w:fill="FF160F"/>
          </w:tcPr>
          <w:p>
            <w:pPr>
              <w:ind w:left="100"/>
              <w:spacing w:after="0"/>
              <w:rPr>
                <w:sz w:val="20"/>
                <w:szCs w:val="20"/>
                <w:color w:val="auto"/>
              </w:rPr>
            </w:pPr>
            <w:r>
              <w:rPr>
                <w:rFonts w:ascii="Arial" w:cs="Arial" w:eastAsia="Arial" w:hAnsi="Arial"/>
                <w:sz w:val="16"/>
                <w:szCs w:val="16"/>
                <w:b w:val="1"/>
                <w:bCs w:val="1"/>
                <w:color w:val="FFFFFF"/>
              </w:rPr>
              <w:t>Performance</w:t>
            </w:r>
          </w:p>
        </w:tc>
        <w:tc>
          <w:tcPr>
            <w:tcW w:w="260" w:type="dxa"/>
            <w:vAlign w:val="bottom"/>
            <w:shd w:val="clear" w:color="auto" w:fill="FF160F"/>
          </w:tcPr>
          <w:p>
            <w:pPr>
              <w:spacing w:after="0"/>
              <w:rPr>
                <w:sz w:val="18"/>
                <w:szCs w:val="18"/>
                <w:color w:val="auto"/>
              </w:rPr>
            </w:pPr>
          </w:p>
        </w:tc>
        <w:tc>
          <w:tcPr>
            <w:tcW w:w="82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Paid</w:t>
            </w:r>
          </w:p>
        </w:tc>
        <w:tc>
          <w:tcPr>
            <w:tcW w:w="0" w:type="dxa"/>
            <w:vAlign w:val="bottom"/>
          </w:tcPr>
          <w:p>
            <w:pPr>
              <w:spacing w:after="0"/>
              <w:rPr>
                <w:sz w:val="1"/>
                <w:szCs w:val="1"/>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  Mr. Wood</w:t>
            </w:r>
          </w:p>
        </w:tc>
        <w:tc>
          <w:tcPr>
            <w:tcW w:w="18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Arial" w:cs="Arial" w:eastAsia="Arial" w:hAnsi="Arial"/>
                <w:sz w:val="16"/>
                <w:szCs w:val="16"/>
                <w:color w:val="auto"/>
              </w:rPr>
              <w:t>150%</w:t>
            </w:r>
          </w:p>
        </w:tc>
        <w:tc>
          <w:tcPr>
            <w:tcW w:w="240" w:type="dxa"/>
            <w:vAlign w:val="bottom"/>
          </w:tcPr>
          <w:p>
            <w:pPr>
              <w:ind w:left="4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w w:val="91"/>
              </w:rPr>
              <w:t>   1,800,000</w:t>
            </w:r>
          </w:p>
        </w:tc>
        <w:tc>
          <w:tcPr>
            <w:tcW w:w="180" w:type="dxa"/>
            <w:vAlign w:val="bottom"/>
          </w:tcPr>
          <w:p>
            <w:pPr>
              <w:spacing w:after="0"/>
              <w:rPr>
                <w:sz w:val="15"/>
                <w:szCs w:val="15"/>
                <w:color w:val="auto"/>
              </w:rPr>
            </w:pP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   450,000</w:t>
            </w:r>
          </w:p>
        </w:tc>
        <w:tc>
          <w:tcPr>
            <w:tcW w:w="200" w:type="dxa"/>
            <w:vAlign w:val="bottom"/>
          </w:tcPr>
          <w:p>
            <w:pPr>
              <w:ind w:left="100"/>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91"/>
              </w:rPr>
              <w:t>   1,350,000</w:t>
            </w:r>
          </w:p>
        </w:tc>
        <w:tc>
          <w:tcPr>
            <w:tcW w:w="260" w:type="dxa"/>
            <w:vAlign w:val="bottom"/>
          </w:tcPr>
          <w:p>
            <w:pPr>
              <w:ind w:left="40"/>
              <w:spacing w:after="0" w:line="175" w:lineRule="exact"/>
              <w:rPr>
                <w:sz w:val="20"/>
                <w:szCs w:val="20"/>
                <w:color w:val="auto"/>
              </w:rPr>
            </w:pPr>
            <w:r>
              <w:rPr>
                <w:rFonts w:ascii="Arial" w:cs="Arial" w:eastAsia="Arial" w:hAnsi="Arial"/>
                <w:sz w:val="16"/>
                <w:szCs w:val="16"/>
                <w:color w:val="auto"/>
              </w:rPr>
              <w:t xml:space="preserve">$ </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color w:val="auto"/>
              </w:rPr>
              <w:t>  Mr. Guglielmone</w:t>
            </w:r>
          </w:p>
        </w:tc>
        <w:tc>
          <w:tcPr>
            <w:tcW w:w="1120" w:type="dxa"/>
            <w:vAlign w:val="bottom"/>
          </w:tcPr>
          <w:p>
            <w:pPr>
              <w:jc w:val="center"/>
              <w:spacing w:after="0"/>
              <w:rPr>
                <w:sz w:val="20"/>
                <w:szCs w:val="20"/>
                <w:color w:val="auto"/>
              </w:rPr>
            </w:pPr>
            <w:r>
              <w:rPr>
                <w:rFonts w:ascii="Arial" w:cs="Arial" w:eastAsia="Arial" w:hAnsi="Arial"/>
                <w:sz w:val="16"/>
                <w:szCs w:val="16"/>
                <w:color w:val="auto"/>
              </w:rPr>
              <w:t>150%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1,170,000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292,500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877,500</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1,170,000</w:t>
            </w: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6"/>
                <w:szCs w:val="16"/>
                <w:color w:val="auto"/>
              </w:rPr>
              <w:t>  Ms. Becker</w:t>
            </w:r>
          </w:p>
        </w:tc>
        <w:tc>
          <w:tcPr>
            <w:tcW w:w="1120" w:type="dxa"/>
            <w:vAlign w:val="bottom"/>
          </w:tcPr>
          <w:p>
            <w:pPr>
              <w:jc w:val="center"/>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690,000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172,500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517,500</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-675005</wp:posOffset>
            </wp:positionV>
            <wp:extent cx="2160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2025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Program</w:t>
      </w:r>
    </w:p>
    <w:p>
      <w:pPr>
        <w:spacing w:after="0" w:line="21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Plan Metric</w:t>
      </w:r>
    </w:p>
    <w:p>
      <w:pPr>
        <w:spacing w:after="0" w:line="14" w:lineRule="exact"/>
        <w:rPr>
          <w:sz w:val="20"/>
          <w:szCs w:val="20"/>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18"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(34% weighting)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NAREIT FFO Multiple Premium</w:t>
      </w:r>
    </w:p>
    <w:p>
      <w:pPr>
        <w:spacing w:after="0" w:line="36"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(33% weighting)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Return on Invested Capital</w:t>
      </w:r>
    </w:p>
    <w:p>
      <w:pPr>
        <w:spacing w:after="0" w:line="36"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(33%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-1932940</wp:posOffset>
            </wp:positionV>
            <wp:extent cx="2520315" cy="2460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0315" cy="2460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Description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Compares our total shareholder return, taking into account share price appreciation and assuming reinvestment of dividends, against the total return achieved by the Bloomberg REIT Shopping Center Index (“BBRESHOP”) which is comprised of publicly traded companies that own and operate open air shopping centers. The Compensation Committee believes that the BBRESHOP provides an appropriate basis to compare our performance against similarly situated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4260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18"/>
          <w:szCs w:val="18"/>
          <w:color w:val="auto"/>
        </w:rPr>
        <w:t>Compares the NAREIT FFO multiple at which the Company is trading at the end of the performance period against the average NAREIT FFO multiple at which all other public shopping center companies (other than the Company) are trading at that time. The NAREIT FFO multiples are provided by a third party investment bank and serve as measures of investor expectations of our long-term growth potential and confidence in our management team versus other publicly traded open air shopping center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42602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jc w:val="both"/>
        <w:spacing w:after="0" w:line="238" w:lineRule="auto"/>
        <w:rPr>
          <w:sz w:val="20"/>
          <w:szCs w:val="20"/>
          <w:color w:val="auto"/>
        </w:rPr>
      </w:pPr>
      <w:r>
        <w:rPr>
          <w:rFonts w:ascii="Arial" w:cs="Arial" w:eastAsia="Arial" w:hAnsi="Arial"/>
          <w:sz w:val="18"/>
          <w:szCs w:val="18"/>
          <w:color w:val="auto"/>
        </w:rPr>
        <w:t>Reflects how effectively we have allocated our shareholders’ capital during the 3-year performance period and incentivizes sound, long-term investment decisions focused on generating strong future shareholder returns. The metric encompasses all aspects of capital allocation decisions. Required performance levels are established to reflect changing market expectations as we acquire, sell and develop assets.</w:t>
      </w:r>
    </w:p>
    <w:p>
      <w:pPr>
        <w:spacing w:after="0" w:line="200" w:lineRule="exact"/>
        <w:rPr>
          <w:sz w:val="20"/>
          <w:szCs w:val="20"/>
          <w:color w:val="auto"/>
        </w:rPr>
      </w:pPr>
    </w:p>
    <w:p>
      <w:pPr>
        <w:sectPr>
          <w:pgSz w:w="11900" w:h="16838" w:orient="portrait"/>
          <w:cols w:equalWidth="0" w:num="2">
            <w:col w:w="3720" w:space="720"/>
            <w:col w:w="6680"/>
          </w:cols>
          <w:pgMar w:left="320" w:top="482" w:right="459" w:bottom="1440" w:gutter="0" w:footer="0" w:header="0"/>
          <w:type w:val="continuous"/>
        </w:sectPr>
      </w:pPr>
    </w:p>
    <w:p>
      <w:pPr>
        <w:spacing w:after="0" w:line="8" w:lineRule="exact"/>
        <w:rPr>
          <w:sz w:val="20"/>
          <w:szCs w:val="20"/>
          <w:color w:val="auto"/>
        </w:rPr>
      </w:pPr>
    </w:p>
    <w:p>
      <w:pPr>
        <w:jc w:val="both"/>
        <w:ind w:left="540" w:hanging="424"/>
        <w:spacing w:after="0" w:line="25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BBRESHOP was discontinued on July 18, 2025. On the recommendation of SBCG, we retained an independent third party consultant to complete the calculation of the index performance for the last 5.5 months of the 3-year performance period ending December 31, 2025. The Compensation Committee is considering alternatives for the BBRESHOP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25</w:t>
      </w:r>
    </w:p>
    <w:p>
      <w:pPr>
        <w:sectPr>
          <w:pgSz w:w="11900" w:h="16838" w:orient="portrait"/>
          <w:cols w:equalWidth="0" w:num="1">
            <w:col w:w="11120"/>
          </w:cols>
          <w:pgMar w:left="320" w:top="482"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performance levels for each of these metrics and the actual performance achieved for the 3-year performance period from 2023 through 2025 is set forth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100" w:type="dxa"/>
            <w:vAlign w:val="bottom"/>
            <w:shd w:val="clear" w:color="auto" w:fill="FF160F"/>
          </w:tcPr>
          <w:p>
            <w:pPr>
              <w:spacing w:after="0"/>
              <w:rPr>
                <w:sz w:val="21"/>
                <w:szCs w:val="21"/>
                <w:color w:val="auto"/>
              </w:rPr>
            </w:pPr>
          </w:p>
        </w:tc>
        <w:tc>
          <w:tcPr>
            <w:tcW w:w="100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3"/>
            <w:shd w:val="clear" w:color="auto" w:fill="FF160F"/>
          </w:tcPr>
          <w:p>
            <w:pPr>
              <w:ind w:left="1000"/>
              <w:spacing w:after="0"/>
              <w:rPr>
                <w:sz w:val="20"/>
                <w:szCs w:val="20"/>
                <w:color w:val="auto"/>
              </w:rPr>
            </w:pPr>
            <w:r>
              <w:rPr>
                <w:rFonts w:ascii="Arial" w:cs="Arial" w:eastAsia="Arial" w:hAnsi="Arial"/>
                <w:sz w:val="16"/>
                <w:szCs w:val="16"/>
                <w:b w:val="1"/>
                <w:bCs w:val="1"/>
                <w:color w:val="FFFFFF"/>
              </w:rPr>
              <w:t>Performance Targets</w:t>
            </w:r>
          </w:p>
        </w:tc>
        <w:tc>
          <w:tcPr>
            <w:tcW w:w="220" w:type="dxa"/>
            <w:vAlign w:val="bottom"/>
            <w:tcBorders>
              <w:right w:val="single" w:sz="8" w:color="FF160F"/>
            </w:tcBorders>
          </w:tcPr>
          <w:p>
            <w:pPr>
              <w:spacing w:after="0"/>
              <w:rPr>
                <w:sz w:val="21"/>
                <w:szCs w:val="21"/>
                <w:color w:val="auto"/>
              </w:rPr>
            </w:pPr>
          </w:p>
        </w:tc>
        <w:tc>
          <w:tcPr>
            <w:tcW w:w="1940" w:type="dxa"/>
            <w:vAlign w:val="bottom"/>
            <w:gridSpan w:val="2"/>
            <w:shd w:val="clear" w:color="auto" w:fill="FF160F"/>
          </w:tcPr>
          <w:p>
            <w:pPr>
              <w:ind w:left="460"/>
              <w:spacing w:after="0"/>
              <w:rPr>
                <w:sz w:val="20"/>
                <w:szCs w:val="20"/>
                <w:color w:val="auto"/>
              </w:rPr>
            </w:pPr>
            <w:r>
              <w:rPr>
                <w:rFonts w:ascii="Arial" w:cs="Arial" w:eastAsia="Arial" w:hAnsi="Arial"/>
                <w:sz w:val="16"/>
                <w:szCs w:val="16"/>
                <w:b w:val="1"/>
                <w:bCs w:val="1"/>
                <w:color w:val="FFFFFF"/>
              </w:rPr>
              <w:t>Payout Factor</w:t>
            </w:r>
          </w:p>
        </w:tc>
        <w:tc>
          <w:tcPr>
            <w:tcW w:w="20" w:type="dxa"/>
            <w:vAlign w:val="bottom"/>
          </w:tcPr>
          <w:p>
            <w:pPr>
              <w:spacing w:after="0"/>
              <w:rPr>
                <w:sz w:val="21"/>
                <w:szCs w:val="21"/>
                <w:color w:val="auto"/>
              </w:rPr>
            </w:pPr>
          </w:p>
        </w:tc>
      </w:tr>
      <w:tr>
        <w:trPr>
          <w:trHeight w:val="270"/>
        </w:trPr>
        <w:tc>
          <w:tcPr>
            <w:tcW w:w="410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1000" w:type="dxa"/>
            <w:vAlign w:val="bottom"/>
            <w:shd w:val="clear" w:color="auto" w:fill="FF160F"/>
          </w:tcPr>
          <w:p>
            <w:pPr>
              <w:jc w:val="right"/>
              <w:ind w:right="19"/>
              <w:spacing w:after="0"/>
              <w:rPr>
                <w:sz w:val="20"/>
                <w:szCs w:val="20"/>
                <w:color w:val="auto"/>
              </w:rPr>
            </w:pPr>
            <w:r>
              <w:rPr>
                <w:rFonts w:ascii="Arial" w:cs="Arial" w:eastAsia="Arial" w:hAnsi="Arial"/>
                <w:sz w:val="16"/>
                <w:szCs w:val="16"/>
                <w:b w:val="1"/>
                <w:bCs w:val="1"/>
                <w:color w:val="FFFFFF"/>
              </w:rPr>
              <w:t>Weighting </w:t>
            </w:r>
          </w:p>
        </w:tc>
        <w:tc>
          <w:tcPr>
            <w:tcW w:w="180" w:type="dxa"/>
            <w:vAlign w:val="bottom"/>
          </w:tcPr>
          <w:p>
            <w:pPr>
              <w:spacing w:after="0"/>
              <w:rPr>
                <w:sz w:val="23"/>
                <w:szCs w:val="23"/>
                <w:color w:val="auto"/>
              </w:rPr>
            </w:pPr>
          </w:p>
        </w:tc>
        <w:tc>
          <w:tcPr>
            <w:tcW w:w="118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Threshold</w:t>
            </w:r>
          </w:p>
        </w:tc>
        <w:tc>
          <w:tcPr>
            <w:tcW w:w="12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Target</w:t>
            </w:r>
          </w:p>
        </w:tc>
        <w:tc>
          <w:tcPr>
            <w:tcW w:w="118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Stretch</w:t>
            </w:r>
          </w:p>
        </w:tc>
        <w:tc>
          <w:tcPr>
            <w:tcW w:w="220" w:type="dxa"/>
            <w:vAlign w:val="bottom"/>
            <w:tcBorders>
              <w:right w:val="single" w:sz="8" w:color="FF160F"/>
            </w:tcBorders>
          </w:tcPr>
          <w:p>
            <w:pPr>
              <w:spacing w:after="0"/>
              <w:rPr>
                <w:sz w:val="23"/>
                <w:szCs w:val="23"/>
                <w:color w:val="auto"/>
              </w:rPr>
            </w:pPr>
          </w:p>
        </w:tc>
        <w:tc>
          <w:tcPr>
            <w:tcW w:w="1080" w:type="dxa"/>
            <w:vAlign w:val="bottom"/>
            <w:shd w:val="clear" w:color="auto" w:fill="FF160F"/>
          </w:tcPr>
          <w:p>
            <w:pPr>
              <w:ind w:left="100"/>
              <w:spacing w:after="0"/>
              <w:rPr>
                <w:sz w:val="20"/>
                <w:szCs w:val="20"/>
                <w:color w:val="auto"/>
              </w:rPr>
            </w:pPr>
            <w:r>
              <w:rPr>
                <w:rFonts w:ascii="Arial" w:cs="Arial" w:eastAsia="Arial" w:hAnsi="Arial"/>
                <w:sz w:val="16"/>
                <w:szCs w:val="16"/>
                <w:b w:val="1"/>
                <w:bCs w:val="1"/>
                <w:color w:val="FFFFFF"/>
              </w:rPr>
              <w:t>Unweighted</w:t>
            </w:r>
          </w:p>
        </w:tc>
        <w:tc>
          <w:tcPr>
            <w:tcW w:w="860" w:type="dxa"/>
            <w:vAlign w:val="bottom"/>
            <w:shd w:val="clear" w:color="auto" w:fill="FF160F"/>
          </w:tcPr>
          <w:p>
            <w:pPr>
              <w:ind w:left="40"/>
              <w:spacing w:after="0"/>
              <w:rPr>
                <w:sz w:val="20"/>
                <w:szCs w:val="20"/>
                <w:color w:val="auto"/>
              </w:rPr>
            </w:pPr>
            <w:r>
              <w:rPr>
                <w:rFonts w:ascii="Arial" w:cs="Arial" w:eastAsia="Arial" w:hAnsi="Arial"/>
                <w:sz w:val="16"/>
                <w:szCs w:val="16"/>
                <w:b w:val="1"/>
                <w:bCs w:val="1"/>
                <w:color w:val="FFFFFF"/>
              </w:rPr>
              <w:t>Weighted</w:t>
            </w:r>
          </w:p>
        </w:tc>
        <w:tc>
          <w:tcPr>
            <w:tcW w:w="20" w:type="dxa"/>
            <w:vAlign w:val="bottom"/>
          </w:tcPr>
          <w:p>
            <w:pPr>
              <w:spacing w:after="0"/>
              <w:rPr>
                <w:sz w:val="23"/>
                <w:szCs w:val="23"/>
                <w:color w:val="auto"/>
              </w:rPr>
            </w:pPr>
          </w:p>
        </w:tc>
      </w:tr>
      <w:tr>
        <w:trPr>
          <w:trHeight w:val="243"/>
        </w:trPr>
        <w:tc>
          <w:tcPr>
            <w:tcW w:w="410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1000" w:type="dxa"/>
            <w:vAlign w:val="bottom"/>
            <w:shd w:val="clear" w:color="auto" w:fill="E5E5E5"/>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50%</w:t>
            </w:r>
          </w:p>
        </w:tc>
        <w:tc>
          <w:tcPr>
            <w:tcW w:w="1220" w:type="dxa"/>
            <w:vAlign w:val="bottom"/>
            <w:shd w:val="clear" w:color="auto" w:fill="E5E5E5"/>
          </w:tcPr>
          <w:p>
            <w:pPr>
              <w:jc w:val="right"/>
              <w:ind w:right="339"/>
              <w:spacing w:after="0"/>
              <w:rPr>
                <w:sz w:val="20"/>
                <w:szCs w:val="20"/>
                <w:color w:val="auto"/>
              </w:rPr>
            </w:pPr>
            <w:r>
              <w:rPr>
                <w:rFonts w:ascii="Arial" w:cs="Arial" w:eastAsia="Arial" w:hAnsi="Arial"/>
                <w:sz w:val="16"/>
                <w:szCs w:val="16"/>
                <w:i w:val="1"/>
                <w:iCs w:val="1"/>
                <w:color w:val="auto"/>
              </w:rPr>
              <w:t>100%</w:t>
            </w:r>
          </w:p>
        </w:tc>
        <w:tc>
          <w:tcPr>
            <w:tcW w:w="118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150%</w:t>
            </w:r>
          </w:p>
        </w:tc>
        <w:tc>
          <w:tcPr>
            <w:tcW w:w="220" w:type="dxa"/>
            <w:vAlign w:val="bottom"/>
            <w:tcBorders>
              <w:right w:val="single" w:sz="8" w:color="E5E5E5"/>
            </w:tcBorders>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6"/>
                <w:szCs w:val="16"/>
                <w:color w:val="auto"/>
              </w:rPr>
              <w:t>Relative Total TSR</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 &lt; Index</w:t>
            </w:r>
          </w:p>
        </w:tc>
        <w:tc>
          <w:tcPr>
            <w:tcW w:w="1220" w:type="dxa"/>
            <w:vAlign w:val="bottom"/>
          </w:tcPr>
          <w:p>
            <w:pPr>
              <w:jc w:val="center"/>
              <w:spacing w:after="0"/>
              <w:rPr>
                <w:sz w:val="20"/>
                <w:szCs w:val="20"/>
                <w:color w:val="auto"/>
              </w:rPr>
            </w:pPr>
            <w:r>
              <w:rPr>
                <w:rFonts w:ascii="Arial" w:cs="Arial" w:eastAsia="Arial" w:hAnsi="Arial"/>
                <w:sz w:val="16"/>
                <w:szCs w:val="16"/>
                <w:color w:val="auto"/>
              </w:rPr>
              <w:t>Index</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5% &gt; Index</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103.7%</w:t>
            </w:r>
          </w:p>
        </w:tc>
        <w:tc>
          <w:tcPr>
            <w:tcW w:w="860" w:type="dxa"/>
            <w:vAlign w:val="bottom"/>
          </w:tcPr>
          <w:p>
            <w:pPr>
              <w:jc w:val="center"/>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19"/>
                <w:szCs w:val="19"/>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NAREIT FFO Multiple Premium</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 Premium</w:t>
            </w:r>
          </w:p>
        </w:tc>
        <w:tc>
          <w:tcPr>
            <w:tcW w:w="1220" w:type="dxa"/>
            <w:vAlign w:val="bottom"/>
          </w:tcPr>
          <w:p>
            <w:pPr>
              <w:ind w:left="80"/>
              <w:spacing w:after="0"/>
              <w:rPr>
                <w:sz w:val="20"/>
                <w:szCs w:val="20"/>
                <w:color w:val="auto"/>
              </w:rPr>
            </w:pPr>
            <w:r>
              <w:rPr>
                <w:rFonts w:ascii="Arial" w:cs="Arial" w:eastAsia="Arial" w:hAnsi="Arial"/>
                <w:sz w:val="16"/>
                <w:szCs w:val="16"/>
                <w:color w:val="auto"/>
              </w:rPr>
              <w:t>15% Premium</w:t>
            </w:r>
          </w:p>
        </w:tc>
        <w:tc>
          <w:tcPr>
            <w:tcW w:w="1180" w:type="dxa"/>
            <w:vAlign w:val="bottom"/>
          </w:tcPr>
          <w:p>
            <w:pPr>
              <w:ind w:left="120"/>
              <w:spacing w:after="0"/>
              <w:rPr>
                <w:sz w:val="20"/>
                <w:szCs w:val="20"/>
                <w:color w:val="auto"/>
              </w:rPr>
            </w:pPr>
            <w:r>
              <w:rPr>
                <w:rFonts w:ascii="Arial" w:cs="Arial" w:eastAsia="Arial" w:hAnsi="Arial"/>
                <w:sz w:val="16"/>
                <w:szCs w:val="16"/>
                <w:color w:val="auto"/>
              </w:rPr>
              <w:t>20% Premium</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rPr>
              <w:t>60.0%</w:t>
            </w:r>
          </w:p>
        </w:tc>
        <w:tc>
          <w:tcPr>
            <w:tcW w:w="860" w:type="dxa"/>
            <w:vAlign w:val="bottom"/>
          </w:tcPr>
          <w:p>
            <w:pPr>
              <w:jc w:val="center"/>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21"/>
                <w:szCs w:val="21"/>
                <w:color w:val="auto"/>
              </w:rPr>
            </w:pPr>
          </w:p>
        </w:tc>
      </w:tr>
      <w:tr>
        <w:trPr>
          <w:trHeight w:val="252"/>
        </w:trPr>
        <w:tc>
          <w:tcPr>
            <w:tcW w:w="410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360" w:type="dxa"/>
            <w:vAlign w:val="bottom"/>
            <w:gridSpan w:val="2"/>
          </w:tcPr>
          <w:p>
            <w:pPr>
              <w:jc w:val="right"/>
              <w:ind w:right="259"/>
              <w:spacing w:after="0"/>
              <w:rPr>
                <w:sz w:val="20"/>
                <w:szCs w:val="20"/>
                <w:color w:val="auto"/>
              </w:rPr>
            </w:pPr>
            <w:r>
              <w:rPr>
                <w:rFonts w:ascii="Arial" w:cs="Arial" w:eastAsia="Arial" w:hAnsi="Arial"/>
                <w:sz w:val="16"/>
                <w:szCs w:val="16"/>
                <w:color w:val="auto"/>
              </w:rPr>
              <w:t>6.75%</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7.00%</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7.25%</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150.0%</w:t>
            </w:r>
          </w:p>
        </w:tc>
        <w:tc>
          <w:tcPr>
            <w:tcW w:w="860" w:type="dxa"/>
            <w:vAlign w:val="bottom"/>
          </w:tcPr>
          <w:p>
            <w:pPr>
              <w:jc w:val="center"/>
              <w:spacing w:after="0"/>
              <w:rPr>
                <w:sz w:val="20"/>
                <w:szCs w:val="20"/>
                <w:color w:val="auto"/>
              </w:rPr>
            </w:pPr>
            <w:r>
              <w:rPr>
                <w:rFonts w:ascii="Arial" w:cs="Arial" w:eastAsia="Arial" w:hAnsi="Arial"/>
                <w:sz w:val="16"/>
                <w:szCs w:val="16"/>
                <w:color w:val="auto"/>
              </w:rPr>
              <w:t>49.5%</w:t>
            </w:r>
          </w:p>
        </w:tc>
        <w:tc>
          <w:tcPr>
            <w:tcW w:w="20" w:type="dxa"/>
            <w:vAlign w:val="bottom"/>
          </w:tcPr>
          <w:p>
            <w:pPr>
              <w:spacing w:after="0"/>
              <w:rPr>
                <w:sz w:val="21"/>
                <w:szCs w:val="21"/>
                <w:color w:val="auto"/>
              </w:rPr>
            </w:pPr>
          </w:p>
        </w:tc>
      </w:tr>
      <w:tr>
        <w:trPr>
          <w:trHeight w:val="226"/>
        </w:trPr>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Final Payout</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104.6%</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-933450</wp:posOffset>
            </wp:positionV>
            <wp:extent cx="36347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has the right to increase or decrease each NEO’s award under our long-term incentive program by up to 20% to reflect individual performance and chose not to exercise that discretion for any of our NEOs. See the discussions below for the factors considered by the Compensation Committee in determining the final long-term incentive awards payable to our NEOs for the 2023 through 2025 performance period.</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8" w:lineRule="exact"/>
        <w:rPr>
          <w:sz w:val="20"/>
          <w:szCs w:val="20"/>
          <w:color w:val="auto"/>
        </w:rPr>
      </w:pPr>
    </w:p>
    <w:p>
      <w:pPr>
        <w:ind w:left="2260"/>
        <w:spacing w:after="0"/>
        <w:tabs>
          <w:tab w:leader="none" w:pos="7620" w:val="left"/>
        </w:tabs>
        <w:rPr>
          <w:sz w:val="20"/>
          <w:szCs w:val="20"/>
          <w:color w:val="auto"/>
        </w:rPr>
      </w:pPr>
      <w:r>
        <w:rPr>
          <w:rFonts w:ascii="Arial" w:cs="Arial" w:eastAsia="Arial" w:hAnsi="Arial"/>
          <w:sz w:val="18"/>
          <w:szCs w:val="18"/>
          <w:b w:val="1"/>
          <w:bCs w:val="1"/>
          <w:color w:val="FFFFFF"/>
        </w:rPr>
        <w:t xml:space="preserve">Performance Period           Award Earned             </w:t>
      </w:r>
      <w:r>
        <w:rPr>
          <w:sz w:val="20"/>
          <w:szCs w:val="20"/>
          <w:color w:val="auto"/>
        </w:rPr>
        <w:tab/>
      </w:r>
      <w:r>
        <w:rPr>
          <w:rFonts w:ascii="Arial" w:cs="Arial" w:eastAsia="Arial" w:hAnsi="Arial"/>
          <w:sz w:val="17"/>
          <w:szCs w:val="17"/>
          <w:b w:val="1"/>
          <w:bCs w:val="1"/>
          <w:color w:val="FFFFFF"/>
        </w:rPr>
        <w:t>Shares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-118745</wp:posOffset>
            </wp:positionV>
            <wp:extent cx="402907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29075" cy="12890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146050</wp:posOffset>
            </wp:positionV>
            <wp:extent cx="5194935"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949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number of shares awarded to each of our NEOs is determined by dividing the amount of the award by the closing price of our shares on the NYSE on the date the awards are made.</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There is no amount included in the Summary Compensation Table or Grants of Plan-Based Awards Table in this proxy statement for long-term incentive awards earned for the 2023-2025 performance period. Those amounts will be included in next year’s proxy statement. The long-term incentive awards included in the Summary Compensation Table and the Grants of Plan-Based Awards Table for our NEOs in this proxy statement relate to awards made in February 2025 for the 3-year performance period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26</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40" w:hanging="124"/>
        <w:spacing w:after="0"/>
        <w:tabs>
          <w:tab w:leader="none" w:pos="240" w:val="left"/>
        </w:tabs>
        <w:numPr>
          <w:ilvl w:val="0"/>
          <w:numId w:val="59"/>
        </w:numPr>
        <w:rPr>
          <w:rFonts w:ascii="Arial" w:cs="Arial" w:eastAsia="Arial" w:hAnsi="Arial"/>
          <w:sz w:val="24"/>
          <w:szCs w:val="24"/>
          <w:b w:val="1"/>
          <w:bCs w:val="1"/>
          <w:color w:val="FF160F"/>
        </w:rPr>
      </w:pPr>
      <w:r>
        <w:rPr>
          <w:rFonts w:ascii="Arial" w:cs="Arial" w:eastAsia="Arial" w:hAnsi="Arial"/>
          <w:sz w:val="24"/>
          <w:szCs w:val="24"/>
          <w:b w:val="1"/>
          <w:bCs w:val="1"/>
          <w:color w:val="FF160F"/>
        </w:rPr>
        <w:t>2025 N</w:t>
      </w:r>
      <w:r>
        <w:rPr>
          <w:rFonts w:ascii="Arial" w:cs="Arial" w:eastAsia="Arial" w:hAnsi="Arial"/>
          <w:sz w:val="19"/>
          <w:szCs w:val="19"/>
          <w:b w:val="1"/>
          <w:bCs w:val="1"/>
          <w:color w:val="FF160F"/>
        </w:rPr>
        <w:t>EO</w:t>
      </w:r>
      <w:r>
        <w:rPr>
          <w:rFonts w:ascii="Arial" w:cs="Arial" w:eastAsia="Arial" w:hAnsi="Arial"/>
          <w:sz w:val="24"/>
          <w:szCs w:val="24"/>
          <w:b w:val="1"/>
          <w:bCs w:val="1"/>
          <w:color w:val="FF160F"/>
        </w:rPr>
        <w:t xml:space="preserve"> P</w:t>
      </w:r>
      <w:r>
        <w:rPr>
          <w:rFonts w:ascii="Arial" w:cs="Arial" w:eastAsia="Arial" w:hAnsi="Arial"/>
          <w:sz w:val="19"/>
          <w:szCs w:val="19"/>
          <w:b w:val="1"/>
          <w:bCs w:val="1"/>
          <w:color w:val="FF160F"/>
        </w:rPr>
        <w:t>ERFORMANCE</w:t>
      </w:r>
      <w:r>
        <w:rPr>
          <w:rFonts w:ascii="Arial" w:cs="Arial" w:eastAsia="Arial" w:hAnsi="Arial"/>
          <w:sz w:val="24"/>
          <w:szCs w:val="24"/>
          <w:b w:val="1"/>
          <w:bCs w:val="1"/>
          <w:color w:val="FF160F"/>
        </w:rPr>
        <w:t xml:space="preserve"> S</w:t>
      </w:r>
      <w:r>
        <w:rPr>
          <w:rFonts w:ascii="Arial" w:cs="Arial" w:eastAsia="Arial" w:hAnsi="Arial"/>
          <w:sz w:val="19"/>
          <w:szCs w:val="19"/>
          <w:b w:val="1"/>
          <w:bCs w:val="1"/>
          <w:color w:val="FF160F"/>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2837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28371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Donald C. Wood</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2025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$1,800</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$6,274</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$9,074</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r>
      <w:tr>
        <w:trPr>
          <w:trHeight w:val="831"/>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2091690" cy="2682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9169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1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144780</wp:posOffset>
            </wp:positionV>
            <wp:extent cx="4817745" cy="2571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17745" cy="25717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Achievements</w:t>
      </w:r>
    </w:p>
    <w:p>
      <w:pPr>
        <w:spacing w:after="0" w:line="90" w:lineRule="exact"/>
        <w:rPr>
          <w:sz w:val="20"/>
          <w:szCs w:val="20"/>
          <w:color w:val="auto"/>
        </w:rPr>
      </w:pPr>
    </w:p>
    <w:p>
      <w:pPr>
        <w:ind w:left="360" w:right="60" w:hanging="35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efforts that delivered record levels of NAREIT FFO per share, record top line revenue and near record levels of comparable space leasing</w:t>
      </w:r>
    </w:p>
    <w:p>
      <w:pPr>
        <w:spacing w:after="0" w:line="2" w:lineRule="exact"/>
        <w:rPr>
          <w:sz w:val="20"/>
          <w:szCs w:val="20"/>
          <w:color w:val="auto"/>
        </w:rPr>
      </w:pPr>
    </w:p>
    <w:p>
      <w:pPr>
        <w:ind w:left="360" w:right="24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increased focus on acquisitions that resulted in more than $750 million invested in newly acquired assets with strong growth potential, a company record</w:t>
      </w:r>
    </w:p>
    <w:p>
      <w:pPr>
        <w:spacing w:after="0" w:line="1" w:lineRule="exact"/>
        <w:rPr>
          <w:sz w:val="20"/>
          <w:szCs w:val="20"/>
          <w:color w:val="auto"/>
        </w:rPr>
      </w:pPr>
    </w:p>
    <w:p>
      <w:pPr>
        <w:ind w:right="6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focus on sustainability initiatives relating to decarbonization and resilience </w:t>
      </w:r>
      <w:r>
        <w:rPr>
          <w:rFonts w:ascii="MS PGothic" w:cs="MS PGothic" w:eastAsia="MS PGothic" w:hAnsi="MS PGothic"/>
          <w:sz w:val="18"/>
          <w:szCs w:val="18"/>
          <w:color w:val="auto"/>
        </w:rPr>
        <w:t>✓</w:t>
      </w:r>
      <w:r>
        <w:rPr>
          <w:rFonts w:ascii="Arial" w:cs="Arial" w:eastAsia="Arial" w:hAnsi="Arial"/>
          <w:sz w:val="18"/>
          <w:szCs w:val="18"/>
          <w:color w:val="auto"/>
        </w:rPr>
        <w:t xml:space="preserve">   Led decisions on reinvestment in our assets to position them for continued growth</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efforts that resulted in a near fully-leased mixed-use office portfolio as of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892175</wp:posOffset>
            </wp:positionV>
            <wp:extent cx="4817745"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1159"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Daniel Guglielmone</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2025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 650</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$1,170</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$1,568</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$3,388</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108%</w:t>
            </w:r>
          </w:p>
        </w:tc>
      </w:tr>
      <w:tr>
        <w:trPr>
          <w:trHeight w:val="427"/>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7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144780</wp:posOffset>
            </wp:positionV>
            <wp:extent cx="4817745" cy="2228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Achievements</w:t>
      </w:r>
    </w:p>
    <w:p>
      <w:pPr>
        <w:spacing w:after="0" w:line="40" w:lineRule="exact"/>
        <w:rPr>
          <w:sz w:val="20"/>
          <w:szCs w:val="20"/>
          <w:color w:val="auto"/>
        </w:rPr>
      </w:pPr>
    </w:p>
    <w:p>
      <w:pPr>
        <w:ind w:left="360" w:right="60" w:hanging="359"/>
        <w:spacing w:after="0" w:line="215"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Co-led the Company’s capital recycling efforts that resulted in the acquisition of five assets for more than $750 million totaling more than 2.1 million square feet and the disposition of two non-core retail assets and two peripheral residential buildings generating proceeds of nearly $315 million, positioning the Company for better long-term growth</w:t>
      </w:r>
    </w:p>
    <w:p>
      <w:pPr>
        <w:spacing w:after="0" w:line="3" w:lineRule="exact"/>
        <w:rPr>
          <w:sz w:val="20"/>
          <w:szCs w:val="20"/>
          <w:color w:val="auto"/>
        </w:rPr>
      </w:pPr>
    </w:p>
    <w:p>
      <w:pPr>
        <w:ind w:left="360" w:right="3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Improved the Company’s borrowing flexibility with an increase in capacity of one term loan and a new term loan facility</w:t>
      </w:r>
    </w:p>
    <w:p>
      <w:pPr>
        <w:spacing w:after="0" w:line="1" w:lineRule="exact"/>
        <w:rPr>
          <w:sz w:val="20"/>
          <w:szCs w:val="20"/>
          <w:color w:val="auto"/>
        </w:rPr>
      </w:pPr>
    </w:p>
    <w:p>
      <w:pPr>
        <w:ind w:left="360" w:right="580" w:hanging="359"/>
        <w:spacing w:after="0" w:line="2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financial efforts enabling the Company to increase our annual dividend rate to common shareholders for the 58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380365</wp:posOffset>
            </wp:positionV>
            <wp:extent cx="700341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27</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2091690" cy="32492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91690" cy="324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Dawn M. Becker</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2025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 575</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 690</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$1,046</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$2,311</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107%</w:t>
            </w:r>
          </w:p>
        </w:tc>
      </w:tr>
      <w:tr>
        <w:trPr>
          <w:trHeight w:val="1237"/>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-855980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-161925</wp:posOffset>
            </wp:positionV>
            <wp:extent cx="4817745"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Ms. Becker has overall responsibility for all legal functions within the Company and heads all of our sustainability efforts in addition to overseeing our Human Resources, Information Technology and other administrative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187960</wp:posOffset>
            </wp:positionV>
            <wp:extent cx="4817745" cy="2311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17745" cy="23114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Achievements</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sustainability efforts</w:t>
      </w:r>
    </w:p>
    <w:p>
      <w:pPr>
        <w:spacing w:after="0" w:line="60" w:lineRule="exact"/>
        <w:rPr>
          <w:sz w:val="20"/>
          <w:szCs w:val="20"/>
          <w:color w:val="auto"/>
        </w:rPr>
      </w:pPr>
    </w:p>
    <w:p>
      <w:pPr>
        <w:ind w:left="360" w:right="40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progress to date on reducing Scope 1 and 2 GHG emissions, on pace to achieve our established science-based emission reduction target</w:t>
      </w:r>
    </w:p>
    <w:p>
      <w:pPr>
        <w:spacing w:after="0" w:line="1" w:lineRule="exact"/>
        <w:rPr>
          <w:sz w:val="20"/>
          <w:szCs w:val="20"/>
          <w:color w:val="auto"/>
        </w:rPr>
      </w:pPr>
    </w:p>
    <w:p>
      <w:pPr>
        <w:ind w:left="36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Guided the Company’s legal efforts that contributed to strong leasing volumes and a record year of acquisition and disposition activity</w:t>
      </w:r>
    </w:p>
    <w:p>
      <w:pPr>
        <w:spacing w:after="0" w:line="1" w:lineRule="exact"/>
        <w:rPr>
          <w:sz w:val="20"/>
          <w:szCs w:val="20"/>
          <w:color w:val="auto"/>
        </w:rPr>
      </w:pPr>
    </w:p>
    <w:p>
      <w:pPr>
        <w:ind w:left="36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efforts that resulted in continued strong employee engagement results and improved succession planning in the Company</w:t>
      </w:r>
    </w:p>
    <w:p>
      <w:pPr>
        <w:spacing w:after="0" w:line="1" w:lineRule="exact"/>
        <w:rPr>
          <w:sz w:val="20"/>
          <w:szCs w:val="20"/>
          <w:color w:val="auto"/>
        </w:rPr>
      </w:pPr>
    </w:p>
    <w:p>
      <w:pPr>
        <w:jc w:val="both"/>
        <w:ind w:left="360" w:right="260" w:hanging="359"/>
        <w:spacing w:after="0" w:line="21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technology system improvements and reporting to drive Company-wide efficiency and data availability, advance efforts around use of artificial intelligence and improve cyber security readiness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898525</wp:posOffset>
            </wp:positionV>
            <wp:extent cx="6995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58" w:lineRule="exact"/>
        <w:rPr>
          <w:sz w:val="20"/>
          <w:szCs w:val="20"/>
          <w:color w:val="auto"/>
        </w:rPr>
      </w:pPr>
    </w:p>
    <w:p>
      <w:pPr>
        <w:sectPr>
          <w:pgSz w:w="11900" w:h="16838" w:orient="portrait"/>
          <w:cols w:equalWidth="0" w:num="2">
            <w:col w:w="3280" w:space="380"/>
            <w:col w:w="7460"/>
          </w:cols>
          <w:pgMar w:left="320" w:top="482" w:right="459" w:bottom="1440" w:gutter="0" w:footer="0" w:header="0"/>
        </w:sectPr>
      </w:pPr>
    </w:p>
    <w:p>
      <w:pPr>
        <w:spacing w:after="0" w:line="150" w:lineRule="exact"/>
        <w:rPr>
          <w:sz w:val="20"/>
          <w:szCs w:val="20"/>
          <w:color w:val="auto"/>
        </w:rPr>
      </w:pPr>
    </w:p>
    <w:p>
      <w:pPr>
        <w:ind w:left="220" w:hanging="104"/>
        <w:spacing w:after="0"/>
        <w:tabs>
          <w:tab w:leader="none" w:pos="220" w:val="left"/>
        </w:tabs>
        <w:numPr>
          <w:ilvl w:val="0"/>
          <w:numId w:val="60"/>
        </w:numPr>
        <w:rPr>
          <w:rFonts w:ascii="Arial" w:cs="Arial" w:eastAsia="Arial" w:hAnsi="Arial"/>
          <w:sz w:val="19"/>
          <w:szCs w:val="19"/>
          <w:b w:val="1"/>
          <w:bCs w:val="1"/>
          <w:color w:val="FF160F"/>
        </w:rPr>
      </w:pPr>
      <w:r>
        <w:rPr>
          <w:rFonts w:ascii="Arial" w:cs="Arial" w:eastAsia="Arial" w:hAnsi="Arial"/>
          <w:sz w:val="19"/>
          <w:szCs w:val="19"/>
          <w:b w:val="1"/>
          <w:bCs w:val="1"/>
          <w:color w:val="FF160F"/>
        </w:rPr>
        <w:t>O</w:t>
      </w:r>
      <w:r>
        <w:rPr>
          <w:rFonts w:ascii="Arial" w:cs="Arial" w:eastAsia="Arial" w:hAnsi="Arial"/>
          <w:sz w:val="15"/>
          <w:szCs w:val="15"/>
          <w:b w:val="1"/>
          <w:bCs w:val="1"/>
          <w:color w:val="FF160F"/>
        </w:rPr>
        <w:t>THER</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RACTICES AND</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5" w:lineRule="exact"/>
        <w:rPr>
          <w:sz w:val="20"/>
          <w:szCs w:val="20"/>
          <w:color w:val="auto"/>
        </w:rPr>
      </w:pPr>
    </w:p>
    <w:p>
      <w:pPr>
        <w:ind w:left="540" w:hanging="424"/>
        <w:spacing w:after="0"/>
        <w:tabs>
          <w:tab w:leader="none" w:pos="540" w:val="left"/>
        </w:tabs>
        <w:numPr>
          <w:ilvl w:val="0"/>
          <w:numId w:val="61"/>
        </w:numPr>
        <w:rPr>
          <w:rFonts w:ascii="MS PGothic" w:cs="MS PGothic" w:eastAsia="MS PGothic" w:hAnsi="MS PGothic"/>
          <w:sz w:val="18"/>
          <w:szCs w:val="18"/>
          <w:color w:val="FF160F"/>
        </w:rPr>
      </w:pPr>
      <w:r>
        <w:rPr>
          <w:rFonts w:ascii="Arial" w:cs="Arial" w:eastAsia="Arial" w:hAnsi="Arial"/>
          <w:sz w:val="18"/>
          <w:szCs w:val="18"/>
          <w:b w:val="1"/>
          <w:bCs w:val="1"/>
          <w:color w:val="auto"/>
        </w:rPr>
        <w:t>CONSIDERATION OF SAY ON PAY VOTE</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Company conducts an annual “say on pay” vote to approve executive compensation. At the 2025 annual meeting of shareholders, more than 92% of the shares voted were in support of the compensation paid to our NEOs. Although the vote is advisory and non-binding on the Board, the Compensation Committee regularly considers the results of this vote in evaluating the Company’s compensation programs, including for 2025 compensation. In light of the feedback from our shareholders and the Compensation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2026.</w:t>
      </w:r>
    </w:p>
    <w:p>
      <w:pPr>
        <w:spacing w:after="0" w:line="212" w:lineRule="exact"/>
        <w:rPr>
          <w:sz w:val="20"/>
          <w:szCs w:val="20"/>
          <w:color w:val="auto"/>
        </w:rPr>
      </w:pPr>
    </w:p>
    <w:p>
      <w:pPr>
        <w:ind w:left="540" w:hanging="424"/>
        <w:spacing w:after="0"/>
        <w:tabs>
          <w:tab w:leader="none" w:pos="540" w:val="left"/>
        </w:tabs>
        <w:numPr>
          <w:ilvl w:val="0"/>
          <w:numId w:val="62"/>
        </w:numPr>
        <w:rPr>
          <w:rFonts w:ascii="MS PGothic" w:cs="MS PGothic" w:eastAsia="MS PGothic" w:hAnsi="MS PGothic"/>
          <w:sz w:val="18"/>
          <w:szCs w:val="18"/>
          <w:color w:val="FF160F"/>
        </w:rPr>
      </w:pPr>
      <w:r>
        <w:rPr>
          <w:rFonts w:ascii="Arial" w:cs="Arial" w:eastAsia="Arial" w:hAnsi="Arial"/>
          <w:sz w:val="18"/>
          <w:szCs w:val="18"/>
          <w:b w:val="1"/>
          <w:bCs w:val="1"/>
          <w:color w:val="auto"/>
        </w:rPr>
        <w:t>NO HEDGING OR PLEDGING OF OUR SHARES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96" w:lineRule="exact"/>
        <w:rPr>
          <w:sz w:val="20"/>
          <w:szCs w:val="20"/>
          <w:color w:val="auto"/>
        </w:rPr>
      </w:pPr>
    </w:p>
    <w:p>
      <w:pPr>
        <w:ind w:left="540" w:hanging="424"/>
        <w:spacing w:after="0"/>
        <w:tabs>
          <w:tab w:leader="none" w:pos="540" w:val="left"/>
        </w:tabs>
        <w:numPr>
          <w:ilvl w:val="0"/>
          <w:numId w:val="63"/>
        </w:numPr>
        <w:rPr>
          <w:rFonts w:ascii="MS PGothic" w:cs="MS PGothic" w:eastAsia="MS PGothic" w:hAnsi="MS PGothic"/>
          <w:sz w:val="18"/>
          <w:szCs w:val="18"/>
          <w:color w:val="FF160F"/>
        </w:rPr>
      </w:pPr>
      <w:r>
        <w:rPr>
          <w:rFonts w:ascii="Arial" w:cs="Arial" w:eastAsia="Arial" w:hAnsi="Arial"/>
          <w:sz w:val="18"/>
          <w:szCs w:val="18"/>
          <w:b w:val="1"/>
          <w:bCs w:val="1"/>
          <w:color w:val="auto"/>
        </w:rPr>
        <w:t>SEVERANCE AND CHANGE-IN-CONTROL ARRANGEMENTS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28</w:t>
      </w:r>
    </w:p>
    <w:p>
      <w:pPr>
        <w:sectPr>
          <w:pgSz w:w="11900" w:h="16838" w:orient="portrait"/>
          <w:cols w:equalWidth="0" w:num="1">
            <w:col w:w="11120"/>
          </w:cols>
          <w:pgMar w:left="320" w:top="482" w:right="4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03" w:lineRule="exact"/>
        <w:rPr>
          <w:sz w:val="20"/>
          <w:szCs w:val="20"/>
          <w:color w:val="auto"/>
        </w:rPr>
      </w:pPr>
    </w:p>
    <w:p>
      <w:pPr>
        <w:ind w:left="540" w:hanging="424"/>
        <w:spacing w:after="0"/>
        <w:tabs>
          <w:tab w:leader="none" w:pos="540" w:val="left"/>
        </w:tabs>
        <w:numPr>
          <w:ilvl w:val="0"/>
          <w:numId w:val="64"/>
        </w:numPr>
        <w:rPr>
          <w:rFonts w:ascii="MS PGothic" w:cs="MS PGothic" w:eastAsia="MS PGothic" w:hAnsi="MS PGothic"/>
          <w:sz w:val="18"/>
          <w:szCs w:val="18"/>
          <w:color w:val="FF160F"/>
        </w:rPr>
      </w:pPr>
      <w:r>
        <w:rPr>
          <w:rFonts w:ascii="Arial" w:cs="Arial" w:eastAsia="Arial" w:hAnsi="Arial"/>
          <w:sz w:val="18"/>
          <w:szCs w:val="18"/>
          <w:b w:val="1"/>
          <w:bCs w:val="1"/>
          <w:color w:val="auto"/>
        </w:rPr>
        <w:t>CLAWBACK POLICY</w:t>
      </w:r>
    </w:p>
    <w:p>
      <w:pPr>
        <w:spacing w:after="0" w:line="2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a clawback policy that provides for the return from an NEO of performance based compensation if we issue a restatement of financial results to correct material non-compliance with reporting requirements and the performance compensation paid to that NEO is more than it would have been based on the restated financial results. This clawback policy complies with the most current NYSE requirements.</w:t>
      </w:r>
    </w:p>
    <w:p>
      <w:pPr>
        <w:spacing w:after="0" w:line="201" w:lineRule="exact"/>
        <w:rPr>
          <w:sz w:val="20"/>
          <w:szCs w:val="20"/>
          <w:color w:val="auto"/>
        </w:rPr>
      </w:pPr>
    </w:p>
    <w:p>
      <w:pPr>
        <w:ind w:left="540" w:hanging="424"/>
        <w:spacing w:after="0"/>
        <w:tabs>
          <w:tab w:leader="none" w:pos="540" w:val="left"/>
        </w:tabs>
        <w:numPr>
          <w:ilvl w:val="0"/>
          <w:numId w:val="65"/>
        </w:numPr>
        <w:rPr>
          <w:rFonts w:ascii="MS PGothic" w:cs="MS PGothic" w:eastAsia="MS PGothic" w:hAnsi="MS PGothic"/>
          <w:sz w:val="18"/>
          <w:szCs w:val="18"/>
          <w:color w:val="FF160F"/>
        </w:rPr>
      </w:pPr>
      <w:r>
        <w:rPr>
          <w:rFonts w:ascii="Arial" w:cs="Arial" w:eastAsia="Arial" w:hAnsi="Arial"/>
          <w:sz w:val="18"/>
          <w:szCs w:val="18"/>
          <w:b w:val="1"/>
          <w:bCs w:val="1"/>
          <w:color w:val="auto"/>
        </w:rPr>
        <w:t>SHARE OWNERSHIP GUIDELINES</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maintain guidelines requiring each of our NEOs as well as other executive vice presidents to maintain a specific level of ownership of our shares as shown below. These guidelines are intended to link the interests of our NEOs and other executive vice presidents with the interests of our shareholders. Each individual subject to these guidelines has five years to achieve the required level of ownership after becoming subject to the guidelines.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Compliance with our ownership guidelines gets measured and reviewed by the Board at the end of each fiscal year and the ownership level of each of our NEOs as of December 31, 2025 is shown below based on the closing price of our shares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Our current NEOs were in compliance with our equity ownership requirements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5126355" cy="13455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2635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0" w:hanging="424"/>
        <w:spacing w:after="0"/>
        <w:tabs>
          <w:tab w:leader="none" w:pos="540" w:val="left"/>
        </w:tabs>
        <w:numPr>
          <w:ilvl w:val="0"/>
          <w:numId w:val="66"/>
        </w:numPr>
        <w:rPr>
          <w:rFonts w:ascii="MS PGothic" w:cs="MS PGothic" w:eastAsia="MS PGothic" w:hAnsi="MS PGothic"/>
          <w:sz w:val="18"/>
          <w:szCs w:val="18"/>
          <w:color w:val="FF160F"/>
        </w:rPr>
      </w:pPr>
      <w:r>
        <w:rPr>
          <w:rFonts w:ascii="Arial" w:cs="Arial" w:eastAsia="Arial" w:hAnsi="Arial"/>
          <w:sz w:val="18"/>
          <w:szCs w:val="18"/>
          <w:b w:val="1"/>
          <w:bCs w:val="1"/>
          <w:color w:val="auto"/>
        </w:rPr>
        <w:t>RISK ASSESSMENT OF COMPENSATION PROGRAMS</w:t>
      </w:r>
    </w:p>
    <w:p>
      <w:pPr>
        <w:spacing w:after="0" w:line="22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Compensation Committee completed its last annual review of our compensation programs and policies from a risk perspective in February 2026.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share ownership requirements and vesting periods on equity awards made as part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1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67"/>
        </w:numPr>
        <w:rPr>
          <w:rFonts w:ascii="MS PGothic" w:cs="MS PGothic" w:eastAsia="MS PGothic" w:hAnsi="MS PGothic"/>
          <w:sz w:val="18"/>
          <w:szCs w:val="18"/>
          <w:color w:val="FF160F"/>
        </w:rPr>
      </w:pPr>
      <w:r>
        <w:rPr>
          <w:rFonts w:ascii="Arial" w:cs="Arial" w:eastAsia="Arial" w:hAnsi="Arial"/>
          <w:sz w:val="18"/>
          <w:szCs w:val="18"/>
          <w:b w:val="1"/>
          <w:bCs w:val="1"/>
          <w:color w:val="auto"/>
        </w:rPr>
        <w:t>EQUITY GRANT PRACTICES</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Compensation Committee has historically granted such awards on a predetermined annual schedule. In 2025, we did not grant new awards of stock options, stock appreciation rights, or similar option-like instruments to our NEOs. All of our options have an exercise price equal to the closing price of our shares on the date of grant and our 2020 Performance Incentive Plan (“2020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10" w:lineRule="exact"/>
        <w:rPr>
          <w:sz w:val="20"/>
          <w:szCs w:val="20"/>
          <w:color w:val="auto"/>
        </w:rPr>
      </w:pPr>
    </w:p>
    <w:p>
      <w:pPr>
        <w:ind w:left="540" w:hanging="424"/>
        <w:spacing w:after="0"/>
        <w:tabs>
          <w:tab w:leader="none" w:pos="540" w:val="left"/>
        </w:tabs>
        <w:numPr>
          <w:ilvl w:val="0"/>
          <w:numId w:val="68"/>
        </w:numPr>
        <w:rPr>
          <w:rFonts w:ascii="MS PGothic" w:cs="MS PGothic" w:eastAsia="MS PGothic" w:hAnsi="MS PGothic"/>
          <w:sz w:val="18"/>
          <w:szCs w:val="18"/>
          <w:color w:val="FF160F"/>
        </w:rPr>
      </w:pPr>
      <w:r>
        <w:rPr>
          <w:rFonts w:ascii="Arial" w:cs="Arial" w:eastAsia="Arial" w:hAnsi="Arial"/>
          <w:sz w:val="18"/>
          <w:szCs w:val="18"/>
          <w:b w:val="1"/>
          <w:bCs w:val="1"/>
          <w:color w:val="auto"/>
        </w:rPr>
        <w:t>INSIDER TRADING POLICY</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have adopted an insider trading policy the governs the purchase, sale and/or other dispositions of our securities by our trustees and all employees, including our NEOs and other corporate officers, that is reasonably designed to promote compliance with insider trading laws, rules and regulations as well as New York Stock Exchange listing standards.</w:t>
      </w:r>
    </w:p>
    <w:p>
      <w:pPr>
        <w:spacing w:after="0" w:line="196" w:lineRule="exact"/>
        <w:rPr>
          <w:sz w:val="20"/>
          <w:szCs w:val="20"/>
          <w:color w:val="auto"/>
        </w:rPr>
      </w:pPr>
    </w:p>
    <w:p>
      <w:pPr>
        <w:ind w:left="540" w:hanging="424"/>
        <w:spacing w:after="0"/>
        <w:tabs>
          <w:tab w:leader="none" w:pos="540" w:val="left"/>
        </w:tabs>
        <w:numPr>
          <w:ilvl w:val="0"/>
          <w:numId w:val="69"/>
        </w:numPr>
        <w:rPr>
          <w:rFonts w:ascii="MS PGothic" w:cs="MS PGothic" w:eastAsia="MS PGothic" w:hAnsi="MS PGothic"/>
          <w:sz w:val="18"/>
          <w:szCs w:val="18"/>
          <w:color w:val="FF160F"/>
        </w:rPr>
      </w:pPr>
      <w:r>
        <w:rPr>
          <w:rFonts w:ascii="Arial" w:cs="Arial" w:eastAsia="Arial" w:hAnsi="Arial"/>
          <w:sz w:val="18"/>
          <w:szCs w:val="18"/>
          <w:b w:val="1"/>
          <w:bCs w:val="1"/>
          <w:color w:val="auto"/>
        </w:rPr>
        <w:t>TAX DEDUCTIBILITY OF EXECUTIVE COMPENSATION</w:t>
      </w:r>
    </w:p>
    <w:p>
      <w:pPr>
        <w:spacing w:after="0" w:line="22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3" w:lineRule="exact"/>
        <w:rPr>
          <w:sz w:val="20"/>
          <w:szCs w:val="20"/>
          <w:color w:val="auto"/>
        </w:rPr>
      </w:pPr>
    </w:p>
    <w:p>
      <w:pPr>
        <w:ind w:left="540" w:hanging="424"/>
        <w:spacing w:after="0"/>
        <w:tabs>
          <w:tab w:leader="none" w:pos="540" w:val="left"/>
        </w:tabs>
        <w:numPr>
          <w:ilvl w:val="0"/>
          <w:numId w:val="70"/>
        </w:numPr>
        <w:rPr>
          <w:rFonts w:ascii="MS PGothic" w:cs="MS PGothic" w:eastAsia="MS PGothic" w:hAnsi="MS PGothic"/>
          <w:sz w:val="18"/>
          <w:szCs w:val="18"/>
          <w:color w:val="FF160F"/>
        </w:rPr>
      </w:pPr>
      <w:r>
        <w:rPr>
          <w:rFonts w:ascii="Arial" w:cs="Arial" w:eastAsia="Arial" w:hAnsi="Arial"/>
          <w:sz w:val="18"/>
          <w:szCs w:val="18"/>
          <w:b w:val="1"/>
          <w:bCs w:val="1"/>
          <w:color w:val="auto"/>
        </w:rPr>
        <w:t>HEALTH AND WELFARE BENEFITS</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03415"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20" w:hanging="104"/>
        <w:spacing w:after="0"/>
        <w:tabs>
          <w:tab w:leader="none" w:pos="220" w:val="left"/>
        </w:tabs>
        <w:numPr>
          <w:ilvl w:val="0"/>
          <w:numId w:val="71"/>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OMMITTEE</w:t>
      </w:r>
      <w:r>
        <w:rPr>
          <w:rFonts w:ascii="Arial" w:cs="Arial" w:eastAsia="Arial" w:hAnsi="Arial"/>
          <w:sz w:val="19"/>
          <w:szCs w:val="19"/>
          <w:b w:val="1"/>
          <w:bCs w:val="1"/>
          <w:color w:val="FF160F"/>
        </w:rPr>
        <w:t xml:space="preserve"> R</w:t>
      </w:r>
      <w:r>
        <w:rPr>
          <w:rFonts w:ascii="Arial" w:cs="Arial" w:eastAsia="Arial" w:hAnsi="Arial"/>
          <w:sz w:val="15"/>
          <w:szCs w:val="15"/>
          <w:b w:val="1"/>
          <w:bCs w:val="1"/>
          <w:color w:val="FF160F"/>
        </w:rPr>
        <w:t>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 Mr. Fisher did not participate in such recommendation because he was not a member of the Board or the Compensation Committee in 2025.</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Joseph D. Fisher (joined the Compensation Committee on January 1, 2026)</w:t>
      </w:r>
    </w:p>
    <w:p>
      <w:pPr>
        <w:ind w:left="120"/>
        <w:spacing w:after="0" w:line="234" w:lineRule="auto"/>
        <w:rPr>
          <w:sz w:val="20"/>
          <w:szCs w:val="20"/>
          <w:color w:val="auto"/>
        </w:rPr>
      </w:pPr>
      <w:r>
        <w:rPr>
          <w:rFonts w:ascii="Arial" w:cs="Arial" w:eastAsia="Arial" w:hAnsi="Arial"/>
          <w:sz w:val="18"/>
          <w:szCs w:val="18"/>
          <w:color w:val="auto"/>
        </w:rPr>
        <w:t>Nicole Y. Lamb-Hale</w:t>
      </w:r>
    </w:p>
    <w:p>
      <w:pPr>
        <w:ind w:left="120"/>
        <w:spacing w:after="0" w:line="235"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Compensation Tables and Narratives</w:t>
      </w:r>
    </w:p>
    <w:p>
      <w:pPr>
        <w:spacing w:after="0" w:line="197"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SUMMARY COMPENSATION TABLE</w:t>
      </w:r>
    </w:p>
    <w:p>
      <w:pPr>
        <w:spacing w:after="0" w:line="26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table below summarizes the total compensation earned by or paid to the individuals who were NEOs for the fiscal years ended December 31, 2025, 2024 and 2023. All amounts are calculated in accordance with current SEC rules.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220" w:type="dxa"/>
            <w:vAlign w:val="bottom"/>
            <w:shd w:val="clear" w:color="auto" w:fill="FF160F"/>
          </w:tcPr>
          <w:p>
            <w:pPr>
              <w:spacing w:after="0"/>
              <w:rPr>
                <w:sz w:val="16"/>
                <w:szCs w:val="16"/>
                <w:color w:val="auto"/>
              </w:rPr>
            </w:pPr>
          </w:p>
        </w:tc>
        <w:tc>
          <w:tcPr>
            <w:tcW w:w="1900" w:type="dxa"/>
            <w:vAlign w:val="bottom"/>
            <w:shd w:val="clear" w:color="auto" w:fill="FF160F"/>
          </w:tcPr>
          <w:p>
            <w:pPr>
              <w:spacing w:after="0"/>
              <w:rPr>
                <w:sz w:val="16"/>
                <w:szCs w:val="16"/>
                <w:color w:val="auto"/>
              </w:rPr>
            </w:pPr>
          </w:p>
        </w:tc>
        <w:tc>
          <w:tcPr>
            <w:tcW w:w="660" w:type="dxa"/>
            <w:vAlign w:val="bottom"/>
            <w:shd w:val="clear" w:color="auto" w:fill="FF160F"/>
          </w:tcPr>
          <w:p>
            <w:pPr>
              <w:spacing w:after="0"/>
              <w:rPr>
                <w:sz w:val="16"/>
                <w:szCs w:val="16"/>
                <w:color w:val="auto"/>
              </w:rPr>
            </w:pPr>
          </w:p>
        </w:tc>
        <w:tc>
          <w:tcPr>
            <w:tcW w:w="280" w:type="dxa"/>
            <w:vAlign w:val="bottom"/>
            <w:shd w:val="clear" w:color="auto" w:fill="FF160F"/>
          </w:tcPr>
          <w:p>
            <w:pPr>
              <w:spacing w:after="0"/>
              <w:rPr>
                <w:sz w:val="16"/>
                <w:szCs w:val="16"/>
                <w:color w:val="auto"/>
              </w:rPr>
            </w:pPr>
          </w:p>
        </w:tc>
        <w:tc>
          <w:tcPr>
            <w:tcW w:w="860" w:type="dxa"/>
            <w:vAlign w:val="bottom"/>
            <w:shd w:val="clear" w:color="auto" w:fill="FF160F"/>
          </w:tcPr>
          <w:p>
            <w:pPr>
              <w:spacing w:after="0"/>
              <w:rPr>
                <w:sz w:val="16"/>
                <w:szCs w:val="16"/>
                <w:color w:val="auto"/>
              </w:rPr>
            </w:pPr>
          </w:p>
        </w:tc>
        <w:tc>
          <w:tcPr>
            <w:tcW w:w="300" w:type="dxa"/>
            <w:vAlign w:val="bottom"/>
            <w:shd w:val="clear" w:color="auto" w:fill="FF160F"/>
          </w:tcPr>
          <w:p>
            <w:pPr>
              <w:spacing w:after="0"/>
              <w:rPr>
                <w:sz w:val="16"/>
                <w:szCs w:val="16"/>
                <w:color w:val="auto"/>
              </w:rPr>
            </w:pPr>
          </w:p>
        </w:tc>
        <w:tc>
          <w:tcPr>
            <w:tcW w:w="740" w:type="dxa"/>
            <w:vAlign w:val="bottom"/>
            <w:shd w:val="clear" w:color="auto" w:fill="FF160F"/>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320" w:type="dxa"/>
            <w:vAlign w:val="bottom"/>
            <w:shd w:val="clear" w:color="auto" w:fill="FF160F"/>
          </w:tcPr>
          <w:p>
            <w:pPr>
              <w:spacing w:after="0"/>
              <w:rPr>
                <w:sz w:val="16"/>
                <w:szCs w:val="16"/>
                <w:color w:val="auto"/>
              </w:rPr>
            </w:pPr>
          </w:p>
        </w:tc>
        <w:tc>
          <w:tcPr>
            <w:tcW w:w="1220" w:type="dxa"/>
            <w:vAlign w:val="bottom"/>
            <w:shd w:val="clear" w:color="auto" w:fill="FF160F"/>
          </w:tcPr>
          <w:p>
            <w:pPr>
              <w:jc w:val="right"/>
              <w:ind w:right="377"/>
              <w:spacing w:after="0"/>
              <w:rPr>
                <w:sz w:val="20"/>
                <w:szCs w:val="20"/>
                <w:color w:val="auto"/>
              </w:rPr>
            </w:pPr>
            <w:r>
              <w:rPr>
                <w:rFonts w:ascii="Arial" w:cs="Arial" w:eastAsia="Arial" w:hAnsi="Arial"/>
                <w:sz w:val="13"/>
                <w:szCs w:val="13"/>
                <w:b w:val="1"/>
                <w:bCs w:val="1"/>
                <w:color w:val="EAEFED"/>
              </w:rPr>
              <w:t>Non-Equity</w:t>
            </w:r>
          </w:p>
        </w:tc>
        <w:tc>
          <w:tcPr>
            <w:tcW w:w="340" w:type="dxa"/>
            <w:vAlign w:val="bottom"/>
            <w:shd w:val="clear" w:color="auto" w:fill="FF160F"/>
          </w:tcPr>
          <w:p>
            <w:pPr>
              <w:spacing w:after="0"/>
              <w:rPr>
                <w:sz w:val="16"/>
                <w:szCs w:val="16"/>
                <w:color w:val="auto"/>
              </w:rPr>
            </w:pPr>
          </w:p>
        </w:tc>
        <w:tc>
          <w:tcPr>
            <w:tcW w:w="900" w:type="dxa"/>
            <w:vAlign w:val="bottom"/>
            <w:vMerge w:val="restart"/>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All Other</w:t>
            </w:r>
          </w:p>
        </w:tc>
        <w:tc>
          <w:tcPr>
            <w:tcW w:w="300" w:type="dxa"/>
            <w:vAlign w:val="bottom"/>
            <w:shd w:val="clear" w:color="auto" w:fill="FF160F"/>
          </w:tcPr>
          <w:p>
            <w:pPr>
              <w:spacing w:after="0"/>
              <w:rPr>
                <w:sz w:val="16"/>
                <w:szCs w:val="16"/>
                <w:color w:val="auto"/>
              </w:rPr>
            </w:pPr>
          </w:p>
        </w:tc>
        <w:tc>
          <w:tcPr>
            <w:tcW w:w="780" w:type="dxa"/>
            <w:vAlign w:val="bottom"/>
            <w:shd w:val="clear" w:color="auto" w:fill="FF160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FF160F"/>
          </w:tcPr>
          <w:p>
            <w:pPr>
              <w:spacing w:after="0"/>
              <w:rPr>
                <w:sz w:val="11"/>
                <w:szCs w:val="11"/>
                <w:color w:val="auto"/>
              </w:rPr>
            </w:pPr>
          </w:p>
        </w:tc>
        <w:tc>
          <w:tcPr>
            <w:tcW w:w="1900" w:type="dxa"/>
            <w:vAlign w:val="bottom"/>
            <w:shd w:val="clear" w:color="auto" w:fill="FF160F"/>
          </w:tcPr>
          <w:p>
            <w:pPr>
              <w:spacing w:after="0"/>
              <w:rPr>
                <w:sz w:val="11"/>
                <w:szCs w:val="11"/>
                <w:color w:val="auto"/>
              </w:rPr>
            </w:pPr>
          </w:p>
        </w:tc>
        <w:tc>
          <w:tcPr>
            <w:tcW w:w="660" w:type="dxa"/>
            <w:vAlign w:val="bottom"/>
            <w:shd w:val="clear" w:color="auto" w:fill="FF160F"/>
          </w:tcPr>
          <w:p>
            <w:pPr>
              <w:spacing w:after="0"/>
              <w:rPr>
                <w:sz w:val="11"/>
                <w:szCs w:val="11"/>
                <w:color w:val="auto"/>
              </w:rPr>
            </w:pPr>
          </w:p>
        </w:tc>
        <w:tc>
          <w:tcPr>
            <w:tcW w:w="280" w:type="dxa"/>
            <w:vAlign w:val="bottom"/>
            <w:shd w:val="clear" w:color="auto" w:fill="FF160F"/>
          </w:tcPr>
          <w:p>
            <w:pPr>
              <w:spacing w:after="0"/>
              <w:rPr>
                <w:sz w:val="11"/>
                <w:szCs w:val="11"/>
                <w:color w:val="auto"/>
              </w:rPr>
            </w:pPr>
          </w:p>
        </w:tc>
        <w:tc>
          <w:tcPr>
            <w:tcW w:w="860" w:type="dxa"/>
            <w:vAlign w:val="bottom"/>
            <w:shd w:val="clear" w:color="auto" w:fill="FF160F"/>
          </w:tcPr>
          <w:p>
            <w:pPr>
              <w:spacing w:after="0"/>
              <w:rPr>
                <w:sz w:val="11"/>
                <w:szCs w:val="11"/>
                <w:color w:val="auto"/>
              </w:rPr>
            </w:pPr>
          </w:p>
        </w:tc>
        <w:tc>
          <w:tcPr>
            <w:tcW w:w="300" w:type="dxa"/>
            <w:vAlign w:val="bottom"/>
            <w:shd w:val="clear" w:color="auto" w:fill="FF160F"/>
          </w:tcPr>
          <w:p>
            <w:pPr>
              <w:spacing w:after="0"/>
              <w:rPr>
                <w:sz w:val="11"/>
                <w:szCs w:val="11"/>
                <w:color w:val="auto"/>
              </w:rPr>
            </w:pPr>
          </w:p>
        </w:tc>
        <w:tc>
          <w:tcPr>
            <w:tcW w:w="740" w:type="dxa"/>
            <w:vAlign w:val="bottom"/>
            <w:shd w:val="clear" w:color="auto" w:fill="FF160F"/>
          </w:tcPr>
          <w:p>
            <w:pPr>
              <w:spacing w:after="0"/>
              <w:rPr>
                <w:sz w:val="11"/>
                <w:szCs w:val="11"/>
                <w:color w:val="auto"/>
              </w:rPr>
            </w:pPr>
          </w:p>
        </w:tc>
        <w:tc>
          <w:tcPr>
            <w:tcW w:w="240" w:type="dxa"/>
            <w:vAlign w:val="bottom"/>
            <w:shd w:val="clear" w:color="auto" w:fill="FF160F"/>
          </w:tcPr>
          <w:p>
            <w:pPr>
              <w:spacing w:after="0"/>
              <w:rPr>
                <w:sz w:val="11"/>
                <w:szCs w:val="11"/>
                <w:color w:val="auto"/>
              </w:rPr>
            </w:pPr>
          </w:p>
        </w:tc>
        <w:tc>
          <w:tcPr>
            <w:tcW w:w="240" w:type="dxa"/>
            <w:vAlign w:val="bottom"/>
            <w:shd w:val="clear" w:color="auto" w:fill="FF160F"/>
          </w:tcPr>
          <w:p>
            <w:pPr>
              <w:spacing w:after="0"/>
              <w:rPr>
                <w:sz w:val="11"/>
                <w:szCs w:val="11"/>
                <w:color w:val="auto"/>
              </w:rPr>
            </w:pPr>
          </w:p>
        </w:tc>
        <w:tc>
          <w:tcPr>
            <w:tcW w:w="720" w:type="dxa"/>
            <w:vAlign w:val="bottom"/>
            <w:shd w:val="clear" w:color="auto" w:fill="FF160F"/>
          </w:tcPr>
          <w:p>
            <w:pPr>
              <w:spacing w:after="0"/>
              <w:rPr>
                <w:sz w:val="11"/>
                <w:szCs w:val="11"/>
                <w:color w:val="auto"/>
              </w:rPr>
            </w:pPr>
          </w:p>
        </w:tc>
        <w:tc>
          <w:tcPr>
            <w:tcW w:w="320" w:type="dxa"/>
            <w:vAlign w:val="bottom"/>
            <w:shd w:val="clear" w:color="auto" w:fill="FF160F"/>
          </w:tcPr>
          <w:p>
            <w:pPr>
              <w:spacing w:after="0"/>
              <w:rPr>
                <w:sz w:val="11"/>
                <w:szCs w:val="11"/>
                <w:color w:val="auto"/>
              </w:rPr>
            </w:pPr>
          </w:p>
        </w:tc>
        <w:tc>
          <w:tcPr>
            <w:tcW w:w="1220" w:type="dxa"/>
            <w:vAlign w:val="bottom"/>
            <w:shd w:val="clear" w:color="auto" w:fill="FF160F"/>
          </w:tcPr>
          <w:p>
            <w:pPr>
              <w:jc w:val="right"/>
              <w:ind w:right="437"/>
              <w:spacing w:after="0" w:line="135" w:lineRule="exact"/>
              <w:rPr>
                <w:sz w:val="20"/>
                <w:szCs w:val="20"/>
                <w:color w:val="auto"/>
              </w:rPr>
            </w:pPr>
            <w:r>
              <w:rPr>
                <w:rFonts w:ascii="Arial" w:cs="Arial" w:eastAsia="Arial" w:hAnsi="Arial"/>
                <w:sz w:val="13"/>
                <w:szCs w:val="13"/>
                <w:b w:val="1"/>
                <w:bCs w:val="1"/>
                <w:color w:val="EAEFED"/>
              </w:rPr>
              <w:t>Incentive</w:t>
            </w:r>
          </w:p>
        </w:tc>
        <w:tc>
          <w:tcPr>
            <w:tcW w:w="340" w:type="dxa"/>
            <w:vAlign w:val="bottom"/>
            <w:shd w:val="clear" w:color="auto" w:fill="FF160F"/>
          </w:tcPr>
          <w:p>
            <w:pPr>
              <w:spacing w:after="0"/>
              <w:rPr>
                <w:sz w:val="11"/>
                <w:szCs w:val="11"/>
                <w:color w:val="auto"/>
              </w:rPr>
            </w:pPr>
          </w:p>
        </w:tc>
        <w:tc>
          <w:tcPr>
            <w:tcW w:w="900" w:type="dxa"/>
            <w:vAlign w:val="bottom"/>
            <w:vMerge w:val="continue"/>
            <w:shd w:val="clear" w:color="auto" w:fill="FF160F"/>
          </w:tcPr>
          <w:p>
            <w:pPr>
              <w:spacing w:after="0"/>
              <w:rPr>
                <w:sz w:val="11"/>
                <w:szCs w:val="11"/>
                <w:color w:val="auto"/>
              </w:rPr>
            </w:pPr>
          </w:p>
        </w:tc>
        <w:tc>
          <w:tcPr>
            <w:tcW w:w="300" w:type="dxa"/>
            <w:vAlign w:val="bottom"/>
            <w:shd w:val="clear" w:color="auto" w:fill="FF160F"/>
          </w:tcPr>
          <w:p>
            <w:pPr>
              <w:spacing w:after="0"/>
              <w:rPr>
                <w:sz w:val="11"/>
                <w:szCs w:val="11"/>
                <w:color w:val="auto"/>
              </w:rPr>
            </w:pPr>
          </w:p>
        </w:tc>
        <w:tc>
          <w:tcPr>
            <w:tcW w:w="780" w:type="dxa"/>
            <w:vAlign w:val="bottom"/>
            <w:shd w:val="clear" w:color="auto" w:fill="FF160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120" w:type="dxa"/>
            <w:vAlign w:val="bottom"/>
            <w:tcBorders>
              <w:bottom w:val="single" w:sz="8" w:color="auto"/>
            </w:tcBorders>
            <w:gridSpan w:val="2"/>
            <w:shd w:val="clear" w:color="auto" w:fill="FF160F"/>
          </w:tcPr>
          <w:p>
            <w:pPr>
              <w:spacing w:after="0"/>
              <w:rPr>
                <w:sz w:val="20"/>
                <w:szCs w:val="20"/>
                <w:color w:val="auto"/>
              </w:rPr>
            </w:pPr>
            <w:r>
              <w:rPr>
                <w:rFonts w:ascii="Arial" w:cs="Arial" w:eastAsia="Arial" w:hAnsi="Arial"/>
                <w:sz w:val="13"/>
                <w:szCs w:val="13"/>
                <w:b w:val="1"/>
                <w:bCs w:val="1"/>
                <w:color w:val="EAEFED"/>
              </w:rPr>
              <w:t>  Name and Principal Position</w:t>
            </w:r>
          </w:p>
        </w:tc>
        <w:tc>
          <w:tcPr>
            <w:tcW w:w="660" w:type="dxa"/>
            <w:vAlign w:val="bottom"/>
            <w:tcBorders>
              <w:bottom w:val="single" w:sz="8" w:color="auto"/>
            </w:tcBorders>
            <w:shd w:val="clear" w:color="auto" w:fill="FF160F"/>
          </w:tcPr>
          <w:p>
            <w:pPr>
              <w:ind w:left="240"/>
              <w:spacing w:after="0"/>
              <w:rPr>
                <w:sz w:val="20"/>
                <w:szCs w:val="20"/>
                <w:color w:val="auto"/>
              </w:rPr>
            </w:pPr>
            <w:r>
              <w:rPr>
                <w:rFonts w:ascii="Arial" w:cs="Arial" w:eastAsia="Arial" w:hAnsi="Arial"/>
                <w:sz w:val="13"/>
                <w:szCs w:val="13"/>
                <w:b w:val="1"/>
                <w:bCs w:val="1"/>
                <w:color w:val="EAEFED"/>
              </w:rPr>
              <w:t>Year</w:t>
            </w:r>
          </w:p>
        </w:tc>
        <w:tc>
          <w:tcPr>
            <w:tcW w:w="280" w:type="dxa"/>
            <w:vAlign w:val="bottom"/>
            <w:tcBorders>
              <w:bottom w:val="single" w:sz="8" w:color="auto"/>
            </w:tcBorders>
            <w:shd w:val="clear" w:color="auto" w:fill="FF160F"/>
          </w:tcPr>
          <w:p>
            <w:pPr>
              <w:spacing w:after="0"/>
              <w:rPr>
                <w:sz w:val="20"/>
                <w:szCs w:val="20"/>
                <w:color w:val="auto"/>
              </w:rPr>
            </w:pPr>
          </w:p>
        </w:tc>
        <w:tc>
          <w:tcPr>
            <w:tcW w:w="860" w:type="dxa"/>
            <w:vAlign w:val="bottom"/>
            <w:tcBorders>
              <w:bottom w:val="single" w:sz="8" w:color="auto"/>
            </w:tcBorders>
            <w:shd w:val="clear" w:color="auto" w:fill="FF160F"/>
          </w:tcPr>
          <w:p>
            <w:pPr>
              <w:jc w:val="right"/>
              <w:ind w:right="257"/>
              <w:spacing w:after="0"/>
              <w:rPr>
                <w:sz w:val="20"/>
                <w:szCs w:val="20"/>
                <w:color w:val="auto"/>
              </w:rPr>
            </w:pPr>
            <w:r>
              <w:rPr>
                <w:rFonts w:ascii="Arial" w:cs="Arial" w:eastAsia="Arial" w:hAnsi="Arial"/>
                <w:sz w:val="13"/>
                <w:szCs w:val="13"/>
                <w:b w:val="1"/>
                <w:bCs w:val="1"/>
                <w:color w:val="EAEFED"/>
                <w:w w:val="96"/>
              </w:rPr>
              <w:t>Salary</w:t>
            </w:r>
            <w:r>
              <w:rPr>
                <w:rFonts w:ascii="Arial" w:cs="Arial" w:eastAsia="Arial" w:hAnsi="Arial"/>
                <w:sz w:val="18"/>
                <w:szCs w:val="18"/>
                <w:b w:val="1"/>
                <w:bCs w:val="1"/>
                <w:color w:val="EAEFED"/>
                <w:w w:val="96"/>
                <w:vertAlign w:val="superscript"/>
              </w:rPr>
              <w:t>(1)</w:t>
            </w:r>
          </w:p>
        </w:tc>
        <w:tc>
          <w:tcPr>
            <w:tcW w:w="300" w:type="dxa"/>
            <w:vAlign w:val="bottom"/>
            <w:tcBorders>
              <w:bottom w:val="single" w:sz="8" w:color="auto"/>
            </w:tcBorders>
            <w:shd w:val="clear" w:color="auto" w:fill="FF160F"/>
          </w:tcPr>
          <w:p>
            <w:pPr>
              <w:spacing w:after="0"/>
              <w:rPr>
                <w:sz w:val="20"/>
                <w:szCs w:val="20"/>
                <w:color w:val="auto"/>
              </w:rPr>
            </w:pPr>
          </w:p>
        </w:tc>
        <w:tc>
          <w:tcPr>
            <w:tcW w:w="740" w:type="dxa"/>
            <w:vAlign w:val="bottom"/>
            <w:tcBorders>
              <w:bottom w:val="single" w:sz="8" w:color="auto"/>
            </w:tcBorders>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Bonus</w:t>
            </w:r>
            <w:r>
              <w:rPr>
                <w:rFonts w:ascii="Arial" w:cs="Arial" w:eastAsia="Arial" w:hAnsi="Arial"/>
                <w:sz w:val="18"/>
                <w:szCs w:val="18"/>
                <w:b w:val="1"/>
                <w:bCs w:val="1"/>
                <w:color w:val="EAEFED"/>
                <w:vertAlign w:val="superscript"/>
              </w:rPr>
              <w:t>(2)</w:t>
            </w:r>
          </w:p>
        </w:tc>
        <w:tc>
          <w:tcPr>
            <w:tcW w:w="1200" w:type="dxa"/>
            <w:vAlign w:val="bottom"/>
            <w:tcBorders>
              <w:bottom w:val="single" w:sz="8" w:color="auto"/>
            </w:tcBorders>
            <w:gridSpan w:val="3"/>
            <w:shd w:val="clear" w:color="auto" w:fill="FF160F"/>
          </w:tcPr>
          <w:p>
            <w:pPr>
              <w:ind w:left="140"/>
              <w:spacing w:after="0"/>
              <w:rPr>
                <w:sz w:val="20"/>
                <w:szCs w:val="20"/>
                <w:color w:val="auto"/>
              </w:rPr>
            </w:pPr>
            <w:r>
              <w:rPr>
                <w:rFonts w:ascii="Arial" w:cs="Arial" w:eastAsia="Arial" w:hAnsi="Arial"/>
                <w:sz w:val="13"/>
                <w:szCs w:val="13"/>
                <w:b w:val="1"/>
                <w:bCs w:val="1"/>
                <w:color w:val="EAEFED"/>
              </w:rPr>
              <w:t>Stock Awards</w:t>
            </w:r>
            <w:r>
              <w:rPr>
                <w:rFonts w:ascii="Arial" w:cs="Arial" w:eastAsia="Arial" w:hAnsi="Arial"/>
                <w:sz w:val="18"/>
                <w:szCs w:val="18"/>
                <w:b w:val="1"/>
                <w:bCs w:val="1"/>
                <w:color w:val="EAEFED"/>
                <w:vertAlign w:val="superscript"/>
              </w:rPr>
              <w:t>(3)</w:t>
            </w:r>
          </w:p>
        </w:tc>
        <w:tc>
          <w:tcPr>
            <w:tcW w:w="154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Plan Compensation</w:t>
            </w:r>
            <w:r>
              <w:rPr>
                <w:rFonts w:ascii="Arial" w:cs="Arial" w:eastAsia="Arial" w:hAnsi="Arial"/>
                <w:sz w:val="18"/>
                <w:szCs w:val="18"/>
                <w:b w:val="1"/>
                <w:bCs w:val="1"/>
                <w:color w:val="EAEFED"/>
                <w:vertAlign w:val="superscript"/>
              </w:rPr>
              <w:t>(4)</w:t>
            </w:r>
          </w:p>
        </w:tc>
        <w:tc>
          <w:tcPr>
            <w:tcW w:w="1240" w:type="dxa"/>
            <w:vAlign w:val="bottom"/>
            <w:tcBorders>
              <w:bottom w:val="single" w:sz="8" w:color="auto"/>
            </w:tcBorders>
            <w:gridSpan w:val="2"/>
            <w:shd w:val="clear" w:color="auto" w:fill="FF160F"/>
          </w:tcPr>
          <w:p>
            <w:pPr>
              <w:ind w:left="140"/>
              <w:spacing w:after="0"/>
              <w:rPr>
                <w:sz w:val="20"/>
                <w:szCs w:val="20"/>
                <w:color w:val="auto"/>
              </w:rPr>
            </w:pPr>
            <w:r>
              <w:rPr>
                <w:rFonts w:ascii="Arial" w:cs="Arial" w:eastAsia="Arial" w:hAnsi="Arial"/>
                <w:sz w:val="13"/>
                <w:szCs w:val="13"/>
                <w:b w:val="1"/>
                <w:bCs w:val="1"/>
                <w:color w:val="EAEFED"/>
              </w:rPr>
              <w:t>Compensation</w:t>
            </w:r>
            <w:r>
              <w:rPr>
                <w:rFonts w:ascii="Arial" w:cs="Arial" w:eastAsia="Arial" w:hAnsi="Arial"/>
                <w:sz w:val="18"/>
                <w:szCs w:val="18"/>
                <w:b w:val="1"/>
                <w:bCs w:val="1"/>
                <w:color w:val="EAEFED"/>
                <w:vertAlign w:val="superscript"/>
              </w:rPr>
              <w:t>(5)</w:t>
            </w:r>
          </w:p>
        </w:tc>
        <w:tc>
          <w:tcPr>
            <w:tcW w:w="300" w:type="dxa"/>
            <w:vAlign w:val="bottom"/>
            <w:tcBorders>
              <w:bottom w:val="single" w:sz="8" w:color="auto"/>
            </w:tcBorders>
            <w:shd w:val="clear" w:color="auto" w:fill="FF160F"/>
          </w:tcPr>
          <w:p>
            <w:pPr>
              <w:spacing w:after="0"/>
              <w:rPr>
                <w:sz w:val="20"/>
                <w:szCs w:val="20"/>
                <w:color w:val="auto"/>
              </w:rPr>
            </w:pPr>
          </w:p>
        </w:tc>
        <w:tc>
          <w:tcPr>
            <w:tcW w:w="780" w:type="dxa"/>
            <w:vAlign w:val="bottom"/>
            <w:tcBorders>
              <w:bottom w:val="single" w:sz="8" w:color="auto"/>
            </w:tcBorders>
            <w:shd w:val="clear" w:color="auto" w:fill="FF160F"/>
          </w:tcPr>
          <w:p>
            <w:pPr>
              <w:jc w:val="right"/>
              <w:spacing w:after="0"/>
              <w:rPr>
                <w:sz w:val="20"/>
                <w:szCs w:val="20"/>
                <w:color w:val="auto"/>
              </w:rPr>
            </w:pPr>
            <w:r>
              <w:rPr>
                <w:rFonts w:ascii="Arial" w:cs="Arial" w:eastAsia="Arial" w:hAnsi="Arial"/>
                <w:sz w:val="13"/>
                <w:szCs w:val="13"/>
                <w:b w:val="1"/>
                <w:bCs w:val="1"/>
                <w:color w:val="EAEFED"/>
              </w:rPr>
              <w:t>Total</w:t>
            </w:r>
          </w:p>
        </w:tc>
        <w:tc>
          <w:tcPr>
            <w:tcW w:w="0" w:type="dxa"/>
            <w:vAlign w:val="bottom"/>
          </w:tcPr>
          <w:p>
            <w:pPr>
              <w:spacing w:after="0"/>
              <w:rPr>
                <w:sz w:val="1"/>
                <w:szCs w:val="1"/>
                <w:color w:val="auto"/>
              </w:rPr>
            </w:pPr>
          </w:p>
        </w:tc>
      </w:tr>
      <w:tr>
        <w:trPr>
          <w:trHeight w:val="165"/>
        </w:trPr>
        <w:tc>
          <w:tcPr>
            <w:tcW w:w="312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Donald C. Wood (PEO)</w:t>
            </w:r>
          </w:p>
        </w:tc>
        <w:tc>
          <w:tcPr>
            <w:tcW w:w="660" w:type="dxa"/>
            <w:vAlign w:val="bottom"/>
          </w:tcPr>
          <w:p>
            <w:pPr>
              <w:ind w:left="260"/>
              <w:spacing w:after="0"/>
              <w:rPr>
                <w:sz w:val="20"/>
                <w:szCs w:val="20"/>
                <w:color w:val="auto"/>
              </w:rPr>
            </w:pPr>
            <w:r>
              <w:rPr>
                <w:rFonts w:ascii="Arial" w:cs="Arial" w:eastAsia="Arial" w:hAnsi="Arial"/>
                <w:sz w:val="13"/>
                <w:szCs w:val="13"/>
                <w:color w:val="auto"/>
              </w:rPr>
              <w:t>2025</w:t>
            </w:r>
          </w:p>
        </w:tc>
        <w:tc>
          <w:tcPr>
            <w:tcW w:w="28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w w:val="92"/>
              </w:rPr>
              <w:t>   1,000,000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7,554,434</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      1,350,000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      24,712</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9,929,147</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Chief Executive Officer and</w:t>
            </w:r>
          </w:p>
        </w:tc>
        <w:tc>
          <w:tcPr>
            <w:tcW w:w="660" w:type="dxa"/>
            <w:vAlign w:val="bottom"/>
          </w:tcPr>
          <w:p>
            <w:pPr>
              <w:ind w:left="260"/>
              <w:spacing w:after="0"/>
              <w:rPr>
                <w:sz w:val="20"/>
                <w:szCs w:val="20"/>
                <w:color w:val="auto"/>
              </w:rPr>
            </w:pPr>
            <w:r>
              <w:rPr>
                <w:rFonts w:ascii="Arial" w:cs="Arial" w:eastAsia="Arial" w:hAnsi="Arial"/>
                <w:sz w:val="13"/>
                <w:szCs w:val="13"/>
                <w:color w:val="auto"/>
              </w:rPr>
              <w:t>2024</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6,946,529</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1,265,625</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28,376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9,240,530</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President</w:t>
            </w:r>
          </w:p>
        </w:tc>
        <w:tc>
          <w:tcPr>
            <w:tcW w:w="660" w:type="dxa"/>
            <w:vAlign w:val="bottom"/>
          </w:tcPr>
          <w:p>
            <w:pPr>
              <w:ind w:left="260"/>
              <w:spacing w:after="0"/>
              <w:rPr>
                <w:sz w:val="20"/>
                <w:szCs w:val="20"/>
                <w:color w:val="auto"/>
              </w:rPr>
            </w:pPr>
            <w:r>
              <w:rPr>
                <w:rFonts w:ascii="Arial" w:cs="Arial" w:eastAsia="Arial" w:hAnsi="Arial"/>
                <w:sz w:val="13"/>
                <w:szCs w:val="13"/>
                <w:color w:val="auto"/>
              </w:rPr>
              <w:t>2023</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6,502,565</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33,005</w:t>
            </w:r>
          </w:p>
        </w:tc>
        <w:tc>
          <w:tcPr>
            <w:tcW w:w="30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80" w:type="dxa"/>
            <w:vAlign w:val="bottom"/>
          </w:tcPr>
          <w:p>
            <w:pPr>
              <w:jc w:val="right"/>
              <w:spacing w:after="0"/>
              <w:rPr>
                <w:sz w:val="20"/>
                <w:szCs w:val="20"/>
                <w:color w:val="auto"/>
              </w:rPr>
            </w:pPr>
            <w:r>
              <w:rPr>
                <w:rFonts w:ascii="Arial" w:cs="Arial" w:eastAsia="Arial" w:hAnsi="Arial"/>
                <w:sz w:val="13"/>
                <w:szCs w:val="13"/>
                <w:color w:val="auto"/>
                <w:w w:val="92"/>
              </w:rPr>
              <w:t>   8,941,820</w:t>
            </w:r>
          </w:p>
        </w:tc>
        <w:tc>
          <w:tcPr>
            <w:tcW w:w="0" w:type="dxa"/>
            <w:vAlign w:val="bottom"/>
          </w:tcPr>
          <w:p>
            <w:pPr>
              <w:spacing w:after="0"/>
              <w:rPr>
                <w:sz w:val="1"/>
                <w:szCs w:val="1"/>
                <w:color w:val="auto"/>
              </w:rPr>
            </w:pPr>
          </w:p>
        </w:tc>
      </w:tr>
      <w:tr>
        <w:trPr>
          <w:trHeight w:val="202"/>
        </w:trPr>
        <w:tc>
          <w:tcPr>
            <w:tcW w:w="312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Daniel Guglielmone (PFO)</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650,000</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1,762,056</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877,500</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13,118</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3,302,674</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Executive Vice President-</w:t>
            </w:r>
          </w:p>
        </w:tc>
        <w:tc>
          <w:tcPr>
            <w:tcW w:w="660" w:type="dxa"/>
            <w:vAlign w:val="bottom"/>
          </w:tcPr>
          <w:p>
            <w:pPr>
              <w:ind w:left="260"/>
              <w:spacing w:after="0"/>
              <w:rPr>
                <w:sz w:val="20"/>
                <w:szCs w:val="20"/>
                <w:color w:val="auto"/>
              </w:rPr>
            </w:pPr>
            <w:r>
              <w:rPr>
                <w:rFonts w:ascii="Arial" w:cs="Arial" w:eastAsia="Arial" w:hAnsi="Arial"/>
                <w:sz w:val="13"/>
                <w:szCs w:val="13"/>
                <w:color w:val="auto"/>
              </w:rPr>
              <w:t>2024</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1,063,974</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646,875</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13,340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2,299,188</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Chief Financial Officer &amp; Treasurer</w:t>
            </w:r>
          </w:p>
        </w:tc>
        <w:tc>
          <w:tcPr>
            <w:tcW w:w="660" w:type="dxa"/>
            <w:vAlign w:val="bottom"/>
          </w:tcPr>
          <w:p>
            <w:pPr>
              <w:ind w:left="260"/>
              <w:spacing w:after="0"/>
              <w:rPr>
                <w:sz w:val="20"/>
                <w:szCs w:val="20"/>
                <w:color w:val="auto"/>
              </w:rPr>
            </w:pPr>
            <w:r>
              <w:rPr>
                <w:rFonts w:ascii="Arial" w:cs="Arial" w:eastAsia="Arial" w:hAnsi="Arial"/>
                <w:sz w:val="13"/>
                <w:szCs w:val="13"/>
                <w:color w:val="auto"/>
              </w:rPr>
              <w:t>2023</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w w:val="89"/>
              </w:rPr>
              <w:t>   150,000</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989,990</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12,389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2,446,128</w:t>
            </w:r>
          </w:p>
        </w:tc>
        <w:tc>
          <w:tcPr>
            <w:tcW w:w="0" w:type="dxa"/>
            <w:vAlign w:val="bottom"/>
          </w:tcPr>
          <w:p>
            <w:pPr>
              <w:spacing w:after="0"/>
              <w:rPr>
                <w:sz w:val="1"/>
                <w:szCs w:val="1"/>
                <w:color w:val="auto"/>
              </w:rPr>
            </w:pPr>
          </w:p>
        </w:tc>
      </w:tr>
      <w:tr>
        <w:trPr>
          <w:trHeight w:val="165"/>
        </w:trPr>
        <w:tc>
          <w:tcPr>
            <w:tcW w:w="312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Dawn M. Becker</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3"/>
                <w:szCs w:val="13"/>
                <w:color w:val="auto"/>
              </w:rPr>
              <w:t>2025</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1,368,720</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517,500</w:t>
            </w: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14,391</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2,475,611</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Executive Vice President-</w:t>
            </w:r>
          </w:p>
        </w:tc>
        <w:tc>
          <w:tcPr>
            <w:tcW w:w="660" w:type="dxa"/>
            <w:vAlign w:val="bottom"/>
          </w:tcPr>
          <w:p>
            <w:pPr>
              <w:ind w:left="260"/>
              <w:spacing w:after="0"/>
              <w:rPr>
                <w:sz w:val="20"/>
                <w:szCs w:val="20"/>
                <w:color w:val="auto"/>
              </w:rPr>
            </w:pPr>
            <w:r>
              <w:rPr>
                <w:rFonts w:ascii="Arial" w:cs="Arial" w:eastAsia="Arial" w:hAnsi="Arial"/>
                <w:sz w:val="13"/>
                <w:szCs w:val="13"/>
                <w:color w:val="auto"/>
              </w:rPr>
              <w:t>2024</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1,279,594</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485,156</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18,868</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2,358,619</w:t>
            </w:r>
          </w:p>
        </w:tc>
        <w:tc>
          <w:tcPr>
            <w:tcW w:w="0" w:type="dxa"/>
            <w:vAlign w:val="bottom"/>
          </w:tcPr>
          <w:p>
            <w:pPr>
              <w:spacing w:after="0"/>
              <w:rPr>
                <w:sz w:val="1"/>
                <w:szCs w:val="1"/>
                <w:color w:val="auto"/>
              </w:rPr>
            </w:pPr>
          </w:p>
        </w:tc>
      </w:tr>
      <w:tr>
        <w:trPr>
          <w:trHeight w:val="238"/>
        </w:trPr>
        <w:tc>
          <w:tcPr>
            <w:tcW w:w="312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Chief Legal Officer &amp; Secretary</w:t>
            </w:r>
          </w:p>
        </w:tc>
        <w:tc>
          <w:tcPr>
            <w:tcW w:w="660" w:type="dxa"/>
            <w:vAlign w:val="bottom"/>
          </w:tcPr>
          <w:p>
            <w:pPr>
              <w:ind w:left="260"/>
              <w:spacing w:after="0"/>
              <w:rPr>
                <w:sz w:val="20"/>
                <w:szCs w:val="20"/>
                <w:color w:val="auto"/>
              </w:rPr>
            </w:pPr>
            <w:r>
              <w:rPr>
                <w:rFonts w:ascii="Arial" w:cs="Arial" w:eastAsia="Arial" w:hAnsi="Arial"/>
                <w:sz w:val="13"/>
                <w:szCs w:val="13"/>
                <w:color w:val="auto"/>
              </w:rPr>
              <w:t>2023</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1,205,597</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40" w:type="dxa"/>
            <w:vAlign w:val="bottom"/>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17,644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2,337,304</w:t>
            </w:r>
          </w:p>
        </w:tc>
        <w:tc>
          <w:tcPr>
            <w:tcW w:w="0" w:type="dxa"/>
            <w:vAlign w:val="bottom"/>
          </w:tcPr>
          <w:p>
            <w:pPr>
              <w:spacing w:after="0"/>
              <w:rPr>
                <w:sz w:val="1"/>
                <w:szCs w:val="1"/>
                <w:color w:val="auto"/>
              </w:rPr>
            </w:pPr>
          </w:p>
        </w:tc>
      </w:tr>
      <w:tr>
        <w:trPr>
          <w:trHeight w:val="129"/>
        </w:trPr>
        <w:tc>
          <w:tcPr>
            <w:tcW w:w="1220" w:type="dxa"/>
            <w:vAlign w:val="bottom"/>
            <w:tcBorders>
              <w:top w:val="single" w:sz="8" w:color="auto"/>
              <w:bottom w:val="single" w:sz="8" w:color="auto"/>
            </w:tcBorders>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540" w:hanging="424"/>
        <w:spacing w:after="0" w:line="201"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Amounts shown in the Salary column include all amounts deferred at the election of the NEOs into our non-qualified deferred compensation plan.</w:t>
      </w:r>
    </w:p>
    <w:p>
      <w:pPr>
        <w:ind w:left="540" w:hanging="424"/>
        <w:spacing w:after="0" w:line="187" w:lineRule="auto"/>
        <w:tabs>
          <w:tab w:leader="none" w:pos="54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Amounts represent a one-time cash bonus.</w:t>
      </w:r>
    </w:p>
    <w:p>
      <w:pPr>
        <w:ind w:left="540" w:right="20" w:hanging="424"/>
        <w:spacing w:after="0" w:line="197"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reflect the aggregate grant date fair value of the awards calculated in accordance with FASB ASC Topic 718 that were issued in the year shown.</w:t>
      </w:r>
    </w:p>
    <w:p>
      <w:pPr>
        <w:ind w:left="540" w:right="20" w:hanging="424"/>
        <w:spacing w:after="0" w:line="197"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represent the cash amount paid under our annual bonus plan and include amounts deferred by our NEOs into our non-qualified deferred compensation plan.</w:t>
      </w:r>
    </w:p>
    <w:p>
      <w:pPr>
        <w:jc w:val="both"/>
        <w:ind w:left="540" w:right="20" w:hanging="424"/>
        <w:spacing w:after="0" w:line="214" w:lineRule="auto"/>
        <w:tabs>
          <w:tab w:leader="none" w:pos="54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The amounts shown in this column for the most recent fiscal year include: (a) Company contributions to our 401(k) plan of $8,750 for each of our NEOs; and (b) payments for various life, long-term disability and other medical related insurance of $15,962 for Mr. Wood, $4,368 for Mr. Guglielmone, and $5,641 for Ms. Becker.</w:t>
      </w:r>
    </w:p>
    <w:p>
      <w:pPr>
        <w:spacing w:after="0" w:line="215" w:lineRule="exact"/>
        <w:rPr>
          <w:sz w:val="20"/>
          <w:szCs w:val="20"/>
          <w:color w:val="auto"/>
        </w:rPr>
      </w:pPr>
    </w:p>
    <w:p>
      <w:pPr>
        <w:ind w:left="540" w:hanging="424"/>
        <w:spacing w:after="0"/>
        <w:tabs>
          <w:tab w:leader="none" w:pos="540" w:val="left"/>
        </w:tabs>
        <w:numPr>
          <w:ilvl w:val="0"/>
          <w:numId w:val="73"/>
        </w:numPr>
        <w:rPr>
          <w:rFonts w:ascii="MS PGothic" w:cs="MS PGothic" w:eastAsia="MS PGothic" w:hAnsi="MS PGothic"/>
          <w:sz w:val="18"/>
          <w:szCs w:val="18"/>
          <w:color w:val="FF160F"/>
        </w:rPr>
      </w:pPr>
      <w:r>
        <w:rPr>
          <w:rFonts w:ascii="Arial" w:cs="Arial" w:eastAsia="Arial" w:hAnsi="Arial"/>
          <w:sz w:val="18"/>
          <w:szCs w:val="18"/>
          <w:b w:val="1"/>
          <w:bCs w:val="1"/>
          <w:color w:val="auto"/>
        </w:rPr>
        <w:t>GRANTS OF PLAN BASED AWARDS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equity awards were made in 2025 to our NEOs.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4100" w:type="dxa"/>
            <w:vAlign w:val="bottom"/>
            <w:shd w:val="clear" w:color="auto" w:fill="FF160F"/>
          </w:tcPr>
          <w:p>
            <w:pPr>
              <w:spacing w:after="0"/>
              <w:rPr>
                <w:sz w:val="22"/>
                <w:szCs w:val="22"/>
                <w:color w:val="auto"/>
              </w:rPr>
            </w:pPr>
          </w:p>
        </w:tc>
        <w:tc>
          <w:tcPr>
            <w:tcW w:w="1740" w:type="dxa"/>
            <w:vAlign w:val="bottom"/>
            <w:shd w:val="clear" w:color="auto" w:fill="FF160F"/>
          </w:tcPr>
          <w:p>
            <w:pPr>
              <w:spacing w:after="0"/>
              <w:rPr>
                <w:sz w:val="22"/>
                <w:szCs w:val="22"/>
                <w:color w:val="auto"/>
              </w:rPr>
            </w:pPr>
          </w:p>
        </w:tc>
        <w:tc>
          <w:tcPr>
            <w:tcW w:w="226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EAEFED"/>
              </w:rPr>
              <w:t>All Other Stock Awards:</w:t>
            </w:r>
          </w:p>
        </w:tc>
        <w:tc>
          <w:tcPr>
            <w:tcW w:w="1140" w:type="dxa"/>
            <w:vAlign w:val="bottom"/>
            <w:gridSpan w:val="2"/>
            <w:shd w:val="clear" w:color="auto" w:fill="FF160F"/>
          </w:tcPr>
          <w:p>
            <w:pPr>
              <w:jc w:val="right"/>
              <w:spacing w:after="0"/>
              <w:rPr>
                <w:sz w:val="20"/>
                <w:szCs w:val="20"/>
                <w:color w:val="auto"/>
              </w:rPr>
            </w:pPr>
            <w:r>
              <w:rPr>
                <w:rFonts w:ascii="Arial" w:cs="Arial" w:eastAsia="Arial" w:hAnsi="Arial"/>
                <w:sz w:val="14"/>
                <w:szCs w:val="14"/>
                <w:b w:val="1"/>
                <w:bCs w:val="1"/>
                <w:color w:val="EAEFED"/>
              </w:rPr>
              <w:t>Grant Date</w:t>
            </w:r>
          </w:p>
        </w:tc>
      </w:tr>
      <w:tr>
        <w:trPr>
          <w:trHeight w:val="158"/>
        </w:trPr>
        <w:tc>
          <w:tcPr>
            <w:tcW w:w="4100" w:type="dxa"/>
            <w:vAlign w:val="bottom"/>
            <w:shd w:val="clear" w:color="auto" w:fill="FF160F"/>
          </w:tcPr>
          <w:p>
            <w:pPr>
              <w:spacing w:after="0"/>
              <w:rPr>
                <w:sz w:val="13"/>
                <w:szCs w:val="13"/>
                <w:color w:val="auto"/>
              </w:rPr>
            </w:pPr>
          </w:p>
        </w:tc>
        <w:tc>
          <w:tcPr>
            <w:tcW w:w="1740" w:type="dxa"/>
            <w:vAlign w:val="bottom"/>
            <w:shd w:val="clear" w:color="auto" w:fill="FF160F"/>
          </w:tcPr>
          <w:p>
            <w:pPr>
              <w:ind w:left="740"/>
              <w:spacing w:after="0" w:line="158" w:lineRule="exact"/>
              <w:rPr>
                <w:sz w:val="20"/>
                <w:szCs w:val="20"/>
                <w:color w:val="auto"/>
              </w:rPr>
            </w:pPr>
            <w:r>
              <w:rPr>
                <w:rFonts w:ascii="Arial" w:cs="Arial" w:eastAsia="Arial" w:hAnsi="Arial"/>
                <w:sz w:val="14"/>
                <w:szCs w:val="14"/>
                <w:b w:val="1"/>
                <w:bCs w:val="1"/>
                <w:color w:val="EAEFED"/>
              </w:rPr>
              <w:t>Grant</w:t>
            </w:r>
          </w:p>
        </w:tc>
        <w:tc>
          <w:tcPr>
            <w:tcW w:w="2260" w:type="dxa"/>
            <w:vAlign w:val="bottom"/>
            <w:shd w:val="clear" w:color="auto" w:fill="FF160F"/>
          </w:tcPr>
          <w:p>
            <w:pPr>
              <w:jc w:val="right"/>
              <w:ind w:right="228"/>
              <w:spacing w:after="0" w:line="158" w:lineRule="exact"/>
              <w:rPr>
                <w:sz w:val="20"/>
                <w:szCs w:val="20"/>
                <w:color w:val="auto"/>
              </w:rPr>
            </w:pPr>
            <w:r>
              <w:rPr>
                <w:rFonts w:ascii="Arial" w:cs="Arial" w:eastAsia="Arial" w:hAnsi="Arial"/>
                <w:sz w:val="14"/>
                <w:szCs w:val="14"/>
                <w:b w:val="1"/>
                <w:bCs w:val="1"/>
                <w:color w:val="EAEFED"/>
              </w:rPr>
              <w:t>Number of Shares of</w:t>
            </w:r>
          </w:p>
        </w:tc>
        <w:tc>
          <w:tcPr>
            <w:tcW w:w="380" w:type="dxa"/>
            <w:vAlign w:val="bottom"/>
            <w:shd w:val="clear" w:color="auto" w:fill="FF160F"/>
          </w:tcPr>
          <w:p>
            <w:pPr>
              <w:spacing w:after="0"/>
              <w:rPr>
                <w:sz w:val="13"/>
                <w:szCs w:val="13"/>
                <w:color w:val="auto"/>
              </w:rPr>
            </w:pPr>
          </w:p>
        </w:tc>
        <w:tc>
          <w:tcPr>
            <w:tcW w:w="760" w:type="dxa"/>
            <w:vAlign w:val="bottom"/>
            <w:shd w:val="clear" w:color="auto" w:fill="FF160F"/>
          </w:tcPr>
          <w:p>
            <w:pPr>
              <w:jc w:val="right"/>
              <w:spacing w:after="0" w:line="158" w:lineRule="exact"/>
              <w:rPr>
                <w:sz w:val="20"/>
                <w:szCs w:val="20"/>
                <w:color w:val="auto"/>
              </w:rPr>
            </w:pPr>
            <w:r>
              <w:rPr>
                <w:rFonts w:ascii="Arial" w:cs="Arial" w:eastAsia="Arial" w:hAnsi="Arial"/>
                <w:sz w:val="14"/>
                <w:szCs w:val="14"/>
                <w:b w:val="1"/>
                <w:bCs w:val="1"/>
                <w:color w:val="EAEFED"/>
              </w:rPr>
              <w:t>Fair</w:t>
            </w:r>
          </w:p>
        </w:tc>
      </w:tr>
      <w:tr>
        <w:trPr>
          <w:trHeight w:val="189"/>
        </w:trPr>
        <w:tc>
          <w:tcPr>
            <w:tcW w:w="410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1740" w:type="dxa"/>
            <w:vAlign w:val="bottom"/>
            <w:tcBorders>
              <w:bottom w:val="single" w:sz="8" w:color="auto"/>
            </w:tcBorders>
            <w:shd w:val="clear" w:color="auto" w:fill="FF160F"/>
          </w:tcPr>
          <w:p>
            <w:pPr>
              <w:ind w:left="780"/>
              <w:spacing w:after="0"/>
              <w:rPr>
                <w:sz w:val="20"/>
                <w:szCs w:val="20"/>
                <w:color w:val="auto"/>
              </w:rPr>
            </w:pPr>
            <w:r>
              <w:rPr>
                <w:rFonts w:ascii="Arial" w:cs="Arial" w:eastAsia="Arial" w:hAnsi="Arial"/>
                <w:sz w:val="14"/>
                <w:szCs w:val="14"/>
                <w:b w:val="1"/>
                <w:bCs w:val="1"/>
                <w:color w:val="EAEFED"/>
              </w:rPr>
              <w:t>Date</w:t>
            </w:r>
          </w:p>
        </w:tc>
        <w:tc>
          <w:tcPr>
            <w:tcW w:w="2260" w:type="dxa"/>
            <w:vAlign w:val="bottom"/>
            <w:tcBorders>
              <w:bottom w:val="single" w:sz="8" w:color="auto"/>
            </w:tcBorders>
            <w:shd w:val="clear" w:color="auto" w:fill="FF160F"/>
          </w:tcPr>
          <w:p>
            <w:pPr>
              <w:jc w:val="right"/>
              <w:ind w:right="228"/>
              <w:spacing w:after="0" w:line="189" w:lineRule="exact"/>
              <w:rPr>
                <w:sz w:val="20"/>
                <w:szCs w:val="20"/>
                <w:color w:val="auto"/>
              </w:rPr>
            </w:pPr>
            <w:r>
              <w:rPr>
                <w:rFonts w:ascii="Arial" w:cs="Arial" w:eastAsia="Arial" w:hAnsi="Arial"/>
                <w:sz w:val="14"/>
                <w:szCs w:val="14"/>
                <w:b w:val="1"/>
                <w:bCs w:val="1"/>
                <w:color w:val="EAEFED"/>
              </w:rPr>
              <w:t>Stock or Units</w:t>
            </w:r>
            <w:r>
              <w:rPr>
                <w:rFonts w:ascii="Arial" w:cs="Arial" w:eastAsia="Arial" w:hAnsi="Arial"/>
                <w:sz w:val="21"/>
                <w:szCs w:val="21"/>
                <w:b w:val="1"/>
                <w:bCs w:val="1"/>
                <w:color w:val="EAEFED"/>
                <w:vertAlign w:val="superscript"/>
              </w:rPr>
              <w:t>(3)</w:t>
            </w:r>
          </w:p>
        </w:tc>
        <w:tc>
          <w:tcPr>
            <w:tcW w:w="380" w:type="dxa"/>
            <w:vAlign w:val="bottom"/>
            <w:tcBorders>
              <w:bottom w:val="single" w:sz="8" w:color="auto"/>
            </w:tcBorders>
            <w:shd w:val="clear" w:color="auto" w:fill="FF160F"/>
          </w:tcPr>
          <w:p>
            <w:pPr>
              <w:spacing w:after="0"/>
              <w:rPr>
                <w:sz w:val="16"/>
                <w:szCs w:val="16"/>
                <w:color w:val="auto"/>
              </w:rPr>
            </w:pPr>
          </w:p>
        </w:tc>
        <w:tc>
          <w:tcPr>
            <w:tcW w:w="760" w:type="dxa"/>
            <w:vAlign w:val="bottom"/>
            <w:tcBorders>
              <w:bottom w:val="single" w:sz="8" w:color="auto"/>
            </w:tcBorders>
            <w:shd w:val="clear" w:color="auto" w:fill="FF160F"/>
          </w:tcPr>
          <w:p>
            <w:pPr>
              <w:jc w:val="right"/>
              <w:spacing w:after="0" w:line="189" w:lineRule="exact"/>
              <w:rPr>
                <w:sz w:val="20"/>
                <w:szCs w:val="20"/>
                <w:color w:val="auto"/>
              </w:rPr>
            </w:pPr>
            <w:r>
              <w:rPr>
                <w:rFonts w:ascii="Arial" w:cs="Arial" w:eastAsia="Arial" w:hAnsi="Arial"/>
                <w:sz w:val="14"/>
                <w:szCs w:val="14"/>
                <w:b w:val="1"/>
                <w:bCs w:val="1"/>
                <w:color w:val="EAEFED"/>
              </w:rPr>
              <w:t>Value</w:t>
            </w:r>
            <w:r>
              <w:rPr>
                <w:rFonts w:ascii="Arial" w:cs="Arial" w:eastAsia="Arial" w:hAnsi="Arial"/>
                <w:sz w:val="21"/>
                <w:szCs w:val="21"/>
                <w:b w:val="1"/>
                <w:bCs w:val="1"/>
                <w:color w:val="EAEFED"/>
                <w:vertAlign w:val="superscript"/>
              </w:rPr>
              <w:t>(4)</w:t>
            </w:r>
            <w:r>
              <w:rPr>
                <w:rFonts w:ascii="Arial" w:cs="Arial" w:eastAsia="Arial" w:hAnsi="Arial"/>
                <w:sz w:val="14"/>
                <w:szCs w:val="14"/>
                <w:b w:val="1"/>
                <w:bCs w:val="1"/>
                <w:color w:val="EAEFED"/>
              </w:rPr>
              <w:t xml:space="preserve">  </w:t>
            </w:r>
          </w:p>
        </w:tc>
      </w:tr>
      <w:tr>
        <w:trPr>
          <w:trHeight w:val="183"/>
        </w:trPr>
        <w:tc>
          <w:tcPr>
            <w:tcW w:w="4100" w:type="dxa"/>
            <w:vAlign w:val="bottom"/>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1740" w:type="dxa"/>
            <w:vAlign w:val="bottom"/>
          </w:tcPr>
          <w:p>
            <w:pPr>
              <w:ind w:left="620"/>
              <w:spacing w:after="0" w:line="183" w:lineRule="exact"/>
              <w:rPr>
                <w:sz w:val="20"/>
                <w:szCs w:val="20"/>
                <w:color w:val="auto"/>
              </w:rPr>
            </w:pPr>
            <w:r>
              <w:rPr>
                <w:rFonts w:ascii="Arial" w:cs="Arial" w:eastAsia="Arial" w:hAnsi="Arial"/>
                <w:sz w:val="14"/>
                <w:szCs w:val="14"/>
                <w:color w:val="auto"/>
              </w:rPr>
              <w:t>2/12/2025 </w:t>
            </w:r>
            <w:r>
              <w:rPr>
                <w:rFonts w:ascii="Arial" w:cs="Arial" w:eastAsia="Arial" w:hAnsi="Arial"/>
                <w:sz w:val="21"/>
                <w:szCs w:val="21"/>
                <w:color w:val="auto"/>
                <w:vertAlign w:val="superscript"/>
              </w:rPr>
              <w:t>(1)</w:t>
            </w:r>
          </w:p>
        </w:tc>
        <w:tc>
          <w:tcPr>
            <w:tcW w:w="2260" w:type="dxa"/>
            <w:vAlign w:val="bottom"/>
          </w:tcPr>
          <w:p>
            <w:pPr>
              <w:jc w:val="center"/>
              <w:spacing w:after="0"/>
              <w:rPr>
                <w:sz w:val="20"/>
                <w:szCs w:val="20"/>
                <w:color w:val="auto"/>
              </w:rPr>
            </w:pPr>
            <w:r>
              <w:rPr>
                <w:rFonts w:ascii="Arial" w:cs="Arial" w:eastAsia="Arial" w:hAnsi="Arial"/>
                <w:sz w:val="14"/>
                <w:szCs w:val="14"/>
                <w:color w:val="auto"/>
                <w:w w:val="94"/>
              </w:rPr>
              <w:t>  4,579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506,208</w:t>
            </w:r>
          </w:p>
        </w:tc>
      </w:tr>
      <w:tr>
        <w:trPr>
          <w:trHeight w:val="175"/>
        </w:trPr>
        <w:tc>
          <w:tcPr>
            <w:tcW w:w="4100" w:type="dxa"/>
            <w:vAlign w:val="bottom"/>
            <w:tcBorders>
              <w:bottom w:val="single" w:sz="8" w:color="auto"/>
            </w:tcBorders>
            <w:shd w:val="clear" w:color="auto" w:fill="D8D8D8"/>
          </w:tcPr>
          <w:p>
            <w:pPr>
              <w:spacing w:after="0"/>
              <w:rPr>
                <w:sz w:val="15"/>
                <w:szCs w:val="15"/>
                <w:color w:val="auto"/>
              </w:rPr>
            </w:pPr>
          </w:p>
        </w:tc>
        <w:tc>
          <w:tcPr>
            <w:tcW w:w="1740" w:type="dxa"/>
            <w:vAlign w:val="bottom"/>
            <w:tcBorders>
              <w:bottom w:val="single" w:sz="8" w:color="auto"/>
            </w:tcBorders>
          </w:tcPr>
          <w:p>
            <w:pPr>
              <w:ind w:left="620"/>
              <w:spacing w:after="0" w:line="175" w:lineRule="exact"/>
              <w:rPr>
                <w:sz w:val="20"/>
                <w:szCs w:val="20"/>
                <w:color w:val="auto"/>
              </w:rPr>
            </w:pPr>
            <w:r>
              <w:rPr>
                <w:rFonts w:ascii="Arial" w:cs="Arial" w:eastAsia="Arial" w:hAnsi="Arial"/>
                <w:sz w:val="14"/>
                <w:szCs w:val="14"/>
                <w:color w:val="auto"/>
              </w:rPr>
              <w:t>2/12/2025 </w:t>
            </w:r>
            <w:r>
              <w:rPr>
                <w:rFonts w:ascii="Arial" w:cs="Arial" w:eastAsia="Arial" w:hAnsi="Arial"/>
                <w:sz w:val="20"/>
                <w:szCs w:val="20"/>
                <w:color w:val="auto"/>
                <w:vertAlign w:val="superscript"/>
              </w:rPr>
              <w:t>(2)</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63,756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7,048,226</w:t>
            </w:r>
          </w:p>
        </w:tc>
      </w:tr>
      <w:tr>
        <w:trPr>
          <w:trHeight w:val="169"/>
        </w:trPr>
        <w:tc>
          <w:tcPr>
            <w:tcW w:w="41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  Daniel Guglielmone</w:t>
            </w:r>
          </w:p>
        </w:tc>
        <w:tc>
          <w:tcPr>
            <w:tcW w:w="1740" w:type="dxa"/>
            <w:vAlign w:val="bottom"/>
            <w:tcBorders>
              <w:bottom w:val="single" w:sz="8" w:color="auto"/>
            </w:tcBorders>
          </w:tcPr>
          <w:p>
            <w:pPr>
              <w:ind w:left="620"/>
              <w:spacing w:after="0" w:line="169" w:lineRule="exact"/>
              <w:rPr>
                <w:sz w:val="20"/>
                <w:szCs w:val="20"/>
                <w:color w:val="auto"/>
              </w:rPr>
            </w:pPr>
            <w:r>
              <w:rPr>
                <w:rFonts w:ascii="Arial" w:cs="Arial" w:eastAsia="Arial" w:hAnsi="Arial"/>
                <w:sz w:val="13"/>
                <w:szCs w:val="13"/>
                <w:color w:val="auto"/>
              </w:rPr>
              <w:t>2/12/2025 </w:t>
            </w:r>
            <w:r>
              <w:rPr>
                <w:rFonts w:ascii="Arial" w:cs="Arial" w:eastAsia="Arial" w:hAnsi="Arial"/>
                <w:sz w:val="19"/>
                <w:szCs w:val="19"/>
                <w:color w:val="auto"/>
                <w:vertAlign w:val="superscript"/>
              </w:rPr>
              <w:t>(2)</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15,939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1,762,056</w:t>
            </w:r>
          </w:p>
        </w:tc>
      </w:tr>
      <w:tr>
        <w:trPr>
          <w:trHeight w:val="183"/>
        </w:trPr>
        <w:tc>
          <w:tcPr>
            <w:tcW w:w="4100" w:type="dxa"/>
            <w:vAlign w:val="bottom"/>
            <w:shd w:val="clear" w:color="auto" w:fill="D8D8D8"/>
          </w:tcPr>
          <w:p>
            <w:pPr>
              <w:spacing w:after="0"/>
              <w:rPr>
                <w:sz w:val="20"/>
                <w:szCs w:val="20"/>
                <w:color w:val="auto"/>
              </w:rPr>
            </w:pPr>
            <w:r>
              <w:rPr>
                <w:rFonts w:ascii="Arial" w:cs="Arial" w:eastAsia="Arial" w:hAnsi="Arial"/>
                <w:sz w:val="14"/>
                <w:szCs w:val="14"/>
                <w:color w:val="auto"/>
              </w:rPr>
              <w:t>  Dawn M. Becker</w:t>
            </w:r>
          </w:p>
        </w:tc>
        <w:tc>
          <w:tcPr>
            <w:tcW w:w="1740" w:type="dxa"/>
            <w:vAlign w:val="bottom"/>
          </w:tcPr>
          <w:p>
            <w:pPr>
              <w:ind w:left="620"/>
              <w:spacing w:after="0" w:line="183" w:lineRule="exact"/>
              <w:rPr>
                <w:sz w:val="20"/>
                <w:szCs w:val="20"/>
                <w:color w:val="auto"/>
              </w:rPr>
            </w:pPr>
            <w:r>
              <w:rPr>
                <w:rFonts w:ascii="Arial" w:cs="Arial" w:eastAsia="Arial" w:hAnsi="Arial"/>
                <w:sz w:val="14"/>
                <w:szCs w:val="14"/>
                <w:color w:val="auto"/>
              </w:rPr>
              <w:t>2/12/2025 </w:t>
            </w:r>
            <w:r>
              <w:rPr>
                <w:rFonts w:ascii="Arial" w:cs="Arial" w:eastAsia="Arial" w:hAnsi="Arial"/>
                <w:sz w:val="21"/>
                <w:szCs w:val="21"/>
                <w:color w:val="auto"/>
                <w:vertAlign w:val="superscript"/>
              </w:rPr>
              <w:t>(1)</w:t>
            </w:r>
          </w:p>
        </w:tc>
        <w:tc>
          <w:tcPr>
            <w:tcW w:w="2260" w:type="dxa"/>
            <w:vAlign w:val="bottom"/>
          </w:tcPr>
          <w:p>
            <w:pPr>
              <w:jc w:val="center"/>
              <w:spacing w:after="0"/>
              <w:rPr>
                <w:sz w:val="20"/>
                <w:szCs w:val="20"/>
                <w:color w:val="auto"/>
              </w:rPr>
            </w:pPr>
            <w:r>
              <w:rPr>
                <w:rFonts w:ascii="Arial" w:cs="Arial" w:eastAsia="Arial" w:hAnsi="Arial"/>
                <w:sz w:val="14"/>
                <w:szCs w:val="14"/>
                <w:color w:val="auto"/>
                <w:w w:val="94"/>
              </w:rPr>
              <w:t>  1,755</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194,015</w:t>
            </w:r>
          </w:p>
        </w:tc>
      </w:tr>
      <w:tr>
        <w:trPr>
          <w:trHeight w:val="175"/>
        </w:trPr>
        <w:tc>
          <w:tcPr>
            <w:tcW w:w="4100" w:type="dxa"/>
            <w:vAlign w:val="bottom"/>
            <w:tcBorders>
              <w:bottom w:val="single" w:sz="8" w:color="auto"/>
            </w:tcBorders>
            <w:shd w:val="clear" w:color="auto" w:fill="D8D8D8"/>
          </w:tcPr>
          <w:p>
            <w:pPr>
              <w:spacing w:after="0"/>
              <w:rPr>
                <w:sz w:val="15"/>
                <w:szCs w:val="15"/>
                <w:color w:val="auto"/>
              </w:rPr>
            </w:pPr>
          </w:p>
        </w:tc>
        <w:tc>
          <w:tcPr>
            <w:tcW w:w="1740" w:type="dxa"/>
            <w:vAlign w:val="bottom"/>
            <w:tcBorders>
              <w:bottom w:val="single" w:sz="8" w:color="auto"/>
            </w:tcBorders>
          </w:tcPr>
          <w:p>
            <w:pPr>
              <w:ind w:left="620"/>
              <w:spacing w:after="0" w:line="175" w:lineRule="exact"/>
              <w:rPr>
                <w:sz w:val="20"/>
                <w:szCs w:val="20"/>
                <w:color w:val="auto"/>
              </w:rPr>
            </w:pPr>
            <w:r>
              <w:rPr>
                <w:rFonts w:ascii="Arial" w:cs="Arial" w:eastAsia="Arial" w:hAnsi="Arial"/>
                <w:sz w:val="14"/>
                <w:szCs w:val="14"/>
                <w:color w:val="auto"/>
              </w:rPr>
              <w:t>2/12/2025 </w:t>
            </w:r>
            <w:r>
              <w:rPr>
                <w:rFonts w:ascii="Arial" w:cs="Arial" w:eastAsia="Arial" w:hAnsi="Arial"/>
                <w:sz w:val="20"/>
                <w:szCs w:val="20"/>
                <w:color w:val="auto"/>
                <w:vertAlign w:val="superscript"/>
              </w:rPr>
              <w:t>(2)</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10,626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Issued under our annual bonus plan for the 1-year performance period ending December 31, 2024. These shares vest equally over 3 years.</w:t>
      </w:r>
    </w:p>
    <w:p>
      <w:pPr>
        <w:ind w:left="540" w:right="20" w:hanging="424"/>
        <w:spacing w:after="0" w:line="197"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Issued under our long-term incentive award program for the 3-year performance period ending December 31, 2024. These shares vest equally over 3 years.</w:t>
      </w:r>
    </w:p>
    <w:p>
      <w:pPr>
        <w:ind w:left="540" w:right="20" w:hanging="424"/>
        <w:spacing w:after="0" w:line="197"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Dividends are paid on these shares issued at the same rate and time as paid to all other holders of our shares as declared by our Board from time to time.</w:t>
      </w:r>
    </w:p>
    <w:p>
      <w:pPr>
        <w:ind w:left="540" w:hanging="424"/>
        <w:spacing w:after="0" w:line="180" w:lineRule="auto"/>
        <w:tabs>
          <w:tab w:leader="none" w:pos="54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Represents the grant date fair value of share awards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OUTSTANDING EQUITY AWARDS AT FISCAL YEAR END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by our NEOs as of December 31, 2025:</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220" w:type="dxa"/>
            <w:vAlign w:val="bottom"/>
            <w:shd w:val="clear" w:color="auto" w:fill="FF160F"/>
          </w:tcPr>
          <w:p>
            <w:pPr>
              <w:spacing w:after="0"/>
              <w:rPr>
                <w:sz w:val="22"/>
                <w:szCs w:val="22"/>
                <w:color w:val="auto"/>
              </w:rPr>
            </w:pPr>
          </w:p>
        </w:tc>
        <w:tc>
          <w:tcPr>
            <w:tcW w:w="840" w:type="dxa"/>
            <w:vAlign w:val="bottom"/>
            <w:shd w:val="clear" w:color="auto" w:fill="FF160F"/>
          </w:tcPr>
          <w:p>
            <w:pPr>
              <w:spacing w:after="0"/>
              <w:rPr>
                <w:sz w:val="22"/>
                <w:szCs w:val="22"/>
                <w:color w:val="auto"/>
              </w:rPr>
            </w:pPr>
          </w:p>
        </w:tc>
        <w:tc>
          <w:tcPr>
            <w:tcW w:w="4040" w:type="dxa"/>
            <w:vAlign w:val="bottom"/>
            <w:shd w:val="clear" w:color="auto" w:fill="FF160F"/>
          </w:tcPr>
          <w:p>
            <w:pPr>
              <w:jc w:val="right"/>
              <w:ind w:right="1454"/>
              <w:spacing w:after="0"/>
              <w:rPr>
                <w:sz w:val="20"/>
                <w:szCs w:val="20"/>
                <w:color w:val="auto"/>
              </w:rPr>
            </w:pPr>
            <w:r>
              <w:rPr>
                <w:rFonts w:ascii="Arial" w:cs="Arial" w:eastAsia="Arial" w:hAnsi="Arial"/>
                <w:sz w:val="14"/>
                <w:szCs w:val="14"/>
                <w:b w:val="1"/>
                <w:bCs w:val="1"/>
                <w:color w:val="EAEFED"/>
              </w:rPr>
              <w:t>Share Awards</w:t>
            </w:r>
          </w:p>
        </w:tc>
        <w:tc>
          <w:tcPr>
            <w:tcW w:w="480" w:type="dxa"/>
            <w:vAlign w:val="bottom"/>
            <w:shd w:val="clear" w:color="auto" w:fill="FF160F"/>
          </w:tcPr>
          <w:p>
            <w:pPr>
              <w:spacing w:after="0"/>
              <w:rPr>
                <w:sz w:val="22"/>
                <w:szCs w:val="22"/>
                <w:color w:val="auto"/>
              </w:rPr>
            </w:pPr>
          </w:p>
        </w:tc>
        <w:tc>
          <w:tcPr>
            <w:tcW w:w="1780" w:type="dxa"/>
            <w:vAlign w:val="bottom"/>
            <w:shd w:val="clear" w:color="auto" w:fill="FF160F"/>
          </w:tcPr>
          <w:p>
            <w:pPr>
              <w:spacing w:after="0"/>
              <w:rPr>
                <w:sz w:val="22"/>
                <w:szCs w:val="22"/>
                <w:color w:val="auto"/>
              </w:rPr>
            </w:pPr>
          </w:p>
        </w:tc>
      </w:tr>
      <w:tr>
        <w:trPr>
          <w:trHeight w:val="249"/>
        </w:trPr>
        <w:tc>
          <w:tcPr>
            <w:tcW w:w="1220" w:type="dxa"/>
            <w:vAlign w:val="bottom"/>
            <w:shd w:val="clear" w:color="auto" w:fill="FF160F"/>
          </w:tcPr>
          <w:p>
            <w:pPr>
              <w:spacing w:after="0"/>
              <w:rPr>
                <w:sz w:val="21"/>
                <w:szCs w:val="21"/>
                <w:color w:val="auto"/>
              </w:rPr>
            </w:pPr>
          </w:p>
        </w:tc>
        <w:tc>
          <w:tcPr>
            <w:tcW w:w="840" w:type="dxa"/>
            <w:vAlign w:val="bottom"/>
            <w:shd w:val="clear" w:color="auto" w:fill="FF160F"/>
          </w:tcPr>
          <w:p>
            <w:pPr>
              <w:spacing w:after="0"/>
              <w:rPr>
                <w:sz w:val="21"/>
                <w:szCs w:val="21"/>
                <w:color w:val="auto"/>
              </w:rPr>
            </w:pPr>
          </w:p>
        </w:tc>
        <w:tc>
          <w:tcPr>
            <w:tcW w:w="4040" w:type="dxa"/>
            <w:vAlign w:val="bottom"/>
            <w:shd w:val="clear" w:color="auto" w:fill="FF160F"/>
          </w:tcPr>
          <w:p>
            <w:pPr>
              <w:jc w:val="right"/>
              <w:ind w:right="294"/>
              <w:spacing w:after="0"/>
              <w:rPr>
                <w:sz w:val="20"/>
                <w:szCs w:val="20"/>
                <w:color w:val="auto"/>
              </w:rPr>
            </w:pPr>
            <w:r>
              <w:rPr>
                <w:rFonts w:ascii="Arial" w:cs="Arial" w:eastAsia="Arial" w:hAnsi="Arial"/>
                <w:sz w:val="14"/>
                <w:szCs w:val="14"/>
                <w:b w:val="1"/>
                <w:bCs w:val="1"/>
                <w:color w:val="EAEFED"/>
              </w:rPr>
              <w:t>Number of Shares or</w:t>
            </w:r>
          </w:p>
        </w:tc>
        <w:tc>
          <w:tcPr>
            <w:tcW w:w="2260" w:type="dxa"/>
            <w:vAlign w:val="bottom"/>
            <w:gridSpan w:val="2"/>
            <w:shd w:val="clear" w:color="auto" w:fill="FF160F"/>
          </w:tcPr>
          <w:p>
            <w:pPr>
              <w:ind w:left="360"/>
              <w:spacing w:after="0"/>
              <w:rPr>
                <w:sz w:val="20"/>
                <w:szCs w:val="20"/>
                <w:color w:val="auto"/>
              </w:rPr>
            </w:pPr>
            <w:r>
              <w:rPr>
                <w:rFonts w:ascii="Arial" w:cs="Arial" w:eastAsia="Arial" w:hAnsi="Arial"/>
                <w:sz w:val="14"/>
                <w:szCs w:val="14"/>
                <w:b w:val="1"/>
                <w:bCs w:val="1"/>
                <w:color w:val="EAEFED"/>
              </w:rPr>
              <w:t>Market Value of Shares or</w:t>
            </w:r>
          </w:p>
        </w:tc>
      </w:tr>
      <w:tr>
        <w:trPr>
          <w:trHeight w:val="158"/>
        </w:trPr>
        <w:tc>
          <w:tcPr>
            <w:tcW w:w="1220" w:type="dxa"/>
            <w:vAlign w:val="bottom"/>
            <w:shd w:val="clear" w:color="auto" w:fill="FF160F"/>
          </w:tcPr>
          <w:p>
            <w:pPr>
              <w:spacing w:after="0"/>
              <w:rPr>
                <w:sz w:val="13"/>
                <w:szCs w:val="13"/>
                <w:color w:val="auto"/>
              </w:rPr>
            </w:pPr>
          </w:p>
        </w:tc>
        <w:tc>
          <w:tcPr>
            <w:tcW w:w="840" w:type="dxa"/>
            <w:vAlign w:val="bottom"/>
            <w:shd w:val="clear" w:color="auto" w:fill="FF160F"/>
          </w:tcPr>
          <w:p>
            <w:pPr>
              <w:spacing w:after="0"/>
              <w:rPr>
                <w:sz w:val="13"/>
                <w:szCs w:val="13"/>
                <w:color w:val="auto"/>
              </w:rPr>
            </w:pPr>
          </w:p>
        </w:tc>
        <w:tc>
          <w:tcPr>
            <w:tcW w:w="4040" w:type="dxa"/>
            <w:vAlign w:val="bottom"/>
            <w:shd w:val="clear" w:color="auto" w:fill="FF160F"/>
          </w:tcPr>
          <w:p>
            <w:pPr>
              <w:jc w:val="right"/>
              <w:ind w:right="294"/>
              <w:spacing w:after="0" w:line="158" w:lineRule="exact"/>
              <w:rPr>
                <w:sz w:val="20"/>
                <w:szCs w:val="20"/>
                <w:color w:val="auto"/>
              </w:rPr>
            </w:pPr>
            <w:r>
              <w:rPr>
                <w:rFonts w:ascii="Arial" w:cs="Arial" w:eastAsia="Arial" w:hAnsi="Arial"/>
                <w:sz w:val="14"/>
                <w:szCs w:val="14"/>
                <w:b w:val="1"/>
                <w:bCs w:val="1"/>
                <w:color w:val="EAEFED"/>
              </w:rPr>
              <w:t>Units of Shares That</w:t>
            </w:r>
          </w:p>
        </w:tc>
        <w:tc>
          <w:tcPr>
            <w:tcW w:w="480" w:type="dxa"/>
            <w:vAlign w:val="bottom"/>
            <w:shd w:val="clear" w:color="auto" w:fill="FF160F"/>
          </w:tcPr>
          <w:p>
            <w:pPr>
              <w:spacing w:after="0"/>
              <w:rPr>
                <w:sz w:val="13"/>
                <w:szCs w:val="13"/>
                <w:color w:val="auto"/>
              </w:rPr>
            </w:pPr>
          </w:p>
        </w:tc>
        <w:tc>
          <w:tcPr>
            <w:tcW w:w="1780" w:type="dxa"/>
            <w:vAlign w:val="bottom"/>
            <w:shd w:val="clear" w:color="auto" w:fill="FF160F"/>
          </w:tcPr>
          <w:p>
            <w:pPr>
              <w:jc w:val="right"/>
              <w:ind w:right="68"/>
              <w:spacing w:after="0" w:line="158" w:lineRule="exact"/>
              <w:rPr>
                <w:sz w:val="20"/>
                <w:szCs w:val="20"/>
                <w:color w:val="auto"/>
              </w:rPr>
            </w:pPr>
            <w:r>
              <w:rPr>
                <w:rFonts w:ascii="Arial" w:cs="Arial" w:eastAsia="Arial" w:hAnsi="Arial"/>
                <w:sz w:val="14"/>
                <w:szCs w:val="14"/>
                <w:b w:val="1"/>
                <w:bCs w:val="1"/>
                <w:color w:val="EAEFED"/>
              </w:rPr>
              <w:t>Units of Shares That</w:t>
            </w:r>
          </w:p>
        </w:tc>
      </w:tr>
      <w:tr>
        <w:trPr>
          <w:trHeight w:val="243"/>
        </w:trPr>
        <w:tc>
          <w:tcPr>
            <w:tcW w:w="2060" w:type="dxa"/>
            <w:vAlign w:val="bottom"/>
            <w:gridSpan w:val="2"/>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4040" w:type="dxa"/>
            <w:vAlign w:val="bottom"/>
            <w:shd w:val="clear" w:color="auto" w:fill="FF160F"/>
          </w:tcPr>
          <w:p>
            <w:pPr>
              <w:jc w:val="right"/>
              <w:ind w:right="294"/>
              <w:spacing w:after="0"/>
              <w:rPr>
                <w:sz w:val="20"/>
                <w:szCs w:val="20"/>
                <w:color w:val="auto"/>
              </w:rPr>
            </w:pPr>
            <w:r>
              <w:rPr>
                <w:rFonts w:ascii="Arial" w:cs="Arial" w:eastAsia="Arial" w:hAnsi="Arial"/>
                <w:sz w:val="14"/>
                <w:szCs w:val="14"/>
                <w:b w:val="1"/>
                <w:bCs w:val="1"/>
                <w:color w:val="EAEFED"/>
              </w:rPr>
              <w:t>Have Not Vested</w:t>
            </w:r>
          </w:p>
        </w:tc>
        <w:tc>
          <w:tcPr>
            <w:tcW w:w="480" w:type="dxa"/>
            <w:vAlign w:val="bottom"/>
            <w:shd w:val="clear" w:color="auto" w:fill="FF160F"/>
          </w:tcPr>
          <w:p>
            <w:pPr>
              <w:spacing w:after="0"/>
              <w:rPr>
                <w:sz w:val="21"/>
                <w:szCs w:val="21"/>
                <w:color w:val="auto"/>
              </w:rPr>
            </w:pPr>
          </w:p>
        </w:tc>
        <w:tc>
          <w:tcPr>
            <w:tcW w:w="1780" w:type="dxa"/>
            <w:vAlign w:val="bottom"/>
            <w:shd w:val="clear" w:color="auto" w:fill="FF160F"/>
          </w:tcPr>
          <w:p>
            <w:pPr>
              <w:jc w:val="right"/>
              <w:ind w:right="68"/>
              <w:spacing w:after="0"/>
              <w:rPr>
                <w:sz w:val="20"/>
                <w:szCs w:val="20"/>
                <w:color w:val="auto"/>
              </w:rPr>
            </w:pPr>
            <w:r>
              <w:rPr>
                <w:rFonts w:ascii="Arial" w:cs="Arial" w:eastAsia="Arial" w:hAnsi="Arial"/>
                <w:sz w:val="14"/>
                <w:szCs w:val="14"/>
                <w:b w:val="1"/>
                <w:bCs w:val="1"/>
                <w:color w:val="EAEFED"/>
              </w:rPr>
              <w:t>Have Not Vested</w:t>
            </w:r>
            <w:r>
              <w:rPr>
                <w:rFonts w:ascii="Arial" w:cs="Arial" w:eastAsia="Arial" w:hAnsi="Arial"/>
                <w:sz w:val="21"/>
                <w:szCs w:val="21"/>
                <w:b w:val="1"/>
                <w:bCs w:val="1"/>
                <w:color w:val="EAEFED"/>
                <w:vertAlign w:val="superscript"/>
              </w:rPr>
              <w:t>(5)</w:t>
            </w:r>
          </w:p>
        </w:tc>
      </w:tr>
      <w:tr>
        <w:trPr>
          <w:trHeight w:val="176"/>
        </w:trPr>
        <w:tc>
          <w:tcPr>
            <w:tcW w:w="206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4040" w:type="dxa"/>
            <w:vAlign w:val="bottom"/>
          </w:tcPr>
          <w:p>
            <w:pPr>
              <w:jc w:val="right"/>
              <w:ind w:right="294"/>
              <w:spacing w:after="0" w:line="176" w:lineRule="exact"/>
              <w:rPr>
                <w:sz w:val="20"/>
                <w:szCs w:val="20"/>
                <w:color w:val="auto"/>
              </w:rPr>
            </w:pPr>
            <w:r>
              <w:rPr>
                <w:rFonts w:ascii="Arial" w:cs="Arial" w:eastAsia="Arial" w:hAnsi="Arial"/>
                <w:sz w:val="14"/>
                <w:szCs w:val="14"/>
                <w:color w:val="auto"/>
              </w:rPr>
              <w:t xml:space="preserve">4,579  </w:t>
            </w:r>
            <w:r>
              <w:rPr>
                <w:rFonts w:ascii="Arial" w:cs="Arial" w:eastAsia="Arial" w:hAnsi="Arial"/>
                <w:sz w:val="20"/>
                <w:szCs w:val="20"/>
                <w:color w:val="auto"/>
                <w:vertAlign w:val="superscript"/>
              </w:rPr>
              <w:t>(1)</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461,563</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63,756  </w:t>
            </w:r>
            <w:r>
              <w:rPr>
                <w:rFonts w:ascii="Arial" w:cs="Arial" w:eastAsia="Arial" w:hAnsi="Arial"/>
                <w:sz w:val="18"/>
                <w:szCs w:val="18"/>
                <w:color w:val="auto"/>
                <w:vertAlign w:val="superscript"/>
              </w:rPr>
              <w:t>(1)</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6,426,605</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3,689  </w:t>
            </w:r>
            <w:r>
              <w:rPr>
                <w:rFonts w:ascii="Arial" w:cs="Arial" w:eastAsia="Arial" w:hAnsi="Arial"/>
                <w:sz w:val="18"/>
                <w:szCs w:val="18"/>
                <w:color w:val="auto"/>
                <w:vertAlign w:val="superscript"/>
              </w:rPr>
              <w:t>(2)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371,851</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41,865  </w:t>
            </w:r>
            <w:r>
              <w:rPr>
                <w:rFonts w:ascii="Arial" w:cs="Arial" w:eastAsia="Arial" w:hAnsi="Arial"/>
                <w:sz w:val="18"/>
                <w:szCs w:val="18"/>
                <w:color w:val="auto"/>
                <w:vertAlign w:val="superscript"/>
              </w:rPr>
              <w:t>(2)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4,219,992</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1,704  </w:t>
            </w:r>
            <w:r>
              <w:rPr>
                <w:rFonts w:ascii="Arial" w:cs="Arial" w:eastAsia="Arial" w:hAnsi="Arial"/>
                <w:sz w:val="18"/>
                <w:szCs w:val="18"/>
                <w:color w:val="auto"/>
                <w:vertAlign w:val="superscript"/>
              </w:rPr>
              <w:t>(3)</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171,763</w:t>
            </w: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840" w:type="dxa"/>
            <w:vAlign w:val="bottom"/>
            <w:tcBorders>
              <w:bottom w:val="single" w:sz="8" w:color="auto"/>
            </w:tcBorders>
            <w:shd w:val="clear" w:color="auto" w:fill="D8D8D8"/>
          </w:tcPr>
          <w:p>
            <w:pPr>
              <w:spacing w:after="0"/>
              <w:rPr>
                <w:sz w:val="19"/>
                <w:szCs w:val="19"/>
                <w:color w:val="auto"/>
              </w:rPr>
            </w:pPr>
          </w:p>
        </w:tc>
        <w:tc>
          <w:tcPr>
            <w:tcW w:w="4040" w:type="dxa"/>
            <w:vAlign w:val="bottom"/>
            <w:tcBorders>
              <w:bottom w:val="single" w:sz="8" w:color="auto"/>
            </w:tcBorders>
          </w:tcPr>
          <w:p>
            <w:pPr>
              <w:jc w:val="right"/>
              <w:ind w:right="294"/>
              <w:spacing w:after="0" w:line="229" w:lineRule="exact"/>
              <w:rPr>
                <w:sz w:val="20"/>
                <w:szCs w:val="20"/>
                <w:color w:val="auto"/>
              </w:rPr>
            </w:pPr>
            <w:r>
              <w:rPr>
                <w:rFonts w:ascii="Arial" w:cs="Arial" w:eastAsia="Arial" w:hAnsi="Arial"/>
                <w:sz w:val="14"/>
                <w:szCs w:val="14"/>
                <w:color w:val="auto"/>
              </w:rPr>
              <w:t xml:space="preserve">17,990  </w:t>
            </w:r>
            <w:r>
              <w:rPr>
                <w:rFonts w:ascii="Arial" w:cs="Arial" w:eastAsia="Arial" w:hAnsi="Arial"/>
                <w:sz w:val="21"/>
                <w:szCs w:val="21"/>
                <w:color w:val="auto"/>
                <w:vertAlign w:val="superscript"/>
              </w:rPr>
              <w:t>(3)</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1,813,392</w:t>
            </w:r>
          </w:p>
        </w:tc>
      </w:tr>
      <w:tr>
        <w:trPr>
          <w:trHeight w:val="156"/>
        </w:trPr>
        <w:tc>
          <w:tcPr>
            <w:tcW w:w="2060" w:type="dxa"/>
            <w:vAlign w:val="bottom"/>
            <w:gridSpan w:val="2"/>
            <w:shd w:val="clear" w:color="auto" w:fill="D8D8D8"/>
          </w:tcPr>
          <w:p>
            <w:pPr>
              <w:spacing w:after="0" w:line="156" w:lineRule="exact"/>
              <w:rPr>
                <w:sz w:val="20"/>
                <w:szCs w:val="20"/>
                <w:color w:val="auto"/>
              </w:rPr>
            </w:pPr>
            <w:r>
              <w:rPr>
                <w:rFonts w:ascii="Arial" w:cs="Arial" w:eastAsia="Arial" w:hAnsi="Arial"/>
                <w:sz w:val="14"/>
                <w:szCs w:val="14"/>
                <w:color w:val="auto"/>
              </w:rPr>
              <w:t>  Daniel Guglielmone</w:t>
            </w:r>
          </w:p>
        </w:tc>
        <w:tc>
          <w:tcPr>
            <w:tcW w:w="4040" w:type="dxa"/>
            <w:vAlign w:val="bottom"/>
          </w:tcPr>
          <w:p>
            <w:pPr>
              <w:jc w:val="right"/>
              <w:ind w:right="294"/>
              <w:spacing w:after="0" w:line="156" w:lineRule="exact"/>
              <w:rPr>
                <w:sz w:val="20"/>
                <w:szCs w:val="20"/>
                <w:color w:val="auto"/>
              </w:rPr>
            </w:pPr>
            <w:r>
              <w:rPr>
                <w:rFonts w:ascii="Arial" w:cs="Arial" w:eastAsia="Arial" w:hAnsi="Arial"/>
                <w:sz w:val="13"/>
                <w:szCs w:val="13"/>
                <w:color w:val="auto"/>
              </w:rPr>
              <w:t xml:space="preserve">15,939  </w:t>
            </w:r>
            <w:r>
              <w:rPr>
                <w:rFonts w:ascii="Arial" w:cs="Arial" w:eastAsia="Arial" w:hAnsi="Arial"/>
                <w:sz w:val="18"/>
                <w:szCs w:val="18"/>
                <w:color w:val="auto"/>
                <w:vertAlign w:val="superscript"/>
              </w:rPr>
              <w:t>(1)</w:t>
            </w:r>
          </w:p>
        </w:tc>
        <w:tc>
          <w:tcPr>
            <w:tcW w:w="480" w:type="dxa"/>
            <w:vAlign w:val="bottom"/>
          </w:tcPr>
          <w:p>
            <w:pPr>
              <w:ind w:left="340"/>
              <w:spacing w:after="0" w:line="156" w:lineRule="exact"/>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line="156" w:lineRule="exact"/>
              <w:rPr>
                <w:sz w:val="20"/>
                <w:szCs w:val="20"/>
                <w:color w:val="auto"/>
              </w:rPr>
            </w:pPr>
            <w:r>
              <w:rPr>
                <w:rFonts w:ascii="Arial" w:cs="Arial" w:eastAsia="Arial" w:hAnsi="Arial"/>
                <w:sz w:val="14"/>
                <w:szCs w:val="14"/>
                <w:color w:val="auto"/>
              </w:rPr>
              <w:t>                    1,606,651</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6,977  </w:t>
            </w:r>
            <w:r>
              <w:rPr>
                <w:rFonts w:ascii="Arial" w:cs="Arial" w:eastAsia="Arial" w:hAnsi="Arial"/>
                <w:sz w:val="18"/>
                <w:szCs w:val="18"/>
                <w:color w:val="auto"/>
                <w:vertAlign w:val="superscript"/>
              </w:rPr>
              <w:t>(2)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703,282</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2,998  </w:t>
            </w:r>
            <w:r>
              <w:rPr>
                <w:rFonts w:ascii="Arial" w:cs="Arial" w:eastAsia="Arial" w:hAnsi="Arial"/>
                <w:sz w:val="18"/>
                <w:szCs w:val="18"/>
                <w:color w:val="auto"/>
                <w:vertAlign w:val="superscript"/>
              </w:rPr>
              <w:t>(3)</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302,198</w:t>
            </w: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840" w:type="dxa"/>
            <w:vAlign w:val="bottom"/>
            <w:tcBorders>
              <w:bottom w:val="single" w:sz="8" w:color="auto"/>
            </w:tcBorders>
            <w:shd w:val="clear" w:color="auto" w:fill="D8D8D8"/>
          </w:tcPr>
          <w:p>
            <w:pPr>
              <w:spacing w:after="0"/>
              <w:rPr>
                <w:sz w:val="19"/>
                <w:szCs w:val="19"/>
                <w:color w:val="auto"/>
              </w:rPr>
            </w:pPr>
          </w:p>
        </w:tc>
        <w:tc>
          <w:tcPr>
            <w:tcW w:w="4040" w:type="dxa"/>
            <w:vAlign w:val="bottom"/>
            <w:tcBorders>
              <w:bottom w:val="single" w:sz="8" w:color="auto"/>
            </w:tcBorders>
          </w:tcPr>
          <w:p>
            <w:pPr>
              <w:jc w:val="right"/>
              <w:ind w:right="294"/>
              <w:spacing w:after="0" w:line="229" w:lineRule="exact"/>
              <w:rPr>
                <w:sz w:val="20"/>
                <w:szCs w:val="20"/>
                <w:color w:val="auto"/>
              </w:rPr>
            </w:pPr>
            <w:r>
              <w:rPr>
                <w:rFonts w:ascii="Arial" w:cs="Arial" w:eastAsia="Arial" w:hAnsi="Arial"/>
                <w:sz w:val="14"/>
                <w:szCs w:val="14"/>
                <w:color w:val="auto"/>
              </w:rPr>
              <w:t xml:space="preserve">1,714  </w:t>
            </w:r>
            <w:r>
              <w:rPr>
                <w:rFonts w:ascii="Arial" w:cs="Arial" w:eastAsia="Arial" w:hAnsi="Arial"/>
                <w:sz w:val="21"/>
                <w:szCs w:val="21"/>
                <w:color w:val="auto"/>
                <w:vertAlign w:val="superscript"/>
              </w:rPr>
              <w:t>(4)</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172,771</w:t>
            </w:r>
          </w:p>
        </w:tc>
      </w:tr>
      <w:tr>
        <w:trPr>
          <w:trHeight w:val="156"/>
        </w:trPr>
        <w:tc>
          <w:tcPr>
            <w:tcW w:w="2060" w:type="dxa"/>
            <w:vAlign w:val="bottom"/>
            <w:gridSpan w:val="2"/>
            <w:shd w:val="clear" w:color="auto" w:fill="D8D8D8"/>
          </w:tcPr>
          <w:p>
            <w:pPr>
              <w:spacing w:after="0" w:line="156" w:lineRule="exact"/>
              <w:rPr>
                <w:sz w:val="20"/>
                <w:szCs w:val="20"/>
                <w:color w:val="auto"/>
              </w:rPr>
            </w:pPr>
            <w:r>
              <w:rPr>
                <w:rFonts w:ascii="Arial" w:cs="Arial" w:eastAsia="Arial" w:hAnsi="Arial"/>
                <w:sz w:val="14"/>
                <w:szCs w:val="14"/>
                <w:color w:val="auto"/>
              </w:rPr>
              <w:t>  Dawn M. Becker</w:t>
            </w:r>
          </w:p>
        </w:tc>
        <w:tc>
          <w:tcPr>
            <w:tcW w:w="4040" w:type="dxa"/>
            <w:vAlign w:val="bottom"/>
          </w:tcPr>
          <w:p>
            <w:pPr>
              <w:jc w:val="right"/>
              <w:ind w:right="294"/>
              <w:spacing w:after="0" w:line="156" w:lineRule="exact"/>
              <w:rPr>
                <w:sz w:val="20"/>
                <w:szCs w:val="20"/>
                <w:color w:val="auto"/>
              </w:rPr>
            </w:pPr>
            <w:r>
              <w:rPr>
                <w:rFonts w:ascii="Arial" w:cs="Arial" w:eastAsia="Arial" w:hAnsi="Arial"/>
                <w:sz w:val="13"/>
                <w:szCs w:val="13"/>
                <w:color w:val="auto"/>
              </w:rPr>
              <w:t xml:space="preserve">1,755  </w:t>
            </w:r>
            <w:r>
              <w:rPr>
                <w:rFonts w:ascii="Arial" w:cs="Arial" w:eastAsia="Arial" w:hAnsi="Arial"/>
                <w:sz w:val="18"/>
                <w:szCs w:val="18"/>
                <w:color w:val="auto"/>
                <w:vertAlign w:val="superscript"/>
              </w:rPr>
              <w:t>(1)</w:t>
            </w:r>
          </w:p>
        </w:tc>
        <w:tc>
          <w:tcPr>
            <w:tcW w:w="480" w:type="dxa"/>
            <w:vAlign w:val="bottom"/>
          </w:tcPr>
          <w:p>
            <w:pPr>
              <w:ind w:left="340"/>
              <w:spacing w:after="0" w:line="156" w:lineRule="exact"/>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line="156" w:lineRule="exact"/>
              <w:rPr>
                <w:sz w:val="20"/>
                <w:szCs w:val="20"/>
                <w:color w:val="auto"/>
              </w:rPr>
            </w:pPr>
            <w:r>
              <w:rPr>
                <w:rFonts w:ascii="Arial" w:cs="Arial" w:eastAsia="Arial" w:hAnsi="Arial"/>
                <w:sz w:val="14"/>
                <w:szCs w:val="14"/>
                <w:color w:val="auto"/>
              </w:rPr>
              <w:t>176,904</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10,626  </w:t>
            </w:r>
            <w:r>
              <w:rPr>
                <w:rFonts w:ascii="Arial" w:cs="Arial" w:eastAsia="Arial" w:hAnsi="Arial"/>
                <w:sz w:val="18"/>
                <w:szCs w:val="18"/>
                <w:color w:val="auto"/>
                <w:vertAlign w:val="superscript"/>
              </w:rPr>
              <w:t>(1)</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1,071,101</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1,414  </w:t>
            </w:r>
            <w:r>
              <w:rPr>
                <w:rFonts w:ascii="Arial" w:cs="Arial" w:eastAsia="Arial" w:hAnsi="Arial"/>
                <w:sz w:val="18"/>
                <w:szCs w:val="18"/>
                <w:color w:val="auto"/>
                <w:vertAlign w:val="superscript"/>
              </w:rPr>
              <w:t>(2)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142,531</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6,977  </w:t>
            </w:r>
            <w:r>
              <w:rPr>
                <w:rFonts w:ascii="Arial" w:cs="Arial" w:eastAsia="Arial" w:hAnsi="Arial"/>
                <w:sz w:val="18"/>
                <w:szCs w:val="18"/>
                <w:color w:val="auto"/>
                <w:vertAlign w:val="superscript"/>
              </w:rPr>
              <w:t>(2)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703,282</w:t>
            </w:r>
          </w:p>
        </w:tc>
      </w:tr>
      <w:tr>
        <w:trPr>
          <w:trHeight w:val="162"/>
        </w:trPr>
        <w:tc>
          <w:tcPr>
            <w:tcW w:w="1220" w:type="dxa"/>
            <w:vAlign w:val="bottom"/>
            <w:shd w:val="clear" w:color="auto" w:fill="D8D8D8"/>
          </w:tcPr>
          <w:p>
            <w:pPr>
              <w:spacing w:after="0"/>
              <w:rPr>
                <w:sz w:val="14"/>
                <w:szCs w:val="14"/>
                <w:color w:val="auto"/>
              </w:rPr>
            </w:pPr>
          </w:p>
        </w:tc>
        <w:tc>
          <w:tcPr>
            <w:tcW w:w="840" w:type="dxa"/>
            <w:vAlign w:val="bottom"/>
            <w:shd w:val="clear" w:color="auto" w:fill="D8D8D8"/>
          </w:tcPr>
          <w:p>
            <w:pPr>
              <w:spacing w:after="0"/>
              <w:rPr>
                <w:sz w:val="14"/>
                <w:szCs w:val="14"/>
                <w:color w:val="auto"/>
              </w:rPr>
            </w:pPr>
          </w:p>
        </w:tc>
        <w:tc>
          <w:tcPr>
            <w:tcW w:w="4040" w:type="dxa"/>
            <w:vAlign w:val="bottom"/>
          </w:tcPr>
          <w:p>
            <w:pPr>
              <w:jc w:val="right"/>
              <w:ind w:right="294"/>
              <w:spacing w:after="0" w:line="162" w:lineRule="exact"/>
              <w:rPr>
                <w:sz w:val="20"/>
                <w:szCs w:val="20"/>
                <w:color w:val="auto"/>
              </w:rPr>
            </w:pPr>
            <w:r>
              <w:rPr>
                <w:rFonts w:ascii="Arial" w:cs="Arial" w:eastAsia="Arial" w:hAnsi="Arial"/>
                <w:sz w:val="13"/>
                <w:szCs w:val="13"/>
                <w:color w:val="auto"/>
              </w:rPr>
              <w:t xml:space="preserve">653  </w:t>
            </w:r>
            <w:r>
              <w:rPr>
                <w:rFonts w:ascii="Arial" w:cs="Arial" w:eastAsia="Arial" w:hAnsi="Arial"/>
                <w:sz w:val="18"/>
                <w:szCs w:val="18"/>
                <w:color w:val="auto"/>
                <w:vertAlign w:val="superscript"/>
              </w:rPr>
              <w:t>(3)</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65,822</w:t>
            </w: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840" w:type="dxa"/>
            <w:vAlign w:val="bottom"/>
            <w:tcBorders>
              <w:bottom w:val="single" w:sz="8" w:color="auto"/>
            </w:tcBorders>
            <w:shd w:val="clear" w:color="auto" w:fill="D8D8D8"/>
          </w:tcPr>
          <w:p>
            <w:pPr>
              <w:spacing w:after="0"/>
              <w:rPr>
                <w:sz w:val="19"/>
                <w:szCs w:val="19"/>
                <w:color w:val="auto"/>
              </w:rPr>
            </w:pPr>
          </w:p>
        </w:tc>
        <w:tc>
          <w:tcPr>
            <w:tcW w:w="4040" w:type="dxa"/>
            <w:vAlign w:val="bottom"/>
            <w:tcBorders>
              <w:bottom w:val="single" w:sz="8" w:color="auto"/>
            </w:tcBorders>
          </w:tcPr>
          <w:p>
            <w:pPr>
              <w:jc w:val="right"/>
              <w:ind w:right="294"/>
              <w:spacing w:after="0" w:line="229" w:lineRule="exact"/>
              <w:rPr>
                <w:sz w:val="20"/>
                <w:szCs w:val="20"/>
                <w:color w:val="auto"/>
              </w:rPr>
            </w:pPr>
            <w:r>
              <w:rPr>
                <w:rFonts w:ascii="Arial" w:cs="Arial" w:eastAsia="Arial" w:hAnsi="Arial"/>
                <w:sz w:val="14"/>
                <w:szCs w:val="14"/>
                <w:color w:val="auto"/>
              </w:rPr>
              <w:t xml:space="preserve">2,998  </w:t>
            </w:r>
            <w:r>
              <w:rPr>
                <w:rFonts w:ascii="Arial" w:cs="Arial" w:eastAsia="Arial" w:hAnsi="Arial"/>
                <w:sz w:val="21"/>
                <w:szCs w:val="21"/>
                <w:color w:val="auto"/>
                <w:vertAlign w:val="superscript"/>
              </w:rPr>
              <w:t>(3)</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302,198</w:t>
            </w:r>
          </w:p>
        </w:tc>
      </w:tr>
      <w:tr>
        <w:trPr>
          <w:trHeight w:val="129"/>
        </w:trPr>
        <w:tc>
          <w:tcPr>
            <w:tcW w:w="12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tcPr>
          <w:p>
            <w:pPr>
              <w:spacing w:after="0"/>
              <w:rPr>
                <w:sz w:val="11"/>
                <w:szCs w:val="11"/>
                <w:color w:val="auto"/>
              </w:rPr>
            </w:pPr>
          </w:p>
        </w:tc>
      </w:tr>
    </w:tbl>
    <w:p>
      <w:pPr>
        <w:ind w:left="540" w:hanging="424"/>
        <w:spacing w:after="0" w:line="201"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One-third of these shares vested on February 12, 2026 and the remaining shares will vest equally on February 12 of each of 2027 and 2028.</w:t>
      </w:r>
    </w:p>
    <w:p>
      <w:pPr>
        <w:ind w:left="540" w:hanging="424"/>
        <w:spacing w:after="0" w:line="187" w:lineRule="auto"/>
        <w:tabs>
          <w:tab w:leader="none" w:pos="54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One-half of these shares vested on February 12, 2026 and the remaining shares will vest on February 12, 2027.</w:t>
      </w:r>
    </w:p>
    <w:p>
      <w:pPr>
        <w:ind w:left="540" w:hanging="424"/>
        <w:spacing w:after="0" w:line="187" w:lineRule="auto"/>
        <w:tabs>
          <w:tab w:leader="none" w:pos="54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These shares vested on February 12, 2026.</w:t>
      </w:r>
    </w:p>
    <w:p>
      <w:pPr>
        <w:ind w:left="540" w:hanging="424"/>
        <w:spacing w:after="0" w:line="187" w:lineRule="auto"/>
        <w:tabs>
          <w:tab w:leader="none" w:pos="54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These shares will vest on August 3, 2026.</w:t>
      </w:r>
    </w:p>
    <w:p>
      <w:pPr>
        <w:ind w:left="540" w:hanging="424"/>
        <w:spacing w:after="0" w:line="180" w:lineRule="auto"/>
        <w:tabs>
          <w:tab w:leader="none" w:pos="540" w:val="left"/>
        </w:tabs>
        <w:numPr>
          <w:ilvl w:val="0"/>
          <w:numId w:val="75"/>
        </w:numPr>
        <w:rPr>
          <w:rFonts w:ascii="Arial" w:cs="Arial" w:eastAsia="Arial" w:hAnsi="Arial"/>
          <w:sz w:val="23"/>
          <w:szCs w:val="23"/>
          <w:color w:val="auto"/>
          <w:vertAlign w:val="superscript"/>
        </w:rPr>
      </w:pPr>
      <w:r>
        <w:rPr>
          <w:rFonts w:ascii="Arial" w:cs="Arial" w:eastAsia="Arial" w:hAnsi="Arial"/>
          <w:sz w:val="16"/>
          <w:szCs w:val="16"/>
          <w:color w:val="auto"/>
        </w:rPr>
        <w:t>The value of shares is calculated based on $100.80, the closing price of our shares on the NYSE on December 31, 2025.</w:t>
      </w:r>
    </w:p>
    <w:p>
      <w:pPr>
        <w:spacing w:after="0" w:line="254"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OPTIONS EXERCISED AND STOCK VESTED IN 2025</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following table includes information with respect to shares held by our NEOs that vested in 2025. None of our NEOs holds any options or exercised any options during 2025.</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2160" w:type="dxa"/>
            <w:vAlign w:val="bottom"/>
            <w:shd w:val="clear" w:color="auto" w:fill="FF160F"/>
          </w:tcPr>
          <w:p>
            <w:pPr>
              <w:spacing w:after="0"/>
              <w:rPr>
                <w:sz w:val="22"/>
                <w:szCs w:val="22"/>
                <w:color w:val="auto"/>
              </w:rPr>
            </w:pPr>
          </w:p>
        </w:tc>
        <w:tc>
          <w:tcPr>
            <w:tcW w:w="4860" w:type="dxa"/>
            <w:vAlign w:val="bottom"/>
            <w:shd w:val="clear" w:color="auto" w:fill="FF160F"/>
          </w:tcPr>
          <w:p>
            <w:pPr>
              <w:jc w:val="right"/>
              <w:ind w:right="48"/>
              <w:spacing w:after="0"/>
              <w:rPr>
                <w:sz w:val="20"/>
                <w:szCs w:val="20"/>
                <w:color w:val="auto"/>
              </w:rPr>
            </w:pPr>
            <w:r>
              <w:rPr>
                <w:rFonts w:ascii="Arial" w:cs="Arial" w:eastAsia="Arial" w:hAnsi="Arial"/>
                <w:sz w:val="14"/>
                <w:szCs w:val="14"/>
                <w:b w:val="1"/>
                <w:bCs w:val="1"/>
                <w:color w:val="EAEFED"/>
              </w:rPr>
              <w:t>Stock Awards</w:t>
            </w:r>
          </w:p>
        </w:tc>
        <w:tc>
          <w:tcPr>
            <w:tcW w:w="200" w:type="dxa"/>
            <w:vAlign w:val="bottom"/>
            <w:shd w:val="clear" w:color="auto" w:fill="FF160F"/>
          </w:tcPr>
          <w:p>
            <w:pPr>
              <w:spacing w:after="0"/>
              <w:rPr>
                <w:sz w:val="22"/>
                <w:szCs w:val="22"/>
                <w:color w:val="auto"/>
              </w:rPr>
            </w:pPr>
          </w:p>
        </w:tc>
        <w:tc>
          <w:tcPr>
            <w:tcW w:w="1140" w:type="dxa"/>
            <w:vAlign w:val="bottom"/>
            <w:shd w:val="clear" w:color="auto" w:fill="FF160F"/>
          </w:tcPr>
          <w:p>
            <w:pPr>
              <w:spacing w:after="0"/>
              <w:rPr>
                <w:sz w:val="22"/>
                <w:szCs w:val="22"/>
                <w:color w:val="auto"/>
              </w:rPr>
            </w:pPr>
          </w:p>
        </w:tc>
      </w:tr>
      <w:tr>
        <w:trPr>
          <w:trHeight w:val="245"/>
        </w:trPr>
        <w:tc>
          <w:tcPr>
            <w:tcW w:w="2160" w:type="dxa"/>
            <w:vAlign w:val="bottom"/>
            <w:shd w:val="clear" w:color="auto" w:fill="FF160F"/>
          </w:tcPr>
          <w:p>
            <w:pPr>
              <w:spacing w:after="0"/>
              <w:rPr>
                <w:sz w:val="21"/>
                <w:szCs w:val="21"/>
                <w:color w:val="auto"/>
              </w:rPr>
            </w:pPr>
          </w:p>
        </w:tc>
        <w:tc>
          <w:tcPr>
            <w:tcW w:w="4860" w:type="dxa"/>
            <w:vAlign w:val="bottom"/>
            <w:shd w:val="clear" w:color="auto" w:fill="FF160F"/>
          </w:tcPr>
          <w:p>
            <w:pPr>
              <w:jc w:val="right"/>
              <w:ind w:right="868"/>
              <w:spacing w:after="0"/>
              <w:rPr>
                <w:sz w:val="20"/>
                <w:szCs w:val="20"/>
                <w:color w:val="auto"/>
              </w:rPr>
            </w:pPr>
            <w:r>
              <w:rPr>
                <w:rFonts w:ascii="Arial" w:cs="Arial" w:eastAsia="Arial" w:hAnsi="Arial"/>
                <w:sz w:val="14"/>
                <w:szCs w:val="14"/>
                <w:b w:val="1"/>
                <w:bCs w:val="1"/>
                <w:color w:val="EAEFED"/>
              </w:rPr>
              <w:t>Number of Shares</w:t>
            </w:r>
          </w:p>
        </w:tc>
        <w:tc>
          <w:tcPr>
            <w:tcW w:w="134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EAEFED"/>
              </w:rPr>
              <w:t>Value Realized</w:t>
            </w:r>
          </w:p>
        </w:tc>
      </w:tr>
      <w:tr>
        <w:trPr>
          <w:trHeight w:val="229"/>
        </w:trPr>
        <w:tc>
          <w:tcPr>
            <w:tcW w:w="216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4860" w:type="dxa"/>
            <w:vAlign w:val="bottom"/>
            <w:shd w:val="clear" w:color="auto" w:fill="FF160F"/>
          </w:tcPr>
          <w:p>
            <w:pPr>
              <w:jc w:val="right"/>
              <w:ind w:right="828"/>
              <w:spacing w:after="0"/>
              <w:rPr>
                <w:sz w:val="20"/>
                <w:szCs w:val="20"/>
                <w:color w:val="auto"/>
              </w:rPr>
            </w:pPr>
            <w:r>
              <w:rPr>
                <w:rFonts w:ascii="Arial" w:cs="Arial" w:eastAsia="Arial" w:hAnsi="Arial"/>
                <w:sz w:val="14"/>
                <w:szCs w:val="14"/>
                <w:b w:val="1"/>
                <w:bCs w:val="1"/>
                <w:color w:val="EAEFED"/>
              </w:rPr>
              <w:t>Acquired on Vesting</w:t>
            </w:r>
          </w:p>
        </w:tc>
        <w:tc>
          <w:tcPr>
            <w:tcW w:w="200" w:type="dxa"/>
            <w:vAlign w:val="bottom"/>
            <w:shd w:val="clear" w:color="auto" w:fill="FF160F"/>
          </w:tcPr>
          <w:p>
            <w:pPr>
              <w:spacing w:after="0"/>
              <w:rPr>
                <w:sz w:val="19"/>
                <w:szCs w:val="19"/>
                <w:color w:val="auto"/>
              </w:rPr>
            </w:pPr>
          </w:p>
        </w:tc>
        <w:tc>
          <w:tcPr>
            <w:tcW w:w="1140" w:type="dxa"/>
            <w:vAlign w:val="bottom"/>
            <w:shd w:val="clear" w:color="auto" w:fill="FF160F"/>
          </w:tcPr>
          <w:p>
            <w:pPr>
              <w:ind w:left="40"/>
              <w:spacing w:after="0" w:line="229" w:lineRule="exact"/>
              <w:rPr>
                <w:sz w:val="20"/>
                <w:szCs w:val="20"/>
                <w:color w:val="auto"/>
              </w:rPr>
            </w:pPr>
            <w:r>
              <w:rPr>
                <w:rFonts w:ascii="Arial" w:cs="Arial" w:eastAsia="Arial" w:hAnsi="Arial"/>
                <w:sz w:val="14"/>
                <w:szCs w:val="14"/>
                <w:b w:val="1"/>
                <w:bCs w:val="1"/>
                <w:color w:val="EAEFED"/>
              </w:rPr>
              <w:t>on Vesting</w:t>
            </w:r>
            <w:r>
              <w:rPr>
                <w:rFonts w:ascii="Arial" w:cs="Arial" w:eastAsia="Arial" w:hAnsi="Arial"/>
                <w:sz w:val="21"/>
                <w:szCs w:val="21"/>
                <w:b w:val="1"/>
                <w:bCs w:val="1"/>
                <w:color w:val="EAEFED"/>
                <w:vertAlign w:val="superscript"/>
              </w:rPr>
              <w:t>(1)</w:t>
            </w:r>
            <w:r>
              <w:rPr>
                <w:rFonts w:ascii="Arial" w:cs="Arial" w:eastAsia="Arial" w:hAnsi="Arial"/>
                <w:sz w:val="14"/>
                <w:szCs w:val="14"/>
                <w:b w:val="1"/>
                <w:bCs w:val="1"/>
                <w:color w:val="EAEFED"/>
              </w:rPr>
              <w:t xml:space="preserve"> </w:t>
            </w:r>
          </w:p>
        </w:tc>
      </w:tr>
      <w:tr>
        <w:trPr>
          <w:trHeight w:val="208"/>
        </w:trPr>
        <w:tc>
          <w:tcPr>
            <w:tcW w:w="2160" w:type="dxa"/>
            <w:vAlign w:val="bottom"/>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4860" w:type="dxa"/>
            <w:vAlign w:val="bottom"/>
          </w:tcPr>
          <w:p>
            <w:pPr>
              <w:jc w:val="right"/>
              <w:ind w:right="828"/>
              <w:spacing w:after="0"/>
              <w:rPr>
                <w:sz w:val="20"/>
                <w:szCs w:val="20"/>
                <w:color w:val="auto"/>
              </w:rPr>
            </w:pPr>
            <w:r>
              <w:rPr>
                <w:rFonts w:ascii="Arial" w:cs="Arial" w:eastAsia="Arial" w:hAnsi="Arial"/>
                <w:sz w:val="14"/>
                <w:szCs w:val="14"/>
                <w:color w:val="auto"/>
              </w:rPr>
              <w:t>59,532</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ind w:left="220"/>
              <w:spacing w:after="0"/>
              <w:rPr>
                <w:sz w:val="20"/>
                <w:szCs w:val="20"/>
                <w:color w:val="auto"/>
              </w:rPr>
            </w:pPr>
            <w:r>
              <w:rPr>
                <w:rFonts w:ascii="Arial" w:cs="Arial" w:eastAsia="Arial" w:hAnsi="Arial"/>
                <w:sz w:val="14"/>
                <w:szCs w:val="14"/>
                <w:color w:val="auto"/>
              </w:rPr>
              <w:t> 6,581,263  </w:t>
            </w:r>
          </w:p>
        </w:tc>
      </w:tr>
      <w:tr>
        <w:trPr>
          <w:trHeight w:val="243"/>
        </w:trPr>
        <w:tc>
          <w:tcPr>
            <w:tcW w:w="2160" w:type="dxa"/>
            <w:vAlign w:val="bottom"/>
            <w:shd w:val="clear" w:color="auto" w:fill="D8D8D8"/>
          </w:tcPr>
          <w:p>
            <w:pPr>
              <w:spacing w:after="0"/>
              <w:rPr>
                <w:sz w:val="20"/>
                <w:szCs w:val="20"/>
                <w:color w:val="auto"/>
              </w:rPr>
            </w:pPr>
            <w:r>
              <w:rPr>
                <w:rFonts w:ascii="Arial" w:cs="Arial" w:eastAsia="Arial" w:hAnsi="Arial"/>
                <w:sz w:val="14"/>
                <w:szCs w:val="14"/>
                <w:color w:val="auto"/>
              </w:rPr>
              <w:t>  Daniel Guglielmone</w:t>
            </w:r>
          </w:p>
        </w:tc>
        <w:tc>
          <w:tcPr>
            <w:tcW w:w="4860" w:type="dxa"/>
            <w:vAlign w:val="bottom"/>
          </w:tcPr>
          <w:p>
            <w:pPr>
              <w:jc w:val="right"/>
              <w:ind w:right="828"/>
              <w:spacing w:after="0"/>
              <w:rPr>
                <w:sz w:val="20"/>
                <w:szCs w:val="20"/>
                <w:color w:val="auto"/>
              </w:rPr>
            </w:pPr>
            <w:r>
              <w:rPr>
                <w:rFonts w:ascii="Arial" w:cs="Arial" w:eastAsia="Arial" w:hAnsi="Arial"/>
                <w:sz w:val="14"/>
                <w:szCs w:val="14"/>
                <w:color w:val="auto"/>
              </w:rPr>
              <w:t>10,550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ind w:left="220"/>
              <w:spacing w:after="0"/>
              <w:rPr>
                <w:sz w:val="20"/>
                <w:szCs w:val="20"/>
                <w:color w:val="auto"/>
              </w:rPr>
            </w:pPr>
            <w:r>
              <w:rPr>
                <w:rFonts w:ascii="Arial" w:cs="Arial" w:eastAsia="Arial" w:hAnsi="Arial"/>
                <w:sz w:val="14"/>
                <w:szCs w:val="14"/>
                <w:color w:val="auto"/>
              </w:rPr>
              <w:t> 1,132,125  </w:t>
            </w:r>
          </w:p>
        </w:tc>
      </w:tr>
      <w:tr>
        <w:trPr>
          <w:trHeight w:val="243"/>
        </w:trPr>
        <w:tc>
          <w:tcPr>
            <w:tcW w:w="2160" w:type="dxa"/>
            <w:vAlign w:val="bottom"/>
            <w:shd w:val="clear" w:color="auto" w:fill="D8D8D8"/>
          </w:tcPr>
          <w:p>
            <w:pPr>
              <w:spacing w:after="0"/>
              <w:rPr>
                <w:sz w:val="20"/>
                <w:szCs w:val="20"/>
                <w:color w:val="auto"/>
              </w:rPr>
            </w:pPr>
            <w:r>
              <w:rPr>
                <w:rFonts w:ascii="Arial" w:cs="Arial" w:eastAsia="Arial" w:hAnsi="Arial"/>
                <w:sz w:val="14"/>
                <w:szCs w:val="14"/>
                <w:color w:val="auto"/>
              </w:rPr>
              <w:t>  Dawn M. Becker</w:t>
            </w:r>
          </w:p>
        </w:tc>
        <w:tc>
          <w:tcPr>
            <w:tcW w:w="4860" w:type="dxa"/>
            <w:vAlign w:val="bottom"/>
          </w:tcPr>
          <w:p>
            <w:pPr>
              <w:jc w:val="right"/>
              <w:ind w:right="828"/>
              <w:spacing w:after="0"/>
              <w:rPr>
                <w:sz w:val="20"/>
                <w:szCs w:val="20"/>
                <w:color w:val="auto"/>
              </w:rPr>
            </w:pPr>
            <w:r>
              <w:rPr>
                <w:rFonts w:ascii="Arial" w:cs="Arial" w:eastAsia="Arial" w:hAnsi="Arial"/>
                <w:sz w:val="14"/>
                <w:szCs w:val="14"/>
                <w:color w:val="auto"/>
              </w:rPr>
              <w:t>9,765</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ind w:left="220"/>
              <w:spacing w:after="0"/>
              <w:rPr>
                <w:sz w:val="20"/>
                <w:szCs w:val="20"/>
                <w:color w:val="auto"/>
              </w:rPr>
            </w:pPr>
            <w:r>
              <w:rPr>
                <w:rFonts w:ascii="Arial" w:cs="Arial" w:eastAsia="Arial" w:hAnsi="Arial"/>
                <w:sz w:val="14"/>
                <w:szCs w:val="14"/>
                <w:color w:val="auto"/>
              </w:rPr>
              <w:t> 1,079,521  </w:t>
            </w:r>
          </w:p>
        </w:tc>
      </w:tr>
      <w:tr>
        <w:trPr>
          <w:trHeight w:val="35"/>
        </w:trPr>
        <w:tc>
          <w:tcPr>
            <w:tcW w:w="2160" w:type="dxa"/>
            <w:vAlign w:val="bottom"/>
            <w:shd w:val="clear" w:color="auto" w:fill="D8D8D8"/>
          </w:tcPr>
          <w:p>
            <w:pPr>
              <w:spacing w:after="0"/>
              <w:rPr>
                <w:sz w:val="3"/>
                <w:szCs w:val="3"/>
                <w:color w:val="auto"/>
              </w:rPr>
            </w:pPr>
          </w:p>
        </w:tc>
        <w:tc>
          <w:tcPr>
            <w:tcW w:w="4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4"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6"/>
          <w:szCs w:val="16"/>
          <w:color w:val="auto"/>
        </w:rPr>
        <w:t>The amounts in this column were calculated using the closing price of a share on the date the shares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1"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33</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NON-QUALIFIED DEFERRED COMPENSATION</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maintain a non-qualified deferred compensation plan that is open to participation by 43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guarantee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Both Mr. Wood and Ms. Becker participate in our deferred compensation plan. 2025 activity for the participants in our plan is described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40" w:type="dxa"/>
            <w:vAlign w:val="bottom"/>
            <w:shd w:val="clear" w:color="auto" w:fill="FF160F"/>
          </w:tcPr>
          <w:p>
            <w:pPr>
              <w:spacing w:after="0"/>
              <w:rPr>
                <w:sz w:val="17"/>
                <w:szCs w:val="17"/>
                <w:color w:val="auto"/>
              </w:rPr>
            </w:pPr>
          </w:p>
        </w:tc>
        <w:tc>
          <w:tcPr>
            <w:tcW w:w="320" w:type="dxa"/>
            <w:vAlign w:val="bottom"/>
            <w:shd w:val="clear" w:color="auto" w:fill="FF160F"/>
          </w:tcPr>
          <w:p>
            <w:pPr>
              <w:spacing w:after="0"/>
              <w:rPr>
                <w:sz w:val="17"/>
                <w:szCs w:val="17"/>
                <w:color w:val="auto"/>
              </w:rPr>
            </w:pPr>
          </w:p>
        </w:tc>
        <w:tc>
          <w:tcPr>
            <w:tcW w:w="158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Executive</w:t>
            </w:r>
          </w:p>
        </w:tc>
        <w:tc>
          <w:tcPr>
            <w:tcW w:w="700" w:type="dxa"/>
            <w:vAlign w:val="bottom"/>
            <w:shd w:val="clear" w:color="auto" w:fill="FF160F"/>
          </w:tcPr>
          <w:p>
            <w:pPr>
              <w:spacing w:after="0"/>
              <w:rPr>
                <w:sz w:val="17"/>
                <w:szCs w:val="17"/>
                <w:color w:val="auto"/>
              </w:rPr>
            </w:pPr>
          </w:p>
        </w:tc>
        <w:tc>
          <w:tcPr>
            <w:tcW w:w="150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Registrant</w:t>
            </w:r>
          </w:p>
        </w:tc>
        <w:tc>
          <w:tcPr>
            <w:tcW w:w="440" w:type="dxa"/>
            <w:vAlign w:val="bottom"/>
            <w:shd w:val="clear" w:color="auto" w:fill="FF160F"/>
          </w:tcPr>
          <w:p>
            <w:pPr>
              <w:spacing w:after="0"/>
              <w:rPr>
                <w:sz w:val="17"/>
                <w:szCs w:val="17"/>
                <w:color w:val="auto"/>
              </w:rPr>
            </w:pPr>
          </w:p>
        </w:tc>
        <w:tc>
          <w:tcPr>
            <w:tcW w:w="132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Aggregate</w:t>
            </w:r>
          </w:p>
        </w:tc>
        <w:tc>
          <w:tcPr>
            <w:tcW w:w="380" w:type="dxa"/>
            <w:vAlign w:val="bottom"/>
            <w:shd w:val="clear" w:color="auto" w:fill="FF160F"/>
          </w:tcPr>
          <w:p>
            <w:pPr>
              <w:spacing w:after="0"/>
              <w:rPr>
                <w:sz w:val="17"/>
                <w:szCs w:val="17"/>
                <w:color w:val="auto"/>
              </w:rPr>
            </w:pPr>
          </w:p>
        </w:tc>
        <w:tc>
          <w:tcPr>
            <w:tcW w:w="116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460" w:type="dxa"/>
            <w:vAlign w:val="bottom"/>
            <w:shd w:val="clear" w:color="auto" w:fill="FF160F"/>
          </w:tcPr>
          <w:p>
            <w:pPr>
              <w:spacing w:after="0"/>
              <w:rPr>
                <w:sz w:val="17"/>
                <w:szCs w:val="17"/>
                <w:color w:val="auto"/>
              </w:rPr>
            </w:pPr>
          </w:p>
        </w:tc>
        <w:tc>
          <w:tcPr>
            <w:tcW w:w="1320" w:type="dxa"/>
            <w:vAlign w:val="bottom"/>
            <w:shd w:val="clear" w:color="auto" w:fill="FF160F"/>
          </w:tcPr>
          <w:p>
            <w:pPr>
              <w:jc w:val="right"/>
              <w:ind w:right="150"/>
              <w:spacing w:after="0"/>
              <w:rPr>
                <w:sz w:val="20"/>
                <w:szCs w:val="20"/>
                <w:color w:val="auto"/>
              </w:rPr>
            </w:pPr>
            <w:r>
              <w:rPr>
                <w:rFonts w:ascii="Arial" w:cs="Arial" w:eastAsia="Arial" w:hAnsi="Arial"/>
                <w:sz w:val="18"/>
                <w:szCs w:val="18"/>
                <w:b w:val="1"/>
                <w:bCs w:val="1"/>
                <w:color w:val="FFFFFF"/>
              </w:rPr>
              <w:t>Aggregate</w:t>
            </w:r>
          </w:p>
        </w:tc>
      </w:tr>
      <w:tr>
        <w:trPr>
          <w:trHeight w:val="203"/>
        </w:trPr>
        <w:tc>
          <w:tcPr>
            <w:tcW w:w="1840" w:type="dxa"/>
            <w:vAlign w:val="bottom"/>
            <w:shd w:val="clear" w:color="auto" w:fill="FF160F"/>
          </w:tcPr>
          <w:p>
            <w:pPr>
              <w:spacing w:after="0"/>
              <w:rPr>
                <w:sz w:val="17"/>
                <w:szCs w:val="17"/>
                <w:color w:val="auto"/>
              </w:rPr>
            </w:pPr>
          </w:p>
        </w:tc>
        <w:tc>
          <w:tcPr>
            <w:tcW w:w="320" w:type="dxa"/>
            <w:vAlign w:val="bottom"/>
            <w:shd w:val="clear" w:color="auto" w:fill="FF160F"/>
          </w:tcPr>
          <w:p>
            <w:pPr>
              <w:spacing w:after="0"/>
              <w:rPr>
                <w:sz w:val="17"/>
                <w:szCs w:val="17"/>
                <w:color w:val="auto"/>
              </w:rPr>
            </w:pPr>
          </w:p>
        </w:tc>
        <w:tc>
          <w:tcPr>
            <w:tcW w:w="158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w w:val="99"/>
              </w:rPr>
              <w:t>Contributions in</w:t>
            </w:r>
          </w:p>
        </w:tc>
        <w:tc>
          <w:tcPr>
            <w:tcW w:w="2200" w:type="dxa"/>
            <w:vAlign w:val="bottom"/>
            <w:gridSpan w:val="2"/>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Contributions in Last</w:t>
            </w:r>
          </w:p>
        </w:tc>
        <w:tc>
          <w:tcPr>
            <w:tcW w:w="440" w:type="dxa"/>
            <w:vAlign w:val="bottom"/>
            <w:shd w:val="clear" w:color="auto" w:fill="FF160F"/>
          </w:tcPr>
          <w:p>
            <w:pPr>
              <w:spacing w:after="0"/>
              <w:rPr>
                <w:sz w:val="17"/>
                <w:szCs w:val="17"/>
                <w:color w:val="auto"/>
              </w:rPr>
            </w:pPr>
          </w:p>
        </w:tc>
        <w:tc>
          <w:tcPr>
            <w:tcW w:w="132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Earnings in</w:t>
            </w:r>
          </w:p>
        </w:tc>
        <w:tc>
          <w:tcPr>
            <w:tcW w:w="1540" w:type="dxa"/>
            <w:vAlign w:val="bottom"/>
            <w:gridSpan w:val="2"/>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rPr>
              <w:t>Withdrawals/</w:t>
            </w:r>
          </w:p>
        </w:tc>
        <w:tc>
          <w:tcPr>
            <w:tcW w:w="178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Balance at Last</w:t>
            </w:r>
          </w:p>
        </w:tc>
      </w:tr>
      <w:tr>
        <w:trPr>
          <w:trHeight w:val="221"/>
        </w:trPr>
        <w:tc>
          <w:tcPr>
            <w:tcW w:w="1840" w:type="dxa"/>
            <w:vAlign w:val="bottom"/>
            <w:shd w:val="clear" w:color="auto" w:fill="FF160F"/>
          </w:tcPr>
          <w:p>
            <w:pPr>
              <w:spacing w:after="0"/>
              <w:rPr>
                <w:sz w:val="20"/>
                <w:szCs w:val="20"/>
                <w:color w:val="auto"/>
              </w:rPr>
            </w:pPr>
            <w:r>
              <w:rPr>
                <w:rFonts w:ascii="Arial" w:cs="Arial" w:eastAsia="Arial" w:hAnsi="Arial"/>
                <w:sz w:val="18"/>
                <w:szCs w:val="18"/>
                <w:b w:val="1"/>
                <w:bCs w:val="1"/>
                <w:color w:val="EAEFED"/>
              </w:rPr>
              <w:t> Name</w:t>
            </w:r>
          </w:p>
        </w:tc>
        <w:tc>
          <w:tcPr>
            <w:tcW w:w="1900" w:type="dxa"/>
            <w:vAlign w:val="bottom"/>
            <w:gridSpan w:val="2"/>
            <w:shd w:val="clear" w:color="auto" w:fill="FF160F"/>
          </w:tcPr>
          <w:p>
            <w:pPr>
              <w:jc w:val="right"/>
              <w:ind w:right="90"/>
              <w:spacing w:after="0" w:line="221" w:lineRule="exact"/>
              <w:rPr>
                <w:sz w:val="20"/>
                <w:szCs w:val="20"/>
                <w:color w:val="auto"/>
              </w:rPr>
            </w:pPr>
            <w:r>
              <w:rPr>
                <w:rFonts w:ascii="Arial" w:cs="Arial" w:eastAsia="Arial" w:hAnsi="Arial"/>
                <w:sz w:val="17"/>
                <w:szCs w:val="17"/>
                <w:b w:val="1"/>
                <w:bCs w:val="1"/>
                <w:color w:val="FFFFFF"/>
              </w:rPr>
              <w:t>Last Fiscal Year</w:t>
            </w:r>
            <w:r>
              <w:rPr>
                <w:rFonts w:ascii="Arial" w:cs="Arial" w:eastAsia="Arial" w:hAnsi="Arial"/>
                <w:sz w:val="25"/>
                <w:szCs w:val="25"/>
                <w:b w:val="1"/>
                <w:bCs w:val="1"/>
                <w:color w:val="FFFFFF"/>
                <w:vertAlign w:val="superscript"/>
              </w:rPr>
              <w:t>(1)</w:t>
            </w:r>
          </w:p>
        </w:tc>
        <w:tc>
          <w:tcPr>
            <w:tcW w:w="700" w:type="dxa"/>
            <w:vAlign w:val="bottom"/>
            <w:shd w:val="clear" w:color="auto" w:fill="FF160F"/>
          </w:tcPr>
          <w:p>
            <w:pPr>
              <w:spacing w:after="0"/>
              <w:rPr>
                <w:sz w:val="19"/>
                <w:szCs w:val="19"/>
                <w:color w:val="auto"/>
              </w:rPr>
            </w:pPr>
          </w:p>
        </w:tc>
        <w:tc>
          <w:tcPr>
            <w:tcW w:w="150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Fiscal Year</w:t>
            </w:r>
          </w:p>
        </w:tc>
        <w:tc>
          <w:tcPr>
            <w:tcW w:w="1760" w:type="dxa"/>
            <w:vAlign w:val="bottom"/>
            <w:gridSpan w:val="2"/>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Last Fiscal Year</w:t>
            </w:r>
          </w:p>
        </w:tc>
        <w:tc>
          <w:tcPr>
            <w:tcW w:w="1540" w:type="dxa"/>
            <w:vAlign w:val="bottom"/>
            <w:gridSpan w:val="2"/>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Distributions</w:t>
            </w:r>
          </w:p>
        </w:tc>
        <w:tc>
          <w:tcPr>
            <w:tcW w:w="1780" w:type="dxa"/>
            <w:vAlign w:val="bottom"/>
            <w:gridSpan w:val="2"/>
            <w:shd w:val="clear" w:color="auto" w:fill="FF160F"/>
          </w:tcPr>
          <w:p>
            <w:pPr>
              <w:ind w:left="200"/>
              <w:spacing w:after="0"/>
              <w:rPr>
                <w:sz w:val="20"/>
                <w:szCs w:val="20"/>
                <w:color w:val="auto"/>
              </w:rPr>
            </w:pPr>
            <w:r>
              <w:rPr>
                <w:rFonts w:ascii="Arial" w:cs="Arial" w:eastAsia="Arial" w:hAnsi="Arial"/>
                <w:sz w:val="18"/>
                <w:szCs w:val="18"/>
                <w:b w:val="1"/>
                <w:bCs w:val="1"/>
                <w:color w:val="FFFFFF"/>
              </w:rPr>
              <w:t>Fiscal Year-End </w:t>
            </w:r>
          </w:p>
        </w:tc>
      </w:tr>
      <w:tr>
        <w:trPr>
          <w:trHeight w:val="184"/>
        </w:trPr>
        <w:tc>
          <w:tcPr>
            <w:tcW w:w="184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 Donald C. Wood</w:t>
            </w:r>
          </w:p>
        </w:tc>
        <w:tc>
          <w:tcPr>
            <w:tcW w:w="3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line="183" w:lineRule="exact"/>
              <w:rPr>
                <w:sz w:val="20"/>
                <w:szCs w:val="20"/>
                <w:color w:val="auto"/>
              </w:rPr>
            </w:pPr>
            <w:r>
              <w:rPr>
                <w:rFonts w:ascii="Arial" w:cs="Arial" w:eastAsia="Arial" w:hAnsi="Arial"/>
                <w:sz w:val="18"/>
                <w:szCs w:val="18"/>
                <w:color w:val="auto"/>
              </w:rPr>
              <w:t>250,000</w:t>
            </w:r>
          </w:p>
        </w:tc>
        <w:tc>
          <w:tcPr>
            <w:tcW w:w="700" w:type="dxa"/>
            <w:vAlign w:val="bottom"/>
          </w:tcPr>
          <w:p>
            <w:pPr>
              <w:jc w:val="right"/>
              <w:ind w:right="310"/>
              <w:spacing w:after="0" w:line="18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2,397,039</w:t>
            </w:r>
          </w:p>
        </w:tc>
        <w:tc>
          <w:tcPr>
            <w:tcW w:w="3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ind w:left="200"/>
              <w:spacing w:after="0" w:line="18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line="183" w:lineRule="exact"/>
              <w:rPr>
                <w:sz w:val="20"/>
                <w:szCs w:val="20"/>
                <w:color w:val="auto"/>
              </w:rPr>
            </w:pPr>
            <w:r>
              <w:rPr>
                <w:rFonts w:ascii="Arial" w:cs="Arial" w:eastAsia="Arial" w:hAnsi="Arial"/>
                <w:sz w:val="18"/>
                <w:szCs w:val="18"/>
                <w:color w:val="auto"/>
              </w:rPr>
              <w:t>15,473,689  </w:t>
            </w:r>
          </w:p>
        </w:tc>
      </w:tr>
      <w:tr>
        <w:trPr>
          <w:trHeight w:val="221"/>
        </w:trPr>
        <w:tc>
          <w:tcPr>
            <w:tcW w:w="1840" w:type="dxa"/>
            <w:vAlign w:val="bottom"/>
            <w:shd w:val="clear" w:color="auto" w:fill="D8D8D8"/>
          </w:tcPr>
          <w:p>
            <w:pPr>
              <w:spacing w:after="0"/>
              <w:rPr>
                <w:sz w:val="20"/>
                <w:szCs w:val="20"/>
                <w:color w:val="auto"/>
              </w:rPr>
            </w:pPr>
            <w:r>
              <w:rPr>
                <w:rFonts w:ascii="Arial" w:cs="Arial" w:eastAsia="Arial" w:hAnsi="Arial"/>
                <w:sz w:val="18"/>
                <w:szCs w:val="18"/>
                <w:color w:val="auto"/>
              </w:rPr>
              <w:t> Dawn M. Becker</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57,500</w:t>
            </w:r>
          </w:p>
        </w:tc>
        <w:tc>
          <w:tcPr>
            <w:tcW w:w="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478,073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3,309,104  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10"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All amounts in this column are included in either the “Salary” or “Non-Equity Incentive Plan Compensation” column of the Summary Compensation Table for 2025.</w:t>
      </w:r>
    </w:p>
    <w:p>
      <w:pPr>
        <w:spacing w:after="0" w:line="147"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POTENTIAL PAYMENTS ON TERMINATION OF EMPLOYMENT AND CHANGE-IN-CONTROL</w:t>
      </w:r>
    </w:p>
    <w:p>
      <w:pPr>
        <w:spacing w:after="0" w:line="26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whether following a change in control of the Company or in connection with other circumstances.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03415"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2025.</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80" w:type="dxa"/>
            <w:vAlign w:val="bottom"/>
            <w:shd w:val="clear" w:color="auto" w:fill="FF160F"/>
          </w:tcPr>
          <w:p>
            <w:pPr>
              <w:spacing w:after="0"/>
              <w:rPr>
                <w:sz w:val="17"/>
                <w:szCs w:val="17"/>
                <w:color w:val="auto"/>
              </w:rPr>
            </w:pP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spacing w:after="0"/>
              <w:rPr>
                <w:sz w:val="17"/>
                <w:szCs w:val="17"/>
                <w:color w:val="auto"/>
              </w:rPr>
            </w:pPr>
          </w:p>
        </w:tc>
        <w:tc>
          <w:tcPr>
            <w:tcW w:w="1140" w:type="dxa"/>
            <w:vAlign w:val="bottom"/>
            <w:shd w:val="clear" w:color="auto" w:fill="FF160F"/>
          </w:tcPr>
          <w:p>
            <w:pPr>
              <w:spacing w:after="0"/>
              <w:rPr>
                <w:sz w:val="17"/>
                <w:szCs w:val="17"/>
                <w:color w:val="auto"/>
              </w:rPr>
            </w:pPr>
          </w:p>
        </w:tc>
        <w:tc>
          <w:tcPr>
            <w:tcW w:w="240" w:type="dxa"/>
            <w:vAlign w:val="bottom"/>
            <w:shd w:val="clear" w:color="auto" w:fill="FF160F"/>
          </w:tcPr>
          <w:p>
            <w:pPr>
              <w:spacing w:after="0"/>
              <w:rPr>
                <w:sz w:val="17"/>
                <w:szCs w:val="17"/>
                <w:color w:val="auto"/>
              </w:rPr>
            </w:pPr>
          </w:p>
        </w:tc>
        <w:tc>
          <w:tcPr>
            <w:tcW w:w="1360" w:type="dxa"/>
            <w:vAlign w:val="bottom"/>
            <w:shd w:val="clear" w:color="auto" w:fill="FF160F"/>
          </w:tcPr>
          <w:p>
            <w:pPr>
              <w:spacing w:after="0"/>
              <w:rPr>
                <w:sz w:val="17"/>
                <w:szCs w:val="17"/>
                <w:color w:val="auto"/>
              </w:rPr>
            </w:pPr>
          </w:p>
        </w:tc>
        <w:tc>
          <w:tcPr>
            <w:tcW w:w="240" w:type="dxa"/>
            <w:vAlign w:val="bottom"/>
            <w:shd w:val="clear" w:color="auto" w:fill="FF160F"/>
          </w:tcPr>
          <w:p>
            <w:pPr>
              <w:spacing w:after="0"/>
              <w:rPr>
                <w:sz w:val="17"/>
                <w:szCs w:val="17"/>
                <w:color w:val="auto"/>
              </w:rPr>
            </w:pPr>
          </w:p>
        </w:tc>
        <w:tc>
          <w:tcPr>
            <w:tcW w:w="130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Change-in-</w:t>
            </w:r>
          </w:p>
        </w:tc>
        <w:tc>
          <w:tcPr>
            <w:tcW w:w="200" w:type="dxa"/>
            <w:vAlign w:val="bottom"/>
            <w:shd w:val="clear" w:color="auto" w:fill="FF160F"/>
          </w:tcPr>
          <w:p>
            <w:pPr>
              <w:spacing w:after="0"/>
              <w:rPr>
                <w:sz w:val="17"/>
                <w:szCs w:val="17"/>
                <w:color w:val="auto"/>
              </w:rPr>
            </w:pPr>
          </w:p>
        </w:tc>
        <w:tc>
          <w:tcPr>
            <w:tcW w:w="100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220" w:type="dxa"/>
            <w:vAlign w:val="bottom"/>
            <w:shd w:val="clear" w:color="auto" w:fill="FF160F"/>
          </w:tcPr>
          <w:p>
            <w:pPr>
              <w:spacing w:after="0"/>
              <w:rPr>
                <w:sz w:val="17"/>
                <w:szCs w:val="17"/>
                <w:color w:val="auto"/>
              </w:rPr>
            </w:pPr>
          </w:p>
        </w:tc>
      </w:tr>
      <w:tr>
        <w:trPr>
          <w:trHeight w:val="203"/>
        </w:trPr>
        <w:tc>
          <w:tcPr>
            <w:tcW w:w="1780" w:type="dxa"/>
            <w:vAlign w:val="bottom"/>
            <w:shd w:val="clear" w:color="auto" w:fill="FF160F"/>
          </w:tcPr>
          <w:p>
            <w:pPr>
              <w:spacing w:after="0"/>
              <w:rPr>
                <w:sz w:val="17"/>
                <w:szCs w:val="17"/>
                <w:color w:val="auto"/>
              </w:rPr>
            </w:pP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spacing w:after="0"/>
              <w:rPr>
                <w:sz w:val="17"/>
                <w:szCs w:val="17"/>
                <w:color w:val="auto"/>
              </w:rPr>
            </w:pPr>
          </w:p>
        </w:tc>
        <w:tc>
          <w:tcPr>
            <w:tcW w:w="1140" w:type="dxa"/>
            <w:vAlign w:val="bottom"/>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rPr>
              <w:t>For Cause</w:t>
            </w:r>
          </w:p>
        </w:tc>
        <w:tc>
          <w:tcPr>
            <w:tcW w:w="240" w:type="dxa"/>
            <w:vAlign w:val="bottom"/>
            <w:shd w:val="clear" w:color="auto" w:fill="FF160F"/>
          </w:tcPr>
          <w:p>
            <w:pPr>
              <w:spacing w:after="0"/>
              <w:rPr>
                <w:sz w:val="17"/>
                <w:szCs w:val="17"/>
                <w:color w:val="auto"/>
              </w:rPr>
            </w:pPr>
          </w:p>
        </w:tc>
        <w:tc>
          <w:tcPr>
            <w:tcW w:w="136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Termination</w:t>
            </w:r>
          </w:p>
        </w:tc>
        <w:tc>
          <w:tcPr>
            <w:tcW w:w="240" w:type="dxa"/>
            <w:vAlign w:val="bottom"/>
            <w:shd w:val="clear" w:color="auto" w:fill="FF160F"/>
          </w:tcPr>
          <w:p>
            <w:pPr>
              <w:spacing w:after="0"/>
              <w:rPr>
                <w:sz w:val="17"/>
                <w:szCs w:val="17"/>
                <w:color w:val="auto"/>
              </w:rPr>
            </w:pPr>
          </w:p>
        </w:tc>
        <w:tc>
          <w:tcPr>
            <w:tcW w:w="1300" w:type="dxa"/>
            <w:vAlign w:val="bottom"/>
            <w:shd w:val="clear" w:color="auto" w:fill="FF160F"/>
          </w:tcPr>
          <w:p>
            <w:pPr>
              <w:jc w:val="right"/>
              <w:ind w:right="370"/>
              <w:spacing w:after="0" w:line="202" w:lineRule="exact"/>
              <w:rPr>
                <w:sz w:val="20"/>
                <w:szCs w:val="20"/>
                <w:color w:val="auto"/>
              </w:rPr>
            </w:pPr>
            <w:r>
              <w:rPr>
                <w:rFonts w:ascii="Arial" w:cs="Arial" w:eastAsia="Arial" w:hAnsi="Arial"/>
                <w:sz w:val="18"/>
                <w:szCs w:val="18"/>
                <w:b w:val="1"/>
                <w:bCs w:val="1"/>
                <w:color w:val="FFFFFF"/>
              </w:rPr>
              <w:t>Control</w:t>
            </w:r>
          </w:p>
        </w:tc>
        <w:tc>
          <w:tcPr>
            <w:tcW w:w="120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r>
      <w:tr>
        <w:trPr>
          <w:trHeight w:val="221"/>
        </w:trPr>
        <w:tc>
          <w:tcPr>
            <w:tcW w:w="178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w:t>
            </w:r>
          </w:p>
        </w:tc>
        <w:tc>
          <w:tcPr>
            <w:tcW w:w="2120" w:type="dxa"/>
            <w:vAlign w:val="bottom"/>
            <w:shd w:val="clear" w:color="auto" w:fill="FF160F"/>
          </w:tcPr>
          <w:p>
            <w:pPr>
              <w:ind w:left="140"/>
              <w:spacing w:after="0"/>
              <w:rPr>
                <w:sz w:val="20"/>
                <w:szCs w:val="20"/>
                <w:color w:val="auto"/>
              </w:rPr>
            </w:pPr>
            <w:r>
              <w:rPr>
                <w:rFonts w:ascii="Arial" w:cs="Arial" w:eastAsia="Arial" w:hAnsi="Arial"/>
                <w:sz w:val="18"/>
                <w:szCs w:val="18"/>
                <w:b w:val="1"/>
                <w:bCs w:val="1"/>
                <w:color w:val="FFFFFF"/>
              </w:rPr>
              <w:t>Type of Compensation</w:t>
            </w:r>
          </w:p>
        </w:tc>
        <w:tc>
          <w:tcPr>
            <w:tcW w:w="1340" w:type="dxa"/>
            <w:vAlign w:val="bottom"/>
            <w:gridSpan w:val="2"/>
            <w:shd w:val="clear" w:color="auto" w:fill="FF160F"/>
          </w:tcPr>
          <w:p>
            <w:pPr>
              <w:ind w:left="80"/>
              <w:spacing w:after="0" w:line="221" w:lineRule="exact"/>
              <w:rPr>
                <w:sz w:val="20"/>
                <w:szCs w:val="20"/>
                <w:color w:val="auto"/>
              </w:rPr>
            </w:pPr>
            <w:r>
              <w:rPr>
                <w:rFonts w:ascii="Arial" w:cs="Arial" w:eastAsia="Arial" w:hAnsi="Arial"/>
                <w:sz w:val="17"/>
                <w:szCs w:val="17"/>
                <w:b w:val="1"/>
                <w:bCs w:val="1"/>
                <w:color w:val="FFFFFF"/>
              </w:rPr>
              <w:t>Termination</w:t>
            </w:r>
            <w:r>
              <w:rPr>
                <w:rFonts w:ascii="Arial" w:cs="Arial" w:eastAsia="Arial" w:hAnsi="Arial"/>
                <w:sz w:val="25"/>
                <w:szCs w:val="25"/>
                <w:b w:val="1"/>
                <w:bCs w:val="1"/>
                <w:color w:val="FFFFFF"/>
                <w:vertAlign w:val="superscript"/>
              </w:rPr>
              <w:t>(1)</w:t>
            </w:r>
          </w:p>
        </w:tc>
        <w:tc>
          <w:tcPr>
            <w:tcW w:w="1600" w:type="dxa"/>
            <w:vAlign w:val="bottom"/>
            <w:gridSpan w:val="2"/>
            <w:shd w:val="clear" w:color="auto" w:fill="FF160F"/>
          </w:tcPr>
          <w:p>
            <w:pPr>
              <w:ind w:left="100"/>
              <w:spacing w:after="0" w:line="221" w:lineRule="exact"/>
              <w:rPr>
                <w:sz w:val="20"/>
                <w:szCs w:val="20"/>
                <w:color w:val="auto"/>
              </w:rPr>
            </w:pPr>
            <w:r>
              <w:rPr>
                <w:rFonts w:ascii="Arial" w:cs="Arial" w:eastAsia="Arial" w:hAnsi="Arial"/>
                <w:sz w:val="17"/>
                <w:szCs w:val="17"/>
                <w:b w:val="1"/>
                <w:bCs w:val="1"/>
                <w:color w:val="FFFFFF"/>
              </w:rPr>
              <w:t>Without Cause</w:t>
            </w:r>
            <w:r>
              <w:rPr>
                <w:rFonts w:ascii="Arial" w:cs="Arial" w:eastAsia="Arial" w:hAnsi="Arial"/>
                <w:sz w:val="25"/>
                <w:szCs w:val="25"/>
                <w:b w:val="1"/>
                <w:bCs w:val="1"/>
                <w:color w:val="FFFFFF"/>
                <w:vertAlign w:val="superscript"/>
              </w:rPr>
              <w:t>(1)</w:t>
            </w:r>
          </w:p>
        </w:tc>
        <w:tc>
          <w:tcPr>
            <w:tcW w:w="1540" w:type="dxa"/>
            <w:vAlign w:val="bottom"/>
            <w:gridSpan w:val="2"/>
            <w:shd w:val="clear" w:color="auto" w:fill="FF160F"/>
          </w:tcPr>
          <w:p>
            <w:pPr>
              <w:ind w:left="100"/>
              <w:spacing w:after="0" w:line="221" w:lineRule="exact"/>
              <w:rPr>
                <w:sz w:val="20"/>
                <w:szCs w:val="20"/>
                <w:color w:val="auto"/>
              </w:rPr>
            </w:pPr>
            <w:r>
              <w:rPr>
                <w:rFonts w:ascii="Arial" w:cs="Arial" w:eastAsia="Arial" w:hAnsi="Arial"/>
                <w:sz w:val="17"/>
                <w:szCs w:val="17"/>
                <w:b w:val="1"/>
                <w:bCs w:val="1"/>
                <w:color w:val="FFFFFF"/>
              </w:rPr>
              <w:t>Termination</w:t>
            </w:r>
            <w:r>
              <w:rPr>
                <w:rFonts w:ascii="Arial" w:cs="Arial" w:eastAsia="Arial" w:hAnsi="Arial"/>
                <w:sz w:val="25"/>
                <w:szCs w:val="25"/>
                <w:b w:val="1"/>
                <w:bCs w:val="1"/>
                <w:color w:val="FFFFFF"/>
                <w:vertAlign w:val="superscript"/>
              </w:rPr>
              <w:t>(1)(5)</w:t>
            </w:r>
          </w:p>
        </w:tc>
        <w:tc>
          <w:tcPr>
            <w:tcW w:w="1200" w:type="dxa"/>
            <w:vAlign w:val="bottom"/>
            <w:gridSpan w:val="2"/>
            <w:shd w:val="clear" w:color="auto" w:fill="FF160F"/>
          </w:tcPr>
          <w:p>
            <w:pPr>
              <w:jc w:val="right"/>
              <w:ind w:right="50"/>
              <w:spacing w:after="0" w:line="221" w:lineRule="exact"/>
              <w:rPr>
                <w:sz w:val="20"/>
                <w:szCs w:val="20"/>
                <w:color w:val="auto"/>
              </w:rPr>
            </w:pPr>
            <w:r>
              <w:rPr>
                <w:rFonts w:ascii="Arial" w:cs="Arial" w:eastAsia="Arial" w:hAnsi="Arial"/>
                <w:sz w:val="17"/>
                <w:szCs w:val="17"/>
                <w:b w:val="1"/>
                <w:bCs w:val="1"/>
                <w:color w:val="FFFFFF"/>
              </w:rPr>
              <w:t>on Death</w:t>
            </w:r>
            <w:r>
              <w:rPr>
                <w:rFonts w:ascii="Arial" w:cs="Arial" w:eastAsia="Arial" w:hAnsi="Arial"/>
                <w:sz w:val="25"/>
                <w:szCs w:val="25"/>
                <w:b w:val="1"/>
                <w:bCs w:val="1"/>
                <w:color w:val="FFFFFF"/>
                <w:vertAlign w:val="superscript"/>
              </w:rPr>
              <w:t>(1)</w:t>
            </w:r>
          </w:p>
        </w:tc>
        <w:tc>
          <w:tcPr>
            <w:tcW w:w="220" w:type="dxa"/>
            <w:vAlign w:val="bottom"/>
            <w:shd w:val="clear" w:color="auto" w:fill="FF160F"/>
          </w:tcPr>
          <w:p>
            <w:pPr>
              <w:spacing w:after="0"/>
              <w:rPr>
                <w:sz w:val="19"/>
                <w:szCs w:val="19"/>
                <w:color w:val="auto"/>
              </w:rPr>
            </w:pPr>
          </w:p>
        </w:tc>
        <w:tc>
          <w:tcPr>
            <w:tcW w:w="1220" w:type="dxa"/>
            <w:vAlign w:val="bottom"/>
            <w:shd w:val="clear" w:color="auto" w:fill="FF160F"/>
          </w:tcPr>
          <w:p>
            <w:pPr>
              <w:jc w:val="right"/>
              <w:ind w:right="130"/>
              <w:spacing w:after="0" w:line="221" w:lineRule="exact"/>
              <w:rPr>
                <w:sz w:val="20"/>
                <w:szCs w:val="20"/>
                <w:color w:val="auto"/>
              </w:rPr>
            </w:pPr>
            <w:r>
              <w:rPr>
                <w:rFonts w:ascii="Arial" w:cs="Arial" w:eastAsia="Arial" w:hAnsi="Arial"/>
                <w:sz w:val="17"/>
                <w:szCs w:val="17"/>
                <w:b w:val="1"/>
                <w:bCs w:val="1"/>
                <w:color w:val="FFFFFF"/>
              </w:rPr>
              <w:t>Disability</w:t>
            </w:r>
            <w:r>
              <w:rPr>
                <w:rFonts w:ascii="Arial" w:cs="Arial" w:eastAsia="Arial" w:hAnsi="Arial"/>
                <w:sz w:val="25"/>
                <w:szCs w:val="25"/>
                <w:b w:val="1"/>
                <w:bCs w:val="1"/>
                <w:color w:val="FFFFFF"/>
                <w:vertAlign w:val="superscript"/>
              </w:rPr>
              <w:t>(1)</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Donald C. Wood</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3.0x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4,312,500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8,625,000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1,350,633</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20,403</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1,764,605</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1,856,418</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1,485,000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1,722,806</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13,465,166</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13,465,166</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13,465,166</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13,465,166</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166,665</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8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520,403</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19,602,271</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24,113,250</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w w:val="97"/>
              </w:rPr>
              <w:t>14,950,166</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16,538,606</w:t>
            </w:r>
          </w:p>
        </w:tc>
      </w:tr>
      <w:tr>
        <w:trPr>
          <w:trHeight w:val="256"/>
        </w:trPr>
        <w:tc>
          <w:tcPr>
            <w:tcW w:w="1780" w:type="dxa"/>
            <w:vAlign w:val="bottom"/>
          </w:tcPr>
          <w:p>
            <w:pPr>
              <w:spacing w:after="0"/>
              <w:rPr>
                <w:sz w:val="20"/>
                <w:szCs w:val="20"/>
                <w:color w:val="auto"/>
              </w:rPr>
            </w:pPr>
            <w:r>
              <w:rPr>
                <w:rFonts w:ascii="Arial" w:cs="Arial" w:eastAsia="Arial" w:hAnsi="Arial"/>
                <w:sz w:val="18"/>
                <w:szCs w:val="18"/>
                <w:color w:val="auto"/>
              </w:rPr>
              <w:t>Daniel Guglielmone</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2.0x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216,667</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1,368,750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2,737,500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778,812</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16,222</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48,666</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97,332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48,666</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2,784,902</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2,784,902</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2,784,902</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2,784,902</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8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232,889</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4,262,319</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5,709,735</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2,784,902</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3,612,380</w:t>
            </w: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Dawn M. Becker</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0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2.0x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287,500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1,293,750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2,587,500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606,085</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8,970</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13,454</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35,878</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17,939</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2,461,838</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2,461,838</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2,461,838</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2,461,838</w:t>
            </w:r>
          </w:p>
        </w:tc>
      </w:tr>
      <w:tr>
        <w:trPr>
          <w:trHeight w:val="203"/>
        </w:trPr>
        <w:tc>
          <w:tcPr>
            <w:tcW w:w="178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78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780" w:type="dxa"/>
            <w:vAlign w:val="bottom"/>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296,470</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3,829,043</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5,175,216</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2,461,838</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3,085,863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27"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For all NEOs, the cash payments for termination without cause and termination following a change-in-control include base salary plus the highest bonus earned during 2024, 2023 and 2022, the last three completed fiscal years. The cash payments on termination with cause for Mr. Wood, Mr. Guglielmone and Ms. Becker are 1 month of base pay for every year of service above 5 years, capped at 6 months of base pay. The cash payments on disability for Mr. Wood, Mr. Guglielmone and Ms. Becker represent 1 year of base salary less amounts received from disability insurance maintained by the Company, grossed up for taxes on non-tax exempt payments.</w:t>
      </w:r>
    </w:p>
    <w:p>
      <w:pPr>
        <w:spacing w:after="0" w:line="3" w:lineRule="exact"/>
        <w:rPr>
          <w:rFonts w:ascii="Arial" w:cs="Arial" w:eastAsia="Arial" w:hAnsi="Arial"/>
          <w:sz w:val="24"/>
          <w:szCs w:val="24"/>
          <w:color w:val="auto"/>
          <w:vertAlign w:val="superscript"/>
        </w:rPr>
      </w:pPr>
    </w:p>
    <w:p>
      <w:pPr>
        <w:jc w:val="both"/>
        <w:ind w:left="540" w:right="20" w:hanging="424"/>
        <w:spacing w:after="0" w:line="219"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Amounts in this row represent our estimate of the COBRA equivalent rates for health care benefits and current life and long-term disability premiums for all NEOs. The period of time for which these benefits are provided varies as follows: (a) termination without cause – 9 months for Mr. Wood and Ms. Becker and 12 months for Mr. Guglielmone; (b) termination following a change-in-control – 3 years for Mr. Wood and 2 years for Ms. Becker and Mr. Guglielmone; (c) termination for cause – 1 month for every year of service above 5 years, capped at 6 months for all NEOs; and</w:t>
      </w:r>
    </w:p>
    <w:p>
      <w:pPr>
        <w:ind w:left="540" w:right="20" w:firstLine="8"/>
        <w:spacing w:after="0" w:line="246" w:lineRule="auto"/>
        <w:tabs>
          <w:tab w:leader="none" w:pos="8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disability – 1 year for all NEOs. All amounts shown in this row for Mr. Wood also include the estimated costs (calculated in accordance with GAAP) of satisfying the obligations under his Health Continuation Coverage Agreement.</w:t>
      </w:r>
    </w:p>
    <w:p>
      <w:pPr>
        <w:jc w:val="both"/>
        <w:ind w:left="540" w:hanging="424"/>
        <w:spacing w:after="0" w:line="211"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All unvested restricted shares held by our NEOs will vest in the event of termination without cause, termination following a change-in-control, death or disability. Values were calculated by multiplying the number of unvested shares that vest under each termination event using the closing price of the Company’s shares on December 31, 2025.</w:t>
      </w:r>
    </w:p>
    <w:p>
      <w:pPr>
        <w:jc w:val="both"/>
        <w:ind w:left="540" w:hanging="424"/>
        <w:spacing w:after="0" w:line="221"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Amounts in this row are estimated costs for an administrative assistant and outplacement assistance for a period of 6 months in the event of a termination without cause for all NEOs and for a period of 12 months for Mr. Wood and 9 months for Mr. Guglielmone and Ms. Becker in the event of a termination following a change-in-control. The amount also includes the cost of providing a company vehicle to Mr. Wood for three years in the event of a termination following a change-in-control should he choose to use that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0341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both"/>
        <w:ind w:left="540" w:right="20" w:hanging="424"/>
        <w:spacing w:after="0" w:line="230"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or (b) Mr. Wood or Ms. Becker voluntarily leaves employment within the 30-day window following the 1-year anniversary of the change-in-control.</w:t>
      </w:r>
    </w:p>
    <w:p>
      <w:pPr>
        <w:spacing w:after="0" w:line="146"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CEO PAY RATIO</w:t>
      </w:r>
    </w:p>
    <w:p>
      <w:pPr>
        <w:spacing w:after="0" w:line="26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2025, excluding our CEO, which included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43 employees who started with us in 2025. No other adjustments were made.</w:t>
      </w:r>
    </w:p>
    <w:p>
      <w:pPr>
        <w:spacing w:after="0" w:line="1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2025 was calculated in accordance with the requirements of the Summary Compensation Table included in this proxy statement. Based on this methodology, we have determined that the total annual compensation paid to our Chief Executive Officer in 2025 was $9,929,147 and the total annual compensation paid to our median paid employee in 2025 was $130,520 resulting in a ratio of 76:1.</w:t>
      </w:r>
    </w:p>
    <w:p>
      <w:pPr>
        <w:spacing w:after="0" w:line="17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PAY VERSUS PERFORMANCE DISCLOSURE</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shd w:val="clear" w:color="auto" w:fill="FF160F"/>
          </w:tcPr>
          <w:p>
            <w:pPr>
              <w:spacing w:after="0"/>
              <w:rPr>
                <w:sz w:val="14"/>
                <w:szCs w:val="14"/>
                <w:color w:val="auto"/>
              </w:rPr>
            </w:pPr>
          </w:p>
        </w:tc>
        <w:tc>
          <w:tcPr>
            <w:tcW w:w="128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900" w:type="dxa"/>
            <w:vAlign w:val="bottom"/>
            <w:shd w:val="clear" w:color="auto" w:fill="FF160F"/>
          </w:tcPr>
          <w:p>
            <w:pPr>
              <w:spacing w:after="0"/>
              <w:rPr>
                <w:sz w:val="14"/>
                <w:szCs w:val="14"/>
                <w:color w:val="auto"/>
              </w:rPr>
            </w:pPr>
          </w:p>
        </w:tc>
        <w:tc>
          <w:tcPr>
            <w:tcW w:w="1340" w:type="dxa"/>
            <w:vAlign w:val="bottom"/>
            <w:shd w:val="clear" w:color="auto" w:fill="FF160F"/>
          </w:tcPr>
          <w:p>
            <w:pPr>
              <w:spacing w:after="0"/>
              <w:rPr>
                <w:sz w:val="14"/>
                <w:szCs w:val="14"/>
                <w:color w:val="auto"/>
              </w:rPr>
            </w:pPr>
          </w:p>
        </w:tc>
        <w:tc>
          <w:tcPr>
            <w:tcW w:w="1340" w:type="dxa"/>
            <w:vAlign w:val="bottom"/>
            <w:shd w:val="clear" w:color="auto" w:fill="FF160F"/>
          </w:tcPr>
          <w:p>
            <w:pPr>
              <w:spacing w:after="0"/>
              <w:rPr>
                <w:sz w:val="14"/>
                <w:szCs w:val="14"/>
                <w:color w:val="auto"/>
              </w:rPr>
            </w:pPr>
          </w:p>
        </w:tc>
        <w:tc>
          <w:tcPr>
            <w:tcW w:w="2080" w:type="dxa"/>
            <w:vAlign w:val="bottom"/>
            <w:gridSpan w:val="2"/>
            <w:shd w:val="clear" w:color="auto" w:fill="FF160F"/>
          </w:tcPr>
          <w:p>
            <w:pPr>
              <w:jc w:val="right"/>
              <w:ind w:right="103"/>
              <w:spacing w:after="0"/>
              <w:rPr>
                <w:sz w:val="20"/>
                <w:szCs w:val="20"/>
                <w:color w:val="auto"/>
              </w:rPr>
            </w:pPr>
            <w:r>
              <w:rPr>
                <w:rFonts w:ascii="Arial" w:cs="Arial" w:eastAsia="Arial" w:hAnsi="Arial"/>
                <w:sz w:val="14"/>
                <w:szCs w:val="14"/>
                <w:b w:val="1"/>
                <w:bCs w:val="1"/>
                <w:color w:val="FFFFFF"/>
              </w:rPr>
              <w:t>Value of Initial Fixed $100</w:t>
            </w:r>
          </w:p>
        </w:tc>
        <w:tc>
          <w:tcPr>
            <w:tcW w:w="900" w:type="dxa"/>
            <w:vAlign w:val="bottom"/>
            <w:shd w:val="clear" w:color="auto" w:fill="FF160F"/>
          </w:tcPr>
          <w:p>
            <w:pPr>
              <w:spacing w:after="0"/>
              <w:rPr>
                <w:sz w:val="14"/>
                <w:szCs w:val="14"/>
                <w:color w:val="auto"/>
              </w:rPr>
            </w:pPr>
          </w:p>
        </w:tc>
        <w:tc>
          <w:tcPr>
            <w:tcW w:w="64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shd w:val="clear" w:color="auto" w:fill="FF160F"/>
          </w:tcPr>
          <w:p>
            <w:pPr>
              <w:spacing w:after="0"/>
              <w:rPr>
                <w:sz w:val="14"/>
                <w:szCs w:val="14"/>
                <w:color w:val="auto"/>
              </w:rPr>
            </w:pPr>
          </w:p>
        </w:tc>
        <w:tc>
          <w:tcPr>
            <w:tcW w:w="1280" w:type="dxa"/>
            <w:vAlign w:val="bottom"/>
            <w:shd w:val="clear" w:color="auto" w:fill="FF160F"/>
          </w:tcPr>
          <w:p>
            <w:pPr>
              <w:spacing w:after="0"/>
              <w:rPr>
                <w:sz w:val="14"/>
                <w:szCs w:val="14"/>
                <w:color w:val="auto"/>
              </w:rPr>
            </w:pPr>
          </w:p>
        </w:tc>
        <w:tc>
          <w:tcPr>
            <w:tcW w:w="340" w:type="dxa"/>
            <w:vAlign w:val="bottom"/>
            <w:shd w:val="clear" w:color="auto" w:fill="FF160F"/>
          </w:tcPr>
          <w:p>
            <w:pPr>
              <w:spacing w:after="0"/>
              <w:rPr>
                <w:sz w:val="14"/>
                <w:szCs w:val="14"/>
                <w:color w:val="auto"/>
              </w:rPr>
            </w:pPr>
          </w:p>
        </w:tc>
        <w:tc>
          <w:tcPr>
            <w:tcW w:w="900" w:type="dxa"/>
            <w:vAlign w:val="bottom"/>
            <w:shd w:val="clear" w:color="auto" w:fill="FF160F"/>
          </w:tcPr>
          <w:p>
            <w:pPr>
              <w:spacing w:after="0"/>
              <w:rPr>
                <w:sz w:val="14"/>
                <w:szCs w:val="14"/>
                <w:color w:val="auto"/>
              </w:rPr>
            </w:pPr>
          </w:p>
        </w:tc>
        <w:tc>
          <w:tcPr>
            <w:tcW w:w="1340" w:type="dxa"/>
            <w:vAlign w:val="bottom"/>
            <w:vMerge w:val="restart"/>
            <w:shd w:val="clear" w:color="auto" w:fill="FF160F"/>
          </w:tcPr>
          <w:p>
            <w:pPr>
              <w:jc w:val="center"/>
              <w:spacing w:after="0"/>
              <w:rPr>
                <w:sz w:val="20"/>
                <w:szCs w:val="20"/>
                <w:color w:val="auto"/>
              </w:rPr>
            </w:pPr>
            <w:r>
              <w:rPr>
                <w:rFonts w:ascii="Arial" w:cs="Arial" w:eastAsia="Arial" w:hAnsi="Arial"/>
                <w:sz w:val="14"/>
                <w:szCs w:val="14"/>
                <w:b w:val="1"/>
                <w:bCs w:val="1"/>
                <w:color w:val="FFFFFF"/>
              </w:rPr>
              <w:t>Average</w:t>
            </w:r>
          </w:p>
        </w:tc>
        <w:tc>
          <w:tcPr>
            <w:tcW w:w="1340" w:type="dxa"/>
            <w:vAlign w:val="bottom"/>
            <w:shd w:val="clear" w:color="auto" w:fill="FF160F"/>
          </w:tcPr>
          <w:p>
            <w:pPr>
              <w:spacing w:after="0"/>
              <w:rPr>
                <w:sz w:val="14"/>
                <w:szCs w:val="14"/>
                <w:color w:val="auto"/>
              </w:rPr>
            </w:pPr>
          </w:p>
        </w:tc>
        <w:tc>
          <w:tcPr>
            <w:tcW w:w="2080" w:type="dxa"/>
            <w:vAlign w:val="bottom"/>
            <w:gridSpan w:val="2"/>
            <w:shd w:val="clear" w:color="auto" w:fill="FF160F"/>
          </w:tcPr>
          <w:p>
            <w:pPr>
              <w:jc w:val="right"/>
              <w:ind w:right="223"/>
              <w:spacing w:after="0"/>
              <w:rPr>
                <w:sz w:val="20"/>
                <w:szCs w:val="20"/>
                <w:color w:val="auto"/>
              </w:rPr>
            </w:pPr>
            <w:r>
              <w:rPr>
                <w:rFonts w:ascii="Arial" w:cs="Arial" w:eastAsia="Arial" w:hAnsi="Arial"/>
                <w:sz w:val="14"/>
                <w:szCs w:val="14"/>
                <w:b w:val="1"/>
                <w:bCs w:val="1"/>
                <w:color w:val="FFFFFF"/>
              </w:rPr>
              <w:t>Investment Based On:</w:t>
            </w:r>
          </w:p>
        </w:tc>
        <w:tc>
          <w:tcPr>
            <w:tcW w:w="900" w:type="dxa"/>
            <w:vAlign w:val="bottom"/>
            <w:shd w:val="clear" w:color="auto" w:fill="FF160F"/>
          </w:tcPr>
          <w:p>
            <w:pPr>
              <w:spacing w:after="0"/>
              <w:rPr>
                <w:sz w:val="14"/>
                <w:szCs w:val="14"/>
                <w:color w:val="auto"/>
              </w:rPr>
            </w:pPr>
          </w:p>
        </w:tc>
        <w:tc>
          <w:tcPr>
            <w:tcW w:w="64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FF160F"/>
          </w:tcPr>
          <w:p>
            <w:pPr>
              <w:spacing w:after="0"/>
              <w:rPr>
                <w:sz w:val="13"/>
                <w:szCs w:val="13"/>
                <w:color w:val="auto"/>
              </w:rPr>
            </w:pPr>
          </w:p>
        </w:tc>
        <w:tc>
          <w:tcPr>
            <w:tcW w:w="1280" w:type="dxa"/>
            <w:vAlign w:val="bottom"/>
            <w:shd w:val="clear" w:color="auto" w:fill="FF160F"/>
          </w:tcPr>
          <w:p>
            <w:pPr>
              <w:spacing w:after="0"/>
              <w:rPr>
                <w:sz w:val="13"/>
                <w:szCs w:val="13"/>
                <w:color w:val="auto"/>
              </w:rPr>
            </w:pPr>
          </w:p>
        </w:tc>
        <w:tc>
          <w:tcPr>
            <w:tcW w:w="34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1340" w:type="dxa"/>
            <w:vAlign w:val="bottom"/>
            <w:vMerge w:val="continue"/>
            <w:shd w:val="clear" w:color="auto" w:fill="FF160F"/>
          </w:tcPr>
          <w:p>
            <w:pPr>
              <w:spacing w:after="0"/>
              <w:rPr>
                <w:sz w:val="13"/>
                <w:szCs w:val="13"/>
                <w:color w:val="auto"/>
              </w:rPr>
            </w:pPr>
          </w:p>
        </w:tc>
        <w:tc>
          <w:tcPr>
            <w:tcW w:w="1340" w:type="dxa"/>
            <w:vAlign w:val="bottom"/>
            <w:shd w:val="clear" w:color="auto" w:fill="FF160F"/>
          </w:tcPr>
          <w:p>
            <w:pPr>
              <w:spacing w:after="0"/>
              <w:rPr>
                <w:sz w:val="13"/>
                <w:szCs w:val="13"/>
                <w:color w:val="auto"/>
              </w:rPr>
            </w:pPr>
          </w:p>
        </w:tc>
        <w:tc>
          <w:tcPr>
            <w:tcW w:w="1020" w:type="dxa"/>
            <w:vAlign w:val="bottom"/>
            <w:shd w:val="clear" w:color="auto" w:fill="FF160F"/>
          </w:tcPr>
          <w:p>
            <w:pPr>
              <w:spacing w:after="0"/>
              <w:rPr>
                <w:sz w:val="13"/>
                <w:szCs w:val="13"/>
                <w:color w:val="auto"/>
              </w:rPr>
            </w:pPr>
          </w:p>
        </w:tc>
        <w:tc>
          <w:tcPr>
            <w:tcW w:w="106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64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FF160F"/>
          </w:tcPr>
          <w:p>
            <w:pPr>
              <w:spacing w:after="0"/>
              <w:rPr>
                <w:sz w:val="14"/>
                <w:szCs w:val="14"/>
                <w:color w:val="auto"/>
              </w:rPr>
            </w:pPr>
          </w:p>
        </w:tc>
        <w:tc>
          <w:tcPr>
            <w:tcW w:w="1280" w:type="dxa"/>
            <w:vAlign w:val="bottom"/>
            <w:shd w:val="clear" w:color="auto" w:fill="FF160F"/>
          </w:tcPr>
          <w:p>
            <w:pPr>
              <w:jc w:val="right"/>
              <w:ind w:right="203"/>
              <w:spacing w:after="0"/>
              <w:rPr>
                <w:sz w:val="20"/>
                <w:szCs w:val="20"/>
                <w:color w:val="auto"/>
              </w:rPr>
            </w:pPr>
            <w:r>
              <w:rPr>
                <w:rFonts w:ascii="Arial" w:cs="Arial" w:eastAsia="Arial" w:hAnsi="Arial"/>
                <w:sz w:val="14"/>
                <w:szCs w:val="14"/>
                <w:b w:val="1"/>
                <w:bCs w:val="1"/>
                <w:color w:val="FFFFFF"/>
              </w:rPr>
              <w:t>Summary</w:t>
            </w:r>
          </w:p>
        </w:tc>
        <w:tc>
          <w:tcPr>
            <w:tcW w:w="340" w:type="dxa"/>
            <w:vAlign w:val="bottom"/>
            <w:shd w:val="clear" w:color="auto" w:fill="FF160F"/>
          </w:tcPr>
          <w:p>
            <w:pPr>
              <w:spacing w:after="0"/>
              <w:rPr>
                <w:sz w:val="14"/>
                <w:szCs w:val="14"/>
                <w:color w:val="auto"/>
              </w:rPr>
            </w:pPr>
          </w:p>
        </w:tc>
        <w:tc>
          <w:tcPr>
            <w:tcW w:w="900" w:type="dxa"/>
            <w:vAlign w:val="bottom"/>
            <w:shd w:val="clear" w:color="auto" w:fill="FF160F"/>
          </w:tcPr>
          <w:p>
            <w:pPr>
              <w:spacing w:after="0"/>
              <w:rPr>
                <w:sz w:val="14"/>
                <w:szCs w:val="14"/>
                <w:color w:val="auto"/>
              </w:rPr>
            </w:pP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Summary</w:t>
            </w: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Average</w:t>
            </w:r>
          </w:p>
        </w:tc>
        <w:tc>
          <w:tcPr>
            <w:tcW w:w="1020" w:type="dxa"/>
            <w:vAlign w:val="bottom"/>
            <w:shd w:val="clear" w:color="auto" w:fill="FF160F"/>
          </w:tcPr>
          <w:p>
            <w:pPr>
              <w:spacing w:after="0"/>
              <w:rPr>
                <w:sz w:val="14"/>
                <w:szCs w:val="14"/>
                <w:color w:val="auto"/>
              </w:rPr>
            </w:pPr>
          </w:p>
        </w:tc>
        <w:tc>
          <w:tcPr>
            <w:tcW w:w="106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Peer Group</w:t>
            </w:r>
          </w:p>
        </w:tc>
        <w:tc>
          <w:tcPr>
            <w:tcW w:w="900" w:type="dxa"/>
            <w:vAlign w:val="bottom"/>
            <w:shd w:val="clear" w:color="auto" w:fill="FF160F"/>
          </w:tcPr>
          <w:p>
            <w:pPr>
              <w:spacing w:after="0"/>
              <w:rPr>
                <w:sz w:val="14"/>
                <w:szCs w:val="14"/>
                <w:color w:val="auto"/>
              </w:rPr>
            </w:pPr>
          </w:p>
        </w:tc>
        <w:tc>
          <w:tcPr>
            <w:tcW w:w="6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NAREIT</w:t>
            </w:r>
          </w:p>
        </w:tc>
        <w:tc>
          <w:tcPr>
            <w:tcW w:w="0" w:type="dxa"/>
            <w:vAlign w:val="bottom"/>
          </w:tcPr>
          <w:p>
            <w:pPr>
              <w:spacing w:after="0"/>
              <w:rPr>
                <w:sz w:val="1"/>
                <w:szCs w:val="1"/>
                <w:color w:val="auto"/>
              </w:rPr>
            </w:pPr>
          </w:p>
        </w:tc>
      </w:tr>
      <w:tr>
        <w:trPr>
          <w:trHeight w:val="162"/>
        </w:trPr>
        <w:tc>
          <w:tcPr>
            <w:tcW w:w="2200" w:type="dxa"/>
            <w:vAlign w:val="bottom"/>
            <w:shd w:val="clear" w:color="auto" w:fill="FF160F"/>
          </w:tcPr>
          <w:p>
            <w:pPr>
              <w:spacing w:after="0"/>
              <w:rPr>
                <w:sz w:val="14"/>
                <w:szCs w:val="14"/>
                <w:color w:val="auto"/>
              </w:rPr>
            </w:pPr>
          </w:p>
        </w:tc>
        <w:tc>
          <w:tcPr>
            <w:tcW w:w="1280" w:type="dxa"/>
            <w:vAlign w:val="bottom"/>
            <w:shd w:val="clear" w:color="auto" w:fill="FF160F"/>
          </w:tcPr>
          <w:p>
            <w:pPr>
              <w:jc w:val="right"/>
              <w:ind w:right="23"/>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FF160F"/>
          </w:tcPr>
          <w:p>
            <w:pPr>
              <w:jc w:val="right"/>
              <w:ind w:right="264"/>
              <w:spacing w:after="0"/>
              <w:rPr>
                <w:sz w:val="20"/>
                <w:szCs w:val="20"/>
                <w:color w:val="auto"/>
              </w:rPr>
            </w:pPr>
            <w:r>
              <w:rPr>
                <w:rFonts w:ascii="Arial" w:cs="Arial" w:eastAsia="Arial" w:hAnsi="Arial"/>
                <w:sz w:val="14"/>
                <w:szCs w:val="14"/>
                <w:b w:val="1"/>
                <w:bCs w:val="1"/>
                <w:color w:val="FFFFFF"/>
              </w:rPr>
              <w:t>Total</w:t>
            </w:r>
          </w:p>
        </w:tc>
        <w:tc>
          <w:tcPr>
            <w:tcW w:w="106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7"/>
              </w:rPr>
              <w:t>Net</w:t>
            </w:r>
          </w:p>
        </w:tc>
        <w:tc>
          <w:tcPr>
            <w:tcW w:w="6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FFO per</w:t>
            </w:r>
          </w:p>
        </w:tc>
        <w:tc>
          <w:tcPr>
            <w:tcW w:w="0" w:type="dxa"/>
            <w:vAlign w:val="bottom"/>
          </w:tcPr>
          <w:p>
            <w:pPr>
              <w:spacing w:after="0"/>
              <w:rPr>
                <w:sz w:val="1"/>
                <w:szCs w:val="1"/>
                <w:color w:val="auto"/>
              </w:rPr>
            </w:pPr>
          </w:p>
        </w:tc>
      </w:tr>
      <w:tr>
        <w:trPr>
          <w:trHeight w:val="162"/>
        </w:trPr>
        <w:tc>
          <w:tcPr>
            <w:tcW w:w="2200" w:type="dxa"/>
            <w:vAlign w:val="bottom"/>
            <w:shd w:val="clear" w:color="auto" w:fill="FF160F"/>
          </w:tcPr>
          <w:p>
            <w:pPr>
              <w:spacing w:after="0"/>
              <w:rPr>
                <w:sz w:val="14"/>
                <w:szCs w:val="14"/>
                <w:color w:val="auto"/>
              </w:rPr>
            </w:pPr>
          </w:p>
        </w:tc>
        <w:tc>
          <w:tcPr>
            <w:tcW w:w="1280" w:type="dxa"/>
            <w:vAlign w:val="bottom"/>
            <w:shd w:val="clear" w:color="auto" w:fill="FF160F"/>
          </w:tcPr>
          <w:p>
            <w:pPr>
              <w:jc w:val="right"/>
              <w:ind w:right="43"/>
              <w:spacing w:after="0"/>
              <w:rPr>
                <w:sz w:val="20"/>
                <w:szCs w:val="20"/>
                <w:color w:val="auto"/>
              </w:rPr>
            </w:pPr>
            <w:r>
              <w:rPr>
                <w:rFonts w:ascii="Arial" w:cs="Arial" w:eastAsia="Arial" w:hAnsi="Arial"/>
                <w:sz w:val="14"/>
                <w:szCs w:val="14"/>
                <w:b w:val="1"/>
                <w:bCs w:val="1"/>
                <w:color w:val="FFFFFF"/>
              </w:rPr>
              <w:t>Table Total for</w:t>
            </w:r>
          </w:p>
        </w:tc>
        <w:tc>
          <w:tcPr>
            <w:tcW w:w="124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9"/>
              </w:rPr>
              <w:t>Table Total for</w:t>
            </w:r>
          </w:p>
        </w:tc>
        <w:tc>
          <w:tcPr>
            <w:tcW w:w="13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020" w:type="dxa"/>
            <w:vAlign w:val="bottom"/>
            <w:shd w:val="clear" w:color="auto" w:fill="FF160F"/>
          </w:tcPr>
          <w:p>
            <w:pPr>
              <w:jc w:val="right"/>
              <w:ind w:right="4"/>
              <w:spacing w:after="0"/>
              <w:rPr>
                <w:sz w:val="20"/>
                <w:szCs w:val="20"/>
                <w:color w:val="auto"/>
              </w:rPr>
            </w:pPr>
            <w:r>
              <w:rPr>
                <w:rFonts w:ascii="Arial" w:cs="Arial" w:eastAsia="Arial" w:hAnsi="Arial"/>
                <w:sz w:val="14"/>
                <w:szCs w:val="14"/>
                <w:b w:val="1"/>
                <w:bCs w:val="1"/>
                <w:color w:val="FFFFFF"/>
              </w:rPr>
              <w:t>Shareholder</w:t>
            </w:r>
          </w:p>
        </w:tc>
        <w:tc>
          <w:tcPr>
            <w:tcW w:w="1060" w:type="dxa"/>
            <w:vAlign w:val="bottom"/>
            <w:shd w:val="clear" w:color="auto" w:fill="FF160F"/>
          </w:tcPr>
          <w:p>
            <w:pPr>
              <w:jc w:val="right"/>
              <w:ind w:right="43"/>
              <w:spacing w:after="0"/>
              <w:rPr>
                <w:sz w:val="20"/>
                <w:szCs w:val="20"/>
                <w:color w:val="auto"/>
              </w:rPr>
            </w:pPr>
            <w:r>
              <w:rPr>
                <w:rFonts w:ascii="Arial" w:cs="Arial" w:eastAsia="Arial" w:hAnsi="Arial"/>
                <w:sz w:val="14"/>
                <w:szCs w:val="14"/>
                <w:b w:val="1"/>
                <w:bCs w:val="1"/>
                <w:color w:val="FFFFFF"/>
              </w:rPr>
              <w:t>Shareholder</w:t>
            </w:r>
          </w:p>
        </w:tc>
        <w:tc>
          <w:tcPr>
            <w:tcW w:w="900" w:type="dxa"/>
            <w:vAlign w:val="bottom"/>
            <w:shd w:val="clear" w:color="auto" w:fill="FF160F"/>
          </w:tcPr>
          <w:p>
            <w:pPr>
              <w:jc w:val="center"/>
              <w:ind w:right="2"/>
              <w:spacing w:after="0"/>
              <w:rPr>
                <w:sz w:val="20"/>
                <w:szCs w:val="20"/>
                <w:color w:val="auto"/>
              </w:rPr>
            </w:pPr>
            <w:r>
              <w:rPr>
                <w:rFonts w:ascii="Arial" w:cs="Arial" w:eastAsia="Arial" w:hAnsi="Arial"/>
                <w:sz w:val="14"/>
                <w:szCs w:val="14"/>
                <w:b w:val="1"/>
                <w:bCs w:val="1"/>
                <w:color w:val="FFFFFF"/>
              </w:rPr>
              <w:t>Income</w:t>
            </w:r>
          </w:p>
        </w:tc>
        <w:tc>
          <w:tcPr>
            <w:tcW w:w="6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252"/>
        </w:trPr>
        <w:tc>
          <w:tcPr>
            <w:tcW w:w="220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  Year</w:t>
            </w:r>
          </w:p>
        </w:tc>
        <w:tc>
          <w:tcPr>
            <w:tcW w:w="1280" w:type="dxa"/>
            <w:vAlign w:val="bottom"/>
            <w:shd w:val="clear" w:color="auto" w:fill="FF160F"/>
          </w:tcPr>
          <w:p>
            <w:pPr>
              <w:jc w:val="right"/>
              <w:ind w:right="323"/>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340" w:type="dxa"/>
            <w:vAlign w:val="bottom"/>
            <w:shd w:val="clear" w:color="auto" w:fill="FF160F"/>
          </w:tcPr>
          <w:p>
            <w:pPr>
              <w:spacing w:after="0"/>
              <w:rPr>
                <w:sz w:val="21"/>
                <w:szCs w:val="21"/>
                <w:color w:val="auto"/>
              </w:rPr>
            </w:pPr>
          </w:p>
        </w:tc>
        <w:tc>
          <w:tcPr>
            <w:tcW w:w="900" w:type="dxa"/>
            <w:vAlign w:val="bottom"/>
            <w:shd w:val="clear" w:color="auto" w:fill="FF160F"/>
          </w:tcPr>
          <w:p>
            <w:pPr>
              <w:jc w:val="center"/>
              <w:ind w:right="261"/>
              <w:spacing w:after="0"/>
              <w:rPr>
                <w:sz w:val="20"/>
                <w:szCs w:val="20"/>
                <w:color w:val="auto"/>
              </w:rPr>
            </w:pPr>
            <w:r>
              <w:rPr>
                <w:rFonts w:ascii="Arial" w:cs="Arial" w:eastAsia="Arial" w:hAnsi="Arial"/>
                <w:sz w:val="14"/>
                <w:szCs w:val="14"/>
                <w:b w:val="1"/>
                <w:bCs w:val="1"/>
                <w:color w:val="FFFFFF"/>
                <w:w w:val="92"/>
              </w:rPr>
              <w:t>PEO</w:t>
            </w:r>
            <w:r>
              <w:rPr>
                <w:rFonts w:ascii="Arial" w:cs="Arial" w:eastAsia="Arial" w:hAnsi="Arial"/>
                <w:sz w:val="17"/>
                <w:szCs w:val="17"/>
                <w:b w:val="1"/>
                <w:bCs w:val="1"/>
                <w:color w:val="FFFFFF"/>
                <w:w w:val="92"/>
                <w:vertAlign w:val="superscript"/>
              </w:rPr>
              <w:t>(1)</w:t>
            </w:r>
          </w:p>
        </w:tc>
        <w:tc>
          <w:tcPr>
            <w:tcW w:w="1340" w:type="dxa"/>
            <w:vAlign w:val="bottom"/>
            <w:shd w:val="clear" w:color="auto" w:fill="FF160F"/>
          </w:tcPr>
          <w:p>
            <w:pPr>
              <w:jc w:val="right"/>
              <w:ind w:right="4"/>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340" w:type="dxa"/>
            <w:vAlign w:val="bottom"/>
            <w:shd w:val="clear" w:color="auto" w:fill="FF160F"/>
          </w:tcPr>
          <w:p>
            <w:pPr>
              <w:jc w:val="right"/>
              <w:ind w:right="3"/>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020" w:type="dxa"/>
            <w:vAlign w:val="bottom"/>
            <w:shd w:val="clear" w:color="auto" w:fill="FF160F"/>
          </w:tcPr>
          <w:p>
            <w:pPr>
              <w:jc w:val="right"/>
              <w:ind w:right="144"/>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(3)</w:t>
            </w:r>
          </w:p>
        </w:tc>
        <w:tc>
          <w:tcPr>
            <w:tcW w:w="106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17"/>
                <w:szCs w:val="17"/>
                <w:b w:val="1"/>
                <w:bCs w:val="1"/>
                <w:color w:val="FFFFFF"/>
                <w:w w:val="94"/>
                <w:vertAlign w:val="superscript"/>
              </w:rPr>
              <w:t>(3)</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 000s)</w:t>
            </w:r>
          </w:p>
        </w:tc>
        <w:tc>
          <w:tcPr>
            <w:tcW w:w="64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Share</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2200" w:type="dxa"/>
            <w:vAlign w:val="bottom"/>
          </w:tcPr>
          <w:p>
            <w:pPr>
              <w:spacing w:after="0" w:line="175" w:lineRule="exact"/>
              <w:rPr>
                <w:sz w:val="20"/>
                <w:szCs w:val="20"/>
                <w:color w:val="auto"/>
              </w:rPr>
            </w:pPr>
            <w:r>
              <w:rPr>
                <w:rFonts w:ascii="Arial" w:cs="Arial" w:eastAsia="Arial" w:hAnsi="Arial"/>
                <w:sz w:val="16"/>
                <w:szCs w:val="16"/>
                <w:color w:val="auto"/>
              </w:rPr>
              <w:t>  2025</w:t>
            </w:r>
          </w:p>
        </w:tc>
        <w:tc>
          <w:tcPr>
            <w:tcW w:w="1280" w:type="dxa"/>
            <w:vAlign w:val="bottom"/>
          </w:tcPr>
          <w:p>
            <w:pPr>
              <w:jc w:val="right"/>
              <w:ind w:right="23"/>
              <w:spacing w:after="0" w:line="175" w:lineRule="exact"/>
              <w:rPr>
                <w:sz w:val="20"/>
                <w:szCs w:val="20"/>
                <w:color w:val="auto"/>
              </w:rPr>
            </w:pPr>
            <w:r>
              <w:rPr>
                <w:rFonts w:ascii="Arial" w:cs="Arial" w:eastAsia="Arial" w:hAnsi="Arial"/>
                <w:sz w:val="16"/>
                <w:szCs w:val="16"/>
                <w:color w:val="auto"/>
              </w:rPr>
              <w:t>$9,929,147</w:t>
            </w:r>
          </w:p>
        </w:tc>
        <w:tc>
          <w:tcPr>
            <w:tcW w:w="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line="175" w:lineRule="exact"/>
              <w:rPr>
                <w:sz w:val="20"/>
                <w:szCs w:val="20"/>
                <w:color w:val="auto"/>
              </w:rPr>
            </w:pPr>
            <w:r>
              <w:rPr>
                <w:rFonts w:ascii="Arial" w:cs="Arial" w:eastAsia="Arial" w:hAnsi="Arial"/>
                <w:sz w:val="16"/>
                <w:szCs w:val="16"/>
                <w:color w:val="auto"/>
              </w:rPr>
              <w:t>8,370,328</w:t>
            </w:r>
          </w:p>
        </w:tc>
        <w:tc>
          <w:tcPr>
            <w:tcW w:w="1340" w:type="dxa"/>
            <w:vAlign w:val="bottom"/>
          </w:tcPr>
          <w:p>
            <w:pPr>
              <w:jc w:val="right"/>
              <w:ind w:right="4"/>
              <w:spacing w:after="0" w:line="175" w:lineRule="exact"/>
              <w:rPr>
                <w:sz w:val="20"/>
                <w:szCs w:val="20"/>
                <w:color w:val="auto"/>
              </w:rPr>
            </w:pPr>
            <w:r>
              <w:rPr>
                <w:rFonts w:ascii="Arial" w:cs="Arial" w:eastAsia="Arial" w:hAnsi="Arial"/>
                <w:sz w:val="16"/>
                <w:szCs w:val="16"/>
                <w:color w:val="auto"/>
              </w:rPr>
              <w:t>$2,889,143</w:t>
            </w:r>
          </w:p>
        </w:tc>
        <w:tc>
          <w:tcPr>
            <w:tcW w:w="1340" w:type="dxa"/>
            <w:vAlign w:val="bottom"/>
          </w:tcPr>
          <w:p>
            <w:pPr>
              <w:jc w:val="right"/>
              <w:ind w:right="3"/>
              <w:spacing w:after="0" w:line="175" w:lineRule="exact"/>
              <w:rPr>
                <w:sz w:val="20"/>
                <w:szCs w:val="20"/>
                <w:color w:val="auto"/>
              </w:rPr>
            </w:pPr>
            <w:r>
              <w:rPr>
                <w:rFonts w:ascii="Arial" w:cs="Arial" w:eastAsia="Arial" w:hAnsi="Arial"/>
                <w:sz w:val="16"/>
                <w:szCs w:val="16"/>
                <w:color w:val="auto"/>
              </w:rPr>
              <w:t>$2,588,140</w:t>
            </w:r>
          </w:p>
        </w:tc>
        <w:tc>
          <w:tcPr>
            <w:tcW w:w="1020" w:type="dxa"/>
            <w:vAlign w:val="bottom"/>
          </w:tcPr>
          <w:p>
            <w:pPr>
              <w:jc w:val="right"/>
              <w:ind w:right="4"/>
              <w:spacing w:after="0" w:line="175" w:lineRule="exact"/>
              <w:rPr>
                <w:sz w:val="20"/>
                <w:szCs w:val="20"/>
                <w:color w:val="auto"/>
              </w:rPr>
            </w:pPr>
            <w:r>
              <w:rPr>
                <w:rFonts w:ascii="Arial" w:cs="Arial" w:eastAsia="Arial" w:hAnsi="Arial"/>
                <w:sz w:val="16"/>
                <w:szCs w:val="16"/>
                <w:color w:val="auto"/>
              </w:rPr>
              <w:t>$134.06</w:t>
            </w:r>
          </w:p>
        </w:tc>
        <w:tc>
          <w:tcPr>
            <w:tcW w:w="1060" w:type="dxa"/>
            <w:vAlign w:val="bottom"/>
          </w:tcPr>
          <w:p>
            <w:pPr>
              <w:jc w:val="right"/>
              <w:ind w:right="43"/>
              <w:spacing w:after="0" w:line="175" w:lineRule="exact"/>
              <w:rPr>
                <w:sz w:val="20"/>
                <w:szCs w:val="20"/>
                <w:color w:val="auto"/>
              </w:rPr>
            </w:pPr>
            <w:r>
              <w:rPr>
                <w:rFonts w:ascii="Arial" w:cs="Arial" w:eastAsia="Arial" w:hAnsi="Arial"/>
                <w:sz w:val="16"/>
                <w:szCs w:val="16"/>
                <w:color w:val="auto"/>
              </w:rPr>
              <w:t>$154.56</w:t>
            </w:r>
          </w:p>
        </w:tc>
        <w:tc>
          <w:tcPr>
            <w:tcW w:w="900" w:type="dxa"/>
            <w:vAlign w:val="bottom"/>
          </w:tcPr>
          <w:p>
            <w:pPr>
              <w:jc w:val="right"/>
              <w:ind w:right="22"/>
              <w:spacing w:after="0" w:line="175" w:lineRule="exact"/>
              <w:rPr>
                <w:sz w:val="20"/>
                <w:szCs w:val="20"/>
                <w:color w:val="auto"/>
              </w:rPr>
            </w:pPr>
            <w:r>
              <w:rPr>
                <w:rFonts w:ascii="Arial" w:cs="Arial" w:eastAsia="Arial" w:hAnsi="Arial"/>
                <w:sz w:val="16"/>
                <w:szCs w:val="16"/>
                <w:color w:val="auto"/>
              </w:rPr>
              <w:t>$423,648</w:t>
            </w:r>
          </w:p>
        </w:tc>
        <w:tc>
          <w:tcPr>
            <w:tcW w:w="640" w:type="dxa"/>
            <w:vAlign w:val="bottom"/>
          </w:tcPr>
          <w:p>
            <w:pPr>
              <w:jc w:val="right"/>
              <w:spacing w:after="0" w:line="175" w:lineRule="exact"/>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  2024</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$9,240,530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w w:val="99"/>
              </w:rPr>
              <w:t>11,336,876</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$2,328,903</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$2,705,899</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$153.40</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$171.23</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$304,334</w:t>
            </w:r>
          </w:p>
        </w:tc>
        <w:tc>
          <w:tcPr>
            <w:tcW w:w="64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  2023</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$8,941,820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9,972,582</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$2,416,716</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$2,590,452</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$136.87</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$155.04</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$247,217</w:t>
            </w:r>
          </w:p>
        </w:tc>
        <w:tc>
          <w:tcPr>
            <w:tcW w:w="64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  2022</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$8,916,031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6,570,796</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$2,026,318</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$1,623,013</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$128.32</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$141.90</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$395,661</w:t>
            </w:r>
          </w:p>
        </w:tc>
        <w:tc>
          <w:tcPr>
            <w:tcW w:w="64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  2021</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$7,520,917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w w:val="99"/>
              </w:rPr>
              <w:t>15,446,709</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$2,266,502</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$3,606,101</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$165.92</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$163.52</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$269,081</w:t>
            </w:r>
          </w:p>
        </w:tc>
        <w:tc>
          <w:tcPr>
            <w:tcW w:w="64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-1172210</wp:posOffset>
            </wp:positionV>
            <wp:extent cx="13030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030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540" w:hanging="424"/>
        <w:spacing w:after="0" w:line="233" w:lineRule="auto"/>
        <w:tabs>
          <w:tab w:leader="none" w:pos="54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Mr. Wood was our principal executive officer for all years shown. Following are the adjustments made during each year shown to arrive at compensation actually paid to our principal executive officer during each year.</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60" w:type="dxa"/>
            <w:vAlign w:val="bottom"/>
            <w:shd w:val="clear" w:color="auto" w:fill="FF160F"/>
          </w:tcPr>
          <w:p>
            <w:pPr>
              <w:spacing w:after="0"/>
              <w:rPr>
                <w:sz w:val="14"/>
                <w:szCs w:val="14"/>
                <w:color w:val="auto"/>
              </w:rPr>
            </w:pPr>
          </w:p>
        </w:tc>
        <w:tc>
          <w:tcPr>
            <w:tcW w:w="1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40" w:type="dxa"/>
            <w:vAlign w:val="bottom"/>
            <w:shd w:val="clear" w:color="auto" w:fill="FF160F"/>
          </w:tcPr>
          <w:p>
            <w:pPr>
              <w:jc w:val="right"/>
              <w:ind w:right="441"/>
              <w:spacing w:after="0"/>
              <w:rPr>
                <w:sz w:val="20"/>
                <w:szCs w:val="20"/>
                <w:color w:val="auto"/>
              </w:rPr>
            </w:pPr>
            <w:r>
              <w:rPr>
                <w:rFonts w:ascii="Arial" w:cs="Arial" w:eastAsia="Arial" w:hAnsi="Arial"/>
                <w:sz w:val="14"/>
                <w:szCs w:val="14"/>
                <w:b w:val="1"/>
                <w:bCs w:val="1"/>
                <w:color w:val="FFFFFF"/>
              </w:rPr>
              <w:t>PEO</w:t>
            </w: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860" w:type="dxa"/>
            <w:vAlign w:val="bottom"/>
            <w:shd w:val="clear" w:color="auto" w:fill="FF160F"/>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76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4"/>
                <w:szCs w:val="14"/>
                <w:b w:val="1"/>
                <w:bCs w:val="1"/>
                <w:color w:val="FFFFFF"/>
              </w:rPr>
              <w:t>  Adjustments</w:t>
            </w:r>
          </w:p>
        </w:tc>
        <w:tc>
          <w:tcPr>
            <w:tcW w:w="160" w:type="dxa"/>
            <w:vAlign w:val="bottom"/>
            <w:tcBorders>
              <w:bottom w:val="single" w:sz="8" w:color="FF160F"/>
            </w:tcBorders>
            <w:shd w:val="clear" w:color="auto" w:fill="FF160F"/>
          </w:tcPr>
          <w:p>
            <w:pPr>
              <w:spacing w:after="0"/>
              <w:rPr>
                <w:sz w:val="19"/>
                <w:szCs w:val="19"/>
                <w:color w:val="auto"/>
              </w:rPr>
            </w:pPr>
          </w:p>
        </w:tc>
        <w:tc>
          <w:tcPr>
            <w:tcW w:w="28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40"/>
              <w:spacing w:after="0"/>
              <w:rPr>
                <w:sz w:val="20"/>
                <w:szCs w:val="20"/>
                <w:color w:val="auto"/>
              </w:rPr>
            </w:pPr>
            <w:r>
              <w:rPr>
                <w:rFonts w:ascii="Arial" w:cs="Arial" w:eastAsia="Arial" w:hAnsi="Arial"/>
                <w:sz w:val="14"/>
                <w:szCs w:val="14"/>
                <w:b w:val="1"/>
                <w:bCs w:val="1"/>
                <w:color w:val="FFFFFF"/>
              </w:rPr>
              <w:t>2025</w:t>
            </w:r>
          </w:p>
        </w:tc>
        <w:tc>
          <w:tcPr>
            <w:tcW w:w="26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00"/>
              <w:spacing w:after="0"/>
              <w:rPr>
                <w:sz w:val="20"/>
                <w:szCs w:val="20"/>
                <w:color w:val="auto"/>
              </w:rPr>
            </w:pPr>
            <w:r>
              <w:rPr>
                <w:rFonts w:ascii="Arial" w:cs="Arial" w:eastAsia="Arial" w:hAnsi="Arial"/>
                <w:sz w:val="14"/>
                <w:szCs w:val="14"/>
                <w:b w:val="1"/>
                <w:bCs w:val="1"/>
                <w:color w:val="FFFFFF"/>
              </w:rPr>
              <w:t>2024</w:t>
            </w:r>
          </w:p>
        </w:tc>
        <w:tc>
          <w:tcPr>
            <w:tcW w:w="280" w:type="dxa"/>
            <w:vAlign w:val="bottom"/>
            <w:tcBorders>
              <w:bottom w:val="single" w:sz="8" w:color="FF160F"/>
            </w:tcBorders>
            <w:shd w:val="clear" w:color="auto" w:fill="FF160F"/>
          </w:tcPr>
          <w:p>
            <w:pPr>
              <w:spacing w:after="0"/>
              <w:rPr>
                <w:sz w:val="19"/>
                <w:szCs w:val="19"/>
                <w:color w:val="auto"/>
              </w:rPr>
            </w:pPr>
          </w:p>
        </w:tc>
        <w:tc>
          <w:tcPr>
            <w:tcW w:w="940" w:type="dxa"/>
            <w:vAlign w:val="bottom"/>
            <w:tcBorders>
              <w:bottom w:val="single" w:sz="8" w:color="FF160F"/>
            </w:tcBorders>
            <w:shd w:val="clear" w:color="auto" w:fill="FF160F"/>
          </w:tcPr>
          <w:p>
            <w:pPr>
              <w:jc w:val="right"/>
              <w:ind w:right="401"/>
              <w:spacing w:after="0"/>
              <w:rPr>
                <w:sz w:val="20"/>
                <w:szCs w:val="20"/>
                <w:color w:val="auto"/>
              </w:rPr>
            </w:pPr>
            <w:r>
              <w:rPr>
                <w:rFonts w:ascii="Arial" w:cs="Arial" w:eastAsia="Arial" w:hAnsi="Arial"/>
                <w:sz w:val="14"/>
                <w:szCs w:val="14"/>
                <w:b w:val="1"/>
                <w:bCs w:val="1"/>
                <w:color w:val="FFFFFF"/>
              </w:rPr>
              <w:t>2023</w:t>
            </w:r>
          </w:p>
        </w:tc>
        <w:tc>
          <w:tcPr>
            <w:tcW w:w="28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00"/>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FF160F"/>
            </w:tcBorders>
            <w:shd w:val="clear" w:color="auto" w:fill="FF160F"/>
          </w:tcPr>
          <w:p>
            <w:pPr>
              <w:spacing w:after="0"/>
              <w:rPr>
                <w:sz w:val="19"/>
                <w:szCs w:val="19"/>
                <w:color w:val="auto"/>
              </w:rPr>
            </w:pPr>
          </w:p>
        </w:tc>
        <w:tc>
          <w:tcPr>
            <w:tcW w:w="860" w:type="dxa"/>
            <w:vAlign w:val="bottom"/>
            <w:tcBorders>
              <w:bottom w:val="single" w:sz="8" w:color="FF160F"/>
            </w:tcBorders>
            <w:shd w:val="clear" w:color="auto" w:fill="FF160F"/>
          </w:tcPr>
          <w:p>
            <w:pPr>
              <w:jc w:val="right"/>
              <w:ind w:right="320"/>
              <w:spacing w:after="0"/>
              <w:rPr>
                <w:sz w:val="20"/>
                <w:szCs w:val="20"/>
                <w:color w:val="auto"/>
              </w:rPr>
            </w:pPr>
            <w:r>
              <w:rPr>
                <w:rFonts w:ascii="Arial" w:cs="Arial" w:eastAsia="Arial" w:hAnsi="Arial"/>
                <w:sz w:val="14"/>
                <w:szCs w:val="14"/>
                <w:b w:val="1"/>
                <w:bCs w:val="1"/>
                <w:color w:val="FFFFFF"/>
              </w:rPr>
              <w:t>2021</w:t>
            </w:r>
          </w:p>
        </w:tc>
        <w:tc>
          <w:tcPr>
            <w:tcW w:w="20" w:type="dxa"/>
            <w:vAlign w:val="bottom"/>
          </w:tcPr>
          <w:p>
            <w:pPr>
              <w:spacing w:after="0"/>
              <w:rPr>
                <w:sz w:val="19"/>
                <w:szCs w:val="19"/>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6"/>
                <w:szCs w:val="16"/>
                <w:color w:val="auto"/>
              </w:rPr>
              <w:t>  Amounts reported under “Stock Awards” in SCT</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(7,554,434)</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(6,946,529)</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(6,502,565)</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(6,474,391)</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(5,213,719)</w:t>
            </w:r>
          </w:p>
        </w:tc>
      </w:tr>
      <w:tr>
        <w:trPr>
          <w:trHeight w:val="229"/>
        </w:trPr>
        <w:tc>
          <w:tcPr>
            <w:tcW w:w="4760" w:type="dxa"/>
            <w:vAlign w:val="bottom"/>
            <w:shd w:val="clear" w:color="auto" w:fill="D8D8D8"/>
          </w:tcPr>
          <w:p>
            <w:pPr>
              <w:spacing w:after="0"/>
              <w:rPr>
                <w:sz w:val="20"/>
                <w:szCs w:val="20"/>
                <w:color w:val="auto"/>
              </w:rPr>
            </w:pPr>
            <w:r>
              <w:rPr>
                <w:rFonts w:ascii="Arial" w:cs="Arial" w:eastAsia="Arial" w:hAnsi="Arial"/>
                <w:sz w:val="16"/>
                <w:szCs w:val="16"/>
                <w:color w:val="auto"/>
              </w:rPr>
              <w:t>  Change Fair Value of Awards Granted in Year and Unvested as</w:t>
            </w:r>
          </w:p>
        </w:tc>
        <w:tc>
          <w:tcPr>
            <w:tcW w:w="1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7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of Year-End</w:t>
            </w:r>
          </w:p>
        </w:tc>
        <w:tc>
          <w:tcPr>
            <w:tcW w:w="44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92"/>
              </w:rPr>
              <w:t>     $</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6,888,168</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7,649,655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ind w:right="41"/>
              <w:spacing w:after="0"/>
              <w:rPr>
                <w:sz w:val="20"/>
                <w:szCs w:val="20"/>
                <w:color w:val="auto"/>
              </w:rPr>
            </w:pPr>
            <w:r>
              <w:rPr>
                <w:rFonts w:ascii="Arial" w:cs="Arial" w:eastAsia="Arial" w:hAnsi="Arial"/>
                <w:sz w:val="16"/>
                <w:szCs w:val="16"/>
                <w:color w:val="auto"/>
              </w:rPr>
              <w:t>6,203,610</w:t>
            </w:r>
          </w:p>
        </w:tc>
        <w:tc>
          <w:tcPr>
            <w:tcW w:w="280" w:type="dxa"/>
            <w:vAlign w:val="bottom"/>
            <w:shd w:val="clear" w:color="auto" w:fill="D8D8D8"/>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5,171,732</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7,421,261</w:t>
            </w:r>
          </w:p>
        </w:tc>
        <w:tc>
          <w:tcPr>
            <w:tcW w:w="20" w:type="dxa"/>
            <w:vAlign w:val="bottom"/>
          </w:tcPr>
          <w:p>
            <w:pPr>
              <w:spacing w:after="0"/>
              <w:rPr>
                <w:sz w:val="17"/>
                <w:szCs w:val="17"/>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6"/>
                <w:szCs w:val="16"/>
                <w:color w:val="auto"/>
                <w:w w:val="99"/>
              </w:rPr>
              <w:t>  Change in Fair Value from Prior Year-End to Current Year-End of</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4760" w:type="dxa"/>
            <w:vAlign w:val="bottom"/>
          </w:tcPr>
          <w:p>
            <w:pPr>
              <w:ind w:left="160"/>
              <w:spacing w:after="0"/>
              <w:rPr>
                <w:sz w:val="20"/>
                <w:szCs w:val="20"/>
                <w:color w:val="auto"/>
              </w:rPr>
            </w:pPr>
            <w:r>
              <w:rPr>
                <w:rFonts w:ascii="Arial" w:cs="Arial" w:eastAsia="Arial" w:hAnsi="Arial"/>
                <w:sz w:val="16"/>
                <w:szCs w:val="16"/>
                <w:color w:val="auto"/>
              </w:rPr>
              <w:t>Awards Granted Prior to Year that w ere Outstanding and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760" w:type="dxa"/>
            <w:vAlign w:val="bottom"/>
          </w:tcPr>
          <w:p>
            <w:pPr>
              <w:ind w:left="160"/>
              <w:spacing w:after="0"/>
              <w:rPr>
                <w:sz w:val="20"/>
                <w:szCs w:val="20"/>
                <w:color w:val="auto"/>
              </w:rPr>
            </w:pPr>
            <w:r>
              <w:rPr>
                <w:rFonts w:ascii="Arial" w:cs="Arial" w:eastAsia="Arial" w:hAnsi="Arial"/>
                <w:sz w:val="16"/>
                <w:szCs w:val="16"/>
                <w:color w:val="auto"/>
              </w:rPr>
              <w:t>Unvested as of Year-End</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(1,391,297)</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991,042</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406,886</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(1,546,034)</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4,544,000</w:t>
            </w:r>
          </w:p>
        </w:tc>
        <w:tc>
          <w:tcPr>
            <w:tcW w:w="20" w:type="dxa"/>
            <w:vAlign w:val="bottom"/>
          </w:tcPr>
          <w:p>
            <w:pPr>
              <w:spacing w:after="0"/>
              <w:rPr>
                <w:sz w:val="17"/>
                <w:szCs w:val="17"/>
                <w:color w:val="auto"/>
              </w:rPr>
            </w:pPr>
          </w:p>
        </w:tc>
      </w:tr>
      <w:tr>
        <w:trPr>
          <w:trHeight w:val="229"/>
        </w:trPr>
        <w:tc>
          <w:tcPr>
            <w:tcW w:w="4760" w:type="dxa"/>
            <w:vAlign w:val="bottom"/>
            <w:shd w:val="clear" w:color="auto" w:fill="D8D8D8"/>
          </w:tcPr>
          <w:p>
            <w:pPr>
              <w:spacing w:after="0"/>
              <w:rPr>
                <w:sz w:val="20"/>
                <w:szCs w:val="20"/>
                <w:color w:val="auto"/>
              </w:rPr>
            </w:pPr>
            <w:r>
              <w:rPr>
                <w:rFonts w:ascii="Arial" w:cs="Arial" w:eastAsia="Arial" w:hAnsi="Arial"/>
                <w:sz w:val="16"/>
                <w:szCs w:val="16"/>
                <w:color w:val="auto"/>
              </w:rPr>
              <w:t>  Change in Fair Value from Prior Year-End to Vesting Date of</w:t>
            </w:r>
          </w:p>
        </w:tc>
        <w:tc>
          <w:tcPr>
            <w:tcW w:w="1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7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Awards Granted Prior to Year that Vested During Year</w:t>
            </w:r>
          </w:p>
        </w:tc>
        <w:tc>
          <w:tcPr>
            <w:tcW w:w="44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92"/>
              </w:rPr>
              <w:t>     $</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(83,345)</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(128,475)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D8D8D8"/>
          </w:tcPr>
          <w:p>
            <w:pPr>
              <w:jc w:val="right"/>
              <w:ind w:right="41"/>
              <w:spacing w:after="0"/>
              <w:rPr>
                <w:sz w:val="20"/>
                <w:szCs w:val="20"/>
                <w:color w:val="auto"/>
              </w:rPr>
            </w:pPr>
            <w:r>
              <w:rPr>
                <w:rFonts w:ascii="Arial" w:cs="Arial" w:eastAsia="Arial" w:hAnsi="Arial"/>
                <w:sz w:val="16"/>
                <w:szCs w:val="16"/>
                <w:color w:val="auto"/>
              </w:rPr>
              <w:t>449,965</w:t>
            </w:r>
          </w:p>
        </w:tc>
        <w:tc>
          <w:tcPr>
            <w:tcW w:w="280" w:type="dxa"/>
            <w:vAlign w:val="bottom"/>
            <w:shd w:val="clear" w:color="auto" w:fill="D8D8D8"/>
          </w:tcPr>
          <w:p>
            <w:pPr>
              <w:ind w:lef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66,969</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765,243</w:t>
            </w:r>
          </w:p>
        </w:tc>
        <w:tc>
          <w:tcPr>
            <w:tcW w:w="20" w:type="dxa"/>
            <w:vAlign w:val="bottom"/>
          </w:tcPr>
          <w:p>
            <w:pPr>
              <w:spacing w:after="0"/>
              <w:rPr>
                <w:sz w:val="17"/>
                <w:szCs w:val="17"/>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6"/>
                <w:szCs w:val="16"/>
                <w:color w:val="auto"/>
                <w:w w:val="99"/>
              </w:rPr>
              <w:t>  Increase based on Dividends or Other Earnings Paid During Year</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760" w:type="dxa"/>
            <w:vAlign w:val="bottom"/>
          </w:tcPr>
          <w:p>
            <w:pPr>
              <w:ind w:left="160"/>
              <w:spacing w:after="0"/>
              <w:rPr>
                <w:sz w:val="20"/>
                <w:szCs w:val="20"/>
                <w:color w:val="auto"/>
              </w:rPr>
            </w:pPr>
            <w:r>
              <w:rPr>
                <w:rFonts w:ascii="Arial" w:cs="Arial" w:eastAsia="Arial" w:hAnsi="Arial"/>
                <w:sz w:val="16"/>
                <w:szCs w:val="16"/>
                <w:color w:val="auto"/>
              </w:rPr>
              <w:t>prior to Vesting Date of Award</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     $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582,089</w:t>
            </w:r>
          </w:p>
        </w:tc>
        <w:tc>
          <w:tcPr>
            <w:tcW w:w="26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530,653</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w w:val="96"/>
              </w:rPr>
              <w:t>   472,866</w:t>
            </w:r>
          </w:p>
        </w:tc>
        <w:tc>
          <w:tcPr>
            <w:tcW w:w="280" w:type="dxa"/>
            <w:vAlign w:val="bottom"/>
          </w:tcPr>
          <w:p>
            <w:pPr>
              <w:ind w:left="10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436,488</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   409,008</w:t>
            </w: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230"/>
        </w:trPr>
        <w:tc>
          <w:tcPr>
            <w:tcW w:w="47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44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b w:val="1"/>
                <w:bCs w:val="1"/>
                <w:color w:val="auto"/>
              </w:rPr>
              <w:t>  $</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(1,558,819)</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2,096,346</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D8D8D8"/>
          </w:tcPr>
          <w:p>
            <w:pPr>
              <w:jc w:val="right"/>
              <w:ind w:right="41"/>
              <w:spacing w:after="0"/>
              <w:rPr>
                <w:sz w:val="20"/>
                <w:szCs w:val="20"/>
                <w:color w:val="auto"/>
              </w:rPr>
            </w:pPr>
            <w:r>
              <w:rPr>
                <w:rFonts w:ascii="Arial" w:cs="Arial" w:eastAsia="Arial" w:hAnsi="Arial"/>
                <w:sz w:val="16"/>
                <w:szCs w:val="16"/>
                <w:b w:val="1"/>
                <w:bCs w:val="1"/>
                <w:color w:val="auto"/>
              </w:rPr>
              <w:t>1,030,762</w:t>
            </w:r>
          </w:p>
        </w:tc>
        <w:tc>
          <w:tcPr>
            <w:tcW w:w="28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(2,345,236)</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(7,925,792)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33"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Following are the adjustments made during each year shown to arrive at the average compensation actually paid to our other NEOs during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03415"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3"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60" w:type="dxa"/>
            <w:vAlign w:val="bottom"/>
            <w:shd w:val="clear" w:color="auto" w:fill="FF160F"/>
          </w:tcPr>
          <w:p>
            <w:pPr>
              <w:spacing w:after="0"/>
              <w:rPr>
                <w:sz w:val="14"/>
                <w:szCs w:val="14"/>
                <w:color w:val="auto"/>
              </w:rPr>
            </w:pPr>
          </w:p>
        </w:tc>
        <w:tc>
          <w:tcPr>
            <w:tcW w:w="130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760" w:type="dxa"/>
            <w:vAlign w:val="bottom"/>
            <w:shd w:val="clear" w:color="auto" w:fill="FF160F"/>
          </w:tcPr>
          <w:p>
            <w:pPr>
              <w:jc w:val="right"/>
              <w:ind w:right="48"/>
              <w:spacing w:after="0"/>
              <w:rPr>
                <w:sz w:val="20"/>
                <w:szCs w:val="20"/>
                <w:color w:val="auto"/>
              </w:rPr>
            </w:pPr>
            <w:r>
              <w:rPr>
                <w:rFonts w:ascii="Arial" w:cs="Arial" w:eastAsia="Arial" w:hAnsi="Arial"/>
                <w:sz w:val="14"/>
                <w:szCs w:val="14"/>
                <w:b w:val="1"/>
                <w:bCs w:val="1"/>
                <w:color w:val="FFFFFF"/>
              </w:rPr>
              <w:t>Average of Other NEOs</w:t>
            </w:r>
          </w:p>
        </w:tc>
        <w:tc>
          <w:tcPr>
            <w:tcW w:w="86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r>
      <w:tr>
        <w:trPr>
          <w:trHeight w:val="196"/>
        </w:trPr>
        <w:tc>
          <w:tcPr>
            <w:tcW w:w="51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  Adjustments</w:t>
            </w:r>
          </w:p>
        </w:tc>
        <w:tc>
          <w:tcPr>
            <w:tcW w:w="1300" w:type="dxa"/>
            <w:vAlign w:val="bottom"/>
            <w:shd w:val="clear" w:color="auto" w:fill="FF160F"/>
          </w:tcPr>
          <w:p>
            <w:pPr>
              <w:jc w:val="right"/>
              <w:ind w:right="368"/>
              <w:spacing w:after="0"/>
              <w:rPr>
                <w:sz w:val="20"/>
                <w:szCs w:val="20"/>
                <w:color w:val="auto"/>
              </w:rPr>
            </w:pPr>
            <w:r>
              <w:rPr>
                <w:rFonts w:ascii="Arial" w:cs="Arial" w:eastAsia="Arial" w:hAnsi="Arial"/>
                <w:sz w:val="14"/>
                <w:szCs w:val="14"/>
                <w:b w:val="1"/>
                <w:bCs w:val="1"/>
                <w:color w:val="FFFFFF"/>
              </w:rPr>
              <w:t>2025</w:t>
            </w:r>
          </w:p>
        </w:tc>
        <w:tc>
          <w:tcPr>
            <w:tcW w:w="820" w:type="dxa"/>
            <w:vAlign w:val="bottom"/>
            <w:shd w:val="clear" w:color="auto" w:fill="FF160F"/>
          </w:tcPr>
          <w:p>
            <w:pPr>
              <w:jc w:val="right"/>
              <w:spacing w:after="0"/>
              <w:rPr>
                <w:sz w:val="20"/>
                <w:szCs w:val="20"/>
                <w:color w:val="auto"/>
              </w:rPr>
            </w:pPr>
            <w:r>
              <w:rPr>
                <w:rFonts w:ascii="Arial" w:cs="Arial" w:eastAsia="Arial" w:hAnsi="Arial"/>
                <w:sz w:val="14"/>
                <w:szCs w:val="14"/>
                <w:b w:val="1"/>
                <w:bCs w:val="1"/>
                <w:color w:val="FFFFFF"/>
              </w:rPr>
              <w:t>2024</w:t>
            </w:r>
          </w:p>
        </w:tc>
        <w:tc>
          <w:tcPr>
            <w:tcW w:w="1760" w:type="dxa"/>
            <w:vAlign w:val="bottom"/>
            <w:shd w:val="clear" w:color="auto" w:fill="FF160F"/>
          </w:tcPr>
          <w:p>
            <w:pPr>
              <w:jc w:val="right"/>
              <w:ind w:right="608"/>
              <w:spacing w:after="0"/>
              <w:rPr>
                <w:sz w:val="20"/>
                <w:szCs w:val="20"/>
                <w:color w:val="auto"/>
              </w:rPr>
            </w:pPr>
            <w:r>
              <w:rPr>
                <w:rFonts w:ascii="Arial" w:cs="Arial" w:eastAsia="Arial" w:hAnsi="Arial"/>
                <w:sz w:val="14"/>
                <w:szCs w:val="14"/>
                <w:b w:val="1"/>
                <w:bCs w:val="1"/>
                <w:color w:val="FFFFFF"/>
              </w:rPr>
              <w:t>2023</w:t>
            </w:r>
          </w:p>
        </w:tc>
        <w:tc>
          <w:tcPr>
            <w:tcW w:w="860" w:type="dxa"/>
            <w:vAlign w:val="bottom"/>
            <w:shd w:val="clear" w:color="auto" w:fill="FF160F"/>
          </w:tcPr>
          <w:p>
            <w:pPr>
              <w:jc w:val="right"/>
              <w:ind w:right="328"/>
              <w:spacing w:after="0"/>
              <w:rPr>
                <w:sz w:val="20"/>
                <w:szCs w:val="20"/>
                <w:color w:val="auto"/>
              </w:rPr>
            </w:pPr>
            <w:r>
              <w:rPr>
                <w:rFonts w:ascii="Arial" w:cs="Arial" w:eastAsia="Arial" w:hAnsi="Arial"/>
                <w:sz w:val="14"/>
                <w:szCs w:val="14"/>
                <w:b w:val="1"/>
                <w:bCs w:val="1"/>
                <w:color w:val="FFFFFF"/>
              </w:rPr>
              <w:t>2022</w:t>
            </w:r>
          </w:p>
        </w:tc>
        <w:tc>
          <w:tcPr>
            <w:tcW w:w="1080" w:type="dxa"/>
            <w:vAlign w:val="bottom"/>
            <w:shd w:val="clear" w:color="auto" w:fill="FF160F"/>
          </w:tcPr>
          <w:p>
            <w:pPr>
              <w:jc w:val="right"/>
              <w:ind w:right="268"/>
              <w:spacing w:after="0"/>
              <w:rPr>
                <w:sz w:val="20"/>
                <w:szCs w:val="20"/>
                <w:color w:val="auto"/>
              </w:rPr>
            </w:pPr>
            <w:r>
              <w:rPr>
                <w:rFonts w:ascii="Arial" w:cs="Arial" w:eastAsia="Arial" w:hAnsi="Arial"/>
                <w:sz w:val="14"/>
                <w:szCs w:val="14"/>
                <w:b w:val="1"/>
                <w:bCs w:val="1"/>
                <w:color w:val="FFFFFF"/>
              </w:rPr>
              <w:t>2021</w:t>
            </w:r>
          </w:p>
        </w:tc>
      </w:tr>
      <w:tr>
        <w:trPr>
          <w:trHeight w:val="47"/>
        </w:trPr>
        <w:tc>
          <w:tcPr>
            <w:tcW w:w="5160" w:type="dxa"/>
            <w:vAlign w:val="bottom"/>
            <w:shd w:val="clear" w:color="auto" w:fill="FF160F"/>
          </w:tcPr>
          <w:p>
            <w:pPr>
              <w:spacing w:after="0"/>
              <w:rPr>
                <w:sz w:val="4"/>
                <w:szCs w:val="4"/>
                <w:color w:val="auto"/>
              </w:rPr>
            </w:pPr>
          </w:p>
        </w:tc>
        <w:tc>
          <w:tcPr>
            <w:tcW w:w="1300" w:type="dxa"/>
            <w:vAlign w:val="bottom"/>
            <w:shd w:val="clear" w:color="auto" w:fill="FF160F"/>
          </w:tcPr>
          <w:p>
            <w:pPr>
              <w:spacing w:after="0"/>
              <w:rPr>
                <w:sz w:val="4"/>
                <w:szCs w:val="4"/>
                <w:color w:val="auto"/>
              </w:rPr>
            </w:pPr>
          </w:p>
        </w:tc>
        <w:tc>
          <w:tcPr>
            <w:tcW w:w="820" w:type="dxa"/>
            <w:vAlign w:val="bottom"/>
            <w:shd w:val="clear" w:color="auto" w:fill="FF160F"/>
          </w:tcPr>
          <w:p>
            <w:pPr>
              <w:spacing w:after="0"/>
              <w:rPr>
                <w:sz w:val="4"/>
                <w:szCs w:val="4"/>
                <w:color w:val="auto"/>
              </w:rPr>
            </w:pPr>
          </w:p>
        </w:tc>
        <w:tc>
          <w:tcPr>
            <w:tcW w:w="1760" w:type="dxa"/>
            <w:vAlign w:val="bottom"/>
            <w:shd w:val="clear" w:color="auto" w:fill="FF160F"/>
          </w:tcPr>
          <w:p>
            <w:pPr>
              <w:spacing w:after="0"/>
              <w:rPr>
                <w:sz w:val="4"/>
                <w:szCs w:val="4"/>
                <w:color w:val="auto"/>
              </w:rPr>
            </w:pPr>
          </w:p>
        </w:tc>
        <w:tc>
          <w:tcPr>
            <w:tcW w:w="860" w:type="dxa"/>
            <w:vAlign w:val="bottom"/>
            <w:shd w:val="clear" w:color="auto" w:fill="FF160F"/>
          </w:tcPr>
          <w:p>
            <w:pPr>
              <w:spacing w:after="0"/>
              <w:rPr>
                <w:sz w:val="4"/>
                <w:szCs w:val="4"/>
                <w:color w:val="auto"/>
              </w:rPr>
            </w:pPr>
          </w:p>
        </w:tc>
        <w:tc>
          <w:tcPr>
            <w:tcW w:w="1080" w:type="dxa"/>
            <w:vAlign w:val="bottom"/>
            <w:shd w:val="clear" w:color="auto" w:fill="FF160F"/>
          </w:tcPr>
          <w:p>
            <w:pPr>
              <w:spacing w:after="0"/>
              <w:rPr>
                <w:sz w:val="4"/>
                <w:szCs w:val="4"/>
                <w:color w:val="auto"/>
              </w:rPr>
            </w:pPr>
          </w:p>
        </w:tc>
      </w:tr>
    </w:tbl>
    <w:p>
      <w:pPr>
        <w:spacing w:after="0" w:line="40"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80" w:hanging="64"/>
        <w:spacing w:after="0"/>
        <w:tabs>
          <w:tab w:leader="none" w:pos="1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Amounts reported under “Stock Awards” in SCT</w:t>
      </w:r>
    </w:p>
    <w:p>
      <w:pPr>
        <w:spacing w:after="0" w:line="105" w:lineRule="exact"/>
        <w:rPr>
          <w:rFonts w:ascii="Arial" w:cs="Arial" w:eastAsia="Arial" w:hAnsi="Arial"/>
          <w:sz w:val="12"/>
          <w:szCs w:val="12"/>
          <w:color w:val="auto"/>
        </w:rPr>
      </w:pPr>
    </w:p>
    <w:p>
      <w:pPr>
        <w:ind w:left="280" w:right="320" w:hanging="164"/>
        <w:spacing w:after="0" w:line="281" w:lineRule="auto"/>
        <w:tabs>
          <w:tab w:leader="none" w:pos="1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 Fair Value of Awards Granted in Year and Unvested as of Year-End</w:t>
      </w:r>
    </w:p>
    <w:p>
      <w:pPr>
        <w:spacing w:after="0" w:line="1" w:lineRule="exact"/>
        <w:rPr>
          <w:rFonts w:ascii="Arial" w:cs="Arial" w:eastAsia="Arial" w:hAnsi="Arial"/>
          <w:sz w:val="16"/>
          <w:szCs w:val="16"/>
          <w:color w:val="auto"/>
        </w:rPr>
      </w:pPr>
    </w:p>
    <w:p>
      <w:pPr>
        <w:ind w:left="280" w:right="180" w:hanging="164"/>
        <w:spacing w:after="0" w:line="266" w:lineRule="auto"/>
        <w:tabs>
          <w:tab w:leader="none" w:pos="1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 in Fair Value from Prior Year-End to Current Year-End of Awards Granted Prior to Year that were Outstanding and Unvested as of Year-End</w:t>
      </w:r>
    </w:p>
    <w:p>
      <w:pPr>
        <w:spacing w:after="0" w:line="9" w:lineRule="exact"/>
        <w:rPr>
          <w:rFonts w:ascii="Arial" w:cs="Arial" w:eastAsia="Arial" w:hAnsi="Arial"/>
          <w:sz w:val="16"/>
          <w:szCs w:val="16"/>
          <w:color w:val="auto"/>
        </w:rPr>
      </w:pPr>
    </w:p>
    <w:p>
      <w:pPr>
        <w:ind w:left="280" w:right="160" w:hanging="164"/>
        <w:spacing w:after="0" w:line="281" w:lineRule="auto"/>
        <w:tabs>
          <w:tab w:leader="none" w:pos="1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Change in Fair Value from Prior Year-End to Vesting Date of Awards Granted Prior to Year that Vested During Year</w:t>
      </w:r>
    </w:p>
    <w:p>
      <w:pPr>
        <w:spacing w:after="0" w:line="1" w:lineRule="exact"/>
        <w:rPr>
          <w:rFonts w:ascii="Arial" w:cs="Arial" w:eastAsia="Arial" w:hAnsi="Arial"/>
          <w:sz w:val="16"/>
          <w:szCs w:val="16"/>
          <w:color w:val="auto"/>
        </w:rPr>
      </w:pPr>
    </w:p>
    <w:p>
      <w:pPr>
        <w:ind w:left="280" w:hanging="164"/>
        <w:spacing w:after="0" w:line="286" w:lineRule="auto"/>
        <w:tabs>
          <w:tab w:leader="none" w:pos="199"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Increase based on Dividends or Other Earnings Paid During Year prior to Vesting Date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-1245870</wp:posOffset>
            </wp:positionV>
            <wp:extent cx="327469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74695"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-577215</wp:posOffset>
            </wp:positionV>
            <wp:extent cx="3274695" cy="2743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7469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20" w:type="dxa"/>
            <w:vAlign w:val="bottom"/>
            <w:gridSpan w:val="2"/>
          </w:tcPr>
          <w:p>
            <w:pPr>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(1,565,388)</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7"/>
              </w:rPr>
              <w:t>(1,171,784)</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(1,097,793)</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(809,283)</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(1,290,104)</w:t>
            </w:r>
          </w:p>
        </w:tc>
      </w:tr>
      <w:tr>
        <w:trPr>
          <w:trHeight w:val="432"/>
        </w:trPr>
        <w:tc>
          <w:tcPr>
            <w:tcW w:w="420" w:type="dxa"/>
            <w:vAlign w:val="bottom"/>
            <w:gridSpan w:val="2"/>
            <w:shd w:val="clear" w:color="auto" w:fill="D8D8D8"/>
          </w:tcPr>
          <w:p>
            <w:pPr>
              <w:spacing w:after="0"/>
              <w:rPr>
                <w:sz w:val="20"/>
                <w:szCs w:val="20"/>
                <w:color w:val="auto"/>
              </w:rPr>
            </w:pPr>
            <w:r>
              <w:rPr>
                <w:rFonts w:ascii="Arial" w:cs="Arial" w:eastAsia="Arial" w:hAnsi="Arial"/>
                <w:sz w:val="16"/>
                <w:szCs w:val="16"/>
                <w:color w:val="auto"/>
              </w:rPr>
              <w:t>     $</w:t>
            </w:r>
          </w:p>
        </w:tc>
        <w:tc>
          <w:tcPr>
            <w:tcW w:w="9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1,427,328</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1,290,392</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1,047,323</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646,454</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1,708,703</w:t>
            </w:r>
          </w:p>
        </w:tc>
        <w:tc>
          <w:tcPr>
            <w:tcW w:w="20" w:type="dxa"/>
            <w:vAlign w:val="bottom"/>
          </w:tcPr>
          <w:p>
            <w:pPr>
              <w:spacing w:after="0"/>
              <w:rPr>
                <w:sz w:val="24"/>
                <w:szCs w:val="24"/>
                <w:color w:val="auto"/>
              </w:rPr>
            </w:pPr>
          </w:p>
        </w:tc>
      </w:tr>
      <w:tr>
        <w:trPr>
          <w:trHeight w:val="621"/>
        </w:trPr>
        <w:tc>
          <w:tcPr>
            <w:tcW w:w="420" w:type="dxa"/>
            <w:vAlign w:val="bottom"/>
            <w:gridSpan w:val="2"/>
          </w:tcPr>
          <w:p>
            <w:pPr>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(245,556)</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174,088</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73,187</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(319,754)</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726,323</w:t>
            </w:r>
          </w:p>
        </w:tc>
        <w:tc>
          <w:tcPr>
            <w:tcW w:w="20" w:type="dxa"/>
            <w:vAlign w:val="bottom"/>
          </w:tcPr>
          <w:p>
            <w:pPr>
              <w:spacing w:after="0"/>
              <w:rPr>
                <w:sz w:val="24"/>
                <w:szCs w:val="24"/>
                <w:color w:val="auto"/>
              </w:rPr>
            </w:pPr>
          </w:p>
        </w:tc>
      </w:tr>
      <w:tr>
        <w:trPr>
          <w:trHeight w:val="432"/>
        </w:trPr>
        <w:tc>
          <w:tcPr>
            <w:tcW w:w="420" w:type="dxa"/>
            <w:vAlign w:val="bottom"/>
            <w:gridSpan w:val="2"/>
            <w:shd w:val="clear" w:color="auto" w:fill="D8D8D8"/>
          </w:tcPr>
          <w:p>
            <w:pPr>
              <w:spacing w:after="0"/>
              <w:rPr>
                <w:sz w:val="20"/>
                <w:szCs w:val="20"/>
                <w:color w:val="auto"/>
              </w:rPr>
            </w:pPr>
            <w:r>
              <w:rPr>
                <w:rFonts w:ascii="Arial" w:cs="Arial" w:eastAsia="Arial" w:hAnsi="Arial"/>
                <w:sz w:val="16"/>
                <w:szCs w:val="16"/>
                <w:color w:val="auto"/>
              </w:rPr>
              <w:t>     $</w:t>
            </w:r>
          </w:p>
        </w:tc>
        <w:tc>
          <w:tcPr>
            <w:tcW w:w="960" w:type="dxa"/>
            <w:vAlign w:val="bottom"/>
            <w:shd w:val="clear" w:color="auto" w:fill="D8D8D8"/>
          </w:tcPr>
          <w:p>
            <w:pPr>
              <w:jc w:val="right"/>
              <w:ind w:right="19"/>
              <w:spacing w:after="0"/>
              <w:rPr>
                <w:sz w:val="20"/>
                <w:szCs w:val="20"/>
                <w:color w:val="auto"/>
              </w:rPr>
            </w:pPr>
            <w:r>
              <w:rPr>
                <w:rFonts w:ascii="Arial" w:cs="Arial" w:eastAsia="Arial" w:hAnsi="Arial"/>
                <w:sz w:val="16"/>
                <w:szCs w:val="16"/>
                <w:color w:val="auto"/>
              </w:rPr>
              <w:t>(30,162)</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(11,124)</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D8D8D8"/>
          </w:tcPr>
          <w:p>
            <w:pPr>
              <w:jc w:val="right"/>
              <w:ind w:right="59"/>
              <w:spacing w:after="0"/>
              <w:rPr>
                <w:sz w:val="20"/>
                <w:szCs w:val="20"/>
                <w:color w:val="auto"/>
              </w:rPr>
            </w:pPr>
            <w:r>
              <w:rPr>
                <w:rFonts w:ascii="Arial" w:cs="Arial" w:eastAsia="Arial" w:hAnsi="Arial"/>
                <w:sz w:val="16"/>
                <w:szCs w:val="16"/>
                <w:color w:val="auto"/>
              </w:rPr>
              <w:t>65,154</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(2,952)</w:t>
            </w:r>
          </w:p>
        </w:tc>
        <w:tc>
          <w:tcPr>
            <w:tcW w:w="22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124,066</w:t>
            </w:r>
          </w:p>
        </w:tc>
        <w:tc>
          <w:tcPr>
            <w:tcW w:w="20" w:type="dxa"/>
            <w:vAlign w:val="bottom"/>
          </w:tcPr>
          <w:p>
            <w:pPr>
              <w:spacing w:after="0"/>
              <w:rPr>
                <w:sz w:val="24"/>
                <w:szCs w:val="24"/>
                <w:color w:val="auto"/>
              </w:rPr>
            </w:pPr>
          </w:p>
        </w:tc>
      </w:tr>
      <w:tr>
        <w:trPr>
          <w:trHeight w:val="432"/>
        </w:trPr>
        <w:tc>
          <w:tcPr>
            <w:tcW w:w="420" w:type="dxa"/>
            <w:vAlign w:val="bottom"/>
            <w:gridSpan w:val="2"/>
          </w:tcPr>
          <w:p>
            <w:pPr>
              <w:spacing w:after="0"/>
              <w:rPr>
                <w:sz w:val="20"/>
                <w:szCs w:val="20"/>
                <w:color w:val="auto"/>
              </w:rPr>
            </w:pPr>
            <w:r>
              <w:rPr>
                <w:rFonts w:ascii="Arial" w:cs="Arial" w:eastAsia="Arial" w:hAnsi="Arial"/>
                <w:sz w:val="16"/>
                <w:szCs w:val="16"/>
                <w:color w:val="auto"/>
              </w:rPr>
              <w:t xml:space="preserve">     $ </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w w:val="96"/>
              </w:rPr>
              <w:t>   112,776</w:t>
            </w:r>
          </w:p>
        </w:tc>
        <w:tc>
          <w:tcPr>
            <w:tcW w:w="22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   95,424</w:t>
            </w:r>
          </w:p>
        </w:tc>
        <w:tc>
          <w:tcPr>
            <w:tcW w:w="22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   85,866</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4"/>
              </w:rPr>
              <w:t>   82,230</w:t>
            </w:r>
          </w:p>
        </w:tc>
        <w:tc>
          <w:tcPr>
            <w:tcW w:w="22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   70,610</w:t>
            </w:r>
          </w:p>
        </w:tc>
      </w:tr>
      <w:tr>
        <w:trPr>
          <w:trHeight w:val="41"/>
        </w:trPr>
        <w:tc>
          <w:tcPr>
            <w:tcW w:w="160" w:type="dxa"/>
            <w:vAlign w:val="bottom"/>
            <w:tcBorders>
              <w:bottom w:val="single" w:sz="8" w:color="D8D8D8"/>
            </w:tcBorders>
          </w:tcPr>
          <w:p>
            <w:pPr>
              <w:spacing w:after="0"/>
              <w:rPr>
                <w:sz w:val="3"/>
                <w:szCs w:val="3"/>
                <w:color w:val="auto"/>
              </w:rPr>
            </w:pPr>
          </w:p>
        </w:tc>
        <w:tc>
          <w:tcPr>
            <w:tcW w:w="260" w:type="dxa"/>
            <w:vAlign w:val="bottom"/>
            <w:tcBorders>
              <w:top w:val="single" w:sz="8" w:color="auto"/>
              <w:bottom w:val="single" w:sz="8" w:color="D8D8D8"/>
            </w:tcBorders>
          </w:tcPr>
          <w:p>
            <w:pPr>
              <w:spacing w:after="0"/>
              <w:rPr>
                <w:sz w:val="3"/>
                <w:szCs w:val="3"/>
                <w:color w:val="auto"/>
              </w:rPr>
            </w:pPr>
          </w:p>
        </w:tc>
        <w:tc>
          <w:tcPr>
            <w:tcW w:w="960" w:type="dxa"/>
            <w:vAlign w:val="bottom"/>
            <w:tcBorders>
              <w:top w:val="single" w:sz="8" w:color="auto"/>
              <w:bottom w:val="single" w:sz="8" w:color="D8D8D8"/>
            </w:tcBorders>
          </w:tcPr>
          <w:p>
            <w:pPr>
              <w:spacing w:after="0"/>
              <w:rPr>
                <w:sz w:val="3"/>
                <w:szCs w:val="3"/>
                <w:color w:val="auto"/>
              </w:rPr>
            </w:pPr>
          </w:p>
        </w:tc>
        <w:tc>
          <w:tcPr>
            <w:tcW w:w="220" w:type="dxa"/>
            <w:vAlign w:val="bottom"/>
            <w:tcBorders>
              <w:top w:val="single" w:sz="8" w:color="auto"/>
              <w:bottom w:val="single" w:sz="8" w:color="D8D8D8"/>
            </w:tcBorders>
          </w:tcPr>
          <w:p>
            <w:pPr>
              <w:spacing w:after="0"/>
              <w:rPr>
                <w:sz w:val="3"/>
                <w:szCs w:val="3"/>
                <w:color w:val="auto"/>
              </w:rPr>
            </w:pPr>
          </w:p>
        </w:tc>
        <w:tc>
          <w:tcPr>
            <w:tcW w:w="900" w:type="dxa"/>
            <w:vAlign w:val="bottom"/>
            <w:tcBorders>
              <w:top w:val="single" w:sz="8" w:color="auto"/>
              <w:bottom w:val="single" w:sz="8" w:color="D8D8D8"/>
            </w:tcBorders>
          </w:tcPr>
          <w:p>
            <w:pPr>
              <w:spacing w:after="0"/>
              <w:rPr>
                <w:sz w:val="3"/>
                <w:szCs w:val="3"/>
                <w:color w:val="auto"/>
              </w:rPr>
            </w:pPr>
          </w:p>
        </w:tc>
        <w:tc>
          <w:tcPr>
            <w:tcW w:w="220" w:type="dxa"/>
            <w:vAlign w:val="bottom"/>
            <w:tcBorders>
              <w:top w:val="single" w:sz="8" w:color="auto"/>
              <w:bottom w:val="single" w:sz="8" w:color="D8D8D8"/>
            </w:tcBorders>
          </w:tcPr>
          <w:p>
            <w:pPr>
              <w:spacing w:after="0"/>
              <w:rPr>
                <w:sz w:val="3"/>
                <w:szCs w:val="3"/>
                <w:color w:val="auto"/>
              </w:rPr>
            </w:pPr>
          </w:p>
        </w:tc>
        <w:tc>
          <w:tcPr>
            <w:tcW w:w="920" w:type="dxa"/>
            <w:vAlign w:val="bottom"/>
            <w:tcBorders>
              <w:top w:val="single" w:sz="8" w:color="auto"/>
              <w:bottom w:val="single" w:sz="8" w:color="D8D8D8"/>
            </w:tcBorders>
          </w:tcPr>
          <w:p>
            <w:pPr>
              <w:spacing w:after="0"/>
              <w:rPr>
                <w:sz w:val="3"/>
                <w:szCs w:val="3"/>
                <w:color w:val="auto"/>
              </w:rPr>
            </w:pPr>
          </w:p>
        </w:tc>
        <w:tc>
          <w:tcPr>
            <w:tcW w:w="280" w:type="dxa"/>
            <w:vAlign w:val="bottom"/>
            <w:tcBorders>
              <w:top w:val="single" w:sz="8" w:color="auto"/>
              <w:bottom w:val="single" w:sz="8" w:color="D8D8D8"/>
            </w:tcBorders>
          </w:tcPr>
          <w:p>
            <w:pPr>
              <w:spacing w:after="0"/>
              <w:rPr>
                <w:sz w:val="3"/>
                <w:szCs w:val="3"/>
                <w:color w:val="auto"/>
              </w:rPr>
            </w:pPr>
          </w:p>
        </w:tc>
        <w:tc>
          <w:tcPr>
            <w:tcW w:w="860" w:type="dxa"/>
            <w:vAlign w:val="bottom"/>
            <w:tcBorders>
              <w:top w:val="single" w:sz="8" w:color="auto"/>
              <w:bottom w:val="single" w:sz="8" w:color="D8D8D8"/>
            </w:tcBorders>
          </w:tcPr>
          <w:p>
            <w:pPr>
              <w:spacing w:after="0"/>
              <w:rPr>
                <w:sz w:val="3"/>
                <w:szCs w:val="3"/>
                <w:color w:val="auto"/>
              </w:rPr>
            </w:pPr>
          </w:p>
        </w:tc>
        <w:tc>
          <w:tcPr>
            <w:tcW w:w="220" w:type="dxa"/>
            <w:vAlign w:val="bottom"/>
            <w:tcBorders>
              <w:top w:val="single" w:sz="8" w:color="auto"/>
              <w:bottom w:val="single" w:sz="8" w:color="D8D8D8"/>
            </w:tcBorders>
          </w:tcPr>
          <w:p>
            <w:pPr>
              <w:spacing w:after="0"/>
              <w:rPr>
                <w:sz w:val="3"/>
                <w:szCs w:val="3"/>
                <w:color w:val="auto"/>
              </w:rPr>
            </w:pPr>
          </w:p>
        </w:tc>
        <w:tc>
          <w:tcPr>
            <w:tcW w:w="820" w:type="dxa"/>
            <w:vAlign w:val="bottom"/>
            <w:tcBorders>
              <w:top w:val="single" w:sz="8" w:color="auto"/>
              <w:bottom w:val="single" w:sz="8" w:color="D8D8D8"/>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r>
    </w:tbl>
    <w:p>
      <w:pPr>
        <w:spacing w:after="0" w:line="5" w:lineRule="exact"/>
        <w:rPr>
          <w:sz w:val="20"/>
          <w:szCs w:val="20"/>
          <w:color w:val="auto"/>
        </w:rPr>
      </w:pPr>
    </w:p>
    <w:p>
      <w:pPr>
        <w:sectPr>
          <w:pgSz w:w="11900" w:h="16838" w:orient="portrait"/>
          <w:cols w:equalWidth="0" w:num="2">
            <w:col w:w="5240" w:space="40"/>
            <w:col w:w="586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51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460" w:type="dxa"/>
            <w:vAlign w:val="bottom"/>
            <w:shd w:val="clear" w:color="auto" w:fill="D8D8D8"/>
          </w:tcPr>
          <w:p>
            <w:pPr>
              <w:ind w:left="160"/>
              <w:spacing w:after="0"/>
              <w:rPr>
                <w:sz w:val="20"/>
                <w:szCs w:val="20"/>
                <w:color w:val="auto"/>
              </w:rPr>
            </w:pPr>
            <w:r>
              <w:rPr>
                <w:rFonts w:ascii="Arial" w:cs="Arial" w:eastAsia="Arial" w:hAnsi="Arial"/>
                <w:sz w:val="16"/>
                <w:szCs w:val="16"/>
                <w:b w:val="1"/>
                <w:bCs w:val="1"/>
                <w:color w:val="auto"/>
              </w:rPr>
              <w:t>  $</w:t>
            </w:r>
          </w:p>
        </w:tc>
        <w:tc>
          <w:tcPr>
            <w:tcW w:w="920" w:type="dxa"/>
            <w:vAlign w:val="bottom"/>
            <w:shd w:val="clear" w:color="auto" w:fill="D8D8D8"/>
          </w:tcPr>
          <w:p>
            <w:pPr>
              <w:jc w:val="right"/>
              <w:ind w:right="19"/>
              <w:spacing w:after="0"/>
              <w:rPr>
                <w:sz w:val="20"/>
                <w:szCs w:val="20"/>
                <w:color w:val="auto"/>
              </w:rPr>
            </w:pPr>
            <w:r>
              <w:rPr>
                <w:rFonts w:ascii="Arial" w:cs="Arial" w:eastAsia="Arial" w:hAnsi="Arial"/>
                <w:sz w:val="16"/>
                <w:szCs w:val="16"/>
                <w:b w:val="1"/>
                <w:bCs w:val="1"/>
                <w:color w:val="auto"/>
              </w:rPr>
              <w:t>(301,003)</w:t>
            </w:r>
          </w:p>
        </w:tc>
        <w:tc>
          <w:tcPr>
            <w:tcW w:w="1100" w:type="dxa"/>
            <w:vAlign w:val="bottom"/>
            <w:shd w:val="clear" w:color="auto" w:fill="D8D8D8"/>
          </w:tcPr>
          <w:p>
            <w:pPr>
              <w:jc w:val="right"/>
              <w:ind w:right="39"/>
              <w:spacing w:after="0"/>
              <w:rPr>
                <w:sz w:val="20"/>
                <w:szCs w:val="20"/>
                <w:color w:val="auto"/>
              </w:rPr>
            </w:pPr>
            <w:r>
              <w:rPr>
                <w:rFonts w:ascii="Arial" w:cs="Arial" w:eastAsia="Arial" w:hAnsi="Arial"/>
                <w:sz w:val="16"/>
                <w:szCs w:val="16"/>
                <w:b w:val="1"/>
                <w:bCs w:val="1"/>
                <w:color w:val="auto"/>
              </w:rPr>
              <w:t>$   376,996</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6"/>
                <w:szCs w:val="16"/>
                <w:b w:val="1"/>
                <w:bCs w:val="1"/>
                <w:color w:val="auto"/>
              </w:rPr>
              <w:t>$   173,736</w:t>
            </w:r>
          </w:p>
        </w:tc>
        <w:tc>
          <w:tcPr>
            <w:tcW w:w="116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  (403,305)</w:t>
            </w:r>
          </w:p>
        </w:tc>
        <w:tc>
          <w:tcPr>
            <w:tcW w:w="1040" w:type="dxa"/>
            <w:vAlign w:val="bottom"/>
            <w:shd w:val="clear" w:color="auto" w:fill="D8D8D8"/>
          </w:tcPr>
          <w:p>
            <w:pPr>
              <w:jc w:val="right"/>
              <w:spacing w:after="0"/>
              <w:rPr>
                <w:sz w:val="20"/>
                <w:szCs w:val="20"/>
                <w:color w:val="auto"/>
              </w:rPr>
            </w:pPr>
            <w:r>
              <w:rPr>
                <w:rFonts w:ascii="Arial" w:cs="Arial" w:eastAsia="Arial" w:hAnsi="Arial"/>
                <w:sz w:val="16"/>
                <w:szCs w:val="16"/>
                <w:b w:val="1"/>
                <w:bCs w:val="1"/>
                <w:color w:val="auto"/>
              </w:rPr>
              <w:t>$ 1,339,599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38" w:lineRule="auto"/>
        <w:tabs>
          <w:tab w:leader="none" w:pos="540" w:val="left"/>
        </w:tabs>
        <w:numPr>
          <w:ilvl w:val="0"/>
          <w:numId w:val="83"/>
        </w:numPr>
        <w:rPr>
          <w:rFonts w:ascii="Arial" w:cs="Arial" w:eastAsia="Arial" w:hAnsi="Arial"/>
          <w:sz w:val="20"/>
          <w:szCs w:val="20"/>
          <w:color w:val="auto"/>
          <w:vertAlign w:val="superscript"/>
        </w:rPr>
      </w:pPr>
      <w:r>
        <w:rPr>
          <w:rFonts w:ascii="Arial" w:cs="Arial" w:eastAsia="Arial" w:hAnsi="Arial"/>
          <w:sz w:val="16"/>
          <w:szCs w:val="16"/>
          <w:color w:val="auto"/>
        </w:rPr>
        <w:t>Peer group is the BBRESHOP Index which included an independent third party calculated return for the last 5.5 months of 2025. The total shareholder return shown for both the company and the peer group is calculated on a cumulative basis from January 1, 2021 through the last day of the applicable year shown. The compensation, net income and NAREIT FFO per diluted share shown for the applicable calendar year are calculated over different periods of time. As a result, the total returns shown for any given year are unlikely to correlate to the compensation, net income and NAREIT FFO per diluted share shown for that calendar year.</w:t>
      </w:r>
    </w:p>
    <w:p>
      <w:pPr>
        <w:spacing w:after="0" w:line="3" w:lineRule="exact"/>
        <w:rPr>
          <w:rFonts w:ascii="Arial" w:cs="Arial" w:eastAsia="Arial" w:hAnsi="Arial"/>
          <w:sz w:val="20"/>
          <w:szCs w:val="20"/>
          <w:color w:val="auto"/>
          <w:vertAlign w:val="superscript"/>
        </w:rPr>
      </w:pPr>
    </w:p>
    <w:p>
      <w:pPr>
        <w:jc w:val="both"/>
        <w:ind w:left="540" w:hanging="424"/>
        <w:spacing w:after="0" w:line="239" w:lineRule="auto"/>
        <w:tabs>
          <w:tab w:leader="none" w:pos="540" w:val="left"/>
        </w:tabs>
        <w:numPr>
          <w:ilvl w:val="0"/>
          <w:numId w:val="83"/>
        </w:numPr>
        <w:rPr>
          <w:rFonts w:ascii="Arial" w:cs="Arial" w:eastAsia="Arial" w:hAnsi="Arial"/>
          <w:sz w:val="20"/>
          <w:szCs w:val="20"/>
          <w:color w:val="auto"/>
          <w:vertAlign w:val="superscript"/>
        </w:rPr>
      </w:pPr>
      <w:r>
        <w:rPr>
          <w:rFonts w:ascii="Arial" w:cs="Arial" w:eastAsia="Arial" w:hAnsi="Arial"/>
          <w:sz w:val="16"/>
          <w:szCs w:val="16"/>
          <w:color w:val="auto"/>
        </w:rPr>
        <w:t>The Company has identified NAREIT FFO per diluted share as the most important additional financial metric used to link pay and performance. Our annual bonus program pays out based on our absolute level of NAREIT FFO per diluted share achieved for the year and one-third of our long-term incentive plan pays out based on a metric tied to NAREIT FFO per diluted share. NAREIT FFO per diluted share is a non-GAAP financial measure of a real estate company’s operating performance and is defined by the National Association of Real Estate Investment Trusts. We consider NAREIT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NAREIT FFO per diluted share to net income is included as Appendix 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to Compensation Actually Paid</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the total shareholder return for the Company and for the BBRESHOP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155055" cy="1482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5505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Compensation actually paid is shown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38</w:t>
      </w:r>
    </w:p>
    <w:p>
      <w:pPr>
        <w:sectPr>
          <w:pgSz w:w="11900" w:h="16838" w:orient="portrait"/>
          <w:cols w:equalWidth="0" w:num="1">
            <w:col w:w="11140"/>
          </w:cols>
          <w:pgMar w:left="320" w:top="482"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our GAAP reported net income and our NAREIT 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155055" cy="1482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5505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Net income is shown in ten thousands.</w:t>
      </w:r>
    </w:p>
    <w:p>
      <w:pPr>
        <w:spacing w:after="0" w:line="21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reflects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NAREIT FFO per diluted share because NAREIT FFO per diluted share metric is directly used only for our annual bonus plan which is a relatively modest portion of our NEOs’ total compensation package and is only a component of the calculation that determines only a third of our NEOs’ awards under our long-term incentive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Important Financial Performance Measures for Executive Compensation</w:t>
      </w:r>
    </w:p>
    <w:p>
      <w:pPr>
        <w:spacing w:after="0" w:line="10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Following is a list of the most important financial and non-financial measures used to link executive compensation and company performance.</w:t>
      </w:r>
    </w:p>
    <w:p>
      <w:pPr>
        <w:spacing w:after="0" w:line="18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Relative total shareholder return compared to the BBRESHOP Index</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Relative NAREIT FFO per diluted share multiple premium</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Individual performance including consideration of things such as leasing and occupancy activity, investment activity and advancement of ESG objectives</w:t>
      </w:r>
    </w:p>
    <w:p>
      <w:pPr>
        <w:spacing w:after="0" w:line="15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Please see the Compensation Discussion and Analysis for more information on these measures and how they are taken into account in determining compensation for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297815</wp:posOffset>
            </wp:positionV>
            <wp:extent cx="7003415"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EQUITY COMPENSATION PLAN INFORMATION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on the 2020 Plan, our only active equity compensation plan, as of December 31, 2025.</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Number of securities</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spacing w:after="0"/>
              <w:rPr>
                <w:sz w:val="14"/>
                <w:szCs w:val="14"/>
                <w:color w:val="auto"/>
              </w:rPr>
            </w:pPr>
          </w:p>
        </w:tc>
        <w:tc>
          <w:tcPr>
            <w:tcW w:w="1960" w:type="dxa"/>
            <w:vAlign w:val="bottom"/>
            <w:shd w:val="clear" w:color="auto" w:fill="FF160F"/>
          </w:tcPr>
          <w:p>
            <w:pPr>
              <w:spacing w:after="0"/>
              <w:rPr>
                <w:sz w:val="14"/>
                <w:szCs w:val="14"/>
                <w:color w:val="auto"/>
              </w:rPr>
            </w:pP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to be issued upon</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exercise of</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outstanding options,</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jc w:val="center"/>
              <w:ind w:right="463"/>
              <w:spacing w:after="0"/>
              <w:rPr>
                <w:sz w:val="20"/>
                <w:szCs w:val="20"/>
                <w:color w:val="auto"/>
              </w:rPr>
            </w:pPr>
            <w:r>
              <w:rPr>
                <w:rFonts w:ascii="Arial" w:cs="Arial" w:eastAsia="Arial" w:hAnsi="Arial"/>
                <w:sz w:val="14"/>
                <w:szCs w:val="14"/>
                <w:b w:val="1"/>
                <w:bCs w:val="1"/>
                <w:color w:val="FFFFFF"/>
              </w:rPr>
              <w:t>outstanding</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warrants and rights</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(excluding securities</w:t>
            </w:r>
          </w:p>
        </w:tc>
      </w:tr>
      <w:tr>
        <w:trPr>
          <w:trHeight w:val="171"/>
        </w:trPr>
        <w:tc>
          <w:tcPr>
            <w:tcW w:w="45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Plan Category</w:t>
            </w: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(Column A)</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jc w:val="center"/>
              <w:ind w:right="463"/>
              <w:spacing w:after="0"/>
              <w:rPr>
                <w:sz w:val="20"/>
                <w:szCs w:val="20"/>
                <w:color w:val="auto"/>
              </w:rPr>
            </w:pPr>
            <w:r>
              <w:rPr>
                <w:rFonts w:ascii="Arial" w:cs="Arial" w:eastAsia="Arial" w:hAnsi="Arial"/>
                <w:sz w:val="14"/>
                <w:szCs w:val="14"/>
                <w:b w:val="1"/>
                <w:bCs w:val="1"/>
                <w:color w:val="FFFFFF"/>
              </w:rPr>
              <w:t>and rights</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reflected in Column A)</w:t>
            </w:r>
          </w:p>
        </w:tc>
      </w:tr>
      <w:tr>
        <w:trPr>
          <w:trHeight w:val="175"/>
        </w:trPr>
        <w:tc>
          <w:tcPr>
            <w:tcW w:w="456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Pr>
          <w:p>
            <w:pPr>
              <w:jc w:val="right"/>
              <w:ind w:right="285"/>
              <w:spacing w:after="0" w:line="175" w:lineRule="exact"/>
              <w:rPr>
                <w:sz w:val="20"/>
                <w:szCs w:val="20"/>
                <w:color w:val="auto"/>
              </w:rPr>
            </w:pPr>
            <w:r>
              <w:rPr>
                <w:rFonts w:ascii="Arial" w:cs="Arial" w:eastAsia="Arial" w:hAnsi="Arial"/>
                <w:sz w:val="16"/>
                <w:szCs w:val="16"/>
                <w:color w:val="auto"/>
              </w:rPr>
              <w:t>3,019</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3"/>
              <w:spacing w:after="0" w:line="175" w:lineRule="exact"/>
              <w:rPr>
                <w:sz w:val="20"/>
                <w:szCs w:val="20"/>
                <w:color w:val="auto"/>
              </w:rPr>
            </w:pPr>
            <w:r>
              <w:rPr>
                <w:rFonts w:ascii="Arial" w:cs="Arial" w:eastAsia="Arial" w:hAnsi="Arial"/>
                <w:sz w:val="16"/>
                <w:szCs w:val="16"/>
                <w:color w:val="auto"/>
              </w:rPr>
              <w:t>98.09</w:t>
            </w:r>
          </w:p>
        </w:tc>
        <w:tc>
          <w:tcPr>
            <w:tcW w:w="1960" w:type="dxa"/>
            <w:vAlign w:val="bottom"/>
          </w:tcPr>
          <w:p>
            <w:pPr>
              <w:jc w:val="right"/>
              <w:spacing w:after="0" w:line="175" w:lineRule="exact"/>
              <w:rPr>
                <w:sz w:val="20"/>
                <w:szCs w:val="20"/>
                <w:color w:val="auto"/>
              </w:rPr>
            </w:pPr>
            <w:r>
              <w:rPr>
                <w:rFonts w:ascii="Arial" w:cs="Arial" w:eastAsia="Arial" w:hAnsi="Arial"/>
                <w:sz w:val="16"/>
                <w:szCs w:val="16"/>
                <w:color w:val="auto"/>
              </w:rPr>
              <w:t>1,006,719</w:t>
            </w:r>
          </w:p>
        </w:tc>
      </w:tr>
      <w:tr>
        <w:trPr>
          <w:trHeight w:val="203"/>
        </w:trPr>
        <w:tc>
          <w:tcPr>
            <w:tcW w:w="45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5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560" w:type="dxa"/>
            <w:vAlign w:val="bottom"/>
            <w:shd w:val="clear" w:color="auto" w:fill="D8D8D8"/>
          </w:tcPr>
          <w:p>
            <w:pPr>
              <w:spacing w:after="0" w:line="183" w:lineRule="exact"/>
              <w:rPr>
                <w:sz w:val="20"/>
                <w:szCs w:val="20"/>
                <w:color w:val="auto"/>
              </w:rPr>
            </w:pPr>
            <w:r>
              <w:rPr>
                <w:rFonts w:ascii="Arial" w:cs="Arial" w:eastAsia="Arial" w:hAnsi="Arial"/>
                <w:sz w:val="16"/>
                <w:szCs w:val="16"/>
                <w:b w:val="1"/>
                <w:bCs w:val="1"/>
                <w:color w:val="auto"/>
              </w:rPr>
              <w:t>Total</w:t>
            </w:r>
          </w:p>
        </w:tc>
        <w:tc>
          <w:tcPr>
            <w:tcW w:w="2500" w:type="dxa"/>
            <w:vAlign w:val="bottom"/>
          </w:tcPr>
          <w:p>
            <w:pPr>
              <w:jc w:val="right"/>
              <w:ind w:right="285"/>
              <w:spacing w:after="0" w:line="183" w:lineRule="exact"/>
              <w:rPr>
                <w:sz w:val="20"/>
                <w:szCs w:val="20"/>
                <w:color w:val="auto"/>
              </w:rPr>
            </w:pPr>
            <w:r>
              <w:rPr>
                <w:rFonts w:ascii="Arial" w:cs="Arial" w:eastAsia="Arial" w:hAnsi="Arial"/>
                <w:sz w:val="16"/>
                <w:szCs w:val="16"/>
                <w:b w:val="1"/>
                <w:bCs w:val="1"/>
                <w:color w:val="auto"/>
              </w:rPr>
              <w:t>3,019</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303"/>
              <w:spacing w:after="0" w:line="183" w:lineRule="exact"/>
              <w:rPr>
                <w:sz w:val="20"/>
                <w:szCs w:val="20"/>
                <w:color w:val="auto"/>
              </w:rPr>
            </w:pPr>
            <w:r>
              <w:rPr>
                <w:rFonts w:ascii="Arial" w:cs="Arial" w:eastAsia="Arial" w:hAnsi="Arial"/>
                <w:sz w:val="16"/>
                <w:szCs w:val="16"/>
                <w:b w:val="1"/>
                <w:bCs w:val="1"/>
                <w:color w:val="auto"/>
              </w:rPr>
              <w:t>98.09</w:t>
            </w:r>
          </w:p>
        </w:tc>
        <w:tc>
          <w:tcPr>
            <w:tcW w:w="1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1,006,719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368935</wp:posOffset>
            </wp:positionV>
            <wp:extent cx="699516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line="298" w:lineRule="auto"/>
        <w:rPr>
          <w:sz w:val="20"/>
          <w:szCs w:val="20"/>
          <w:color w:val="auto"/>
        </w:rPr>
      </w:pPr>
      <w:r>
        <w:rPr>
          <w:rFonts w:ascii="Arial" w:cs="Arial" w:eastAsia="Arial" w:hAnsi="Arial"/>
          <w:sz w:val="32"/>
          <w:szCs w:val="32"/>
          <w:b w:val="1"/>
          <w:bCs w:val="1"/>
          <w:color w:val="auto"/>
        </w:rPr>
        <w:t>Proposal 3: Ratification of Independent Registered Public Accounting Firm</w:t>
      </w:r>
    </w:p>
    <w:p>
      <w:pPr>
        <w:spacing w:after="0" w:line="7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2026.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2025 and 2024:</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00" w:type="dxa"/>
            <w:vAlign w:val="bottom"/>
            <w:shd w:val="clear" w:color="auto" w:fill="FF160F"/>
          </w:tcPr>
          <w:p>
            <w:pPr>
              <w:spacing w:after="0"/>
              <w:rPr>
                <w:sz w:val="18"/>
                <w:szCs w:val="18"/>
                <w:color w:val="auto"/>
              </w:rPr>
            </w:pPr>
          </w:p>
        </w:tc>
        <w:tc>
          <w:tcPr>
            <w:tcW w:w="280" w:type="dxa"/>
            <w:vAlign w:val="bottom"/>
            <w:shd w:val="clear" w:color="auto" w:fill="FF160F"/>
          </w:tcPr>
          <w:p>
            <w:pPr>
              <w:spacing w:after="0"/>
              <w:rPr>
                <w:sz w:val="18"/>
                <w:szCs w:val="18"/>
                <w:color w:val="auto"/>
              </w:rPr>
            </w:pPr>
          </w:p>
        </w:tc>
        <w:tc>
          <w:tcPr>
            <w:tcW w:w="9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2025</w:t>
            </w:r>
          </w:p>
        </w:tc>
        <w:tc>
          <w:tcPr>
            <w:tcW w:w="180" w:type="dxa"/>
            <w:vAlign w:val="bottom"/>
            <w:shd w:val="clear" w:color="auto" w:fill="FF160F"/>
          </w:tcPr>
          <w:p>
            <w:pPr>
              <w:spacing w:after="0"/>
              <w:rPr>
                <w:sz w:val="18"/>
                <w:szCs w:val="18"/>
                <w:color w:val="auto"/>
              </w:rPr>
            </w:pPr>
          </w:p>
        </w:tc>
        <w:tc>
          <w:tcPr>
            <w:tcW w:w="9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2024</w:t>
            </w:r>
          </w:p>
        </w:tc>
      </w:tr>
      <w:tr>
        <w:trPr>
          <w:trHeight w:val="184"/>
        </w:trPr>
        <w:tc>
          <w:tcPr>
            <w:tcW w:w="710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Audit Fees</w:t>
            </w:r>
            <w:r>
              <w:rPr>
                <w:rFonts w:ascii="Arial" w:cs="Arial" w:eastAsia="Arial" w:hAnsi="Arial"/>
                <w:sz w:val="21"/>
                <w:szCs w:val="21"/>
                <w:color w:val="auto"/>
                <w:vertAlign w:val="superscript"/>
              </w:rPr>
              <w:t>(1)</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w w:val="99"/>
              </w:rPr>
              <w:t>1,021,650</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948,975</w:t>
            </w:r>
          </w:p>
        </w:tc>
      </w:tr>
      <w:tr>
        <w:trPr>
          <w:trHeight w:val="203"/>
        </w:trPr>
        <w:tc>
          <w:tcPr>
            <w:tcW w:w="710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60,900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83,275</w:t>
            </w:r>
          </w:p>
        </w:tc>
      </w:tr>
      <w:tr>
        <w:trPr>
          <w:trHeight w:val="221"/>
        </w:trPr>
        <w:tc>
          <w:tcPr>
            <w:tcW w:w="71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 </w:t>
            </w:r>
          </w:p>
        </w:tc>
      </w:tr>
      <w:tr>
        <w:trPr>
          <w:trHeight w:val="240"/>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1,082,550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1,032,250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jc w:val="both"/>
        <w:ind w:left="660" w:right="20" w:hanging="436"/>
        <w:spacing w:after="0" w:line="217"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securities offerings.</w:t>
      </w:r>
    </w:p>
    <w:p>
      <w:pPr>
        <w:ind w:left="660" w:hanging="436"/>
        <w:spacing w:after="0" w:line="202" w:lineRule="auto"/>
        <w:tabs>
          <w:tab w:leader="none" w:pos="660" w:val="left"/>
        </w:tabs>
        <w:numPr>
          <w:ilvl w:val="0"/>
          <w:numId w:val="87"/>
        </w:numPr>
        <w:rPr>
          <w:rFonts w:ascii="Arial" w:cs="Arial" w:eastAsia="Arial" w:hAnsi="Arial"/>
          <w:sz w:val="24"/>
          <w:szCs w:val="24"/>
          <w:color w:val="auto"/>
          <w:vertAlign w:val="superscript"/>
        </w:rPr>
      </w:pPr>
      <w:r>
        <w:rPr>
          <w:rFonts w:ascii="Arial" w:cs="Arial" w:eastAsia="Arial" w:hAnsi="Arial"/>
          <w:sz w:val="16"/>
          <w:szCs w:val="16"/>
          <w:color w:val="auto"/>
        </w:rPr>
        <w:t>Audit-related fees primarily include the audit of our employee benefit plan, which are paid by the plan and not the Company, and certain property level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6261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3415" cy="626110"/>
                    </a:xfrm>
                    <a:prstGeom prst="rect">
                      <a:avLst/>
                    </a:prstGeom>
                    <a:noFill/>
                  </pic:spPr>
                </pic:pic>
              </a:graphicData>
            </a:graphic>
          </wp:anchor>
        </w:drawing>
      </w:r>
    </w:p>
    <w:p>
      <w:pPr>
        <w:spacing w:after="0" w:line="357" w:lineRule="exact"/>
        <w:rPr>
          <w:sz w:val="20"/>
          <w:szCs w:val="20"/>
          <w:color w:val="auto"/>
        </w:rPr>
      </w:pPr>
    </w:p>
    <w:p>
      <w:pPr>
        <w:ind w:left="1200" w:right="140" w:hanging="927"/>
        <w:spacing w:after="0" w:line="182" w:lineRule="auto"/>
        <w:tabs>
          <w:tab w:leader="none" w:pos="1200" w:val="left"/>
        </w:tabs>
        <w:numPr>
          <w:ilvl w:val="1"/>
          <w:numId w:val="88"/>
        </w:numPr>
        <w:rPr>
          <w:rFonts w:ascii="Arial" w:cs="Arial" w:eastAsia="Arial" w:hAnsi="Arial"/>
          <w:sz w:val="48"/>
          <w:szCs w:val="48"/>
          <w:color w:val="auto"/>
          <w:vertAlign w:val="superscript"/>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the ratification of the appointment of GT as our independent registered public accounting firm for fiscal year 2026</w:t>
      </w:r>
    </w:p>
    <w:p>
      <w:pPr>
        <w:spacing w:after="0" w:line="200" w:lineRule="exact"/>
        <w:rPr>
          <w:rFonts w:ascii="Arial" w:cs="Arial" w:eastAsia="Arial" w:hAnsi="Arial"/>
          <w:sz w:val="48"/>
          <w:szCs w:val="48"/>
          <w:color w:val="auto"/>
          <w:vertAlign w:val="superscript"/>
        </w:rPr>
      </w:pPr>
    </w:p>
    <w:p>
      <w:pPr>
        <w:spacing w:after="0" w:line="203" w:lineRule="exact"/>
        <w:rPr>
          <w:rFonts w:ascii="Arial" w:cs="Arial" w:eastAsia="Arial" w:hAnsi="Arial"/>
          <w:sz w:val="48"/>
          <w:szCs w:val="48"/>
          <w:color w:val="auto"/>
          <w:vertAlign w:val="superscript"/>
        </w:rPr>
      </w:pPr>
    </w:p>
    <w:p>
      <w:pPr>
        <w:ind w:left="540" w:hanging="424"/>
        <w:spacing w:after="0"/>
        <w:tabs>
          <w:tab w:leader="none" w:pos="540" w:val="left"/>
        </w:tabs>
        <w:numPr>
          <w:ilvl w:val="0"/>
          <w:numId w:val="88"/>
        </w:numPr>
        <w:rPr>
          <w:rFonts w:ascii="MS PGothic" w:cs="MS PGothic" w:eastAsia="MS PGothic" w:hAnsi="MS PGothic"/>
          <w:sz w:val="18"/>
          <w:szCs w:val="18"/>
          <w:color w:val="FF160F"/>
        </w:rPr>
      </w:pPr>
      <w:r>
        <w:rPr>
          <w:rFonts w:ascii="Arial" w:cs="Arial" w:eastAsia="Arial" w:hAnsi="Arial"/>
          <w:sz w:val="18"/>
          <w:szCs w:val="18"/>
          <w:b w:val="1"/>
          <w:bCs w:val="1"/>
          <w:color w:val="auto"/>
        </w:rPr>
        <w:t>AUDIT COMMITTEE REPORT</w:t>
      </w:r>
    </w:p>
    <w:p>
      <w:pPr>
        <w:spacing w:after="0" w:line="119"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6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In 2025, the Audit Committee met four times and each meeting included an executive session with our independent registered public accounting firm and no members of management present.</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2025 and one meeting included an executive session with PwC with no members of GT or management present. GT is responsible for auditing the consolidated financial statements of the Company and expressing an opinion on the financial statements and the effectiveness of internal controls over financial reporting.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part of its oversight function, the Audit Committee:</w:t>
      </w:r>
    </w:p>
    <w:p>
      <w:pPr>
        <w:spacing w:after="0" w:line="239" w:lineRule="exact"/>
        <w:rPr>
          <w:sz w:val="20"/>
          <w:szCs w:val="20"/>
          <w:color w:val="auto"/>
        </w:rPr>
      </w:pPr>
    </w:p>
    <w:p>
      <w:pPr>
        <w:ind w:left="1420" w:right="20" w:hanging="427"/>
        <w:spacing w:after="0" w:line="271"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Met with management and GT and reviewed and discussed the Company’s December 31, 2025 audited financial statements;</w:t>
      </w:r>
    </w:p>
    <w:p>
      <w:pPr>
        <w:spacing w:after="0" w:line="180" w:lineRule="exact"/>
        <w:rPr>
          <w:rFonts w:ascii="Arial" w:cs="Arial" w:eastAsia="Arial" w:hAnsi="Arial"/>
          <w:sz w:val="18"/>
          <w:szCs w:val="18"/>
          <w:color w:val="auto"/>
        </w:rPr>
      </w:pPr>
    </w:p>
    <w:p>
      <w:pPr>
        <w:ind w:left="1420" w:hanging="427"/>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Worked with GT to oversee the audit of the Company’s financial statements beginning with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420" w:right="20" w:hanging="427"/>
        <w:spacing w:after="0" w:line="271"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Discussed with GT the matters required to be discussed by the applicable requirements of the Public Company Accounting Oversight Board (“PCAOB”) and the SEC;</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GT required by applicable requirements of the PCAOB regarding GT’s communications with the audit committee concerning independence, and has discussed with GT its independence;</w:t>
      </w:r>
    </w:p>
    <w:p>
      <w:pPr>
        <w:spacing w:after="0" w:line="59"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59"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 and</w:t>
      </w:r>
    </w:p>
    <w:p>
      <w:pPr>
        <w:spacing w:after="0" w:line="59" w:lineRule="exact"/>
        <w:rPr>
          <w:rFonts w:ascii="Arial" w:cs="Arial" w:eastAsia="Arial" w:hAnsi="Arial"/>
          <w:sz w:val="18"/>
          <w:szCs w:val="18"/>
          <w:color w:val="auto"/>
        </w:rPr>
      </w:pPr>
    </w:p>
    <w:p>
      <w:pPr>
        <w:jc w:val="both"/>
        <w:ind w:left="1420" w:right="20" w:hanging="427"/>
        <w:spacing w:after="0" w:line="253"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Discussed with management cybersecurity various cybersecurity matters including use of artificial intelligence (“AI”) and the company’s AI policy. The Committee was advised that there were no known material cybersecurity incidents, including third-party incidents, during 2025 and that cybersecurity insurance had been procured.</w:t>
      </w:r>
    </w:p>
    <w:p>
      <w:pPr>
        <w:spacing w:after="0" w:line="16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2025 for filing with the SEC.</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ind w:left="120"/>
        <w:spacing w:after="0" w:line="234" w:lineRule="auto"/>
        <w:rPr>
          <w:sz w:val="20"/>
          <w:szCs w:val="20"/>
          <w:color w:val="auto"/>
        </w:rPr>
      </w:pPr>
      <w:r>
        <w:rPr>
          <w:rFonts w:ascii="Arial" w:cs="Arial" w:eastAsia="Arial" w:hAnsi="Arial"/>
          <w:sz w:val="18"/>
          <w:szCs w:val="18"/>
          <w:color w:val="auto"/>
        </w:rPr>
        <w:t>Jospeh D. Fisher (joined the Audit Committee on January 1, 2026)</w:t>
      </w:r>
    </w:p>
    <w:p>
      <w:pPr>
        <w:ind w:left="120"/>
        <w:spacing w:after="0" w:line="235"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Beneficial Ownership</w:t>
      </w:r>
    </w:p>
    <w:p>
      <w:pPr>
        <w:spacing w:after="0" w:line="103" w:lineRule="exact"/>
        <w:rPr>
          <w:sz w:val="20"/>
          <w:szCs w:val="20"/>
          <w:color w:val="auto"/>
        </w:rPr>
      </w:pPr>
    </w:p>
    <w:p>
      <w:pPr>
        <w:ind w:left="120"/>
        <w:spacing w:after="0" w:line="207" w:lineRule="exact"/>
        <w:tabs>
          <w:tab w:leader="none" w:pos="520" w:val="left"/>
        </w:tabs>
        <w:rPr>
          <w:sz w:val="20"/>
          <w:szCs w:val="20"/>
          <w:color w:val="auto"/>
        </w:rPr>
      </w:pPr>
      <w:r>
        <w:rPr>
          <w:rFonts w:ascii="MS PGothic" w:cs="MS PGothic" w:eastAsia="MS PGothic" w:hAnsi="MS PGothic"/>
          <w:sz w:val="18"/>
          <w:szCs w:val="18"/>
          <w:color w:val="FF160F"/>
        </w:rPr>
        <w:t>➣</w:t>
      </w:r>
      <w:r>
        <w:rPr>
          <w:sz w:val="20"/>
          <w:szCs w:val="20"/>
          <w:color w:val="auto"/>
        </w:rPr>
        <w:tab/>
      </w:r>
      <w:r>
        <w:rPr>
          <w:rFonts w:ascii="Arial" w:cs="Arial" w:eastAsia="Arial" w:hAnsi="Arial"/>
          <w:sz w:val="17"/>
          <w:szCs w:val="17"/>
          <w:b w:val="1"/>
          <w:bCs w:val="1"/>
          <w:color w:val="auto"/>
        </w:rPr>
        <w:t>OWNERSHIP OF PRINCIPAL SHAREHOLDERS</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900" w:type="dxa"/>
            <w:vAlign w:val="bottom"/>
            <w:shd w:val="clear" w:color="auto" w:fill="FF160F"/>
          </w:tcPr>
          <w:p>
            <w:pPr>
              <w:spacing w:after="0"/>
              <w:rPr>
                <w:sz w:val="18"/>
                <w:szCs w:val="18"/>
                <w:color w:val="auto"/>
              </w:rPr>
            </w:pPr>
          </w:p>
        </w:tc>
        <w:tc>
          <w:tcPr>
            <w:tcW w:w="330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Amount and Nature of</w:t>
            </w:r>
          </w:p>
        </w:tc>
        <w:tc>
          <w:tcPr>
            <w:tcW w:w="2820" w:type="dxa"/>
            <w:vAlign w:val="bottom"/>
            <w:shd w:val="clear" w:color="auto" w:fill="FF160F"/>
          </w:tcPr>
          <w:p>
            <w:pPr>
              <w:jc w:val="right"/>
              <w:ind w:right="730"/>
              <w:spacing w:after="0"/>
              <w:rPr>
                <w:sz w:val="20"/>
                <w:szCs w:val="20"/>
                <w:color w:val="auto"/>
              </w:rPr>
            </w:pPr>
            <w:r>
              <w:rPr>
                <w:rFonts w:ascii="Arial" w:cs="Arial" w:eastAsia="Arial" w:hAnsi="Arial"/>
                <w:sz w:val="18"/>
                <w:szCs w:val="18"/>
                <w:b w:val="1"/>
                <w:bCs w:val="1"/>
                <w:color w:val="FFFFFF"/>
              </w:rPr>
              <w:t>Percentage of Our</w:t>
            </w:r>
          </w:p>
        </w:tc>
      </w:tr>
      <w:tr>
        <w:trPr>
          <w:trHeight w:val="221"/>
        </w:trPr>
        <w:tc>
          <w:tcPr>
            <w:tcW w:w="490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3300" w:type="dxa"/>
            <w:vAlign w:val="bottom"/>
            <w:shd w:val="clear" w:color="auto" w:fill="FF160F"/>
          </w:tcPr>
          <w:p>
            <w:pPr>
              <w:jc w:val="right"/>
              <w:ind w:right="250"/>
              <w:spacing w:after="0"/>
              <w:rPr>
                <w:sz w:val="20"/>
                <w:szCs w:val="20"/>
                <w:color w:val="auto"/>
              </w:rPr>
            </w:pPr>
            <w:r>
              <w:rPr>
                <w:rFonts w:ascii="Arial" w:cs="Arial" w:eastAsia="Arial" w:hAnsi="Arial"/>
                <w:sz w:val="18"/>
                <w:szCs w:val="18"/>
                <w:b w:val="1"/>
                <w:bCs w:val="1"/>
                <w:color w:val="FFFFFF"/>
              </w:rPr>
              <w:t>Beneficial Ownership</w:t>
            </w:r>
          </w:p>
        </w:tc>
        <w:tc>
          <w:tcPr>
            <w:tcW w:w="2820" w:type="dxa"/>
            <w:vAlign w:val="bottom"/>
            <w:shd w:val="clear" w:color="auto" w:fill="FF160F"/>
          </w:tcPr>
          <w:p>
            <w:pPr>
              <w:jc w:val="right"/>
              <w:ind w:right="570"/>
              <w:spacing w:after="0" w:line="221" w:lineRule="exact"/>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25"/>
                <w:szCs w:val="25"/>
                <w:b w:val="1"/>
                <w:bCs w:val="1"/>
                <w:color w:val="FFFFFF"/>
                <w:vertAlign w:val="superscript"/>
              </w:rPr>
              <w:t>(1)</w:t>
            </w:r>
          </w:p>
        </w:tc>
      </w:tr>
      <w:tr>
        <w:trPr>
          <w:trHeight w:val="184"/>
        </w:trPr>
        <w:tc>
          <w:tcPr>
            <w:tcW w:w="490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1"/>
                <w:szCs w:val="21"/>
                <w:color w:val="auto"/>
                <w:vertAlign w:val="superscript"/>
              </w:rPr>
              <w:t>.(2)</w:t>
            </w:r>
          </w:p>
        </w:tc>
        <w:tc>
          <w:tcPr>
            <w:tcW w:w="330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12,537,358</w:t>
            </w:r>
          </w:p>
        </w:tc>
        <w:tc>
          <w:tcPr>
            <w:tcW w:w="2820" w:type="dxa"/>
            <w:vAlign w:val="bottom"/>
          </w:tcPr>
          <w:p>
            <w:pPr>
              <w:jc w:val="right"/>
              <w:ind w:right="410"/>
              <w:spacing w:after="0" w:line="183" w:lineRule="exact"/>
              <w:rPr>
                <w:sz w:val="20"/>
                <w:szCs w:val="20"/>
                <w:color w:val="auto"/>
              </w:rPr>
            </w:pPr>
            <w:r>
              <w:rPr>
                <w:rFonts w:ascii="Arial" w:cs="Arial" w:eastAsia="Arial" w:hAnsi="Arial"/>
                <w:sz w:val="18"/>
                <w:szCs w:val="18"/>
                <w:color w:val="auto"/>
              </w:rPr>
              <w:t>14.5%</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100 Vanguard Blvd.</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Malvern, PA 19355</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(3)</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7,614,616</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8.8%</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10055</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Norges Bank (The Central Bank of Norway)</w:t>
            </w:r>
            <w:r>
              <w:rPr>
                <w:rFonts w:ascii="Arial" w:cs="Arial" w:eastAsia="Arial" w:hAnsi="Arial"/>
                <w:sz w:val="20"/>
                <w:szCs w:val="20"/>
                <w:color w:val="auto"/>
                <w:vertAlign w:val="superscript"/>
              </w:rPr>
              <w:t>(4)</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7,213,760</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8.4%</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Bankplassen 2, PO Box 1179 Sentrum</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NO 0107 Oslo Norway</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0"/>
                <w:szCs w:val="20"/>
                <w:color w:val="auto"/>
                <w:vertAlign w:val="superscript"/>
              </w:rPr>
              <w:t>(5)</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6,113,255</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7.1%</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One Congress Street, Suite 1</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Boston, MA 02114</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JP Morgan Chase &amp; Co.</w:t>
            </w:r>
            <w:r>
              <w:rPr>
                <w:rFonts w:ascii="Arial" w:cs="Arial" w:eastAsia="Arial" w:hAnsi="Arial"/>
                <w:sz w:val="20"/>
                <w:szCs w:val="20"/>
                <w:color w:val="auto"/>
                <w:vertAlign w:val="superscript"/>
              </w:rPr>
              <w:t>(6)</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4,530,657</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5.2%</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383 Madison Avenue</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10179</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20" w:hanging="436"/>
        <w:spacing w:after="0" w:line="205"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is calculated by taking the number of shares stated in the Schedule 13G or 13G/A, as applicable, filed with the SEC divided by 86,388,213, the total number of shares outstanding on March 16, 2026.</w:t>
      </w:r>
    </w:p>
    <w:p>
      <w:pPr>
        <w:spacing w:after="0" w:line="1" w:lineRule="exact"/>
        <w:rPr>
          <w:rFonts w:ascii="Arial" w:cs="Arial" w:eastAsia="Arial" w:hAnsi="Arial"/>
          <w:sz w:val="24"/>
          <w:szCs w:val="24"/>
          <w:color w:val="auto"/>
          <w:vertAlign w:val="superscript"/>
        </w:rPr>
      </w:pPr>
    </w:p>
    <w:p>
      <w:pPr>
        <w:jc w:val="both"/>
        <w:ind w:left="660" w:right="20" w:hanging="436"/>
        <w:spacing w:after="0" w:line="219"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February 13, 2024 by The Vanguard Group which states that The Vanguard Group, an investment advisor, has shared voting power over 145,649 shares, sole dispositive power over 12,144,222 shares and shared dispositive power over 393,136 shares. The Schedule 13G/A contained information as of December 31, 2023 and may not reflect The Vanguard Group’s current holdings of our shares.</w:t>
      </w:r>
    </w:p>
    <w:p>
      <w:pPr>
        <w:jc w:val="both"/>
        <w:ind w:left="660" w:right="20" w:hanging="436"/>
        <w:spacing w:after="0" w:line="21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April 24, 2025 by BlackRock, Inc., which states that BlackRock, Inc., a parent holding company, has sole voting power over 7,073,222 shares and sole dispositive power over 7,614,616 shares. The Schedule 13G/A contained information as of March 31, 2025 and may not reflect BlackRock, Inc.’s current holdings of our shares.</w:t>
      </w:r>
    </w:p>
    <w:p>
      <w:pPr>
        <w:jc w:val="both"/>
        <w:ind w:left="660" w:right="20" w:hanging="436"/>
        <w:spacing w:after="0" w:line="21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February 13, 2024 by Norges Bank (The Central Bank of Norway) which states that Norges Bank (The Central Bank of Norway) has sole voting power and sole dispositive power over 7,213,760 shares. The Schedule 13G/A contained information as of December 31, 2023 and may not reflect Norges Bank’s current holdings of our shares.</w:t>
      </w:r>
    </w:p>
    <w:p>
      <w:pPr>
        <w:jc w:val="both"/>
        <w:ind w:left="660" w:hanging="436"/>
        <w:spacing w:after="0" w:line="219"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October 16, 2024 by State Street Corporation, which states that State Street Corporation, a parent holding company, has shared voting power over 4,381,569 shares and shared dispositive power over 6,112,938 shares. The Schedule 13G/A contained information as of September 30, 2024 and may not reflect State Street Corporation’s current holdings of our shares.</w:t>
      </w:r>
    </w:p>
    <w:p>
      <w:pPr>
        <w:jc w:val="both"/>
        <w:ind w:left="660" w:right="20" w:hanging="436"/>
        <w:spacing w:after="0" w:line="22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 filed with the SEC on October 9, 2024 by JP Morgan Chase &amp; Co., which states that JP Morgan Chase &amp; Co., a parent holding company, has sole voting power over 1,298,488, shared voting power over 1,389,113 shares, sole dispositive power over 3,138,895 and shared dispositive power over 1,389,708 shares. The Schedule 13G contained information as of September 30, 2024 and may not reflect JP Morgan Chase &amp; Co.’s current holdings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0341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2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92"/>
        </w:numPr>
        <w:rPr>
          <w:rFonts w:ascii="MS PGothic" w:cs="MS PGothic" w:eastAsia="MS PGothic" w:hAnsi="MS PGothic"/>
          <w:sz w:val="18"/>
          <w:szCs w:val="18"/>
          <w:color w:val="FF160F"/>
        </w:rPr>
      </w:pPr>
      <w:r>
        <w:rPr>
          <w:rFonts w:ascii="Arial" w:cs="Arial" w:eastAsia="Arial" w:hAnsi="Arial"/>
          <w:sz w:val="18"/>
          <w:szCs w:val="18"/>
          <w:b w:val="1"/>
          <w:bCs w:val="1"/>
          <w:color w:val="auto"/>
        </w:rPr>
        <w:t>OWNERSHIP OF TRUSTEES AND EXECUTIVE OFFICERS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reflects beneficial ownership of our Trustees and NEOs as of March 16, 2026 determined in accordance with Rule 13d-3 of the Securities Exchange Act of 1934, as amended. Unless noted in the footnotes following the table, each Trustee and NEO has sole voting and investment power as to all shares listed.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spacing w:after="0"/>
              <w:rPr>
                <w:sz w:val="17"/>
                <w:szCs w:val="17"/>
                <w:color w:val="auto"/>
              </w:rPr>
            </w:pPr>
          </w:p>
        </w:tc>
        <w:tc>
          <w:tcPr>
            <w:tcW w:w="1440" w:type="dxa"/>
            <w:vAlign w:val="bottom"/>
            <w:shd w:val="clear" w:color="auto" w:fill="FF160F"/>
          </w:tcPr>
          <w:p>
            <w:pPr>
              <w:spacing w:after="0"/>
              <w:rPr>
                <w:sz w:val="17"/>
                <w:szCs w:val="17"/>
                <w:color w:val="auto"/>
              </w:rPr>
            </w:pPr>
          </w:p>
        </w:tc>
        <w:tc>
          <w:tcPr>
            <w:tcW w:w="162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Unvested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Total Shares</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Restricted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Beneficially</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21"/>
        </w:trPr>
        <w:tc>
          <w:tcPr>
            <w:tcW w:w="5060" w:type="dxa"/>
            <w:vAlign w:val="bottom"/>
            <w:shd w:val="clear" w:color="auto" w:fill="FF160F"/>
          </w:tcPr>
          <w:p>
            <w:pPr>
              <w:spacing w:after="0" w:line="221" w:lineRule="exact"/>
              <w:rPr>
                <w:sz w:val="20"/>
                <w:szCs w:val="20"/>
                <w:color w:val="auto"/>
              </w:rPr>
            </w:pPr>
            <w:r>
              <w:rPr>
                <w:rFonts w:ascii="Arial" w:cs="Arial" w:eastAsia="Arial" w:hAnsi="Arial"/>
                <w:sz w:val="17"/>
                <w:szCs w:val="17"/>
                <w:b w:val="1"/>
                <w:bCs w:val="1"/>
                <w:color w:val="FFFFFF"/>
              </w:rPr>
              <w:t>Name and Address of Beneficial Owner</w:t>
            </w:r>
            <w:r>
              <w:rPr>
                <w:rFonts w:ascii="Arial" w:cs="Arial" w:eastAsia="Arial" w:hAnsi="Arial"/>
                <w:sz w:val="25"/>
                <w:szCs w:val="25"/>
                <w:b w:val="1"/>
                <w:bCs w:val="1"/>
                <w:color w:val="FFFFFF"/>
                <w:vertAlign w:val="superscript"/>
              </w:rPr>
              <w:t>(1)</w:t>
            </w:r>
          </w:p>
        </w:tc>
        <w:tc>
          <w:tcPr>
            <w:tcW w:w="460" w:type="dxa"/>
            <w:vAlign w:val="bottom"/>
            <w:shd w:val="clear" w:color="auto" w:fill="FF160F"/>
          </w:tcPr>
          <w:p>
            <w:pPr>
              <w:spacing w:after="0"/>
              <w:rPr>
                <w:sz w:val="19"/>
                <w:szCs w:val="19"/>
                <w:color w:val="auto"/>
              </w:rPr>
            </w:pPr>
          </w:p>
        </w:tc>
        <w:tc>
          <w:tcPr>
            <w:tcW w:w="116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Common</w:t>
            </w:r>
          </w:p>
        </w:tc>
        <w:tc>
          <w:tcPr>
            <w:tcW w:w="128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44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Owned</w:t>
            </w:r>
          </w:p>
        </w:tc>
        <w:tc>
          <w:tcPr>
            <w:tcW w:w="1620" w:type="dxa"/>
            <w:vAlign w:val="bottom"/>
            <w:shd w:val="clear" w:color="auto" w:fill="FF160F"/>
          </w:tcPr>
          <w:p>
            <w:pPr>
              <w:jc w:val="center"/>
              <w:spacing w:after="0" w:line="221" w:lineRule="exact"/>
              <w:rPr>
                <w:sz w:val="20"/>
                <w:szCs w:val="20"/>
                <w:color w:val="auto"/>
              </w:rPr>
            </w:pPr>
            <w:r>
              <w:rPr>
                <w:rFonts w:ascii="Arial" w:cs="Arial" w:eastAsia="Arial" w:hAnsi="Arial"/>
                <w:sz w:val="17"/>
                <w:szCs w:val="17"/>
                <w:b w:val="1"/>
                <w:bCs w:val="1"/>
                <w:color w:val="FFFFFF"/>
                <w:w w:val="98"/>
              </w:rPr>
              <w:t>Owned</w:t>
            </w:r>
            <w:r>
              <w:rPr>
                <w:rFonts w:ascii="Arial" w:cs="Arial" w:eastAsia="Arial" w:hAnsi="Arial"/>
                <w:sz w:val="25"/>
                <w:szCs w:val="25"/>
                <w:b w:val="1"/>
                <w:bCs w:val="1"/>
                <w:color w:val="FFFFFF"/>
                <w:w w:val="98"/>
                <w:vertAlign w:val="superscript"/>
              </w:rPr>
              <w:t>(2)</w:t>
            </w:r>
          </w:p>
        </w:tc>
        <w:tc>
          <w:tcPr>
            <w:tcW w:w="0" w:type="dxa"/>
            <w:vAlign w:val="bottom"/>
          </w:tcPr>
          <w:p>
            <w:pPr>
              <w:spacing w:after="0"/>
              <w:rPr>
                <w:sz w:val="1"/>
                <w:szCs w:val="1"/>
                <w:color w:val="auto"/>
              </w:rPr>
            </w:pPr>
          </w:p>
        </w:tc>
      </w:tr>
      <w:tr>
        <w:trPr>
          <w:trHeight w:val="184"/>
        </w:trPr>
        <w:tc>
          <w:tcPr>
            <w:tcW w:w="506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Dawn M. Becker</w:t>
            </w:r>
          </w:p>
        </w:tc>
        <w:tc>
          <w:tcPr>
            <w:tcW w:w="16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172,456</w:t>
            </w:r>
          </w:p>
        </w:tc>
        <w:tc>
          <w:tcPr>
            <w:tcW w:w="12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24,162</w:t>
            </w:r>
          </w:p>
        </w:tc>
        <w:tc>
          <w:tcPr>
            <w:tcW w:w="14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196,618</w:t>
            </w:r>
          </w:p>
        </w:tc>
        <w:tc>
          <w:tcPr>
            <w:tcW w:w="162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David W. Faeder</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27,537</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27,537</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Joseph D. Fisher</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0</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Daniel Guglielmone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47,090</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33,776</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80,866</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Elizabeth I. Holland</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9,727</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9,727</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Nicole Y. Lamb-Hale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6,113</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6,113</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Thomas A. McEachin</w:t>
            </w:r>
            <w:r>
              <w:rPr>
                <w:rFonts w:ascii="Arial" w:cs="Arial" w:eastAsia="Arial" w:hAnsi="Arial"/>
                <w:sz w:val="23"/>
                <w:szCs w:val="23"/>
                <w:color w:val="auto"/>
                <w:vertAlign w:val="superscript"/>
              </w:rPr>
              <w:t>(3)</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3,874</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3,874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Anthony P. Nader, III</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6,113</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6,113</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Gail P. Steinel</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18,017</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18,017</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D8D8D8"/>
            </w:tcBorders>
            <w:shd w:val="clear" w:color="auto" w:fill="D8D8D8"/>
          </w:tcPr>
          <w:p>
            <w:pPr>
              <w:spacing w:after="0" w:line="202" w:lineRule="exact"/>
              <w:rPr>
                <w:sz w:val="20"/>
                <w:szCs w:val="20"/>
                <w:color w:val="auto"/>
              </w:rPr>
            </w:pPr>
            <w:r>
              <w:rPr>
                <w:rFonts w:ascii="Arial" w:cs="Arial" w:eastAsia="Arial" w:hAnsi="Arial"/>
                <w:sz w:val="16"/>
                <w:szCs w:val="16"/>
                <w:color w:val="auto"/>
              </w:rPr>
              <w:t>Donald C. Wood</w:t>
            </w:r>
            <w:r>
              <w:rPr>
                <w:rFonts w:ascii="Arial" w:cs="Arial" w:eastAsia="Arial" w:hAnsi="Arial"/>
                <w:sz w:val="23"/>
                <w:szCs w:val="23"/>
                <w:color w:val="auto"/>
                <w:vertAlign w:val="superscript"/>
              </w:rPr>
              <w:t>(4)</w:t>
            </w:r>
          </w:p>
        </w:tc>
        <w:tc>
          <w:tcPr>
            <w:tcW w:w="46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450,679</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132,042</w:t>
            </w:r>
          </w:p>
        </w:tc>
        <w:tc>
          <w:tcPr>
            <w:tcW w:w="1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582,721</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060" w:type="dxa"/>
            <w:vAlign w:val="bottom"/>
            <w:shd w:val="clear" w:color="auto" w:fill="D8D8D8"/>
          </w:tcPr>
          <w:p>
            <w:pPr>
              <w:spacing w:after="0" w:line="170" w:lineRule="exact"/>
              <w:rPr>
                <w:sz w:val="20"/>
                <w:szCs w:val="20"/>
                <w:color w:val="auto"/>
              </w:rPr>
            </w:pPr>
            <w:r>
              <w:rPr>
                <w:rFonts w:ascii="Arial" w:cs="Arial" w:eastAsia="Arial" w:hAnsi="Arial"/>
                <w:sz w:val="18"/>
                <w:szCs w:val="18"/>
                <w:color w:val="auto"/>
              </w:rPr>
              <w:t>Trustees, trustee nominees and executive officers as a group</w:t>
            </w:r>
          </w:p>
        </w:tc>
        <w:tc>
          <w:tcPr>
            <w:tcW w:w="162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741,606</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189,980</w:t>
            </w: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931,586</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52"/>
        </w:trPr>
        <w:tc>
          <w:tcPr>
            <w:tcW w:w="5060" w:type="dxa"/>
            <w:vAlign w:val="bottom"/>
            <w:vMerge w:val="restart"/>
            <w:shd w:val="clear" w:color="auto" w:fill="D8D8D8"/>
          </w:tcPr>
          <w:p>
            <w:pPr>
              <w:spacing w:after="0"/>
              <w:rPr>
                <w:sz w:val="20"/>
                <w:szCs w:val="20"/>
                <w:color w:val="auto"/>
              </w:rPr>
            </w:pPr>
            <w:r>
              <w:rPr>
                <w:rFonts w:ascii="Arial" w:cs="Arial" w:eastAsia="Arial" w:hAnsi="Arial"/>
                <w:sz w:val="18"/>
                <w:szCs w:val="18"/>
                <w:color w:val="auto"/>
              </w:rPr>
              <w:t>(10 individuals)</w:t>
            </w:r>
          </w:p>
        </w:tc>
        <w:tc>
          <w:tcPr>
            <w:tcW w:w="162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060" w:type="dxa"/>
            <w:vAlign w:val="bottom"/>
            <w:vMerge w:val="continue"/>
            <w:shd w:val="clear" w:color="auto" w:fill="D8D8D8"/>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5" w:lineRule="exact"/>
        <w:rPr>
          <w:sz w:val="20"/>
          <w:szCs w:val="20"/>
          <w:color w:val="auto"/>
        </w:rPr>
      </w:pPr>
    </w:p>
    <w:p>
      <w:pPr>
        <w:ind w:left="660" w:hanging="436"/>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Less than 1%</w:t>
      </w:r>
    </w:p>
    <w:p>
      <w:pPr>
        <w:ind w:left="660" w:hanging="436"/>
        <w:spacing w:after="0" w:line="182"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The address for each of the named individuals is 909 Rose Avenue, Suite 200, North Bethesda, Maryland 20852.</w:t>
      </w:r>
    </w:p>
    <w:p>
      <w:pPr>
        <w:ind w:left="660" w:right="20" w:hanging="436"/>
        <w:spacing w:after="0" w:line="197"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owned is calculated by taking the number of shares reflected in the column titled “Total Shares Beneficially Owned” divided by 86,388,213, the total number of shares outstanding on March 16, 2026.</w:t>
      </w:r>
    </w:p>
    <w:p>
      <w:pPr>
        <w:ind w:left="660" w:hanging="436"/>
        <w:spacing w:after="0" w:line="187" w:lineRule="auto"/>
        <w:tabs>
          <w:tab w:leader="none" w:pos="660" w:val="left"/>
        </w:tabs>
        <w:numPr>
          <w:ilvl w:val="0"/>
          <w:numId w:val="94"/>
        </w:numPr>
        <w:rPr>
          <w:rFonts w:ascii="Arial" w:cs="Arial" w:eastAsia="Arial" w:hAnsi="Arial"/>
          <w:sz w:val="21"/>
          <w:szCs w:val="21"/>
          <w:color w:val="auto"/>
          <w:vertAlign w:val="superscript"/>
        </w:rPr>
      </w:pPr>
      <w:r>
        <w:rPr>
          <w:rFonts w:ascii="Arial" w:cs="Arial" w:eastAsia="Arial" w:hAnsi="Arial"/>
          <w:sz w:val="14"/>
          <w:szCs w:val="14"/>
          <w:color w:val="auto"/>
        </w:rPr>
        <w:t>Includes 2,535 shares owned by Thomas A. McEachin Living Trust in which Mr. McEachin and his wife are sole trustees and beneficiaries.</w:t>
      </w:r>
    </w:p>
    <w:p>
      <w:pPr>
        <w:ind w:left="660" w:right="20" w:hanging="436"/>
        <w:spacing w:after="0" w:line="202"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Includes 113,879 shares owned by Stacey Wood Revocable Trust, 253,262 shares owned by Donald C. Wood Revocable Trust and 46,500 shares owned by Wood Descendants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 Information about the Annual Meeting</w:t>
      </w:r>
    </w:p>
    <w:p>
      <w:pPr>
        <w:spacing w:after="0" w:line="264" w:lineRule="exact"/>
        <w:rPr>
          <w:sz w:val="20"/>
          <w:szCs w:val="20"/>
          <w:color w:val="auto"/>
        </w:rPr>
      </w:pPr>
    </w:p>
    <w:p>
      <w:pPr>
        <w:ind w:left="540" w:hanging="424"/>
        <w:spacing w:after="0"/>
        <w:tabs>
          <w:tab w:leader="none" w:pos="540" w:val="left"/>
        </w:tabs>
        <w:numPr>
          <w:ilvl w:val="0"/>
          <w:numId w:val="95"/>
        </w:numPr>
        <w:rPr>
          <w:rFonts w:ascii="MS PGothic" w:cs="MS PGothic" w:eastAsia="MS PGothic" w:hAnsi="MS PGothic"/>
          <w:sz w:val="18"/>
          <w:szCs w:val="18"/>
          <w:color w:val="FF160F"/>
        </w:rPr>
      </w:pPr>
      <w:r>
        <w:rPr>
          <w:rFonts w:ascii="Arial" w:cs="Arial" w:eastAsia="Arial" w:hAnsi="Arial"/>
          <w:sz w:val="18"/>
          <w:szCs w:val="18"/>
          <w:b w:val="1"/>
          <w:bCs w:val="1"/>
          <w:color w:val="auto"/>
        </w:rPr>
        <w:t>NOTICE OF ELECTRONIC AVAILABILITY OF PROXY MATERIALS</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are furnishing proxy materials including this proxy statement and our 2025 Annual Report to Shareholders, including our Annual Report on Form 10-K for the year ended December 31, 2025 (“Annual Report”), to each shareholder by providing access to such documents on the Internet. On or about March 27, 2026,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183" w:lineRule="exact"/>
        <w:rPr>
          <w:sz w:val="20"/>
          <w:szCs w:val="20"/>
          <w:color w:val="auto"/>
        </w:rPr>
      </w:pPr>
    </w:p>
    <w:p>
      <w:pPr>
        <w:ind w:left="540" w:hanging="424"/>
        <w:spacing w:after="0"/>
        <w:tabs>
          <w:tab w:leader="none" w:pos="540" w:val="left"/>
        </w:tabs>
        <w:numPr>
          <w:ilvl w:val="0"/>
          <w:numId w:val="96"/>
        </w:numPr>
        <w:rPr>
          <w:rFonts w:ascii="MS PGothic" w:cs="MS PGothic" w:eastAsia="MS PGothic" w:hAnsi="MS PGothic"/>
          <w:sz w:val="18"/>
          <w:szCs w:val="18"/>
          <w:color w:val="FF160F"/>
        </w:rPr>
      </w:pPr>
      <w:r>
        <w:rPr>
          <w:rFonts w:ascii="Arial" w:cs="Arial" w:eastAsia="Arial" w:hAnsi="Arial"/>
          <w:sz w:val="18"/>
          <w:szCs w:val="18"/>
          <w:b w:val="1"/>
          <w:bCs w:val="1"/>
          <w:color w:val="auto"/>
        </w:rPr>
        <w:t>WHY YOU ARE RECEIVING THESE MATERIALS</w:t>
      </w:r>
    </w:p>
    <w:p>
      <w:pPr>
        <w:spacing w:after="0" w:line="18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You are receiving these materials because you owned our shares as of March 16, 2026, the record date established by our Board of Trustees for our Annual Meeting. Everyone who owned our shares as of this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whether directly as a registered shareholder or indirectly through a bank, broker or other nominee, is entitled to vote at the Annual Meeting. We had 86,388,213 shares outstanding on March 16, 2026. Each share outstanding on the record date is entitled to one vote. A majority of the shares entitled to vote at the Annual Meeting must be present in person or by proxy for us to proceed with the Annual Meeting.</w:t>
      </w:r>
    </w:p>
    <w:p>
      <w:pPr>
        <w:spacing w:after="0" w:line="174" w:lineRule="exact"/>
        <w:rPr>
          <w:sz w:val="20"/>
          <w:szCs w:val="20"/>
          <w:color w:val="auto"/>
        </w:rPr>
      </w:pPr>
    </w:p>
    <w:p>
      <w:pPr>
        <w:ind w:left="540" w:hanging="424"/>
        <w:spacing w:after="0"/>
        <w:tabs>
          <w:tab w:leader="none" w:pos="540" w:val="left"/>
        </w:tabs>
        <w:numPr>
          <w:ilvl w:val="0"/>
          <w:numId w:val="97"/>
        </w:numPr>
        <w:rPr>
          <w:rFonts w:ascii="MS PGothic" w:cs="MS PGothic" w:eastAsia="MS PGothic" w:hAnsi="MS PGothic"/>
          <w:sz w:val="18"/>
          <w:szCs w:val="18"/>
          <w:color w:val="FF160F"/>
        </w:rPr>
      </w:pPr>
      <w:r>
        <w:rPr>
          <w:rFonts w:ascii="Arial" w:cs="Arial" w:eastAsia="Arial" w:hAnsi="Arial"/>
          <w:sz w:val="18"/>
          <w:szCs w:val="18"/>
          <w:b w:val="1"/>
          <w:bCs w:val="1"/>
          <w:color w:val="auto"/>
        </w:rPr>
        <w:t>ACCESSING MATERIALS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i w:val="1"/>
          <w:iCs w:val="1"/>
          <w:color w:val="auto"/>
        </w:rPr>
        <w:t>.</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3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Equiniti Trust Company,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4" w:lineRule="exact"/>
        <w:rPr>
          <w:sz w:val="20"/>
          <w:szCs w:val="20"/>
          <w:color w:val="auto"/>
        </w:rPr>
      </w:pPr>
    </w:p>
    <w:p>
      <w:pPr>
        <w:ind w:left="540" w:hanging="424"/>
        <w:spacing w:after="0"/>
        <w:tabs>
          <w:tab w:leader="none" w:pos="540" w:val="left"/>
        </w:tabs>
        <w:numPr>
          <w:ilvl w:val="0"/>
          <w:numId w:val="98"/>
        </w:numPr>
        <w:rPr>
          <w:rFonts w:ascii="MS PGothic" w:cs="MS PGothic" w:eastAsia="MS PGothic" w:hAnsi="MS PGothic"/>
          <w:sz w:val="18"/>
          <w:szCs w:val="18"/>
          <w:color w:val="FF160F"/>
        </w:rPr>
      </w:pPr>
      <w:r>
        <w:rPr>
          <w:rFonts w:ascii="Arial" w:cs="Arial" w:eastAsia="Arial" w:hAnsi="Arial"/>
          <w:sz w:val="18"/>
          <w:szCs w:val="18"/>
          <w:b w:val="1"/>
          <w:bCs w:val="1"/>
          <w:color w:val="auto"/>
        </w:rPr>
        <w:t>HOW TO VOTE</w:t>
      </w:r>
    </w:p>
    <w:p>
      <w:pPr>
        <w:spacing w:after="0" w:line="198"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If you own your shares directly with our transfer agent, Equiniti Trust Company, LLC (successor to American Stock Transfer and Trust Company) (“Equiniti”),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123825</wp:posOffset>
            </wp:positionV>
            <wp:extent cx="4989195" cy="7283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8919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03415" cy="137160"/>
                    </a:xfrm>
                    <a:prstGeom prst="rect">
                      <a:avLst/>
                    </a:prstGeom>
                    <a:noFill/>
                  </pic:spPr>
                </pic:pic>
              </a:graphicData>
            </a:graphic>
          </wp:anchor>
        </w:drawing>
      </w:r>
    </w:p>
    <w:p>
      <w:pPr>
        <w:spacing w:after="0" w:line="121"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12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9" w:lineRule="exact"/>
        <w:rPr>
          <w:sz w:val="20"/>
          <w:szCs w:val="20"/>
          <w:color w:val="auto"/>
        </w:rPr>
      </w:pPr>
    </w:p>
    <w:p>
      <w:pPr>
        <w:ind w:left="540" w:hanging="424"/>
        <w:spacing w:after="0"/>
        <w:tabs>
          <w:tab w:leader="none" w:pos="540" w:val="left"/>
        </w:tabs>
        <w:numPr>
          <w:ilvl w:val="0"/>
          <w:numId w:val="99"/>
        </w:numPr>
        <w:rPr>
          <w:rFonts w:ascii="MS PGothic" w:cs="MS PGothic" w:eastAsia="MS PGothic" w:hAnsi="MS PGothic"/>
          <w:sz w:val="18"/>
          <w:szCs w:val="18"/>
          <w:color w:val="FF160F"/>
        </w:rPr>
      </w:pPr>
      <w:r>
        <w:rPr>
          <w:rFonts w:ascii="Arial" w:cs="Arial" w:eastAsia="Arial" w:hAnsi="Arial"/>
          <w:sz w:val="18"/>
          <w:szCs w:val="18"/>
          <w:b w:val="1"/>
          <w:bCs w:val="1"/>
          <w:color w:val="auto"/>
        </w:rPr>
        <w:t>HOW TO PARTICIPATE IN THE ANNUAL MEETING</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will be able to join our Annual Meeting as either a shareholder or a guest. All registered shareholders and shareholders that own shares in “street name” will be able to ask questions and vote their shares at the meeting by following the instructions below. Guests will be permitted to join the meeting but will not be permitted to ask questions.</w:t>
      </w:r>
    </w:p>
    <w:p>
      <w:pPr>
        <w:spacing w:after="0" w:line="14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You can access the Annual Meeting by joining through this link: </w:t>
      </w:r>
      <w:r>
        <w:rPr>
          <w:rFonts w:ascii="Arial" w:cs="Arial" w:eastAsia="Arial" w:hAnsi="Arial"/>
          <w:sz w:val="18"/>
          <w:szCs w:val="18"/>
          <w:i w:val="1"/>
          <w:iCs w:val="1"/>
          <w:u w:val="single" w:color="auto"/>
          <w:color w:val="auto"/>
        </w:rPr>
        <w:t>https://edge.media-server.com/mmc/p/h5ru67ve</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shareholder owning shares directly in your name and you would like to be able to ask a question or vote at the Annual Meeting, please log in using the control number found on your proxy card or Notice you previously received and the password “</w:t>
      </w:r>
      <w:r>
        <w:rPr>
          <w:rFonts w:ascii="Arial" w:cs="Arial" w:eastAsia="Arial" w:hAnsi="Arial"/>
          <w:sz w:val="18"/>
          <w:szCs w:val="18"/>
          <w:i w:val="1"/>
          <w:iCs w:val="1"/>
          <w:color w:val="auto"/>
        </w:rPr>
        <w:t>federal2026</w:t>
      </w:r>
      <w:r>
        <w:rPr>
          <w:rFonts w:ascii="Arial" w:cs="Arial" w:eastAsia="Arial" w:hAnsi="Arial"/>
          <w:sz w:val="18"/>
          <w:szCs w:val="18"/>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Equiniti: (1) by email to proxy@equinity.com; (2) by facsimile to 718-765-8730; or (3) by mail to Equiniti, Attn: Proxy Tabulation Department, 1110 Centre Pointe Curve, Suite 101 Mendota Heights, MN 55120. Requests for registration must be labeled as “Legal Proxy” and must be received by Equiniti no later than 5:00 p.m. local time on May 4, 2026. You will receive a confirmation of your registration by email from Equiniti after they receive your registration materials. The email will also include a control number so that you can ask a question or vote at the Annual Meeting by logging in using your control number and the password “</w:t>
      </w:r>
      <w:r>
        <w:rPr>
          <w:rFonts w:ascii="Arial" w:cs="Arial" w:eastAsia="Arial" w:hAnsi="Arial"/>
          <w:sz w:val="18"/>
          <w:szCs w:val="18"/>
          <w:i w:val="1"/>
          <w:iCs w:val="1"/>
          <w:color w:val="auto"/>
        </w:rPr>
        <w:t>federal2026</w:t>
      </w:r>
      <w:r>
        <w:rPr>
          <w:rFonts w:ascii="Arial" w:cs="Arial" w:eastAsia="Arial" w:hAnsi="Arial"/>
          <w:sz w:val="18"/>
          <w:szCs w:val="18"/>
          <w:color w:val="auto"/>
        </w:rPr>
        <w:t>”. Shareholders who hold shares in “street name” will not be able to vote their shares or ask questions without first completing this registration process. Once you are in the meeting, you can vote your shares by clicking on the Vote My Shares tab at the top right of the screen. You may also continue to vote using the instructions provided in the Proxy Materials until the Annual Meeting concludes.</w:t>
      </w:r>
    </w:p>
    <w:p>
      <w:pPr>
        <w:spacing w:after="0" w:line="14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If you do not want to vote your shares during the meeting or ask a question, you can join the meeting as a guest using the same link above by clicking on the “Join as a Guest here” button at the bottom on the log in page. You will not need to have your control number or complete the registration process described above to participate as a guest. Electronic check in begins at 8:30 a.m. local time on May 6, 2026, the day of the Annual Meeting, so that we may address any technical difficulties before the Annual Meeting webcast begins. If you encounter any difficulties accessing the Annual Meeting webcast during the check-in or meeting time, please refer to the “Application Help” link available on the log in page.</w:t>
      </w:r>
    </w:p>
    <w:p>
      <w:pPr>
        <w:spacing w:after="0" w:line="179" w:lineRule="exact"/>
        <w:rPr>
          <w:sz w:val="20"/>
          <w:szCs w:val="20"/>
          <w:color w:val="auto"/>
        </w:rPr>
      </w:pPr>
    </w:p>
    <w:p>
      <w:pPr>
        <w:ind w:left="540" w:hanging="424"/>
        <w:spacing w:after="0"/>
        <w:tabs>
          <w:tab w:leader="none" w:pos="540" w:val="left"/>
        </w:tabs>
        <w:numPr>
          <w:ilvl w:val="0"/>
          <w:numId w:val="100"/>
        </w:numPr>
        <w:rPr>
          <w:rFonts w:ascii="MS PGothic" w:cs="MS PGothic" w:eastAsia="MS PGothic" w:hAnsi="MS PGothic"/>
          <w:sz w:val="18"/>
          <w:szCs w:val="18"/>
          <w:color w:val="FF160F"/>
        </w:rPr>
      </w:pPr>
      <w:r>
        <w:rPr>
          <w:rFonts w:ascii="Arial" w:cs="Arial" w:eastAsia="Arial" w:hAnsi="Arial"/>
          <w:sz w:val="18"/>
          <w:szCs w:val="18"/>
          <w:b w:val="1"/>
          <w:bCs w:val="1"/>
          <w:color w:val="auto"/>
        </w:rPr>
        <w:t>ELIMINATING DUPLICATIVE PROXY MATERIALS</w:t>
      </w:r>
    </w:p>
    <w:p>
      <w:pPr>
        <w:spacing w:after="0" w:line="185"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01"/>
        </w:numPr>
        <w:rPr>
          <w:rFonts w:ascii="MS PGothic" w:cs="MS PGothic" w:eastAsia="MS PGothic" w:hAnsi="MS PGothic"/>
          <w:sz w:val="18"/>
          <w:szCs w:val="18"/>
          <w:color w:val="FF160F"/>
        </w:rPr>
      </w:pPr>
      <w:r>
        <w:rPr>
          <w:rFonts w:ascii="Arial" w:cs="Arial" w:eastAsia="Arial" w:hAnsi="Arial"/>
          <w:sz w:val="18"/>
          <w:szCs w:val="18"/>
          <w:b w:val="1"/>
          <w:bCs w:val="1"/>
          <w:color w:val="auto"/>
        </w:rPr>
        <w:t>SOLICITATION OF PROXIES</w:t>
      </w:r>
    </w:p>
    <w:p>
      <w:pPr>
        <w:spacing w:after="0" w:line="18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 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85" w:lineRule="exact"/>
        <w:rPr>
          <w:sz w:val="20"/>
          <w:szCs w:val="20"/>
          <w:color w:val="auto"/>
        </w:rPr>
      </w:pPr>
    </w:p>
    <w:p>
      <w:pPr>
        <w:ind w:left="540" w:hanging="424"/>
        <w:spacing w:after="0"/>
        <w:tabs>
          <w:tab w:leader="none" w:pos="540" w:val="left"/>
        </w:tabs>
        <w:numPr>
          <w:ilvl w:val="0"/>
          <w:numId w:val="102"/>
        </w:numPr>
        <w:rPr>
          <w:rFonts w:ascii="MS PGothic" w:cs="MS PGothic" w:eastAsia="MS PGothic" w:hAnsi="MS PGothic"/>
          <w:sz w:val="18"/>
          <w:szCs w:val="18"/>
          <w:color w:val="FF160F"/>
        </w:rPr>
      </w:pPr>
      <w:r>
        <w:rPr>
          <w:rFonts w:ascii="Arial" w:cs="Arial" w:eastAsia="Arial" w:hAnsi="Arial"/>
          <w:sz w:val="18"/>
          <w:szCs w:val="18"/>
          <w:b w:val="1"/>
          <w:bCs w:val="1"/>
          <w:color w:val="auto"/>
        </w:rPr>
        <w:t>SHAREHOLDER PROPOSALS FOR THE 2027 ANNUAL MEETING</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solicitation is made by the Company on behalf of the Board. Proposals of shareholders intended to be presented at the 2027 Annual Meeting of Shareholders or nominations for persons for election to the Board of Trustees, must be delivered to us at 909 Rose Avenue, Suite 200, North Bethesda, Maryland 20852, Attention: Secretary and received by us no later than November 27, 2026 and no earlier than October 28, 2026, unless the date of the 2027 Annual Meeting of Shareholders is changed by more than 30 days from the date of the 2026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2027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Secretary, 909 Rose Avenue, Suite 200, North Bethesda, Maryland 20852.</w:t>
      </w:r>
    </w:p>
    <w:p>
      <w:pPr>
        <w:spacing w:after="0" w:line="15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7, 2027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17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52070</wp:posOffset>
            </wp:positionV>
            <wp:extent cx="968375" cy="2825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President—Chief Legal</w:t>
      </w:r>
    </w:p>
    <w:p>
      <w:pPr>
        <w:ind w:left="6740"/>
        <w:spacing w:after="0"/>
        <w:rPr>
          <w:sz w:val="20"/>
          <w:szCs w:val="20"/>
          <w:color w:val="auto"/>
        </w:rPr>
      </w:pPr>
      <w:r>
        <w:rPr>
          <w:rFonts w:ascii="Arial" w:cs="Arial" w:eastAsia="Arial" w:hAnsi="Arial"/>
          <w:sz w:val="18"/>
          <w:szCs w:val="18"/>
          <w:i w:val="1"/>
          <w:iCs w:val="1"/>
          <w:color w:val="auto"/>
        </w:rPr>
        <w:t>Officer and Secretary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909 Rose Avenue, Suite 200</w:t>
      </w:r>
    </w:p>
    <w:p>
      <w:pPr>
        <w:ind w:left="6740"/>
        <w:spacing w:after="0"/>
        <w:rPr>
          <w:sz w:val="20"/>
          <w:szCs w:val="20"/>
          <w:color w:val="auto"/>
        </w:rPr>
      </w:pPr>
      <w:r>
        <w:rPr>
          <w:rFonts w:ascii="Arial" w:cs="Arial" w:eastAsia="Arial" w:hAnsi="Arial"/>
          <w:sz w:val="18"/>
          <w:szCs w:val="18"/>
          <w:color w:val="auto"/>
        </w:rPr>
        <w:t>North Bethesda, Maryland 20852</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A—Reconciliation of Non-GAAP Financial Measures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From Operations</w:t>
      </w:r>
    </w:p>
    <w:p>
      <w:pPr>
        <w:spacing w:after="0" w:line="13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Nareit Funds From Operations (“Nareit FFO” or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Nareit FFO:</w:t>
      </w:r>
    </w:p>
    <w:p>
      <w:pPr>
        <w:spacing w:after="0" w:line="90" w:lineRule="exact"/>
        <w:rPr>
          <w:sz w:val="20"/>
          <w:szCs w:val="20"/>
          <w:color w:val="auto"/>
        </w:rPr>
      </w:pPr>
    </w:p>
    <w:p>
      <w:pPr>
        <w:ind w:left="1080" w:right="20" w:hanging="424"/>
        <w:spacing w:after="0" w:line="271"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spacing w:after="0" w:line="17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spacing w:after="0" w:line="174"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Core Funds From Operations (“Core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03415"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9" w:lineRule="exact"/>
        <w:rPr>
          <w:sz w:val="20"/>
          <w:szCs w:val="20"/>
          <w:color w:val="auto"/>
        </w:rPr>
      </w:pPr>
    </w:p>
    <w:p>
      <w:pPr>
        <w:ind w:left="802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A-1</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net income attributable to common shareholders to Nareit FFO and Core FFO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6"/>
          </w:tcPr>
          <w:p>
            <w:pPr>
              <w:ind w:left="20"/>
              <w:spacing w:after="0" w:line="162" w:lineRule="exact"/>
              <w:rPr>
                <w:sz w:val="20"/>
                <w:szCs w:val="20"/>
                <w:color w:val="auto"/>
              </w:rPr>
            </w:pPr>
            <w:r>
              <w:rPr>
                <w:rFonts w:ascii="Arial" w:cs="Arial" w:eastAsia="Arial" w:hAnsi="Arial"/>
                <w:sz w:val="15"/>
                <w:szCs w:val="15"/>
                <w:b w:val="1"/>
                <w:bCs w:val="1"/>
                <w:color w:val="auto"/>
              </w:rPr>
              <w:t>(In thousands, except per share data)</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b w:val="1"/>
                <w:bCs w:val="1"/>
                <w:color w:val="auto"/>
              </w:rPr>
              <w:t>Reconciliation of net income attributable to common shareholders to Nareit FFO</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spacing w:after="0"/>
              <w:rPr>
                <w:sz w:val="16"/>
                <w:szCs w:val="16"/>
                <w:color w:val="auto"/>
              </w:rPr>
            </w:pP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spacing w:after="0"/>
              <w:rPr>
                <w:sz w:val="16"/>
                <w:szCs w:val="16"/>
                <w:color w:val="auto"/>
              </w:rPr>
            </w:pPr>
          </w:p>
        </w:tc>
        <w:tc>
          <w:tcPr>
            <w:tcW w:w="260" w:type="dxa"/>
            <w:vAlign w:val="bottom"/>
            <w:shd w:val="clear" w:color="auto" w:fill="EAEFED"/>
          </w:tcPr>
          <w:p>
            <w:pPr>
              <w:spacing w:after="0"/>
              <w:rPr>
                <w:sz w:val="16"/>
                <w:szCs w:val="16"/>
                <w:color w:val="auto"/>
              </w:rPr>
            </w:pPr>
          </w:p>
        </w:tc>
        <w:tc>
          <w:tcPr>
            <w:tcW w:w="740" w:type="dxa"/>
            <w:vAlign w:val="bottom"/>
            <w:shd w:val="clear" w:color="auto" w:fill="EAEFED"/>
          </w:tcPr>
          <w:p>
            <w:pPr>
              <w:spacing w:after="0"/>
              <w:rPr>
                <w:sz w:val="16"/>
                <w:szCs w:val="16"/>
                <w:color w:val="auto"/>
              </w:rPr>
            </w:pP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423,648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304,334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247,217 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(12,571)</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(9,126)</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(10,232) </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Gain on sale of real estate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(150,111)</w:t>
            </w:r>
          </w:p>
        </w:tc>
        <w:tc>
          <w:tcPr>
            <w:tcW w:w="26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(54,040)</w:t>
            </w:r>
          </w:p>
        </w:tc>
        <w:tc>
          <w:tcPr>
            <w:tcW w:w="2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(9,881)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Impairment charge</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7,425</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Depreciation and amortization of real estate assets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320,311</w:t>
            </w:r>
          </w:p>
        </w:tc>
        <w:tc>
          <w:tcPr>
            <w:tcW w:w="26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302,455</w:t>
            </w:r>
          </w:p>
        </w:tc>
        <w:tc>
          <w:tcPr>
            <w:tcW w:w="2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285,689 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Amortization of initial direct costs of leases</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42,671</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33,377</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31,208 </w:t>
            </w:r>
          </w:p>
        </w:tc>
        <w:tc>
          <w:tcPr>
            <w:tcW w:w="0" w:type="dxa"/>
            <w:vAlign w:val="bottom"/>
          </w:tcPr>
          <w:p>
            <w:pPr>
              <w:spacing w:after="0"/>
              <w:rPr>
                <w:sz w:val="1"/>
                <w:szCs w:val="1"/>
                <w:color w:val="auto"/>
              </w:rPr>
            </w:pPr>
          </w:p>
        </w:tc>
      </w:tr>
      <w:tr>
        <w:trPr>
          <w:trHeight w:val="196"/>
        </w:trPr>
        <w:tc>
          <w:tcPr>
            <w:tcW w:w="7780" w:type="dxa"/>
            <w:vAlign w:val="bottom"/>
          </w:tcPr>
          <w:p>
            <w:pPr>
              <w:ind w:left="160"/>
              <w:spacing w:after="0"/>
              <w:rPr>
                <w:sz w:val="20"/>
                <w:szCs w:val="20"/>
                <w:color w:val="auto"/>
              </w:rPr>
            </w:pPr>
            <w:r>
              <w:rPr>
                <w:rFonts w:ascii="Arial" w:cs="Arial" w:eastAsia="Arial" w:hAnsi="Arial"/>
                <w:sz w:val="16"/>
                <w:szCs w:val="16"/>
                <w:color w:val="auto"/>
              </w:rPr>
              <w:t>Funds from operations</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631,373</w:t>
            </w: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577,000</w:t>
            </w: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544,001 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line="189" w:lineRule="exact"/>
              <w:rPr>
                <w:sz w:val="20"/>
                <w:szCs w:val="20"/>
                <w:color w:val="auto"/>
              </w:rPr>
            </w:pPr>
            <w:r>
              <w:rPr>
                <w:rFonts w:ascii="Arial" w:cs="Arial" w:eastAsia="Arial" w:hAnsi="Arial"/>
                <w:sz w:val="14"/>
                <w:szCs w:val="14"/>
                <w:color w:val="auto"/>
              </w:rPr>
              <w:t>Dividends on preferred shares</w:t>
            </w:r>
            <w:r>
              <w:rPr>
                <w:rFonts w:ascii="Arial" w:cs="Arial" w:eastAsia="Arial" w:hAnsi="Arial"/>
                <w:sz w:val="21"/>
                <w:szCs w:val="21"/>
                <w:color w:val="auto"/>
                <w:vertAlign w:val="superscript"/>
              </w:rPr>
              <w:t>(1)</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(7,500)</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(7,500)</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(7,500) </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Income attributable to downREIT operating partnership units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2,463</w:t>
            </w:r>
          </w:p>
        </w:tc>
        <w:tc>
          <w:tcPr>
            <w:tcW w:w="26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2,743</w:t>
            </w:r>
          </w:p>
        </w:tc>
        <w:tc>
          <w:tcPr>
            <w:tcW w:w="2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2,767 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Income attributable to unvested shares</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(2,080)</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(2,004)</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(1,955) </w:t>
            </w:r>
          </w:p>
        </w:tc>
        <w:tc>
          <w:tcPr>
            <w:tcW w:w="0" w:type="dxa"/>
            <w:vAlign w:val="bottom"/>
          </w:tcPr>
          <w:p>
            <w:pPr>
              <w:spacing w:after="0"/>
              <w:rPr>
                <w:sz w:val="1"/>
                <w:szCs w:val="1"/>
                <w:color w:val="auto"/>
              </w:rPr>
            </w:pPr>
          </w:p>
        </w:tc>
      </w:tr>
      <w:tr>
        <w:trPr>
          <w:trHeight w:val="196"/>
        </w:trPr>
        <w:tc>
          <w:tcPr>
            <w:tcW w:w="7780" w:type="dxa"/>
            <w:vAlign w:val="bottom"/>
          </w:tcPr>
          <w:p>
            <w:pPr>
              <w:ind w:left="160"/>
              <w:spacing w:after="0"/>
              <w:rPr>
                <w:sz w:val="20"/>
                <w:szCs w:val="20"/>
                <w:color w:val="auto"/>
              </w:rPr>
            </w:pPr>
            <w:r>
              <w:rPr>
                <w:rFonts w:ascii="Arial" w:cs="Arial" w:eastAsia="Arial" w:hAnsi="Arial"/>
                <w:sz w:val="16"/>
                <w:szCs w:val="16"/>
                <w:color w:val="auto"/>
              </w:rPr>
              <w:t>Funds from operations available for common shareholders</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624,256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570,239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xml:space="preserve">537,313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shd w:val="clear" w:color="auto" w:fill="EAEFED"/>
          </w:tcPr>
          <w:p>
            <w:pPr>
              <w:spacing w:after="0" w:line="183" w:lineRule="exact"/>
              <w:rPr>
                <w:sz w:val="20"/>
                <w:szCs w:val="20"/>
                <w:color w:val="auto"/>
              </w:rPr>
            </w:pPr>
            <w:r>
              <w:rPr>
                <w:rFonts w:ascii="Arial" w:cs="Arial" w:eastAsia="Arial" w:hAnsi="Arial"/>
                <w:sz w:val="14"/>
                <w:szCs w:val="14"/>
                <w:color w:val="auto"/>
              </w:rPr>
              <w:t>Weighted average number of common shares, diluted</w:t>
            </w:r>
            <w:r>
              <w:rPr>
                <w:rFonts w:ascii="Arial" w:cs="Arial" w:eastAsia="Arial" w:hAnsi="Arial"/>
                <w:sz w:val="21"/>
                <w:szCs w:val="21"/>
                <w:color w:val="auto"/>
                <w:vertAlign w:val="superscript"/>
              </w:rPr>
              <w:t>(1)(2)</w:t>
            </w:r>
          </w:p>
        </w:tc>
        <w:tc>
          <w:tcPr>
            <w:tcW w:w="220" w:type="dxa"/>
            <w:vAlign w:val="bottom"/>
            <w:shd w:val="clear" w:color="auto" w:fill="EAEFED"/>
          </w:tcPr>
          <w:p>
            <w:pPr>
              <w:spacing w:after="0"/>
              <w:rPr>
                <w:sz w:val="15"/>
                <w:szCs w:val="15"/>
                <w:color w:val="auto"/>
              </w:rPr>
            </w:pPr>
          </w:p>
        </w:tc>
        <w:tc>
          <w:tcPr>
            <w:tcW w:w="100" w:type="dxa"/>
            <w:vAlign w:val="bottom"/>
            <w:tcBorders>
              <w:bottom w:val="single" w:sz="8" w:color="auto"/>
            </w:tcBorders>
            <w:shd w:val="clear" w:color="auto" w:fill="EAEFED"/>
          </w:tcPr>
          <w:p>
            <w:pPr>
              <w:spacing w:after="0"/>
              <w:rPr>
                <w:sz w:val="15"/>
                <w:szCs w:val="15"/>
                <w:color w:val="auto"/>
              </w:rPr>
            </w:pPr>
          </w:p>
        </w:tc>
        <w:tc>
          <w:tcPr>
            <w:tcW w:w="840" w:type="dxa"/>
            <w:vAlign w:val="bottom"/>
            <w:tcBorders>
              <w:bottom w:val="single" w:sz="8" w:color="auto"/>
            </w:tcBorders>
            <w:shd w:val="clear" w:color="auto" w:fill="EAEFED"/>
          </w:tcPr>
          <w:p>
            <w:pPr>
              <w:jc w:val="right"/>
              <w:ind w:right="40"/>
              <w:spacing w:after="0"/>
              <w:rPr>
                <w:sz w:val="20"/>
                <w:szCs w:val="20"/>
                <w:color w:val="auto"/>
              </w:rPr>
            </w:pPr>
            <w:r>
              <w:rPr>
                <w:rFonts w:ascii="Arial" w:cs="Arial" w:eastAsia="Arial" w:hAnsi="Arial"/>
                <w:sz w:val="16"/>
                <w:szCs w:val="16"/>
                <w:color w:val="auto"/>
              </w:rPr>
              <w:t>86,498</w:t>
            </w:r>
          </w:p>
        </w:tc>
        <w:tc>
          <w:tcPr>
            <w:tcW w:w="260" w:type="dxa"/>
            <w:vAlign w:val="bottom"/>
            <w:tcBorders>
              <w:bottom w:val="single" w:sz="8" w:color="auto"/>
            </w:tcBorders>
            <w:shd w:val="clear" w:color="auto" w:fill="EAEFED"/>
          </w:tcPr>
          <w:p>
            <w:pPr>
              <w:spacing w:after="0"/>
              <w:rPr>
                <w:sz w:val="15"/>
                <w:szCs w:val="15"/>
                <w:color w:val="auto"/>
              </w:rPr>
            </w:pP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84,286</w:t>
            </w:r>
          </w:p>
        </w:tc>
        <w:tc>
          <w:tcPr>
            <w:tcW w:w="260" w:type="dxa"/>
            <w:vAlign w:val="bottom"/>
            <w:tcBorders>
              <w:bottom w:val="single" w:sz="8" w:color="auto"/>
            </w:tcBorders>
            <w:shd w:val="clear" w:color="auto" w:fill="EAEFED"/>
          </w:tcPr>
          <w:p>
            <w:pPr>
              <w:spacing w:after="0"/>
              <w:rPr>
                <w:sz w:val="15"/>
                <w:szCs w:val="15"/>
                <w:color w:val="auto"/>
              </w:rPr>
            </w:pPr>
          </w:p>
        </w:tc>
        <w:tc>
          <w:tcPr>
            <w:tcW w:w="74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82,044 </w:t>
            </w: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Funds from operations available for common shareholders, per diluted share</w:t>
            </w: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7.22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6.77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shd w:val="clear" w:color="auto" w:fill="EAEFED"/>
          </w:tcPr>
          <w:p>
            <w:pPr>
              <w:spacing w:after="0"/>
              <w:rPr>
                <w:sz w:val="20"/>
                <w:szCs w:val="20"/>
                <w:color w:val="auto"/>
              </w:rPr>
            </w:pPr>
            <w:r>
              <w:rPr>
                <w:rFonts w:ascii="Arial" w:cs="Arial" w:eastAsia="Arial" w:hAnsi="Arial"/>
                <w:sz w:val="16"/>
                <w:szCs w:val="16"/>
                <w:b w:val="1"/>
                <w:bCs w:val="1"/>
                <w:color w:val="auto"/>
              </w:rPr>
              <w:t>Reconciliation of Nareit FFO to Core FFO</w:t>
            </w:r>
          </w:p>
        </w:tc>
        <w:tc>
          <w:tcPr>
            <w:tcW w:w="220" w:type="dxa"/>
            <w:vAlign w:val="bottom"/>
            <w:shd w:val="clear" w:color="auto" w:fill="EAEFED"/>
          </w:tcPr>
          <w:p>
            <w:pPr>
              <w:spacing w:after="0"/>
              <w:rPr>
                <w:sz w:val="15"/>
                <w:szCs w:val="15"/>
                <w:color w:val="auto"/>
              </w:rPr>
            </w:pPr>
          </w:p>
        </w:tc>
        <w:tc>
          <w:tcPr>
            <w:tcW w:w="100" w:type="dxa"/>
            <w:vAlign w:val="bottom"/>
            <w:shd w:val="clear" w:color="auto" w:fill="EAEFED"/>
          </w:tcPr>
          <w:p>
            <w:pPr>
              <w:spacing w:after="0"/>
              <w:rPr>
                <w:sz w:val="15"/>
                <w:szCs w:val="15"/>
                <w:color w:val="auto"/>
              </w:rPr>
            </w:pPr>
          </w:p>
        </w:tc>
        <w:tc>
          <w:tcPr>
            <w:tcW w:w="840" w:type="dxa"/>
            <w:vAlign w:val="bottom"/>
            <w:shd w:val="clear" w:color="auto" w:fill="EAEFED"/>
          </w:tcPr>
          <w:p>
            <w:pPr>
              <w:spacing w:after="0"/>
              <w:rPr>
                <w:sz w:val="15"/>
                <w:szCs w:val="15"/>
                <w:color w:val="auto"/>
              </w:rPr>
            </w:pPr>
          </w:p>
        </w:tc>
        <w:tc>
          <w:tcPr>
            <w:tcW w:w="260" w:type="dxa"/>
            <w:vAlign w:val="bottom"/>
            <w:shd w:val="clear" w:color="auto" w:fill="EAEFED"/>
          </w:tcPr>
          <w:p>
            <w:pPr>
              <w:spacing w:after="0"/>
              <w:rPr>
                <w:sz w:val="15"/>
                <w:szCs w:val="15"/>
                <w:color w:val="auto"/>
              </w:rPr>
            </w:pPr>
          </w:p>
        </w:tc>
        <w:tc>
          <w:tcPr>
            <w:tcW w:w="760" w:type="dxa"/>
            <w:vAlign w:val="bottom"/>
            <w:shd w:val="clear" w:color="auto" w:fill="EAEFED"/>
          </w:tcPr>
          <w:p>
            <w:pPr>
              <w:spacing w:after="0"/>
              <w:rPr>
                <w:sz w:val="15"/>
                <w:szCs w:val="15"/>
                <w:color w:val="auto"/>
              </w:rPr>
            </w:pPr>
          </w:p>
        </w:tc>
        <w:tc>
          <w:tcPr>
            <w:tcW w:w="260" w:type="dxa"/>
            <w:vAlign w:val="bottom"/>
            <w:shd w:val="clear" w:color="auto" w:fill="EAEFED"/>
          </w:tcPr>
          <w:p>
            <w:pPr>
              <w:spacing w:after="0"/>
              <w:rPr>
                <w:sz w:val="15"/>
                <w:szCs w:val="15"/>
                <w:color w:val="auto"/>
              </w:rPr>
            </w:pPr>
          </w:p>
        </w:tc>
        <w:tc>
          <w:tcPr>
            <w:tcW w:w="740" w:type="dxa"/>
            <w:vAlign w:val="bottom"/>
            <w:shd w:val="clear" w:color="auto" w:fill="EAEFED"/>
          </w:tcPr>
          <w:p>
            <w:pPr>
              <w:spacing w:after="0"/>
              <w:rPr>
                <w:sz w:val="15"/>
                <w:szCs w:val="15"/>
                <w:color w:val="auto"/>
              </w:rPr>
            </w:pPr>
          </w:p>
        </w:tc>
        <w:tc>
          <w:tcPr>
            <w:tcW w:w="60" w:type="dxa"/>
            <w:vAlign w:val="bottom"/>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Arial" w:cs="Arial" w:eastAsia="Arial" w:hAnsi="Arial"/>
                <w:sz w:val="16"/>
                <w:szCs w:val="16"/>
                <w:color w:val="auto"/>
              </w:rPr>
              <w:t>Nareit FFO</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624,256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570,239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537,313 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spacing w:after="0"/>
              <w:rPr>
                <w:sz w:val="16"/>
                <w:szCs w:val="16"/>
                <w:color w:val="auto"/>
              </w:rPr>
            </w:pP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spacing w:after="0"/>
              <w:rPr>
                <w:sz w:val="16"/>
                <w:szCs w:val="16"/>
                <w:color w:val="auto"/>
              </w:rPr>
            </w:pPr>
          </w:p>
        </w:tc>
        <w:tc>
          <w:tcPr>
            <w:tcW w:w="260" w:type="dxa"/>
            <w:vAlign w:val="bottom"/>
            <w:shd w:val="clear" w:color="auto" w:fill="EAEFED"/>
          </w:tcPr>
          <w:p>
            <w:pPr>
              <w:spacing w:after="0"/>
              <w:rPr>
                <w:sz w:val="16"/>
                <w:szCs w:val="16"/>
                <w:color w:val="auto"/>
              </w:rPr>
            </w:pPr>
          </w:p>
        </w:tc>
        <w:tc>
          <w:tcPr>
            <w:tcW w:w="740" w:type="dxa"/>
            <w:vAlign w:val="bottom"/>
            <w:shd w:val="clear" w:color="auto" w:fill="EAEFED"/>
          </w:tcPr>
          <w:p>
            <w:pPr>
              <w:spacing w:after="0"/>
              <w:rPr>
                <w:sz w:val="16"/>
                <w:szCs w:val="16"/>
                <w:color w:val="auto"/>
              </w:rPr>
            </w:pP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4"/>
                <w:szCs w:val="14"/>
                <w:color w:val="auto"/>
              </w:rPr>
              <w:t>New market tax credit transaction income, net</w:t>
            </w:r>
            <w:r>
              <w:rPr>
                <w:rFonts w:ascii="Arial" w:cs="Arial" w:eastAsia="Arial" w:hAnsi="Arial"/>
                <w:sz w:val="21"/>
                <w:szCs w:val="21"/>
                <w:color w:val="auto"/>
                <w:vertAlign w:val="superscript"/>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(13,004)</w:t>
            </w:r>
          </w:p>
        </w:tc>
        <w:tc>
          <w:tcPr>
            <w:tcW w:w="26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spacing w:after="0"/>
              <w:rPr>
                <w:sz w:val="20"/>
                <w:szCs w:val="20"/>
                <w:color w:val="auto"/>
              </w:rPr>
            </w:pPr>
            <w:r>
              <w:rPr>
                <w:rFonts w:ascii="Arial" w:cs="Arial" w:eastAsia="Arial" w:hAnsi="Arial"/>
                <w:sz w:val="16"/>
                <w:szCs w:val="16"/>
                <w:color w:val="auto"/>
              </w:rPr>
              <w:t>Executive transition costs</w:t>
            </w:r>
          </w:p>
        </w:tc>
        <w:tc>
          <w:tcPr>
            <w:tcW w:w="220" w:type="dxa"/>
            <w:vAlign w:val="bottom"/>
            <w:shd w:val="clear" w:color="auto" w:fill="EAEFED"/>
          </w:tcPr>
          <w:p>
            <w:pPr>
              <w:spacing w:after="0"/>
              <w:rPr>
                <w:sz w:val="16"/>
                <w:szCs w:val="16"/>
                <w:color w:val="auto"/>
              </w:rPr>
            </w:pPr>
          </w:p>
        </w:tc>
        <w:tc>
          <w:tcPr>
            <w:tcW w:w="100" w:type="dxa"/>
            <w:vAlign w:val="bottom"/>
            <w:shd w:val="clear" w:color="auto" w:fill="EAEFED"/>
          </w:tcPr>
          <w:p>
            <w:pPr>
              <w:spacing w:after="0"/>
              <w:rPr>
                <w:sz w:val="16"/>
                <w:szCs w:val="16"/>
                <w:color w:val="auto"/>
              </w:rPr>
            </w:pPr>
          </w:p>
        </w:tc>
        <w:tc>
          <w:tcPr>
            <w:tcW w:w="840" w:type="dxa"/>
            <w:vAlign w:val="bottom"/>
            <w:shd w:val="clear" w:color="auto" w:fill="EAEFED"/>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AEFED"/>
          </w:tcPr>
          <w:p>
            <w:pPr>
              <w:spacing w:after="0"/>
              <w:rPr>
                <w:sz w:val="16"/>
                <w:szCs w:val="16"/>
                <w:color w:val="auto"/>
              </w:rPr>
            </w:pPr>
          </w:p>
        </w:tc>
        <w:tc>
          <w:tcPr>
            <w:tcW w:w="760" w:type="dxa"/>
            <w:vAlign w:val="bottom"/>
            <w:shd w:val="clear" w:color="auto" w:fill="EAEFED"/>
          </w:tcPr>
          <w:p>
            <w:pPr>
              <w:jc w:val="right"/>
              <w:ind w:right="59"/>
              <w:spacing w:after="0"/>
              <w:rPr>
                <w:sz w:val="20"/>
                <w:szCs w:val="20"/>
                <w:color w:val="auto"/>
              </w:rPr>
            </w:pPr>
            <w:r>
              <w:rPr>
                <w:rFonts w:ascii="Arial" w:cs="Arial" w:eastAsia="Arial" w:hAnsi="Arial"/>
                <w:sz w:val="16"/>
                <w:szCs w:val="16"/>
                <w:color w:val="auto"/>
              </w:rPr>
              <w:t>3,687</w:t>
            </w:r>
          </w:p>
        </w:tc>
        <w:tc>
          <w:tcPr>
            <w:tcW w:w="26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Arial" w:cs="Arial" w:eastAsia="Arial" w:hAnsi="Arial"/>
                <w:sz w:val="16"/>
                <w:szCs w:val="16"/>
                <w:color w:val="auto"/>
              </w:rPr>
              <w:t>Collection of prior period rents deferred during COVID</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(261)</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(3,218)</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(5,136)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EAEFED"/>
          </w:tcPr>
          <w:p>
            <w:pPr>
              <w:ind w:left="160"/>
              <w:spacing w:after="0"/>
              <w:rPr>
                <w:sz w:val="20"/>
                <w:szCs w:val="20"/>
                <w:color w:val="auto"/>
              </w:rPr>
            </w:pPr>
            <w:r>
              <w:rPr>
                <w:rFonts w:ascii="Arial" w:cs="Arial" w:eastAsia="Arial" w:hAnsi="Arial"/>
                <w:sz w:val="16"/>
                <w:szCs w:val="16"/>
                <w:color w:val="auto"/>
              </w:rPr>
              <w:t>Core FFO</w:t>
            </w:r>
          </w:p>
        </w:tc>
        <w:tc>
          <w:tcPr>
            <w:tcW w:w="220" w:type="dxa"/>
            <w:vAlign w:val="bottom"/>
            <w:shd w:val="clear" w:color="auto" w:fill="EAEFED"/>
          </w:tcPr>
          <w:p>
            <w:pPr>
              <w:spacing w:after="0"/>
              <w:rPr>
                <w:sz w:val="16"/>
                <w:szCs w:val="16"/>
                <w:color w:val="auto"/>
              </w:rPr>
            </w:pPr>
          </w:p>
        </w:tc>
        <w:tc>
          <w:tcPr>
            <w:tcW w:w="10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EAEFED"/>
          </w:tcPr>
          <w:p>
            <w:pPr>
              <w:jc w:val="right"/>
              <w:ind w:right="40"/>
              <w:spacing w:after="0"/>
              <w:rPr>
                <w:sz w:val="20"/>
                <w:szCs w:val="20"/>
                <w:color w:val="auto"/>
              </w:rPr>
            </w:pPr>
            <w:r>
              <w:rPr>
                <w:rFonts w:ascii="Arial" w:cs="Arial" w:eastAsia="Arial" w:hAnsi="Arial"/>
                <w:sz w:val="16"/>
                <w:szCs w:val="16"/>
                <w:color w:val="auto"/>
              </w:rPr>
              <w:t>610,991</w:t>
            </w:r>
          </w:p>
        </w:tc>
        <w:tc>
          <w:tcPr>
            <w:tcW w:w="26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EAEFED"/>
          </w:tcPr>
          <w:p>
            <w:pPr>
              <w:jc w:val="right"/>
              <w:ind w:right="59"/>
              <w:spacing w:after="0"/>
              <w:rPr>
                <w:sz w:val="20"/>
                <w:szCs w:val="20"/>
                <w:color w:val="auto"/>
              </w:rPr>
            </w:pPr>
            <w:r>
              <w:rPr>
                <w:rFonts w:ascii="Arial" w:cs="Arial" w:eastAsia="Arial" w:hAnsi="Arial"/>
                <w:sz w:val="16"/>
                <w:szCs w:val="16"/>
                <w:color w:val="auto"/>
              </w:rPr>
              <w:t>570,708</w:t>
            </w:r>
          </w:p>
        </w:tc>
        <w:tc>
          <w:tcPr>
            <w:tcW w:w="26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EAEFED"/>
          </w:tcPr>
          <w:p>
            <w:pPr>
              <w:jc w:val="right"/>
              <w:spacing w:after="0"/>
              <w:rPr>
                <w:sz w:val="20"/>
                <w:szCs w:val="20"/>
                <w:color w:val="auto"/>
              </w:rPr>
            </w:pPr>
            <w:r>
              <w:rPr>
                <w:rFonts w:ascii="Arial" w:cs="Arial" w:eastAsia="Arial" w:hAnsi="Arial"/>
                <w:sz w:val="16"/>
                <w:szCs w:val="16"/>
                <w:color w:val="auto"/>
              </w:rPr>
              <w:t xml:space="preserve">532,177 </w:t>
            </w:r>
          </w:p>
        </w:tc>
        <w:tc>
          <w:tcPr>
            <w:tcW w:w="60" w:type="dxa"/>
            <w:vAlign w:val="bottom"/>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Core FFO per diluted share</w:t>
            </w:r>
            <w:r>
              <w:rPr>
                <w:rFonts w:ascii="Arial" w:cs="Arial" w:eastAsia="Arial" w:hAnsi="Arial"/>
                <w:sz w:val="24"/>
                <w:szCs w:val="24"/>
                <w:color w:val="auto"/>
                <w:vertAlign w:val="superscript"/>
              </w:rPr>
              <w:t>(2)</w:t>
            </w: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7715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 w:lineRule="exact"/>
        <w:rPr>
          <w:sz w:val="20"/>
          <w:szCs w:val="20"/>
          <w:color w:val="auto"/>
        </w:rPr>
      </w:pPr>
    </w:p>
    <w:p>
      <w:pPr>
        <w:jc w:val="both"/>
        <w:ind w:left="540" w:right="20" w:hanging="424"/>
        <w:spacing w:after="0" w:line="207" w:lineRule="auto"/>
        <w:tabs>
          <w:tab w:leader="none" w:pos="540" w:val="left"/>
        </w:tabs>
        <w:numPr>
          <w:ilvl w:val="0"/>
          <w:numId w:val="104"/>
        </w:numPr>
        <w:rPr>
          <w:rFonts w:ascii="Arial" w:cs="Arial" w:eastAsia="Arial" w:hAnsi="Arial"/>
          <w:sz w:val="27"/>
          <w:szCs w:val="27"/>
          <w:color w:val="auto"/>
          <w:vertAlign w:val="superscript"/>
        </w:rPr>
      </w:pPr>
      <w:r>
        <w:rPr>
          <w:rFonts w:ascii="Arial" w:cs="Arial" w:eastAsia="Arial" w:hAnsi="Arial"/>
          <w:sz w:val="18"/>
          <w:szCs w:val="18"/>
          <w:color w:val="auto"/>
        </w:rPr>
        <w:t>For the years ended December 31, 2025, 2024 and 2023, dividends on our Series 1 preferred stock were not deducted in the calculation of FFO available to common shareholders, as the related shares were dilutive and included in “weighted average number of common shares, diluted.”</w:t>
      </w:r>
    </w:p>
    <w:p>
      <w:pPr>
        <w:jc w:val="both"/>
        <w:ind w:left="540" w:right="20" w:hanging="424"/>
        <w:spacing w:after="0" w:line="208" w:lineRule="auto"/>
        <w:tabs>
          <w:tab w:leader="none" w:pos="540" w:val="left"/>
        </w:tabs>
        <w:numPr>
          <w:ilvl w:val="0"/>
          <w:numId w:val="104"/>
        </w:numPr>
        <w:rPr>
          <w:rFonts w:ascii="Arial" w:cs="Arial" w:eastAsia="Arial" w:hAnsi="Arial"/>
          <w:sz w:val="27"/>
          <w:szCs w:val="27"/>
          <w:color w:val="auto"/>
          <w:vertAlign w:val="superscript"/>
        </w:rPr>
      </w:pPr>
      <w:r>
        <w:rPr>
          <w:rFonts w:ascii="Arial" w:cs="Arial" w:eastAsia="Arial" w:hAnsi="Arial"/>
          <w:sz w:val="18"/>
          <w:szCs w:val="18"/>
          <w:color w:val="auto"/>
        </w:rPr>
        <w:t>The weighted average common shares used to compute FFO per diluted common share includes shares issuable upon the assumed redemption of outstanding downREIT operating partnership units that were excluded from the computation of diluted EPS. The assumed issuance of shares upon redemption of these operating partnership units is dilutive in the computation of FFO per diluted common share but is anti-dilutive for the computation of diluted EPS for 2024 and 2023.</w:t>
      </w:r>
    </w:p>
    <w:p>
      <w:pPr>
        <w:spacing w:after="0" w:line="2" w:lineRule="exact"/>
        <w:rPr>
          <w:rFonts w:ascii="Arial" w:cs="Arial" w:eastAsia="Arial" w:hAnsi="Arial"/>
          <w:sz w:val="27"/>
          <w:szCs w:val="27"/>
          <w:color w:val="auto"/>
          <w:vertAlign w:val="superscript"/>
        </w:rPr>
      </w:pPr>
    </w:p>
    <w:p>
      <w:pPr>
        <w:jc w:val="both"/>
        <w:ind w:left="540" w:right="20" w:hanging="424"/>
        <w:spacing w:after="0" w:line="207" w:lineRule="auto"/>
        <w:tabs>
          <w:tab w:leader="none" w:pos="540" w:val="left"/>
        </w:tabs>
        <w:numPr>
          <w:ilvl w:val="0"/>
          <w:numId w:val="104"/>
        </w:numPr>
        <w:rPr>
          <w:rFonts w:ascii="Arial" w:cs="Arial" w:eastAsia="Arial" w:hAnsi="Arial"/>
          <w:sz w:val="27"/>
          <w:szCs w:val="27"/>
          <w:color w:val="auto"/>
          <w:vertAlign w:val="superscript"/>
        </w:rPr>
      </w:pPr>
      <w:r>
        <w:rPr>
          <w:rFonts w:ascii="Arial" w:cs="Arial" w:eastAsia="Arial" w:hAnsi="Arial"/>
          <w:sz w:val="18"/>
          <w:szCs w:val="18"/>
          <w:color w:val="auto"/>
        </w:rPr>
        <w:t>The $13.0 million net new market tax credit transaction income for the year ended December 31, 2025 is due to the sale of new market tax credits related to Freedom Plaza. (See Note 7 to the consolidated financial statements in our Form 10-K filed with the SEC on February 12, 2026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003415"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2026 Proxy Statement  A-2</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Ø"/>
      <w:numFmt w:val="bullet"/>
      <w:start w:val="1"/>
    </w:lvl>
  </w:abstractNum>
  <w:abstractNum w:abstractNumId="18">
    <w:nsid w:val="3F6AB60F"/>
    <w:multiLevelType w:val="hybridMultilevel"/>
    <w:lvl w:ilvl="0">
      <w:lvlJc w:val="left"/>
      <w:lvlText w:val="Ø"/>
      <w:numFmt w:val="bullet"/>
      <w:start w:val="1"/>
    </w:lvl>
  </w:abstractNum>
  <w:abstractNum w:abstractNumId="19">
    <w:nsid w:val="61574095"/>
    <w:multiLevelType w:val="hybridMultilevel"/>
    <w:lvl w:ilvl="0">
      <w:lvlJc w:val="left"/>
      <w:lvlText w:val="Ø"/>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Ø"/>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Ø"/>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Ø"/>
      <w:numFmt w:val="bullet"/>
      <w:start w:val="1"/>
    </w:lvl>
  </w:abstractNum>
  <w:abstractNum w:abstractNumId="30">
    <w:nsid w:val="1381823A"/>
    <w:multiLevelType w:val="hybridMultilevel"/>
    <w:lvl w:ilvl="0">
      <w:lvlJc w:val="left"/>
      <w:lvlText w:val="Ø"/>
      <w:numFmt w:val="bullet"/>
      <w:start w:val="1"/>
    </w:lvl>
  </w:abstractNum>
  <w:abstractNum w:abstractNumId="31">
    <w:nsid w:val="5DB70AE5"/>
    <w:multiLevelType w:val="hybridMultilevel"/>
    <w:lvl w:ilvl="0">
      <w:lvlJc w:val="left"/>
      <w:lvlText w:val="Ø"/>
      <w:numFmt w:val="bullet"/>
      <w:start w:val="1"/>
    </w:lvl>
  </w:abstractNum>
  <w:abstractNum w:abstractNumId="32">
    <w:nsid w:val="100F8FCA"/>
    <w:multiLevelType w:val="hybridMultilevel"/>
    <w:lvl w:ilvl="0">
      <w:lvlJc w:val="left"/>
      <w:lvlText w:val="Ø"/>
      <w:numFmt w:val="bullet"/>
      <w:start w:val="1"/>
    </w:lvl>
  </w:abstractNum>
  <w:abstractNum w:abstractNumId="33">
    <w:nsid w:val="6590700B"/>
    <w:multiLevelType w:val="hybridMultilevel"/>
    <w:lvl w:ilvl="0">
      <w:lvlJc w:val="left"/>
      <w:lvlText w:val="Ø"/>
      <w:numFmt w:val="bullet"/>
      <w:start w:val="1"/>
    </w:lvl>
  </w:abstractNum>
  <w:abstractNum w:abstractNumId="34">
    <w:nsid w:val="15014ACB"/>
    <w:multiLevelType w:val="hybridMultilevel"/>
    <w:lvl w:ilvl="0">
      <w:lvlJc w:val="left"/>
      <w:lvlText w:val="Ø"/>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Ø"/>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 "/>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
      <w:numFmt w:val="bullet"/>
      <w:start w:val="1"/>
    </w:lvl>
  </w:abstractNum>
  <w:abstractNum w:abstractNumId="59">
    <w:nsid w:val="14330624"/>
    <w:multiLevelType w:val="hybridMultilevel"/>
    <w:lvl w:ilvl="0">
      <w:lvlJc w:val="left"/>
      <w:lvlText w:val=" "/>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
      <w:numFmt w:val="bullet"/>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1"/>
    </w:lvl>
    <w:lvl w:ilvl="1">
      <w:lvlJc w:val="left"/>
      <w:lvlText w:val="(%2)"/>
      <w:numFmt w:val="lowerLetter"/>
      <w:start w:val="4"/>
    </w:lvl>
  </w:abstractNum>
  <w:abstractNum w:abstractNumId="78">
    <w:nsid w:val="4A2AC315"/>
    <w:multiLevelType w:val="hybridMultilevel"/>
    <w:lvl w:ilvl="0">
      <w:lvlJc w:val="left"/>
      <w:lvlText w:val="(%1)"/>
      <w:numFmt w:val="decimal"/>
      <w:start w:val="5"/>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2"/>
    </w:lvl>
  </w:abstractNum>
  <w:abstractNum w:abstractNumId="81">
    <w:nsid w:val="CC1016F"/>
    <w:multiLevelType w:val="hybridMultilevel"/>
    <w:lvl w:ilvl="0">
      <w:lvlJc w:val="left"/>
      <w:lvlText w:val=" "/>
      <w:numFmt w:val="bullet"/>
      <w:start w:val="1"/>
    </w:lvl>
  </w:abstractNum>
  <w:abstractNum w:abstractNumId="82">
    <w:nsid w:val="43F18422"/>
    <w:multiLevelType w:val="hybridMultilevel"/>
    <w:lvl w:ilvl="0">
      <w:lvlJc w:val="left"/>
      <w:lvlText w:val="(%1)"/>
      <w:numFmt w:val="decimal"/>
      <w:start w:val="3"/>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
      <w:numFmt w:val="bullet"/>
      <w:start w:val="1"/>
    </w:lvl>
    <w:lvl w:ilvl="1">
      <w:lvlJc w:val="left"/>
      <w:lvlText w:val=" "/>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2026-03-27T07:18:53Z</dcterms:created>
  <dcterms:modified xsi:type="dcterms:W3CDTF">2026-03-27T07:18:53Z</dcterms:modified>
</cp:coreProperties>
</file>