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001-07533</w:t>
        </w:r>
      </w:hyperlink>
    </w:p>
    <w:p>
      <w:pPr>
        <w:spacing w:after="0" w:line="125" w:lineRule="exact"/>
        <w:rPr>
          <w:sz w:val="24"/>
          <w:szCs w:val="24"/>
          <w:color w:val="auto"/>
        </w:rPr>
      </w:pPr>
    </w:p>
    <w:p>
      <w:pPr>
        <w:ind w:left="2500"/>
        <w:spacing w:after="0"/>
        <w:tabs>
          <w:tab w:leader="none" w:pos="34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FEDERAL REALTY INVESTMENT TRUST</w:t>
        </w:r>
      </w:hyperlink>
    </w:p>
    <w:p>
      <w:pPr>
        <w:spacing w:after="0" w:line="44"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Address: 1626 East Jefferson Street</w:t>
      </w:r>
    </w:p>
    <w:p>
      <w:pPr>
        <w:spacing w:after="0" w:line="44"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Rockville MARYLAND 20852</w:t>
      </w:r>
    </w:p>
    <w:p>
      <w:pPr>
        <w:spacing w:after="0" w:line="44" w:lineRule="exact"/>
        <w:rPr>
          <w:sz w:val="24"/>
          <w:szCs w:val="24"/>
          <w:color w:val="auto"/>
        </w:rPr>
      </w:pPr>
    </w:p>
    <w:tbl>
      <w:tblPr>
        <w:tblLayout w:type="fixed"/>
        <w:tblInd w:w="206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Telephone number:</w:t>
            </w:r>
          </w:p>
        </w:tc>
        <w:tc>
          <w:tcPr>
            <w:tcW w:w="2780" w:type="dxa"/>
            <w:vAlign w:val="bottom"/>
          </w:tcPr>
          <w:p>
            <w:pPr>
              <w:jc w:val="right"/>
              <w:spacing w:after="0"/>
              <w:rPr>
                <w:sz w:val="20"/>
                <w:szCs w:val="20"/>
                <w:color w:val="auto"/>
              </w:rPr>
            </w:pPr>
            <w:r>
              <w:rPr>
                <w:rFonts w:ascii="Arial" w:cs="Arial" w:eastAsia="Arial" w:hAnsi="Arial"/>
                <w:sz w:val="22"/>
                <w:szCs w:val="22"/>
                <w:color w:val="auto"/>
              </w:rPr>
              <w:t>(301) 998-8100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2022-01-03</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January 14, 2022, pursuant to the provisions of Rule 12d2-2 (a). [ X ] 17 CFR 240.12d2-2(a)(3) That on January 1, 2022,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business reorganization which became effective on January 1, 2022, each share of Common Shares of Beneficial Interest of Federal Realty Investment Trust (Old FRT) was deemed to represent one (1) share of Common Shares of Beneficial Interest of Federal Realty Investment Trust (New FRT) on a share-for-share basis. This Form 25 was filed only for the removal from listing on the NYSE of the Common Shares of Beneficial Interest of Federal Realty Investment Trust (Old FRT), and not a termination of registration of the Common Shares of Beneficial Interest of Federal Realty Investment Trust (New FRT) under Section 12(b) of the Exchange Act.</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7533" TargetMode="External"/><Relationship Id="rId10"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2022-01-03T15:04:17Z</dcterms:created>
  <dcterms:modified xsi:type="dcterms:W3CDTF">2022-01-03T15:04:17Z</dcterms:modified>
</cp:coreProperties>
</file>