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424(b)(5)</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333-135159</w:t>
      </w:r>
    </w:p>
    <w:p>
      <w:pPr>
        <w:spacing w:after="0" w:line="66"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FFFFFF"/>
        </w:rPr>
        <w:t>P R O S P E C T U S  S U P P L E M E N 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2178050" cy="94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8050" cy="946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32406B"/>
        </w:rPr>
        <w:t>(To Prospectus Dated June 20, 2006)</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32406B"/>
        </w:rPr>
        <w:t>$250,000,000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118110</wp:posOffset>
            </wp:positionV>
            <wp:extent cx="2143760" cy="814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3340" w:hanging="250"/>
        <w:spacing w:after="0"/>
        <w:tabs>
          <w:tab w:leader="none" w:pos="3340" w:val="left"/>
        </w:tabs>
        <w:numPr>
          <w:ilvl w:val="0"/>
          <w:numId w:val="1"/>
        </w:numPr>
        <w:rPr>
          <w:rFonts w:ascii="Arial" w:cs="Arial" w:eastAsia="Arial" w:hAnsi="Arial"/>
          <w:sz w:val="32"/>
          <w:szCs w:val="32"/>
          <w:b w:val="1"/>
          <w:bCs w:val="1"/>
          <w:color w:val="32406B"/>
        </w:rPr>
      </w:pPr>
      <w:r>
        <w:rPr>
          <w:rFonts w:ascii="Arial" w:cs="Arial" w:eastAsia="Arial" w:hAnsi="Arial"/>
          <w:sz w:val="32"/>
          <w:szCs w:val="32"/>
          <w:b w:val="1"/>
          <w:bCs w:val="1"/>
          <w:color w:val="32406B"/>
        </w:rPr>
        <w:t>120,000,000  6.00% Notes due 2012</w:t>
      </w:r>
    </w:p>
    <w:p>
      <w:pPr>
        <w:spacing w:after="0" w:line="145" w:lineRule="exact"/>
        <w:rPr>
          <w:rFonts w:ascii="Arial" w:cs="Arial" w:eastAsia="Arial" w:hAnsi="Arial"/>
          <w:sz w:val="32"/>
          <w:szCs w:val="32"/>
          <w:b w:val="1"/>
          <w:bCs w:val="1"/>
          <w:color w:val="32406B"/>
        </w:rPr>
      </w:pPr>
    </w:p>
    <w:p>
      <w:pPr>
        <w:ind w:left="3340" w:hanging="250"/>
        <w:spacing w:after="0"/>
        <w:tabs>
          <w:tab w:leader="none" w:pos="3340" w:val="left"/>
        </w:tabs>
        <w:numPr>
          <w:ilvl w:val="0"/>
          <w:numId w:val="1"/>
        </w:numPr>
        <w:rPr>
          <w:rFonts w:ascii="Arial" w:cs="Arial" w:eastAsia="Arial" w:hAnsi="Arial"/>
          <w:sz w:val="32"/>
          <w:szCs w:val="32"/>
          <w:b w:val="1"/>
          <w:bCs w:val="1"/>
          <w:color w:val="32406B"/>
        </w:rPr>
      </w:pPr>
      <w:r>
        <w:rPr>
          <w:rFonts w:ascii="Arial" w:cs="Arial" w:eastAsia="Arial" w:hAnsi="Arial"/>
          <w:sz w:val="32"/>
          <w:szCs w:val="32"/>
          <w:b w:val="1"/>
          <w:bCs w:val="1"/>
          <w:color w:val="32406B"/>
        </w:rPr>
        <w:t>130,000,000  6.20% Notes due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0" w:firstLine="571"/>
        <w:spacing w:after="0" w:line="298" w:lineRule="auto"/>
        <w:rPr>
          <w:sz w:val="20"/>
          <w:szCs w:val="20"/>
          <w:color w:val="auto"/>
        </w:rPr>
      </w:pPr>
      <w:r>
        <w:rPr>
          <w:rFonts w:ascii="Arial" w:cs="Arial" w:eastAsia="Arial" w:hAnsi="Arial"/>
          <w:sz w:val="16"/>
          <w:szCs w:val="16"/>
          <w:color w:val="32406B"/>
        </w:rPr>
        <w:t>The 6.00% notes due 2012 (the “2012 Notes”) will bear interest at the rate of 6.00% per year, and the 6.20% notes due 2017 (the “2017 Notes” and, together with the 2012 Notes, the “Notes”) will bear interest at the rate of 6.20% per year. Interest on the Notes is payable on January 15 and July 15 of each year, beginning on January 15, 2007. The 2012 Notes will mature on July 15, 2012, and the 2017 Notes will mature on January 15, 2017. We may redeem some or all of the Notes at any time before maturity. The redemption prices are discussed under the caption “Description of Notes — Optional Redemption.”</w:t>
      </w:r>
    </w:p>
    <w:p>
      <w:pPr>
        <w:spacing w:after="0" w:line="99" w:lineRule="exact"/>
        <w:rPr>
          <w:sz w:val="24"/>
          <w:szCs w:val="24"/>
          <w:color w:val="auto"/>
        </w:rPr>
      </w:pPr>
    </w:p>
    <w:p>
      <w:pPr>
        <w:ind w:left="580"/>
        <w:spacing w:after="0"/>
        <w:rPr>
          <w:sz w:val="20"/>
          <w:szCs w:val="20"/>
          <w:color w:val="auto"/>
        </w:rPr>
      </w:pPr>
      <w:r>
        <w:rPr>
          <w:rFonts w:ascii="Arial" w:cs="Arial" w:eastAsia="Arial" w:hAnsi="Arial"/>
          <w:sz w:val="16"/>
          <w:szCs w:val="16"/>
          <w:color w:val="32406B"/>
        </w:rPr>
        <w:t>The Notes will be unsecured senior obligations of our company and will rank equally with all of our other unsecured senior indebtedness.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right="120"/>
        <w:spacing w:after="0" w:line="264" w:lineRule="auto"/>
        <w:rPr>
          <w:sz w:val="20"/>
          <w:szCs w:val="20"/>
          <w:color w:val="auto"/>
        </w:rPr>
      </w:pPr>
      <w:r>
        <w:rPr>
          <w:rFonts w:ascii="Arial" w:cs="Arial" w:eastAsia="Arial" w:hAnsi="Arial"/>
          <w:sz w:val="24"/>
          <w:szCs w:val="24"/>
          <w:b w:val="1"/>
          <w:bCs w:val="1"/>
          <w:color w:val="32406B"/>
        </w:rPr>
        <w:t>Investing in the Notes involves risks. See “Risk Factors” beginning on page S-5 of this prospectus supplement and in our Annual Report on Form 10-K filed with the SEC on March 3, 2006 and amended on March 10, 2006.</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32406B"/>
              </w:rPr>
              <w:t>Per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32406B"/>
              </w:rPr>
              <w:t>Per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9"/>
        </w:trPr>
        <w:tc>
          <w:tcPr>
            <w:tcW w:w="7520" w:type="dxa"/>
            <w:vAlign w:val="bottom"/>
          </w:tcPr>
          <w:p>
            <w:pPr>
              <w:spacing w:after="0"/>
              <w:rPr>
                <w:sz w:val="12"/>
                <w:szCs w:val="12"/>
                <w:color w:val="auto"/>
              </w:rPr>
            </w:pPr>
          </w:p>
        </w:tc>
        <w:tc>
          <w:tcPr>
            <w:tcW w:w="48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32406B"/>
              </w:rPr>
              <w:t>2012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32406B"/>
              </w:rPr>
              <w:t>2017</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4"/>
        </w:trPr>
        <w:tc>
          <w:tcPr>
            <w:tcW w:w="7520" w:type="dxa"/>
            <w:vAlign w:val="bottom"/>
          </w:tcPr>
          <w:p>
            <w:pPr>
              <w:spacing w:after="0"/>
              <w:rPr>
                <w:sz w:val="15"/>
                <w:szCs w:val="15"/>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32406B"/>
              </w:rPr>
              <w:t>Note</w:t>
            </w:r>
          </w:p>
        </w:tc>
        <w:tc>
          <w:tcPr>
            <w:tcW w:w="100" w:type="dxa"/>
            <w:vAlign w:val="bottom"/>
          </w:tcPr>
          <w:p>
            <w:pPr>
              <w:spacing w:after="0"/>
              <w:rPr>
                <w:sz w:val="15"/>
                <w:szCs w:val="15"/>
                <w:color w:val="auto"/>
              </w:rPr>
            </w:pPr>
          </w:p>
        </w:tc>
        <w:tc>
          <w:tcPr>
            <w:tcW w:w="900" w:type="dxa"/>
            <w:vAlign w:val="bottom"/>
          </w:tcPr>
          <w:p>
            <w:pPr>
              <w:jc w:val="right"/>
              <w:ind w:right="277"/>
              <w:spacing w:after="0"/>
              <w:rPr>
                <w:sz w:val="20"/>
                <w:szCs w:val="20"/>
                <w:color w:val="auto"/>
              </w:rPr>
            </w:pPr>
            <w:r>
              <w:rPr>
                <w:rFonts w:ascii="Arial" w:cs="Arial" w:eastAsia="Arial" w:hAnsi="Arial"/>
                <w:sz w:val="14"/>
                <w:szCs w:val="14"/>
                <w:b w:val="1"/>
                <w:bCs w:val="1"/>
                <w:color w:val="32406B"/>
              </w:rPr>
              <w:t>Total</w:t>
            </w:r>
          </w:p>
        </w:tc>
        <w:tc>
          <w:tcPr>
            <w:tcW w:w="200" w:type="dxa"/>
            <w:vAlign w:val="bottom"/>
          </w:tcPr>
          <w:p>
            <w:pPr>
              <w:spacing w:after="0"/>
              <w:rPr>
                <w:sz w:val="15"/>
                <w:szCs w:val="15"/>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32406B"/>
              </w:rPr>
              <w:t>Note</w:t>
            </w:r>
          </w:p>
        </w:tc>
        <w:tc>
          <w:tcPr>
            <w:tcW w:w="100" w:type="dxa"/>
            <w:vAlign w:val="bottom"/>
          </w:tcPr>
          <w:p>
            <w:pPr>
              <w:spacing w:after="0"/>
              <w:rPr>
                <w:sz w:val="15"/>
                <w:szCs w:val="15"/>
                <w:color w:val="auto"/>
              </w:rPr>
            </w:pPr>
          </w:p>
        </w:tc>
        <w:tc>
          <w:tcPr>
            <w:tcW w:w="900" w:type="dxa"/>
            <w:vAlign w:val="bottom"/>
          </w:tcPr>
          <w:p>
            <w:pPr>
              <w:jc w:val="right"/>
              <w:ind w:right="277"/>
              <w:spacing w:after="0"/>
              <w:rPr>
                <w:sz w:val="20"/>
                <w:szCs w:val="20"/>
                <w:color w:val="auto"/>
              </w:rPr>
            </w:pPr>
            <w:r>
              <w:rPr>
                <w:rFonts w:ascii="Arial" w:cs="Arial" w:eastAsia="Arial" w:hAnsi="Arial"/>
                <w:sz w:val="14"/>
                <w:szCs w:val="14"/>
                <w:b w:val="1"/>
                <w:bCs w:val="1"/>
                <w:color w:val="32406B"/>
              </w:rPr>
              <w:t>Total</w:t>
            </w:r>
          </w:p>
        </w:tc>
      </w:tr>
      <w:tr>
        <w:trPr>
          <w:trHeight w:val="95"/>
        </w:trPr>
        <w:tc>
          <w:tcPr>
            <w:tcW w:w="7520" w:type="dxa"/>
            <w:vAlign w:val="bottom"/>
          </w:tcPr>
          <w:p>
            <w:pPr>
              <w:spacing w:after="0"/>
              <w:rPr>
                <w:sz w:val="8"/>
                <w:szCs w:val="8"/>
                <w:color w:val="auto"/>
              </w:rPr>
            </w:pPr>
          </w:p>
        </w:tc>
        <w:tc>
          <w:tcPr>
            <w:tcW w:w="480" w:type="dxa"/>
            <w:vAlign w:val="bottom"/>
            <w:tcBorders>
              <w:bottom w:val="single" w:sz="8" w:color="32406B"/>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32406B"/>
            </w:tcBorders>
          </w:tcPr>
          <w:p>
            <w:pPr>
              <w:spacing w:after="0"/>
              <w:rPr>
                <w:sz w:val="8"/>
                <w:szCs w:val="8"/>
                <w:color w:val="auto"/>
              </w:rPr>
            </w:pPr>
          </w:p>
        </w:tc>
        <w:tc>
          <w:tcPr>
            <w:tcW w:w="900" w:type="dxa"/>
            <w:vAlign w:val="bottom"/>
            <w:tcBorders>
              <w:bottom w:val="single" w:sz="8" w:color="32406B"/>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32406B"/>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32406B"/>
            </w:tcBorders>
          </w:tcPr>
          <w:p>
            <w:pPr>
              <w:spacing w:after="0"/>
              <w:rPr>
                <w:sz w:val="8"/>
                <w:szCs w:val="8"/>
                <w:color w:val="auto"/>
              </w:rPr>
            </w:pPr>
          </w:p>
        </w:tc>
        <w:tc>
          <w:tcPr>
            <w:tcW w:w="900" w:type="dxa"/>
            <w:vAlign w:val="bottom"/>
            <w:tcBorders>
              <w:bottom w:val="single" w:sz="8" w:color="32406B"/>
            </w:tcBorders>
          </w:tcPr>
          <w:p>
            <w:pPr>
              <w:spacing w:after="0"/>
              <w:rPr>
                <w:sz w:val="8"/>
                <w:szCs w:val="8"/>
                <w:color w:val="auto"/>
              </w:rPr>
            </w:pPr>
          </w:p>
        </w:tc>
      </w:tr>
      <w:tr>
        <w:trPr>
          <w:trHeight w:val="309"/>
        </w:trPr>
        <w:tc>
          <w:tcPr>
            <w:tcW w:w="7520" w:type="dxa"/>
            <w:vAlign w:val="bottom"/>
          </w:tcPr>
          <w:p>
            <w:pPr>
              <w:spacing w:after="0"/>
              <w:rPr>
                <w:sz w:val="20"/>
                <w:szCs w:val="20"/>
                <w:color w:val="auto"/>
              </w:rPr>
            </w:pPr>
            <w:r>
              <w:rPr>
                <w:rFonts w:ascii="Arial" w:cs="Arial" w:eastAsia="Arial" w:hAnsi="Arial"/>
                <w:sz w:val="18"/>
                <w:szCs w:val="18"/>
                <w:color w:val="32406B"/>
              </w:rPr>
              <w:t>Public Offering Price</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32406B"/>
                <w:w w:val="84"/>
              </w:rPr>
              <w:t>99.901%</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tcPr>
          <w:p>
            <w:pPr>
              <w:jc w:val="right"/>
              <w:spacing w:after="0"/>
              <w:rPr>
                <w:sz w:val="20"/>
                <w:szCs w:val="20"/>
                <w:color w:val="auto"/>
              </w:rPr>
            </w:pPr>
            <w:r>
              <w:rPr>
                <w:rFonts w:ascii="Arial" w:cs="Arial" w:eastAsia="Arial" w:hAnsi="Arial"/>
                <w:sz w:val="18"/>
                <w:szCs w:val="18"/>
                <w:color w:val="32406B"/>
                <w:w w:val="87"/>
              </w:rPr>
              <w:t>119,881,200</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32406B"/>
              </w:rPr>
              <w:t>99.696%</w:t>
            </w:r>
          </w:p>
        </w:tc>
        <w:tc>
          <w:tcPr>
            <w:tcW w:w="10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900" w:type="dxa"/>
            <w:vAlign w:val="bottom"/>
          </w:tcPr>
          <w:p>
            <w:pPr>
              <w:jc w:val="right"/>
              <w:spacing w:after="0"/>
              <w:rPr>
                <w:sz w:val="20"/>
                <w:szCs w:val="20"/>
                <w:color w:val="auto"/>
              </w:rPr>
            </w:pPr>
            <w:r>
              <w:rPr>
                <w:rFonts w:ascii="Arial" w:cs="Arial" w:eastAsia="Arial" w:hAnsi="Arial"/>
                <w:sz w:val="18"/>
                <w:szCs w:val="18"/>
                <w:color w:val="32406B"/>
                <w:w w:val="87"/>
              </w:rPr>
              <w:t>129,604,800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32406B"/>
              </w:rPr>
              <w:t>Underwriting Discount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32406B"/>
                <w:w w:val="84"/>
              </w:rPr>
              <w:t>0.6125%</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tcPr>
          <w:p>
            <w:pPr>
              <w:jc w:val="right"/>
              <w:spacing w:after="0"/>
              <w:rPr>
                <w:sz w:val="20"/>
                <w:szCs w:val="20"/>
                <w:color w:val="auto"/>
              </w:rPr>
            </w:pPr>
            <w:r>
              <w:rPr>
                <w:rFonts w:ascii="Arial" w:cs="Arial" w:eastAsia="Arial" w:hAnsi="Arial"/>
                <w:sz w:val="18"/>
                <w:szCs w:val="18"/>
                <w:color w:val="32406B"/>
              </w:rPr>
              <w:t>735,000</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32406B"/>
              </w:rPr>
              <w:t>0.650%</w:t>
            </w:r>
          </w:p>
        </w:tc>
        <w:tc>
          <w:tcPr>
            <w:tcW w:w="10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900" w:type="dxa"/>
            <w:vAlign w:val="bottom"/>
          </w:tcPr>
          <w:p>
            <w:pPr>
              <w:jc w:val="right"/>
              <w:spacing w:after="0"/>
              <w:rPr>
                <w:sz w:val="20"/>
                <w:szCs w:val="20"/>
                <w:color w:val="auto"/>
              </w:rPr>
            </w:pPr>
            <w:r>
              <w:rPr>
                <w:rFonts w:ascii="Arial" w:cs="Arial" w:eastAsia="Arial" w:hAnsi="Arial"/>
                <w:sz w:val="18"/>
                <w:szCs w:val="18"/>
                <w:color w:val="32406B"/>
              </w:rPr>
              <w:t>845,000</w:t>
            </w: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32406B"/>
              </w:rPr>
              <w:t>Proceeds to Federal Realty (before expenses)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32406B"/>
                <w:w w:val="84"/>
              </w:rPr>
              <w:t>99.289%</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tcPr>
          <w:p>
            <w:pPr>
              <w:jc w:val="right"/>
              <w:spacing w:after="0"/>
              <w:rPr>
                <w:sz w:val="20"/>
                <w:szCs w:val="20"/>
                <w:color w:val="auto"/>
              </w:rPr>
            </w:pPr>
            <w:r>
              <w:rPr>
                <w:rFonts w:ascii="Arial" w:cs="Arial" w:eastAsia="Arial" w:hAnsi="Arial"/>
                <w:sz w:val="18"/>
                <w:szCs w:val="18"/>
                <w:color w:val="32406B"/>
                <w:w w:val="87"/>
              </w:rPr>
              <w:t>119,146,200</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32406B"/>
              </w:rPr>
              <w:t>99.046%</w:t>
            </w:r>
          </w:p>
        </w:tc>
        <w:tc>
          <w:tcPr>
            <w:tcW w:w="10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900" w:type="dxa"/>
            <w:vAlign w:val="bottom"/>
          </w:tcPr>
          <w:p>
            <w:pPr>
              <w:jc w:val="right"/>
              <w:spacing w:after="0"/>
              <w:rPr>
                <w:sz w:val="20"/>
                <w:szCs w:val="20"/>
                <w:color w:val="auto"/>
              </w:rPr>
            </w:pPr>
            <w:r>
              <w:rPr>
                <w:rFonts w:ascii="Arial" w:cs="Arial" w:eastAsia="Arial" w:hAnsi="Arial"/>
                <w:sz w:val="18"/>
                <w:szCs w:val="18"/>
                <w:color w:val="32406B"/>
                <w:w w:val="87"/>
              </w:rPr>
              <w:t>128,759,800</w:t>
            </w:r>
          </w:p>
        </w:tc>
      </w:tr>
    </w:tbl>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32406B"/>
        </w:rPr>
        <w:t>Interest on the Notes will accrue from July 17, 2006.</w:t>
      </w:r>
    </w:p>
    <w:p>
      <w:pPr>
        <w:spacing w:after="0" w:line="158" w:lineRule="exact"/>
        <w:rPr>
          <w:sz w:val="24"/>
          <w:szCs w:val="24"/>
          <w:color w:val="auto"/>
        </w:rPr>
      </w:pPr>
    </w:p>
    <w:p>
      <w:pPr>
        <w:ind w:right="200" w:firstLine="571"/>
        <w:spacing w:after="0" w:line="268" w:lineRule="auto"/>
        <w:rPr>
          <w:sz w:val="20"/>
          <w:szCs w:val="20"/>
          <w:color w:val="auto"/>
        </w:rPr>
      </w:pPr>
      <w:r>
        <w:rPr>
          <w:rFonts w:ascii="Arial" w:cs="Arial" w:eastAsia="Arial" w:hAnsi="Arial"/>
          <w:sz w:val="18"/>
          <w:szCs w:val="18"/>
          <w:color w:val="32406B"/>
        </w:rPr>
        <w:t>The underwriters expect to deliver the Notes to purchasers in book-entry only form through the facilities of The Depository Trust Company on or about July 17, 2006.</w:t>
      </w:r>
    </w:p>
    <w:p>
      <w:pPr>
        <w:spacing w:after="0" w:line="112" w:lineRule="exact"/>
        <w:rPr>
          <w:sz w:val="24"/>
          <w:szCs w:val="24"/>
          <w:color w:val="auto"/>
        </w:rPr>
      </w:pPr>
    </w:p>
    <w:p>
      <w:pPr>
        <w:ind w:right="460" w:firstLine="571"/>
        <w:spacing w:after="0" w:line="262" w:lineRule="auto"/>
        <w:rPr>
          <w:sz w:val="20"/>
          <w:szCs w:val="20"/>
          <w:color w:val="auto"/>
        </w:rPr>
      </w:pPr>
      <w:r>
        <w:rPr>
          <w:rFonts w:ascii="Arial" w:cs="Arial" w:eastAsia="Arial" w:hAnsi="Arial"/>
          <w:sz w:val="18"/>
          <w:szCs w:val="18"/>
          <w:b w:val="1"/>
          <w:bCs w:val="1"/>
          <w:color w:val="32406B"/>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32406B"/>
        </w:rPr>
        <w:t>Joint Book-Running Managers</w:t>
      </w:r>
    </w:p>
    <w:p>
      <w:pPr>
        <w:spacing w:after="0" w:line="125" w:lineRule="exact"/>
        <w:rPr>
          <w:sz w:val="24"/>
          <w:szCs w:val="24"/>
          <w:color w:val="auto"/>
        </w:rPr>
      </w:pPr>
    </w:p>
    <w:p>
      <w:pPr>
        <w:spacing w:after="0"/>
        <w:tabs>
          <w:tab w:leader="none" w:pos="10060" w:val="left"/>
        </w:tabs>
        <w:rPr>
          <w:sz w:val="20"/>
          <w:szCs w:val="20"/>
          <w:color w:val="auto"/>
        </w:rPr>
      </w:pPr>
      <w:r>
        <w:rPr>
          <w:rFonts w:ascii="Arial" w:cs="Arial" w:eastAsia="Arial" w:hAnsi="Arial"/>
          <w:sz w:val="32"/>
          <w:szCs w:val="32"/>
          <w:b w:val="1"/>
          <w:bCs w:val="1"/>
          <w:color w:val="32406B"/>
        </w:rPr>
        <w:t>Wachovia Securities</w:t>
      </w:r>
      <w:r>
        <w:rPr>
          <w:sz w:val="20"/>
          <w:szCs w:val="20"/>
          <w:color w:val="auto"/>
        </w:rPr>
        <w:tab/>
      </w:r>
      <w:r>
        <w:rPr>
          <w:rFonts w:ascii="Arial" w:cs="Arial" w:eastAsia="Arial" w:hAnsi="Arial"/>
          <w:sz w:val="30"/>
          <w:szCs w:val="30"/>
          <w:b w:val="1"/>
          <w:bCs w:val="1"/>
          <w:color w:val="32406B"/>
        </w:rPr>
        <w:t>Citigroup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135255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4"/>
          <w:szCs w:val="24"/>
          <w:color w:val="auto"/>
        </w:rPr>
      </w:pPr>
    </w:p>
    <w:p>
      <w:pPr>
        <w:spacing w:after="0"/>
        <w:rPr>
          <w:sz w:val="20"/>
          <w:szCs w:val="20"/>
          <w:color w:val="auto"/>
        </w:rPr>
      </w:pPr>
      <w:r>
        <w:rPr>
          <w:rFonts w:ascii="Arial" w:cs="Arial" w:eastAsia="Arial" w:hAnsi="Arial"/>
          <w:sz w:val="32"/>
          <w:szCs w:val="32"/>
          <w:b w:val="1"/>
          <w:bCs w:val="1"/>
          <w:color w:val="32406B"/>
        </w:rPr>
        <w:t>Bear, Stearns &amp; Co. Inc.</w:t>
      </w:r>
    </w:p>
    <w:p>
      <w:pPr>
        <w:spacing w:after="0" w:line="29" w:lineRule="exact"/>
        <w:rPr>
          <w:sz w:val="24"/>
          <w:szCs w:val="24"/>
          <w:color w:val="auto"/>
        </w:rPr>
      </w:pPr>
    </w:p>
    <w:p>
      <w:pPr>
        <w:ind w:left="440"/>
        <w:spacing w:after="0"/>
        <w:rPr>
          <w:sz w:val="20"/>
          <w:szCs w:val="20"/>
          <w:color w:val="auto"/>
        </w:rPr>
      </w:pPr>
      <w:r>
        <w:rPr>
          <w:rFonts w:ascii="Arial" w:cs="Arial" w:eastAsia="Arial" w:hAnsi="Arial"/>
          <w:sz w:val="32"/>
          <w:szCs w:val="32"/>
          <w:b w:val="1"/>
          <w:bCs w:val="1"/>
          <w:color w:val="32406B"/>
        </w:rPr>
        <w:t>Commerzbank Corporates &amp; Markets</w:t>
      </w:r>
    </w:p>
    <w:p>
      <w:pPr>
        <w:ind w:left="4800"/>
        <w:spacing w:after="0" w:line="237" w:lineRule="auto"/>
        <w:rPr>
          <w:sz w:val="20"/>
          <w:szCs w:val="20"/>
          <w:color w:val="auto"/>
        </w:rPr>
      </w:pPr>
      <w:r>
        <w:rPr>
          <w:rFonts w:ascii="Arial" w:cs="Arial" w:eastAsia="Arial" w:hAnsi="Arial"/>
          <w:sz w:val="32"/>
          <w:szCs w:val="32"/>
          <w:b w:val="1"/>
          <w:bCs w:val="1"/>
          <w:color w:val="32406B"/>
        </w:rPr>
        <w:t>Piper Jaffray</w:t>
      </w:r>
    </w:p>
    <w:p>
      <w:pPr>
        <w:ind w:left="4900"/>
        <w:spacing w:after="0" w:line="238" w:lineRule="auto"/>
        <w:rPr>
          <w:sz w:val="20"/>
          <w:szCs w:val="20"/>
          <w:color w:val="auto"/>
        </w:rPr>
      </w:pPr>
      <w:r>
        <w:rPr>
          <w:rFonts w:ascii="Arial" w:cs="Arial" w:eastAsia="Arial" w:hAnsi="Arial"/>
          <w:sz w:val="32"/>
          <w:szCs w:val="32"/>
          <w:b w:val="1"/>
          <w:bCs w:val="1"/>
          <w:color w:val="32406B"/>
        </w:rPr>
        <w:t>PNC Capital Markets LLC</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32"/>
          <w:szCs w:val="32"/>
          <w:b w:val="1"/>
          <w:bCs w:val="1"/>
          <w:color w:val="32406B"/>
        </w:rPr>
        <w:t>SunTrust Robinson Humphrey</w:t>
      </w:r>
    </w:p>
    <w:p>
      <w:pPr>
        <w:sectPr>
          <w:pgSz w:w="11900" w:h="16838" w:orient="portrait"/>
          <w:cols w:equalWidth="0" w:num="1">
            <w:col w:w="11420"/>
          </w:cols>
          <w:pgMar w:left="240" w:top="230" w:right="239" w:bottom="1440" w:gutter="0" w:footer="0" w:header="0"/>
        </w:sectPr>
      </w:pP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32406B"/>
        </w:rPr>
        <w:t>The date of this prospectus supplement is July 12, 2006.</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tbl>
      <w:tblPr>
        <w:tblLayout w:type="fixed"/>
        <w:tblInd w:w="0" w:type="dxa"/>
        <w:tblCellMar>
          <w:top w:w="0" w:type="dxa"/>
          <w:left w:w="0" w:type="dxa"/>
          <w:bottom w:w="0" w:type="dxa"/>
          <w:right w:w="0" w:type="dxa"/>
        </w:tblCellMar>
      </w:tblPr>
      <w:tr>
        <w:trPr>
          <w:trHeight w:val="159"/>
        </w:trPr>
        <w:tc>
          <w:tcPr>
            <w:tcW w:w="23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0"/>
              </w:rPr>
              <w:t>Proposed</w:t>
            </w:r>
          </w:p>
        </w:tc>
        <w:tc>
          <w:tcPr>
            <w:tcW w:w="580" w:type="dxa"/>
            <w:vAlign w:val="bottom"/>
          </w:tcPr>
          <w:p>
            <w:pPr>
              <w:spacing w:after="0"/>
              <w:rPr>
                <w:sz w:val="13"/>
                <w:szCs w:val="13"/>
                <w:color w:val="auto"/>
              </w:rPr>
            </w:pPr>
          </w:p>
        </w:tc>
        <w:tc>
          <w:tcPr>
            <w:tcW w:w="1560" w:type="dxa"/>
            <w:vAlign w:val="bottom"/>
            <w:gridSpan w:val="2"/>
          </w:tcPr>
          <w:p>
            <w:pPr>
              <w:jc w:val="center"/>
              <w:ind w:right="580"/>
              <w:spacing w:after="0" w:line="159" w:lineRule="exact"/>
              <w:rPr>
                <w:sz w:val="20"/>
                <w:szCs w:val="20"/>
                <w:color w:val="auto"/>
              </w:rPr>
            </w:pPr>
            <w:r>
              <w:rPr>
                <w:rFonts w:ascii="Arial" w:cs="Arial" w:eastAsia="Arial" w:hAnsi="Arial"/>
                <w:sz w:val="14"/>
                <w:szCs w:val="14"/>
                <w:b w:val="1"/>
                <w:bCs w:val="1"/>
                <w:color w:val="auto"/>
                <w:w w:val="83"/>
              </w:rPr>
              <w:t>Proposed</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3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580" w:type="dxa"/>
            <w:vAlign w:val="bottom"/>
          </w:tcPr>
          <w:p>
            <w:pPr>
              <w:spacing w:after="0"/>
              <w:rPr>
                <w:sz w:val="12"/>
                <w:szCs w:val="12"/>
                <w:color w:val="auto"/>
              </w:rPr>
            </w:pPr>
          </w:p>
        </w:tc>
        <w:tc>
          <w:tcPr>
            <w:tcW w:w="15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Maximum</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3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w:t>
            </w:r>
          </w:p>
        </w:tc>
        <w:tc>
          <w:tcPr>
            <w:tcW w:w="580" w:type="dxa"/>
            <w:vAlign w:val="bottom"/>
          </w:tcPr>
          <w:p>
            <w:pPr>
              <w:spacing w:after="0"/>
              <w:rPr>
                <w:sz w:val="12"/>
                <w:szCs w:val="12"/>
                <w:color w:val="auto"/>
              </w:rPr>
            </w:pPr>
          </w:p>
        </w:tc>
        <w:tc>
          <w:tcPr>
            <w:tcW w:w="15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Aggregate</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3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20" w:type="dxa"/>
            <w:vAlign w:val="bottom"/>
          </w:tcPr>
          <w:p>
            <w:pPr>
              <w:jc w:val="right"/>
              <w:ind w:right="84"/>
              <w:spacing w:after="0" w:line="149" w:lineRule="exact"/>
              <w:rPr>
                <w:sz w:val="20"/>
                <w:szCs w:val="20"/>
                <w:color w:val="auto"/>
              </w:rPr>
            </w:pPr>
            <w:r>
              <w:rPr>
                <w:rFonts w:ascii="Arial" w:cs="Arial" w:eastAsia="Arial" w:hAnsi="Arial"/>
                <w:sz w:val="14"/>
                <w:szCs w:val="14"/>
                <w:b w:val="1"/>
                <w:bCs w:val="1"/>
                <w:color w:val="auto"/>
              </w:rPr>
              <w:t>to be</w:t>
            </w:r>
          </w:p>
        </w:tc>
        <w:tc>
          <w:tcPr>
            <w:tcW w:w="5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Per</w:t>
            </w:r>
          </w:p>
        </w:tc>
        <w:tc>
          <w:tcPr>
            <w:tcW w:w="580" w:type="dxa"/>
            <w:vAlign w:val="bottom"/>
          </w:tcPr>
          <w:p>
            <w:pPr>
              <w:spacing w:after="0"/>
              <w:rPr>
                <w:sz w:val="12"/>
                <w:szCs w:val="12"/>
                <w:color w:val="auto"/>
              </w:rPr>
            </w:pPr>
          </w:p>
        </w:tc>
        <w:tc>
          <w:tcPr>
            <w:tcW w:w="15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Offering</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4"/>
        </w:trPr>
        <w:tc>
          <w:tcPr>
            <w:tcW w:w="670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2"/>
              </w:rPr>
              <w:t>Registered</w:t>
            </w:r>
          </w:p>
        </w:tc>
        <w:tc>
          <w:tcPr>
            <w:tcW w:w="5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Security</w:t>
            </w:r>
          </w:p>
        </w:tc>
        <w:tc>
          <w:tcPr>
            <w:tcW w:w="580" w:type="dxa"/>
            <w:vAlign w:val="bottom"/>
          </w:tcPr>
          <w:p>
            <w:pPr>
              <w:spacing w:after="0"/>
              <w:rPr>
                <w:sz w:val="15"/>
                <w:szCs w:val="15"/>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Price(1)</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Fee(2)</w:t>
            </w:r>
          </w:p>
        </w:tc>
      </w:tr>
      <w:tr>
        <w:trPr>
          <w:trHeight w:val="95"/>
        </w:trPr>
        <w:tc>
          <w:tcPr>
            <w:tcW w:w="238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309"/>
        </w:trPr>
        <w:tc>
          <w:tcPr>
            <w:tcW w:w="6700" w:type="dxa"/>
            <w:vAlign w:val="bottom"/>
            <w:gridSpan w:val="2"/>
          </w:tcPr>
          <w:p>
            <w:pPr>
              <w:spacing w:after="0"/>
              <w:rPr>
                <w:sz w:val="20"/>
                <w:szCs w:val="20"/>
                <w:color w:val="auto"/>
              </w:rPr>
            </w:pPr>
            <w:r>
              <w:rPr>
                <w:rFonts w:ascii="Arial" w:cs="Arial" w:eastAsia="Arial" w:hAnsi="Arial"/>
                <w:sz w:val="18"/>
                <w:szCs w:val="18"/>
                <w:color w:val="auto"/>
              </w:rPr>
              <w:t>6.00% Notes due 2012</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88"/>
              </w:rPr>
              <w:t>$120,000,000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6.20% Notes due 2017</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2140" w:type="dxa"/>
            <w:vAlign w:val="bottom"/>
            <w:gridSpan w:val="3"/>
          </w:tcPr>
          <w:p>
            <w:pPr>
              <w:jc w:val="center"/>
              <w:spacing w:after="0"/>
              <w:rPr>
                <w:sz w:val="20"/>
                <w:szCs w:val="20"/>
                <w:color w:val="auto"/>
              </w:rPr>
            </w:pPr>
            <w:r>
              <w:rPr>
                <w:rFonts w:ascii="Arial" w:cs="Arial" w:eastAsia="Arial" w:hAnsi="Arial"/>
                <w:sz w:val="18"/>
                <w:szCs w:val="18"/>
                <w:color w:val="auto"/>
                <w:w w:val="88"/>
              </w:rPr>
              <w:t>$130,000,000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maximum aggregate offering price of both the 6.00% Notes due 2012 and the 6.20% Notes due 2017 is $250,000,000.</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in accordance with Rule 457(r) and Rule 457(o) of the Securities Act.</w:t>
      </w:r>
    </w:p>
    <w:p>
      <w:pPr>
        <w:spacing w:after="0" w:line="9" w:lineRule="exact"/>
        <w:rPr>
          <w:rFonts w:ascii="Arial" w:cs="Arial" w:eastAsia="Arial" w:hAnsi="Arial"/>
          <w:sz w:val="18"/>
          <w:szCs w:val="18"/>
          <w:color w:val="auto"/>
        </w:rPr>
      </w:pPr>
    </w:p>
    <w:p>
      <w:pPr>
        <w:ind w:left="580" w:right="160" w:hanging="572"/>
        <w:spacing w:after="0" w:line="292"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registration fee with respect to the aggregate offering price of $250,000,000 is $26,750, which is partially offset by $9,200 which has already been paid; the registrant paid the remaining $17,550 in connection with the filing of the preliminary prospectus supplement on July 12, 2006. In accordance with Rules 456(b) and 457(r), upon filing of its Registration Statement on Form S-3, the registrant deferred payment of all of the registration fee, except for $9,200 that had already been paid with respect to the $100,000,000 aggregate initial offering price of securities that were previously registered pursuant to Registration Statement No. 333-100819 filed by Federal Realty Investment Trust on October 29, 2002 and that were not sold thereunder.</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571"/>
        <w:spacing w:after="0" w:line="296"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and the accompanying prospectus. We have not, and the underwriters have not, authorized anyone to provide you with different information. We are not making an offer of these securities in any state where the offer is not permitted. You should assume that the information contained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137795</wp:posOffset>
            </wp:positionV>
            <wp:extent cx="13976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Cautionary Statement Concerning Forward-Looking Statements</w:t>
              </w:r>
            </w:hyperlink>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6"/>
          </w:tcPr>
          <w:p>
            <w:pPr>
              <w:spacing w:after="0"/>
              <w:rPr>
                <w:sz w:val="17"/>
                <w:szCs w:val="17"/>
                <w:color w:val="auto"/>
              </w:rPr>
            </w:pPr>
          </w:p>
        </w:tc>
        <w:tc>
          <w:tcPr>
            <w:tcW w:w="65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S-1</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1016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S-5</w:t>
            </w: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S-7</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Ratios of Earnings to Fixed Charges</w:t>
              </w:r>
            </w:hyperlink>
          </w:p>
        </w:tc>
        <w:tc>
          <w:tcPr>
            <w:tcW w:w="85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S-7</w:t>
            </w:r>
          </w:p>
        </w:tc>
      </w:tr>
      <w:tr>
        <w:trPr>
          <w:trHeight w:val="196"/>
        </w:trPr>
        <w:tc>
          <w:tcPr>
            <w:tcW w:w="14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Description of Notes</w:t>
              </w:r>
            </w:hyperlink>
          </w:p>
        </w:tc>
        <w:tc>
          <w:tcPr>
            <w:tcW w:w="958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S-8</w:t>
            </w:r>
          </w:p>
        </w:tc>
      </w:tr>
      <w:tr>
        <w:trPr>
          <w:trHeight w:val="196"/>
        </w:trPr>
        <w:tc>
          <w:tcPr>
            <w:tcW w:w="30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Certain Federal Income Tax Considerations</w:t>
              </w:r>
            </w:hyperlink>
          </w:p>
        </w:tc>
        <w:tc>
          <w:tcPr>
            <w:tcW w:w="7980" w:type="dxa"/>
            <w:vAlign w:val="bottom"/>
            <w:gridSpan w:val="3"/>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S-14</w:t>
            </w: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Underwriting</w:t>
              </w:r>
            </w:hyperlink>
          </w:p>
        </w:tc>
        <w:tc>
          <w:tcPr>
            <w:tcW w:w="10100" w:type="dxa"/>
            <w:vAlign w:val="bottom"/>
            <w:gridSpan w:val="15"/>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S-17</w:t>
            </w: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S-18</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Legal Matters</w:t>
              </w:r>
            </w:hyperlink>
          </w:p>
        </w:tc>
        <w:tc>
          <w:tcPr>
            <w:tcW w:w="10060" w:type="dxa"/>
            <w:vAlign w:val="bottom"/>
            <w:gridSpan w:val="14"/>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S-18</w:t>
            </w: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Where You Can Find More Information</w:t>
              </w:r>
            </w:hyperlink>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S-19</w:t>
            </w:r>
          </w:p>
        </w:tc>
      </w:tr>
      <w:tr>
        <w:trPr>
          <w:trHeight w:val="383"/>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560" w:type="dxa"/>
            <w:vAlign w:val="bottom"/>
            <w:gridSpan w:val="2"/>
          </w:tcPr>
          <w:p>
            <w:pPr>
              <w:ind w:left="800"/>
              <w:spacing w:after="0"/>
              <w:rPr>
                <w:sz w:val="20"/>
                <w:szCs w:val="20"/>
                <w:color w:val="auto"/>
              </w:rPr>
            </w:pPr>
            <w:r>
              <w:rPr>
                <w:rFonts w:ascii="Arial" w:cs="Arial" w:eastAsia="Arial" w:hAnsi="Arial"/>
                <w:sz w:val="18"/>
                <w:szCs w:val="18"/>
                <w:b w:val="1"/>
                <w:bCs w:val="1"/>
                <w:color w:val="auto"/>
              </w:rPr>
              <w:t>Prospectus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Forward-Looking Information</w:t>
              </w:r>
            </w:hyperlink>
          </w:p>
        </w:tc>
        <w:tc>
          <w:tcPr>
            <w:tcW w:w="8920" w:type="dxa"/>
            <w:vAlign w:val="bottom"/>
            <w:gridSpan w:val="9"/>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The Company</w:t>
              </w:r>
            </w:hyperlink>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554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Ratios of Earnings to Combined Fixed Charges and Preferred Share Dividends</w:t>
              </w:r>
            </w:hyperlink>
          </w:p>
        </w:tc>
        <w:tc>
          <w:tcPr>
            <w:tcW w:w="552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Description of Debt Securities</w:t>
              </w:r>
            </w:hyperlink>
          </w:p>
        </w:tc>
        <w:tc>
          <w:tcPr>
            <w:tcW w:w="8920" w:type="dxa"/>
            <w:vAlign w:val="bottom"/>
            <w:gridSpan w:val="9"/>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0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Description of Shares of Beneficial Interest</w:t>
              </w:r>
            </w:hyperlink>
          </w:p>
        </w:tc>
        <w:tc>
          <w:tcPr>
            <w:tcW w:w="8000" w:type="dxa"/>
            <w:vAlign w:val="bottom"/>
            <w:gridSpan w:val="4"/>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85"/>
              </w:rPr>
            </w:pPr>
            <w:hyperlink w:anchor="page56">
              <w:r>
                <w:rPr>
                  <w:rFonts w:ascii="Arial" w:cs="Arial" w:eastAsia="Arial" w:hAnsi="Arial"/>
                  <w:sz w:val="18"/>
                  <w:szCs w:val="18"/>
                  <w:color w:val="0000EE"/>
                  <w:w w:val="85"/>
                </w:rPr>
                <w:t>Federal Income Tax Consequences</w:t>
              </w:r>
            </w:hyperlink>
          </w:p>
        </w:tc>
        <w:tc>
          <w:tcPr>
            <w:tcW w:w="8600" w:type="dxa"/>
            <w:vAlign w:val="bottom"/>
            <w:gridSpan w:val="7"/>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Plan of Distribution</w:t>
              </w:r>
            </w:hyperlink>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Legal Matters</w:t>
              </w:r>
            </w:hyperlink>
          </w:p>
        </w:tc>
        <w:tc>
          <w:tcPr>
            <w:tcW w:w="9660" w:type="dxa"/>
            <w:vAlign w:val="bottom"/>
            <w:gridSpan w:val="12"/>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Experts</w:t>
              </w:r>
            </w:hyperlink>
          </w:p>
        </w:tc>
        <w:tc>
          <w:tcPr>
            <w:tcW w:w="10060" w:type="dxa"/>
            <w:vAlign w:val="bottom"/>
            <w:gridSpan w:val="14"/>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826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Where You Can Find More Information</w:t>
              </w:r>
            </w:hyperlink>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64"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Section 21E of the Securities Exchange Act of 1934 and the Private Securities Litigation Reform Act of 1995. In particular, the risk factors included or incorporated by reference in this prospectus supplement and the accompanying prospectus describe forward-looking information. The risk factors, including those contained in our Annual Report on Form 10-K filed with the Securities and Exchange Commission, or the SEC, on March 3, 2006 and amended on March 10, 2006,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25" w:lineRule="exact"/>
        <w:rPr>
          <w:sz w:val="20"/>
          <w:szCs w:val="20"/>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color w:val="auto"/>
        </w:rPr>
      </w:pPr>
    </w:p>
    <w:p>
      <w:pPr>
        <w:ind w:left="800" w:right="500" w:hanging="225"/>
        <w:spacing w:after="0" w:line="325"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1" w:lineRule="exact"/>
        <w:rPr>
          <w:rFonts w:ascii="Arial" w:cs="Arial" w:eastAsia="Arial" w:hAnsi="Arial"/>
          <w:sz w:val="16"/>
          <w:szCs w:val="16"/>
          <w:color w:val="auto"/>
        </w:rPr>
      </w:pPr>
    </w:p>
    <w:p>
      <w:pPr>
        <w:ind w:left="800" w:right="120" w:hanging="225"/>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5" w:lineRule="exact"/>
        <w:rPr>
          <w:rFonts w:ascii="Arial" w:cs="Arial" w:eastAsia="Arial" w:hAnsi="Arial"/>
          <w:sz w:val="18"/>
          <w:szCs w:val="18"/>
          <w:color w:val="auto"/>
        </w:rPr>
      </w:pPr>
    </w:p>
    <w:p>
      <w:pPr>
        <w:ind w:left="1260" w:hanging="455"/>
        <w:spacing w:after="0"/>
        <w:tabs>
          <w:tab w:leader="none" w:pos="1260" w:val="left"/>
        </w:tabs>
        <w:numPr>
          <w:ilvl w:val="1"/>
          <w:numId w:val="3"/>
        </w:numPr>
        <w:rPr>
          <w:rFonts w:ascii="Arial" w:cs="Arial" w:eastAsia="Arial" w:hAnsi="Arial"/>
          <w:sz w:val="27"/>
          <w:szCs w:val="27"/>
          <w:color w:val="auto"/>
          <w:vertAlign w:val="superscript"/>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02" w:lineRule="exact"/>
        <w:rPr>
          <w:rFonts w:ascii="Arial" w:cs="Arial" w:eastAsia="Arial" w:hAnsi="Arial"/>
          <w:sz w:val="27"/>
          <w:szCs w:val="27"/>
          <w:color w:val="auto"/>
          <w:vertAlign w:val="superscript"/>
        </w:rPr>
      </w:pPr>
    </w:p>
    <w:p>
      <w:pPr>
        <w:ind w:left="1260" w:hanging="455"/>
        <w:spacing w:after="0" w:line="181" w:lineRule="auto"/>
        <w:tabs>
          <w:tab w:leader="none" w:pos="1260" w:val="left"/>
        </w:tabs>
        <w:numPr>
          <w:ilvl w:val="1"/>
          <w:numId w:val="3"/>
        </w:numPr>
        <w:rPr>
          <w:rFonts w:ascii="Arial" w:cs="Arial" w:eastAsia="Arial" w:hAnsi="Arial"/>
          <w:sz w:val="24"/>
          <w:szCs w:val="24"/>
          <w:color w:val="auto"/>
          <w:vertAlign w:val="superscript"/>
        </w:rPr>
      </w:pPr>
      <w:r>
        <w:rPr>
          <w:rFonts w:ascii="Arial" w:cs="Arial" w:eastAsia="Arial" w:hAnsi="Arial"/>
          <w:sz w:val="16"/>
          <w:szCs w:val="16"/>
          <w:color w:val="auto"/>
        </w:rPr>
        <w:t>new acquisitions may fail to perform as expected,</w:t>
      </w:r>
    </w:p>
    <w:p>
      <w:pPr>
        <w:spacing w:after="0" w:line="102" w:lineRule="exact"/>
        <w:rPr>
          <w:rFonts w:ascii="Arial" w:cs="Arial" w:eastAsia="Arial" w:hAnsi="Arial"/>
          <w:sz w:val="24"/>
          <w:szCs w:val="24"/>
          <w:color w:val="auto"/>
          <w:vertAlign w:val="superscript"/>
        </w:rPr>
      </w:pPr>
    </w:p>
    <w:p>
      <w:pPr>
        <w:ind w:left="1260" w:hanging="455"/>
        <w:spacing w:after="0" w:line="181" w:lineRule="auto"/>
        <w:tabs>
          <w:tab w:leader="none" w:pos="1260" w:val="left"/>
        </w:tabs>
        <w:numPr>
          <w:ilvl w:val="1"/>
          <w:numId w:val="3"/>
        </w:numPr>
        <w:rPr>
          <w:rFonts w:ascii="Arial" w:cs="Arial" w:eastAsia="Arial" w:hAnsi="Arial"/>
          <w:sz w:val="24"/>
          <w:szCs w:val="24"/>
          <w:color w:val="auto"/>
          <w:vertAlign w:val="superscript"/>
        </w:rPr>
      </w:pPr>
      <w:r>
        <w:rPr>
          <w:rFonts w:ascii="Arial" w:cs="Arial" w:eastAsia="Arial" w:hAnsi="Arial"/>
          <w:sz w:val="16"/>
          <w:szCs w:val="16"/>
          <w:color w:val="auto"/>
        </w:rPr>
        <w:t>competition for acquisitions could result in increased prices for acquisitions,</w:t>
      </w:r>
    </w:p>
    <w:p>
      <w:pPr>
        <w:spacing w:after="0" w:line="102" w:lineRule="exact"/>
        <w:rPr>
          <w:rFonts w:ascii="Arial" w:cs="Arial" w:eastAsia="Arial" w:hAnsi="Arial"/>
          <w:sz w:val="24"/>
          <w:szCs w:val="24"/>
          <w:color w:val="auto"/>
          <w:vertAlign w:val="superscript"/>
        </w:rPr>
      </w:pPr>
    </w:p>
    <w:p>
      <w:pPr>
        <w:ind w:left="1260" w:hanging="455"/>
        <w:spacing w:after="0" w:line="181" w:lineRule="auto"/>
        <w:tabs>
          <w:tab w:leader="none" w:pos="1260" w:val="left"/>
        </w:tabs>
        <w:numPr>
          <w:ilvl w:val="1"/>
          <w:numId w:val="3"/>
        </w:numPr>
        <w:rPr>
          <w:rFonts w:ascii="Arial" w:cs="Arial" w:eastAsia="Arial" w:hAnsi="Arial"/>
          <w:sz w:val="24"/>
          <w:szCs w:val="24"/>
          <w:color w:val="auto"/>
          <w:vertAlign w:val="superscript"/>
        </w:rPr>
      </w:pPr>
      <w:r>
        <w:rPr>
          <w:rFonts w:ascii="Arial" w:cs="Arial" w:eastAsia="Arial" w:hAnsi="Arial"/>
          <w:sz w:val="16"/>
          <w:szCs w:val="16"/>
          <w:color w:val="auto"/>
        </w:rPr>
        <w:t>environmental issues may develop at our properties and result in unanticipated costs, and</w:t>
      </w:r>
    </w:p>
    <w:p>
      <w:pPr>
        <w:spacing w:after="0" w:line="102" w:lineRule="exact"/>
        <w:rPr>
          <w:rFonts w:ascii="Arial" w:cs="Arial" w:eastAsia="Arial" w:hAnsi="Arial"/>
          <w:sz w:val="24"/>
          <w:szCs w:val="24"/>
          <w:color w:val="auto"/>
          <w:vertAlign w:val="superscript"/>
        </w:rPr>
      </w:pPr>
    </w:p>
    <w:p>
      <w:pPr>
        <w:ind w:left="1260" w:hanging="455"/>
        <w:spacing w:after="0" w:line="181" w:lineRule="auto"/>
        <w:tabs>
          <w:tab w:leader="none" w:pos="1260" w:val="left"/>
        </w:tabs>
        <w:numPr>
          <w:ilvl w:val="1"/>
          <w:numId w:val="3"/>
        </w:numPr>
        <w:rPr>
          <w:rFonts w:ascii="Arial" w:cs="Arial" w:eastAsia="Arial" w:hAnsi="Arial"/>
          <w:sz w:val="24"/>
          <w:szCs w:val="24"/>
          <w:color w:val="auto"/>
          <w:vertAlign w:val="superscript"/>
        </w:rPr>
      </w:pPr>
      <w:r>
        <w:rPr>
          <w:rFonts w:ascii="Arial" w:cs="Arial" w:eastAsia="Arial" w:hAnsi="Arial"/>
          <w:sz w:val="16"/>
          <w:szCs w:val="16"/>
          <w:color w:val="auto"/>
        </w:rPr>
        <w:t>because real estate is illiquid, we may not be able to sell properties when appropriate;</w:t>
      </w:r>
    </w:p>
    <w:p>
      <w:pPr>
        <w:spacing w:after="0" w:line="102" w:lineRule="exact"/>
        <w:rPr>
          <w:rFonts w:ascii="Arial" w:cs="Arial" w:eastAsia="Arial" w:hAnsi="Arial"/>
          <w:sz w:val="24"/>
          <w:szCs w:val="24"/>
          <w:color w:val="auto"/>
          <w:vertAlign w:val="superscript"/>
        </w:rPr>
      </w:pPr>
    </w:p>
    <w:p>
      <w:pPr>
        <w:ind w:left="800" w:hanging="22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89" w:lineRule="exact"/>
        <w:rPr>
          <w:rFonts w:ascii="Arial" w:cs="Arial" w:eastAsia="Arial" w:hAnsi="Arial"/>
          <w:sz w:val="18"/>
          <w:szCs w:val="18"/>
          <w:color w:val="auto"/>
        </w:rPr>
      </w:pPr>
    </w:p>
    <w:p>
      <w:pPr>
        <w:ind w:left="800" w:right="240" w:hanging="225"/>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800" w:right="240" w:hanging="225"/>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PROSPECTUS SUPPLEMENT SUMMARY</w:t>
      </w:r>
    </w:p>
    <w:p>
      <w:pPr>
        <w:spacing w:after="0" w:line="164" w:lineRule="exact"/>
        <w:rPr>
          <w:sz w:val="20"/>
          <w:szCs w:val="20"/>
          <w:color w:val="auto"/>
        </w:rPr>
      </w:pPr>
    </w:p>
    <w:p>
      <w:pPr>
        <w:ind w:left="240" w:right="20"/>
        <w:spacing w:after="0" w:line="370" w:lineRule="auto"/>
        <w:rPr>
          <w:sz w:val="20"/>
          <w:szCs w:val="20"/>
          <w:color w:val="auto"/>
        </w:rPr>
      </w:pPr>
      <w:r>
        <w:rPr>
          <w:rFonts w:ascii="Arial" w:cs="Arial" w:eastAsia="Arial" w:hAnsi="Arial"/>
          <w:sz w:val="15"/>
          <w:szCs w:val="15"/>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Trust</w:t>
      </w:r>
    </w:p>
    <w:p>
      <w:pPr>
        <w:spacing w:after="0" w:line="164"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high-quality retail and mixed-use properties. As of March 31, 2006, we owned or had an interest in 104 community and neighborhood shopping centers, and mixed-use properties comprising approximately 17.6 million square feet, located primarily in densely populated and affluent communities throughout the Northeast and Mid-Atlantic United States, as well as California, and one apartment complex in Maryland. A joint venture in which we own a 30% interest owned four neighborhood shopping centers totaling approximately 0.5 million square feet as of March 31, 2006.</w:t>
      </w:r>
    </w:p>
    <w:p>
      <w:pPr>
        <w:spacing w:after="0" w:line="102"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We operate in a manner intended to qualify as a real estate investment trust for tax purposes pursuant to provisions of the Internal Revenue Code. Our offices are located at 1626 East Jefferson Street, Rockville, Maryland 20852. Our telephone number is (301) 998-8100 or (800) 658-8980. Our website address is www.federalrealty.com. The information contained on our website is not a part of this prospectus supplement.</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jc w:val="both"/>
        <w:ind w:right="120" w:firstLine="571"/>
        <w:spacing w:after="0" w:line="259"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ectPr>
          <w:pgSz w:w="11900" w:h="16838" w:orient="portrait"/>
          <w:cols w:equalWidth="0" w:num="1">
            <w:col w:w="11360"/>
          </w:cols>
          <w:pgMar w:left="240" w:top="459" w:right="29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$120 million aggregate principal amount of 6.00% Notes due 2012, and $130 million aggregate principal amount of 6.20% Notes due 2017.</w:t>
      </w:r>
    </w:p>
    <w:p>
      <w:pPr>
        <w:spacing w:after="0" w:line="8" w:lineRule="exact"/>
        <w:rPr>
          <w:sz w:val="20"/>
          <w:szCs w:val="20"/>
          <w:color w:val="auto"/>
        </w:rPr>
      </w:pPr>
    </w:p>
    <w:p>
      <w:pPr>
        <w:sectPr>
          <w:pgSz w:w="11900" w:h="16838" w:orient="portrait"/>
          <w:cols w:equalWidth="0" w:num="2">
            <w:col w:w="5340" w:space="720"/>
            <w:col w:w="530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Unless redeemed prior to maturity as described below, the 2012 Notes will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mature on July 15, 2012, and the 2017 Notes will mature on January 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11" w:lineRule="exact"/>
        <w:rPr>
          <w:sz w:val="20"/>
          <w:szCs w:val="20"/>
          <w:color w:val="auto"/>
        </w:rPr>
      </w:pPr>
    </w:p>
    <w:p>
      <w:pPr>
        <w:sectPr>
          <w:pgSz w:w="11900" w:h="16838" w:orient="portrait"/>
          <w:cols w:equalWidth="0" w:num="2">
            <w:col w:w="5340" w:space="720"/>
            <w:col w:w="5300"/>
          </w:cols>
          <w:pgMar w:left="240" w:top="459" w:right="29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332" w:lineRule="auto"/>
        <w:rPr>
          <w:sz w:val="20"/>
          <w:szCs w:val="20"/>
          <w:color w:val="auto"/>
        </w:rPr>
      </w:pPr>
      <w:r>
        <w:rPr>
          <w:rFonts w:ascii="Arial" w:cs="Arial" w:eastAsia="Arial" w:hAnsi="Arial"/>
          <w:sz w:val="16"/>
          <w:szCs w:val="16"/>
          <w:color w:val="auto"/>
        </w:rPr>
        <w:t>Interest on the notes will be payable semi-annually in arrears on January 15 and July 15, commencing January 15, 2007, and at maturity.</w:t>
      </w:r>
    </w:p>
    <w:p>
      <w:pPr>
        <w:spacing w:after="0" w:line="31" w:lineRule="exact"/>
        <w:rPr>
          <w:sz w:val="20"/>
          <w:szCs w:val="20"/>
          <w:color w:val="auto"/>
        </w:rPr>
      </w:pPr>
    </w:p>
    <w:p>
      <w:pPr>
        <w:sectPr>
          <w:pgSz w:w="11900" w:h="16838" w:orient="portrait"/>
          <w:cols w:equalWidth="0" w:num="2">
            <w:col w:w="5340" w:space="720"/>
            <w:col w:w="530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unsubordinated indebtedness, and the notes will be effectively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subordinated to the prior claims of each secured mortgage lender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specific property which secures such lender’s mortgage and to all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unsecured indebtedness issued by our subsidiaries. After giving effect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offering and to the use of proceeds from this offering, we will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approximately $269 million of secured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collateralized by all or parts of 13 properties, approximately $11 million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unsecured indebtedness issued by our subsidiaries and approximately $967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of other unsecured indebtedness ranking equally with the notes.</w:t>
      </w:r>
    </w:p>
    <w:p>
      <w:pPr>
        <w:spacing w:after="0" w:line="174" w:lineRule="exact"/>
        <w:rPr>
          <w:sz w:val="20"/>
          <w:szCs w:val="20"/>
          <w:color w:val="auto"/>
        </w:rPr>
      </w:pPr>
    </w:p>
    <w:p>
      <w:pPr>
        <w:sectPr>
          <w:pgSz w:w="11900" w:h="16838" w:orient="portrait"/>
          <w:cols w:equalWidth="0" w:num="2">
            <w:col w:w="5340" w:space="720"/>
            <w:col w:w="5300"/>
          </w:cols>
          <w:pgMar w:left="240" w:top="459" w:right="299" w:bottom="1440" w:gutter="0" w:footer="0" w:header="0"/>
          <w:type w:val="continuous"/>
        </w:sectPr>
      </w:pPr>
    </w:p>
    <w:p>
      <w:pPr>
        <w:jc w:val="center"/>
        <w:ind w:right="-79"/>
        <w:spacing w:after="0"/>
        <w:rPr>
          <w:sz w:val="20"/>
          <w:szCs w:val="20"/>
          <w:color w:val="auto"/>
        </w:rPr>
      </w:pPr>
      <w:r>
        <w:rPr>
          <w:rFonts w:ascii="Arial" w:cs="Arial" w:eastAsia="Arial" w:hAnsi="Arial"/>
          <w:sz w:val="15"/>
          <w:szCs w:val="15"/>
          <w:color w:val="auto"/>
        </w:rPr>
        <w:t>S-1</w:t>
      </w:r>
    </w:p>
    <w:p>
      <w:pPr>
        <w:sectPr>
          <w:pgSz w:w="11900" w:h="16838" w:orient="portrait"/>
          <w:cols w:equalWidth="0" w:num="1">
            <w:col w:w="11360"/>
          </w:cols>
          <w:pgMar w:left="240" w:top="459" w:right="29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net proceeds from this offering are estimated to be $247.6 million after deducting the underwriting discount and other estimated expenses of this offering. We expect to use these net proceeds to reduce amounts outstanding under our unsecured credit facility, including our $150 million five-year term loan and our $100 million three-year term loan, and for general corporate purposes. See “Use of Proceeds” on page S-7 for more information.</w:t>
      </w:r>
    </w:p>
    <w:p>
      <w:pPr>
        <w:spacing w:after="0" w:line="64"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Limitations on Incurrence of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contain various covenants, including the following:</w:t>
      </w:r>
    </w:p>
    <w:p>
      <w:pPr>
        <w:spacing w:after="0" w:line="100"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(1) we will not, and will not permit any subsidiary to, incur any Debt if,</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immediately after giving effect to the incurrence of such Debt and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application of the proceeds thereof, the aggregate principal amount of all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our outstanding Debt and our subsidiaries on a consolidated basis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determined in accordance with generally accepted accounting principles is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greater than 60% of the sum of (without duplication) (a) Total Assets as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end of the calendar quarter covered in our Annual Report on Form 10-K</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or Quarterly Report on Form 10-Q, as the case may be, most recently filed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with the SEC (or, if such filing is not permitted under the Exchange Act,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with the Trustee) prior to the incurrence of such additional Debt and (b)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purchase price of any real estate assets or mortgages receivable acquired,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and the amount of any securities offering proceeds received (to the extent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such proceeds were not used to acquire real estate assets or mortgages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receivable or used to reduce Debt), by us or any subsidiary since the end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such calendar quarter, including those proceeds obtained in connection with</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incurrence of such additional Debt;</w:t>
      </w:r>
    </w:p>
    <w:p>
      <w:pPr>
        <w:spacing w:after="0" w:line="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(2) we will not, and will not permit any subsidiary to, incur any Debt</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secured by any mortgage, lien, charge, pledge, encumbrance or security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interest of any kind upon any of our or any of our subsidiaries’ property if,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immediately after giving effect to the incurrence of such Debt and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application of the proceeds thereof, the aggregate principal amount of all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our and our subsidiaries’ outstanding Debt on a consolidated basis which is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secured by any mortgage, lien, charge, pledge, encumbrance or security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interest on our or our subsidiaries’ property is greater than 40% of the sum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(without duplication) (a) Total Assets as of the end of the calendar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quarter covered in our Annual Report on Form 10-K or Quarterly Report 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Form 10-Q, as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case may be, most recently filed with the SEC (or, if such filing is not</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permitted under the Exchange Act, with the Trustee) prior to the incurrence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such additional Debt and (b) the purchase price of any real estate assets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or mortgages receivable acquired, and the amount of any securities offering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proceeds received (to the extent such proceeds were not used to acquire real</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estate assets or mortgages receivable or used to reduce Debt), by us or any</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subsidiary since the end of such calendar quarter, including those proceeds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obtained in connection with the incurrence of such additional Debt;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provided that for purposes of this limitation, the amount of obligations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under capital leases shown as a liability on our consolidated balance sheet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shall be deducted from Debt and from Total Assets;</w:t>
      </w:r>
    </w:p>
    <w:p>
      <w:pPr>
        <w:spacing w:after="0" w:line="7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(3) we will not, and will not permit any subsidiary to, incur any Debt if the</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ratio of Consolidated Income Available for Debt Service to the Annual Debt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Service Charge for the four consecutive fiscal quarters most recently ended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prior to the date on which such additional Debt is to be incurred shall have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been less than 1.5 to 1, on an unaudited pro forma basis after giving effect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thereto and to the application of the proceeds therefrom and calculated 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assumption that (a) such Debt and any other Debt incurred by us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our subsidiaries since the first day of such four-quarter period and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application of the proceeds therefrom, including to refinance other Debt,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had occurred at the beginning of such period; (b) the repayment 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retirement of any other Debt by us and our subsidiaries since the first day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such four-quarter period had been repaid or retired at the beginning of such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period (except that, in making such computation, the amount of Debt under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any revolving credit facility shall be computed based upon the average daily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balance of such Debt during such period); (c) in the case of Acquired Debt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or Debt incurred in connection with any acquisition since the first day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such four-quarter period, the related acquisition had occurred as of the first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day of such period, with the appropriate adjustments with respect to such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acquisition being included in such unaudited pro forma calculation; and (d)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 the case of any acquisition or disposition by us or our subsidiaries of any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asset or group of assets since the first day of such four-quarter period,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whether by merger, stock</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purchase or sale, or asset purchase or sale, such acquisition or disposition or</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any related repayment of Debt had occurred as of the first day of such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period, with the appropriate adjustments with respect to such acquisition or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disposition being included in such unaudited pro forma calculation; and</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(4) we, together with our subsidiaries, will maintain an Unencumbered</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Total Asset Value in an amount not less than 150% of the aggregate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outstanding principal amount of all of our and our subsidiaries’ unsecured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Debt.</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notes are redeemable at any time at our option, in whole or in part, at a redemption price equal to the greater of (1) 100% of the principal amount of the notes being redeemed, or (2) the sum of the present values of the remaining scheduled payments of principal and interest thereon, discounted to the redemption date on a semi-annual basis at the Adjusted Treasury Rate plus 15 basis points, in the case of the 2012 Notes, and 20 basis points in the case of the 2017 Notes, plus, in each case, accrued interest thereon to the redemption date. A detailed description is in “Description of Notes — Optional Redemption.”</w:t>
      </w:r>
    </w:p>
    <w:p>
      <w:pPr>
        <w:spacing w:after="0" w:line="106"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included or incorporated by reference in this prospectus supplement, including the additional risk factors included in our Annual Report on Form 10-K filed with the SEC on March 3, 2006 and amended on March 10, 2006, before you decide to purchase the notes. The risks and uncertainties described below and in the referenced Form 10-K, as amended, are not the only ones we may confront. Additional risks and uncertainties not currently known to us or that we currently deem immaterial also may impair our business operations. If any of those risks actually occur, our financial condition, operating results and prospects could be materially adversely affected. This section contains forward-looking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8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necessary funds from these sources on acceptable terms or at all.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the subsidiaries’ preferred equity holders.</w:t>
      </w:r>
    </w:p>
    <w:p>
      <w:pPr>
        <w:spacing w:after="0" w:line="83" w:lineRule="exact"/>
        <w:rPr>
          <w:sz w:val="20"/>
          <w:szCs w:val="20"/>
          <w:color w:val="auto"/>
        </w:rPr>
      </w:pPr>
    </w:p>
    <w:p>
      <w:pPr>
        <w:ind w:right="120" w:firstLine="571"/>
        <w:spacing w:after="0" w:line="253" w:lineRule="auto"/>
        <w:rPr>
          <w:sz w:val="20"/>
          <w:szCs w:val="20"/>
          <w:color w:val="auto"/>
        </w:rPr>
      </w:pPr>
      <w:r>
        <w:rPr>
          <w:rFonts w:ascii="Arial" w:cs="Arial" w:eastAsia="Arial" w:hAnsi="Arial"/>
          <w:sz w:val="18"/>
          <w:szCs w:val="18"/>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the subsidiaries, the holders of any indebtedness of that subsidiary will be entitled to obtain payment of that indebtedness from the assets of that subsidiary before the holders of any of our general unsecured obligations, including the notes. At June 30, 2006, after giving effect to this offering and the application of the net proceeds, our subsidiaries had approximately $95 million of debt outstanding,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83"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Because the notes will be unsecured, they will be effectively subordinated to any of our secured indebtedness to the extent of the value of the assets securing the indebtedness. The indenture permits us and our subsidiaries to incur additional secured indebtedness, provided that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June 30, 2006, after giving effect to this offering and the application of the net proceeds, we had approximately $269 million of secured debt outstanding, all of which was effectively senior to the notes to the extent of the value of the securing assets.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8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notes will be new issues of securities for which there is currently no market.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77" w:lineRule="exact"/>
        <w:rPr>
          <w:sz w:val="20"/>
          <w:szCs w:val="20"/>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185" w:lineRule="exact"/>
        <w:rPr>
          <w:sz w:val="20"/>
          <w:szCs w:val="20"/>
          <w:color w:val="auto"/>
        </w:rPr>
      </w:pPr>
    </w:p>
    <w:p>
      <w:pPr>
        <w:ind w:right="140" w:firstLine="571"/>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firstLine="571"/>
        <w:spacing w:after="0" w:line="283" w:lineRule="auto"/>
        <w:rPr>
          <w:sz w:val="20"/>
          <w:szCs w:val="20"/>
          <w:color w:val="auto"/>
        </w:rPr>
      </w:pPr>
      <w:r>
        <w:rPr>
          <w:rFonts w:ascii="Arial" w:cs="Arial" w:eastAsia="Arial" w:hAnsi="Arial"/>
          <w:sz w:val="16"/>
          <w:szCs w:val="16"/>
          <w:color w:val="auto"/>
        </w:rPr>
        <w:t>The net proceeds to us from the sale of the notes offered by this prospectus supplement are estimated to be $247.6 million, after deducting the underwriting discount and other estimated expenses of this offering payable by us. We expect that the sales of the 2012 Notes and the 2017 Notes will occur concurrently. However, the sales of the 2012 Notes and the 2017 Notes are not conditioned upon each other, and we may consummate the sale of one and not the other, or consummate the sales at different times. We intend to use these net proceeds to reduce borrowings under our unsecured credit facility, including our $150 million five-year term loan and our $100 million three-year term loan, and for general corporate purposes. As of March 31, 2006, we had approximately</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$99 million of debt outstanding on our revolving credit facility bearing interest at a weighted average annual rate of 5.0%. Our revolving credit facility matures in October 2006 subject to a one-year extension at our option. The borrowings under our credit facility were used for general corporate purposes, including working capital, property acquisitions and redevelopments. Affiliates of Wachovia Capital Markets, LLC, Citigroup Global Markets Inc. and affiliates of certain other underwriters are lenders under our revolving credit facility and will receive a pro rata portion of any proceeds used to reduce amounts outstanding under the credit facility.</w:t>
      </w:r>
    </w:p>
    <w:p>
      <w:pPr>
        <w:spacing w:after="0" w:line="12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RATIOS OF EARNINGS TO FIXED CHARGES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our historical ratio of earnings to fixed charges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620" w:type="dxa"/>
            <w:vAlign w:val="bottom"/>
            <w:gridSpan w:val="3"/>
          </w:tcPr>
          <w:p>
            <w:pPr>
              <w:ind w:left="180"/>
              <w:spacing w:after="0"/>
              <w:rPr>
                <w:sz w:val="20"/>
                <w:szCs w:val="20"/>
                <w:color w:val="auto"/>
              </w:rPr>
            </w:pPr>
            <w:r>
              <w:rPr>
                <w:rFonts w:ascii="Arial" w:cs="Arial" w:eastAsia="Arial" w:hAnsi="Arial"/>
                <w:sz w:val="14"/>
                <w:szCs w:val="14"/>
                <w:b w:val="1"/>
                <w:bCs w:val="1"/>
                <w:color w:val="auto"/>
                <w:w w:val="99"/>
              </w:rPr>
              <w:t>For the Three Months</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620" w:type="dxa"/>
            <w:vAlign w:val="bottom"/>
            <w:gridSpan w:val="3"/>
          </w:tcPr>
          <w:p>
            <w:pPr>
              <w:ind w:left="300"/>
              <w:spacing w:after="0"/>
              <w:rPr>
                <w:sz w:val="20"/>
                <w:szCs w:val="20"/>
                <w:color w:val="auto"/>
              </w:rPr>
            </w:pPr>
            <w:r>
              <w:rPr>
                <w:rFonts w:ascii="Arial" w:cs="Arial" w:eastAsia="Arial" w:hAnsi="Arial"/>
                <w:sz w:val="14"/>
                <w:szCs w:val="14"/>
                <w:b w:val="1"/>
                <w:bCs w:val="1"/>
                <w:color w:val="auto"/>
              </w:rPr>
              <w:t>Ended March 31,</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7"/>
          </w:tcPr>
          <w:p>
            <w:pPr>
              <w:ind w:left="100"/>
              <w:spacing w:after="0"/>
              <w:rPr>
                <w:sz w:val="20"/>
                <w:szCs w:val="20"/>
                <w:color w:val="auto"/>
              </w:rPr>
            </w:pPr>
            <w:r>
              <w:rPr>
                <w:rFonts w:ascii="Arial" w:cs="Arial" w:eastAsia="Arial" w:hAnsi="Arial"/>
                <w:sz w:val="14"/>
                <w:szCs w:val="14"/>
                <w:b w:val="1"/>
                <w:bCs w:val="1"/>
                <w:color w:val="auto"/>
                <w:w w:val="87"/>
              </w:rPr>
              <w:t>For the Years Ended December 31,</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2006</w:t>
            </w:r>
          </w:p>
        </w:tc>
        <w:tc>
          <w:tcPr>
            <w:tcW w:w="10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720" w:type="dxa"/>
            <w:vAlign w:val="bottom"/>
            <w:gridSpan w:val="2"/>
          </w:tcPr>
          <w:p>
            <w:pPr>
              <w:ind w:left="400"/>
              <w:spacing w:after="0"/>
              <w:rPr>
                <w:sz w:val="20"/>
                <w:szCs w:val="20"/>
                <w:color w:val="auto"/>
              </w:rPr>
            </w:pPr>
            <w:r>
              <w:rPr>
                <w:rFonts w:ascii="Arial" w:cs="Arial" w:eastAsia="Arial" w:hAnsi="Arial"/>
                <w:sz w:val="14"/>
                <w:szCs w:val="14"/>
                <w:b w:val="1"/>
                <w:bCs w:val="1"/>
                <w:color w:val="auto"/>
                <w:w w:val="96"/>
              </w:rPr>
              <w:t>2005</w:t>
            </w:r>
          </w:p>
        </w:tc>
        <w:tc>
          <w:tcPr>
            <w:tcW w:w="720" w:type="dxa"/>
            <w:vAlign w:val="bottom"/>
            <w:gridSpan w:val="2"/>
          </w:tcPr>
          <w:p>
            <w:pPr>
              <w:ind w:left="400"/>
              <w:spacing w:after="0"/>
              <w:rPr>
                <w:sz w:val="20"/>
                <w:szCs w:val="20"/>
                <w:color w:val="auto"/>
              </w:rPr>
            </w:pPr>
            <w:r>
              <w:rPr>
                <w:rFonts w:ascii="Arial" w:cs="Arial" w:eastAsia="Arial" w:hAnsi="Arial"/>
                <w:sz w:val="14"/>
                <w:szCs w:val="14"/>
                <w:b w:val="1"/>
                <w:bCs w:val="1"/>
                <w:color w:val="auto"/>
                <w:w w:val="96"/>
              </w:rPr>
              <w:t>2004</w:t>
            </w:r>
          </w:p>
        </w:tc>
        <w:tc>
          <w:tcPr>
            <w:tcW w:w="600" w:type="dxa"/>
            <w:vAlign w:val="bottom"/>
            <w:gridSpan w:val="2"/>
          </w:tcPr>
          <w:p>
            <w:pPr>
              <w:ind w:left="260"/>
              <w:spacing w:after="0"/>
              <w:rPr>
                <w:sz w:val="20"/>
                <w:szCs w:val="20"/>
                <w:color w:val="auto"/>
              </w:rPr>
            </w:pPr>
            <w:r>
              <w:rPr>
                <w:rFonts w:ascii="Arial" w:cs="Arial" w:eastAsia="Arial" w:hAnsi="Arial"/>
                <w:sz w:val="14"/>
                <w:szCs w:val="14"/>
                <w:b w:val="1"/>
                <w:bCs w:val="1"/>
                <w:color w:val="auto"/>
              </w:rPr>
              <w:t>2003</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440" w:type="dxa"/>
            <w:vAlign w:val="bottom"/>
          </w:tcPr>
          <w:p>
            <w:pPr>
              <w:jc w:val="right"/>
              <w:ind w:right="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6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2"/>
              </w:rPr>
              <w:t>1.9x</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1.8x</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1.8x</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1.7x</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1.6x</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1.2x</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minority interests plus distributed income of equity investees and fixed charges (excluding capitalized interest) less minority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64" w:lineRule="exact"/>
        <w:rPr>
          <w:sz w:val="20"/>
          <w:szCs w:val="20"/>
          <w:color w:val="auto"/>
        </w:rPr>
      </w:pPr>
    </w:p>
    <w:p>
      <w:pPr>
        <w:jc w:val="both"/>
        <w:ind w:right="420" w:firstLine="571"/>
        <w:spacing w:after="0" w:line="259" w:lineRule="auto"/>
        <w:rPr>
          <w:sz w:val="20"/>
          <w:szCs w:val="20"/>
          <w:color w:val="auto"/>
        </w:rPr>
      </w:pPr>
      <w:r>
        <w:rPr>
          <w:rFonts w:ascii="Arial" w:cs="Arial" w:eastAsia="Arial" w:hAnsi="Arial"/>
          <w:sz w:val="18"/>
          <w:szCs w:val="18"/>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We are offering $120 million of our 6.00% notes maturing on July 15, 2012 and $130 million of our 6.20% notes maturing on January 15, 2017, all of which may be redeemed prior to that date in accordance with their terms. The 2012 Notes and the 2017 Notes are to be issued as separate series of debt securities under the senior indenture, which is more fully described in the accompanying prospectus.</w:t>
      </w:r>
    </w:p>
    <w:p>
      <w:pPr>
        <w:spacing w:after="0" w:line="12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We will pay interest on the notes semi-annually in arrears on January 15 and July 15 of each year, commencing January 15, 2007, to the registered holders of the notes on the preceding December 31 and June 30.</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defeasance and covenant defeasance provisions of the senior indenture apply to the notes. The notes will not be entitled to the benefit of any sinking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15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The senior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The 2012 Notes will be initially limited to $120 million in aggregate principal amount and the 2017 Notes will be initially limited to $130 million in aggregate principal amount. At any time and without the consent of the then existing holders, we may issue additional debt securities, having the same terms as the 2012 Notes or the 2017 Notes, as applicable, other than the date of original issuance, the issue price, the date on which interest begins to accrue and, in some circumstances, the first interest payment date, such that these additional debt securities will form a single series with the 2012 Notes or the 2017 Notes, as applicable.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3"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and the notes will be effectively subordinated to the prior claims of each secured mortgage lender to any specific property which secures such lender’s mortgage and to all of the unsecured indebtedness issued by our subsidiaries. After giving effect to this offering and to the use of proceeds from this offering, we will have outstanding approximately $269 million of secured indebtedness collateralized by all or parts of 13 properties, approximately $11 million of unsecured indebtedness issued by our subsidiaries and approximately $967 million of other unsecured indebtedness ranking equally with the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40" w:firstLine="571"/>
        <w:spacing w:after="0" w:line="318" w:lineRule="auto"/>
        <w:rPr>
          <w:sz w:val="20"/>
          <w:szCs w:val="20"/>
          <w:color w:val="auto"/>
        </w:rPr>
      </w:pPr>
      <w:r>
        <w:rPr>
          <w:rFonts w:ascii="Arial" w:cs="Arial" w:eastAsia="Arial" w:hAnsi="Arial"/>
          <w:sz w:val="15"/>
          <w:szCs w:val="15"/>
          <w:color w:val="auto"/>
        </w:rPr>
        <w:t>We may redeem the notes at any time in whole or from time to time in part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15 basis points, in the case of the 2012 Notes, and 20 basis points in the case of the 2017 Notes plus, in each case, accrued interest thereon to the redemption 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58"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ind w:right="30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158"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Citigroup Global Markets Inc. and other primary U.S. Government securities dealers in New York City selected by Wachovia Capital Markets,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Citigroup Global Markets Inc. ceases to be a primary U.S. Government securities dealer (a “Primary Treasury Dealer”), we will substitute therefor another Primary Treasury Dealer; and (2) any other Primary Treasury Dealer selected by us.</w:t>
      </w:r>
    </w:p>
    <w:p>
      <w:pPr>
        <w:spacing w:after="0" w:line="130" w:lineRule="exact"/>
        <w:rPr>
          <w:sz w:val="20"/>
          <w:szCs w:val="20"/>
          <w:color w:val="auto"/>
        </w:rPr>
      </w:pPr>
    </w:p>
    <w:p>
      <w:pPr>
        <w:jc w:val="both"/>
        <w:ind w:right="60" w:firstLine="57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9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83" w:lineRule="exact"/>
        <w:rPr>
          <w:sz w:val="20"/>
          <w:szCs w:val="20"/>
          <w:color w:val="auto"/>
        </w:rPr>
      </w:pPr>
    </w:p>
    <w:p>
      <w:pPr>
        <w:ind w:right="220" w:firstLine="571"/>
        <w:spacing w:after="0" w:line="289" w:lineRule="auto"/>
        <w:rPr>
          <w:sz w:val="20"/>
          <w:szCs w:val="20"/>
          <w:color w:val="auto"/>
        </w:rPr>
      </w:pPr>
      <w:r>
        <w:rPr>
          <w:rFonts w:ascii="Arial" w:cs="Arial" w:eastAsia="Arial" w:hAnsi="Arial"/>
          <w:sz w:val="16"/>
          <w:szCs w:val="16"/>
          <w:i w:val="1"/>
          <w:iCs w:val="1"/>
          <w:color w:val="auto"/>
        </w:rPr>
        <w:t>Limitations on Incurrence of Debt</w:t>
      </w:r>
      <w:r>
        <w:rPr>
          <w:rFonts w:ascii="Arial" w:cs="Arial" w:eastAsia="Arial" w:hAnsi="Arial"/>
          <w:sz w:val="16"/>
          <w:szCs w:val="16"/>
          <w:color w:val="auto"/>
        </w:rPr>
        <w:t>. The notes will provide that we will not, and will not permit any subsidiary to, incur any Debt if, immediately after</w:t>
      </w:r>
      <w:r>
        <w:rPr>
          <w:rFonts w:ascii="Arial" w:cs="Arial" w:eastAsia="Arial" w:hAnsi="Arial"/>
          <w:sz w:val="16"/>
          <w:szCs w:val="16"/>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0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subsidiary’s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any subsidiary since the end of such calendar quarter, including those proceeds obtained in connection with the incurrence of such additional Debt;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purposes of this limitation, the amount of obligations under capital leases shown as a liability on our consolidated balance sheet shall be deducted from Debt and from Total Assets.</w:t>
      </w:r>
    </w:p>
    <w:p>
      <w:pPr>
        <w:spacing w:after="0" w:line="12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 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07"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i w:val="1"/>
          <w:iCs w:val="1"/>
          <w:color w:val="auto"/>
        </w:rPr>
        <w:t>Maintenance of Unencumbered Total Asset Value</w:t>
      </w:r>
      <w:r>
        <w:rPr>
          <w:rFonts w:ascii="Arial" w:cs="Arial" w:eastAsia="Arial" w:hAnsi="Arial"/>
          <w:sz w:val="15"/>
          <w:szCs w:val="15"/>
          <w:color w:val="auto"/>
        </w:rPr>
        <w:t>. The notes will provide that we, together with our subsidiaries, will at all times maintain an</w:t>
      </w:r>
      <w:r>
        <w:rPr>
          <w:rFonts w:ascii="Arial" w:cs="Arial" w:eastAsia="Arial" w:hAnsi="Arial"/>
          <w:sz w:val="15"/>
          <w:szCs w:val="15"/>
          <w:i w:val="1"/>
          <w:iCs w:val="1"/>
          <w:color w:val="auto"/>
        </w:rPr>
        <w:t xml:space="preserve"> </w:t>
      </w:r>
      <w:r>
        <w:rPr>
          <w:rFonts w:ascii="Arial" w:cs="Arial" w:eastAsia="Arial" w:hAnsi="Arial"/>
          <w:sz w:val="15"/>
          <w:szCs w:val="15"/>
          <w:color w:val="auto"/>
        </w:rPr>
        <w:t>Unencumbered Total Asset Value in an amount not less than 150% of the aggregate outstanding principal amount of all our and our subsidiaries’ unsecured Debt.</w:t>
      </w:r>
    </w:p>
    <w:p>
      <w:pPr>
        <w:spacing w:after="0" w:line="49"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notes will provide that we will, and will cause each of our subsidiaries to, maintain insurance with financially sound and reputable</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Agent (as defined in our Credit Agreement)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58"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30"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18"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27"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15"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99"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18" w:lineRule="exact"/>
        <w:rPr>
          <w:sz w:val="20"/>
          <w:szCs w:val="20"/>
          <w:color w:val="auto"/>
        </w:rPr>
      </w:pPr>
    </w:p>
    <w:p>
      <w:pPr>
        <w:ind w:right="60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other assets determined in accordance with generally accepted accounting principles (but excluding goodwill).</w:t>
      </w:r>
    </w:p>
    <w:p>
      <w:pPr>
        <w:spacing w:after="0" w:line="118"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72"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i w:val="1"/>
          <w:iCs w:val="1"/>
          <w:color w:val="auto"/>
        </w:rPr>
        <w:t xml:space="preserve">“Unencumbered Total Asset Value” </w:t>
      </w:r>
      <w:r>
        <w:rPr>
          <w:rFonts w:ascii="Arial" w:cs="Arial" w:eastAsia="Arial" w:hAnsi="Arial"/>
          <w:sz w:val="18"/>
          <w:szCs w:val="18"/>
          <w:color w:val="auto"/>
        </w:rPr>
        <w:t>as of any date means the sum of (a) those Undepreciated Real Estate Assets not encumbered by any mortgage, lien,</w:t>
      </w:r>
      <w:r>
        <w:rPr>
          <w:rFonts w:ascii="Arial" w:cs="Arial" w:eastAsia="Arial" w:hAnsi="Arial"/>
          <w:sz w:val="18"/>
          <w:szCs w:val="18"/>
          <w:i w:val="1"/>
          <w:iCs w:val="1"/>
          <w:color w:val="auto"/>
        </w:rPr>
        <w:t xml:space="preserve"> </w:t>
      </w:r>
      <w:r>
        <w:rPr>
          <w:rFonts w:ascii="Arial" w:cs="Arial" w:eastAsia="Arial" w:hAnsi="Arial"/>
          <w:sz w:val="18"/>
          <w:szCs w:val="18"/>
          <w:color w:val="auto"/>
        </w:rPr>
        <w:t>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w:t>
      </w:r>
    </w:p>
    <w:p>
      <w:pPr>
        <w:spacing w:after="0" w:line="130" w:lineRule="exact"/>
        <w:rPr>
          <w:sz w:val="20"/>
          <w:szCs w:val="20"/>
          <w:color w:val="auto"/>
        </w:rPr>
      </w:pPr>
    </w:p>
    <w:p>
      <w:pPr>
        <w:ind w:right="300" w:firstLine="571"/>
        <w:spacing w:after="0" w:line="375" w:lineRule="auto"/>
        <w:rPr>
          <w:sz w:val="20"/>
          <w:szCs w:val="20"/>
          <w:color w:val="auto"/>
        </w:rPr>
      </w:pPr>
      <w:r>
        <w:rPr>
          <w:rFonts w:ascii="Arial" w:cs="Arial" w:eastAsia="Arial" w:hAnsi="Arial"/>
          <w:sz w:val="18"/>
          <w:szCs w:val="18"/>
          <w:color w:val="auto"/>
        </w:rPr>
        <w:t xml:space="preserve">See “Description of Debt Securities — Certain Covenants” in the accompanying prospectus for a description of additional covenants applicable to us. </w:t>
      </w:r>
      <w:r>
        <w:rPr>
          <w:rFonts w:ascii="Arial" w:cs="Arial" w:eastAsia="Arial" w:hAnsi="Arial"/>
          <w:sz w:val="18"/>
          <w:szCs w:val="18"/>
          <w:b w:val="1"/>
          <w:bCs w:val="1"/>
          <w:color w:val="auto"/>
        </w:rPr>
        <w:t>Book-Entry Form</w:t>
      </w:r>
    </w:p>
    <w:p>
      <w:pPr>
        <w:spacing w:after="0" w:line="1" w:lineRule="exact"/>
        <w:rPr>
          <w:sz w:val="20"/>
          <w:szCs w:val="20"/>
          <w:color w:val="auto"/>
        </w:rPr>
      </w:pPr>
    </w:p>
    <w:p>
      <w:pPr>
        <w:jc w:val="both"/>
        <w:ind w:right="160" w:firstLine="571"/>
        <w:spacing w:after="0" w:line="259" w:lineRule="auto"/>
        <w:rPr>
          <w:sz w:val="20"/>
          <w:szCs w:val="20"/>
          <w:color w:val="auto"/>
        </w:rPr>
      </w:pPr>
      <w:r>
        <w:rPr>
          <w:rFonts w:ascii="Arial" w:cs="Arial" w:eastAsia="Arial" w:hAnsi="Arial"/>
          <w:sz w:val="18"/>
          <w:szCs w:val="18"/>
          <w:color w:val="auto"/>
        </w:rPr>
        <w:t>We have established a depositary arrangement with The Depository Trust Company (the “Depositary”) with respect to the notes, the terms of which are summarized below. Upon issuance, each of the 2012 Notes and the 2017 Notes will be represented by a single Global Security and will be deposited with, or on behalf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27"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of the notes for all purposes under the senior indenture. Except as otherwise provided in this section, the Beneficial Owners of a Global Security representing either the 2012 Notes or the 2017 Notes will not be entitled to receive physical delivery of Certificated notes and will not be considered the Holders thereof for any purpose under the senior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senior indenture. The laws of some jurisdictions require that certain purchasers of securities take physical delivery of such securities in certificated form. Such laws may impair the ability to transfer beneficial interests in a Global Security representing the 2012 Notes or the 2017 Notes.</w:t>
      </w:r>
    </w:p>
    <w:p>
      <w:pPr>
        <w:spacing w:after="0" w:line="10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Each Global Security representing the 2012 Notes and the 2017 Notes, respectively, will be exchangeable for Certificated notes of like tenor and terms and of differing authorized denominations aggregating a like principal amount, only if (1) the Depositary notifies us that it is unwilling or unable to continue as Depositary for such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such Global Security shall be exchangeable for Certificated notes or (3) there shall have occurred and be continuing an Event of Default under the senior indenture with respect to the notes and Beneficial Owners representing a majority in aggregate principal amount of the notes represented by such Global Security advise the Depositary to cease acting as depositary. Upon any such exchange, the Certificated notes shall be registered in the names of the Beneficial Owners of such Global Security representing the notes, which names shall be provided by the Depositary’s relevant Participants (as identified by the Depositary) to the Securities Registrar.</w:t>
      </w:r>
    </w:p>
    <w:p>
      <w:pPr>
        <w:spacing w:after="0" w:line="106"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each of the 2012 Notes and the 2017 Notes, in the aggregate principal amount of each series of notes, and will be deposited with the Depositary.</w:t>
      </w:r>
    </w:p>
    <w:p>
      <w:pPr>
        <w:spacing w:after="0" w:line="99"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(“Direct Participants”) include securities brokers and dealers, banks, trust companies, clearing corporations and certain other organizations. The Depositary is owned by a number of its Direct Participants and by the New York Stock Exchange, Inc., the American Stock Exchange, Inc. and the National Association of Securities Dealers, Inc. Access to the Depositary’s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SEC.</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05"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To facilitate subsequent transfers, each Global Security representing each of the 2012 Notes and the 2017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31"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27" w:lineRule="exact"/>
        <w:rPr>
          <w:sz w:val="20"/>
          <w:szCs w:val="20"/>
          <w:color w:val="auto"/>
        </w:rPr>
      </w:pPr>
    </w:p>
    <w:p>
      <w:pPr>
        <w:ind w:right="240" w:firstLine="571"/>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a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75"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Principal, premium, if any, and/or interest payments on a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105"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2012 Notes or the 2017 Notes are being redeemed, the Depositary’s practice is to determine by lot the amount of the interest of each Direct Participant to be redeemed.</w:t>
      </w:r>
    </w:p>
    <w:p>
      <w:pPr>
        <w:spacing w:after="0" w:line="118"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us or the Trustee.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FEDERAL INCOME TAX CONSIDERATIONS</w:t>
      </w:r>
    </w:p>
    <w:p>
      <w:pPr>
        <w:spacing w:after="0" w:line="164" w:lineRule="exact"/>
        <w:rPr>
          <w:sz w:val="20"/>
          <w:szCs w:val="20"/>
          <w:color w:val="auto"/>
        </w:rPr>
      </w:pPr>
    </w:p>
    <w:p>
      <w:pPr>
        <w:ind w:firstLine="571"/>
        <w:spacing w:after="0" w:line="282" w:lineRule="auto"/>
        <w:rPr>
          <w:sz w:val="20"/>
          <w:szCs w:val="20"/>
          <w:color w:val="auto"/>
        </w:rPr>
      </w:pPr>
      <w:r>
        <w:rPr>
          <w:rFonts w:ascii="Arial" w:cs="Arial" w:eastAsia="Arial" w:hAnsi="Arial"/>
          <w:sz w:val="16"/>
          <w:szCs w:val="16"/>
          <w:color w:val="auto"/>
        </w:rPr>
        <w:t>Subject to the preliminary considerations set forth in the prospectus, the following is a general discussion of the material U.S. federal income tax considerations applicable to initial holders of the notes. This discussion is based on the Internal Revenue Code of 1986, as amended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does not address all the tax consequences that may be relevant to a particular holder or to holders subject to special treatment under the Code, such as financial institutions, broker dealers, insurance companies, former U.S. citizens or long-term residents, tax-exempt organizations, persons that are, or that hold their notes through, partnerships or other pass-through entities, U.S. Holders (as defined below) whose functional currency is not the U.S. dollar, or persons that hold notes as part of a straddle, hedge, conversion, synthetic security or constructive sale transaction for U.S. federal income tax purposes. Except as specifically provided below with respect to Non-U.S. Holders (as defined below), the discussion is limited to holders of notes that are U.S. Holders and that hold their notes as capital assets within the meaning of the Code.</w:t>
      </w:r>
    </w:p>
    <w:p>
      <w:pPr>
        <w:spacing w:after="0" w:line="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Holders are encouraged to consult their own tax advisors as to the particular U.S. federal income tax consequences to them of acquiring, owning and disposing of the notes, as well as the effects of state, local and non-U.S. tax laws.</w:t>
      </w:r>
    </w:p>
    <w:p>
      <w:pPr>
        <w:spacing w:after="0" w:line="124" w:lineRule="exact"/>
        <w:rPr>
          <w:sz w:val="20"/>
          <w:szCs w:val="20"/>
          <w:color w:val="auto"/>
        </w:rPr>
      </w:pPr>
    </w:p>
    <w:p>
      <w:pPr>
        <w:ind w:right="100" w:firstLine="571"/>
        <w:spacing w:after="0" w:line="290" w:lineRule="auto"/>
        <w:rPr>
          <w:sz w:val="20"/>
          <w:szCs w:val="20"/>
          <w:color w:val="auto"/>
        </w:rPr>
      </w:pPr>
      <w:r>
        <w:rPr>
          <w:rFonts w:ascii="Arial" w:cs="Arial" w:eastAsia="Arial" w:hAnsi="Arial"/>
          <w:sz w:val="16"/>
          <w:szCs w:val="16"/>
          <w:color w:val="auto"/>
        </w:rPr>
        <w:t>For purposes of this discussion, a “U.S. Holder” means a beneficial owner of a note that, for U.S. federal income tax purposes, is (i) a citizen or individual resident of the United States, (ii) a corporation (including an entity treated as a corporation for U.S. federal income tax purposes) created or organized in or under the laws of the United States, any state thereof or the District of Columbia, (iii) an estate the income of which is includible in gross income for U.S. federal income tax purposes regardless of its source, or (iv) a trust if (A) a court in the United States is able to exercise primary supervision over the administration of the trust and one or more U.S. persons have the authority to control all substantial decisions of the trust, or (B) it has a valid election in place to be treated as a United States person. A “Non-U.S. Holder” means a beneficial owner of a note that is not a U.S. Holder or an entity or arrangement treated as a partnership for U.S. federal income tax purposes.</w:t>
      </w:r>
    </w:p>
    <w:p>
      <w:pPr>
        <w:spacing w:after="0" w:line="105"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 of partnerships should consult their tax advisors as to the particular U.S. federal income tax consequences applicable to them.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83"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A 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generally will be required to include interest earned on the notes as ordinary income when received or accrued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the U.S. Holder’s regular method of tax accounting. In general, if the terms of a debt instrument entitle a holder to receive payments other than certain fixed periodic interest that exceed the issue price of the instrument, the holder may be required to recognize additional interest as “original issue discount” over the term of the instrument. The notes are not expected to be issued with original issue discount for U.S. federal income tax purposes.</w:t>
      </w:r>
    </w:p>
    <w:p>
      <w:pPr>
        <w:spacing w:after="0" w:line="99"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b w:val="1"/>
          <w:bCs w:val="1"/>
          <w:i w:val="1"/>
          <w:iCs w:val="1"/>
          <w:color w:val="auto"/>
        </w:rPr>
        <w:t xml:space="preserve">Disposition of the Notes. </w:t>
      </w:r>
      <w:r>
        <w:rPr>
          <w:rFonts w:ascii="Arial" w:cs="Arial" w:eastAsia="Arial" w:hAnsi="Arial"/>
          <w:sz w:val="18"/>
          <w:szCs w:val="18"/>
          <w:color w:val="auto"/>
        </w:rPr>
        <w:t>Upon the sale, exchange, redemption or other taxable disposition of a note, a U.S. Holder will generally recognize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or loss equal to the difference (if any) between the amount realized (other than amounts attributable to accrued but unpaid stated interest, which will be taxable as ordinary income) and such U.S. Holder’s tax basis in the note. The U.S. Holder’s tax basis in a note generally will be the purchase price for the note. Such gain or loss shall be treated as long-term capital gain or loss if the note was held for more than one year. Subject to limited exceptions, capital losses cannot be used to offset a U.S. Holder’s ordinary income.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83"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The rules governing the United States federal income taxation of Non-U.S. Holders are complex and no attempt will be made herein to provide more than a summary of such rules. Prospective Non-U.S. Holders are encouraged to consult with their own tax advisors to determine the impact of federal, state, local and non-U.S. tax laws with regard to the notes.</w:t>
      </w:r>
    </w:p>
    <w:p>
      <w:pPr>
        <w:spacing w:after="0" w:line="127"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b w:val="1"/>
          <w:bCs w:val="1"/>
          <w:i w:val="1"/>
          <w:iCs w:val="1"/>
          <w:color w:val="auto"/>
        </w:rPr>
        <w:t xml:space="preserve">Interest on the Notes. </w:t>
      </w:r>
      <w:r>
        <w:rPr>
          <w:rFonts w:ascii="Arial" w:cs="Arial" w:eastAsia="Arial" w:hAnsi="Arial"/>
          <w:sz w:val="18"/>
          <w:szCs w:val="18"/>
          <w:color w:val="auto"/>
        </w:rPr>
        <w:t>Subject to the discussion on backup withholding below, a Non-U.S. Holder generally will not be subject to U.S. federal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withholding tax on payments of interest on a note, provided that:</w:t>
      </w:r>
    </w:p>
    <w:p>
      <w:pPr>
        <w:spacing w:after="0" w:line="37" w:lineRule="exact"/>
        <w:rPr>
          <w:sz w:val="20"/>
          <w:szCs w:val="20"/>
          <w:color w:val="auto"/>
        </w:rPr>
      </w:pPr>
    </w:p>
    <w:p>
      <w:pPr>
        <w:jc w:val="both"/>
        <w:ind w:left="1260" w:right="60" w:hanging="455"/>
        <w:spacing w:after="0" w:line="259"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Non-U.S. Holder is not (A) a direct or indirect owner of 10% or more of our voting stock, (B) a controlled foreign corporation related to us through stock ownership, or (C) a bank whose receipt of interest on a note is pursuant to a loan agreement entered into in the ordinary course of business;</w:t>
      </w:r>
    </w:p>
    <w:p>
      <w:pPr>
        <w:spacing w:after="0" w:line="45" w:lineRule="exact"/>
        <w:rPr>
          <w:rFonts w:ascii="Arial" w:cs="Arial" w:eastAsia="Arial" w:hAnsi="Arial"/>
          <w:sz w:val="18"/>
          <w:szCs w:val="18"/>
          <w:color w:val="auto"/>
        </w:rPr>
      </w:pPr>
    </w:p>
    <w:p>
      <w:pPr>
        <w:ind w:left="1260" w:right="220" w:hanging="455"/>
        <w:spacing w:after="0" w:line="268"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interest payments are not effectively connected with the conduct by the Non-U.S. Holder of a trade or business within the United States; and</w:t>
      </w:r>
    </w:p>
    <w:p>
      <w:pPr>
        <w:spacing w:after="0" w:line="37" w:lineRule="exact"/>
        <w:rPr>
          <w:rFonts w:ascii="Arial" w:cs="Arial" w:eastAsia="Arial" w:hAnsi="Arial"/>
          <w:sz w:val="18"/>
          <w:szCs w:val="18"/>
          <w:color w:val="auto"/>
        </w:rPr>
      </w:pPr>
    </w:p>
    <w:p>
      <w:pPr>
        <w:ind w:left="1260" w:right="280" w:hanging="455"/>
        <w:spacing w:after="0" w:line="332" w:lineRule="auto"/>
        <w:tabs>
          <w:tab w:leader="none" w:pos="1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or our paying agent receives certain information from the Non-U.S. Holder (or a financial institution that holds the notes on behalf of the Non-U.S. Holder in the ordinary course of its trade or business), including certification that such holder is a Non-U.S. Holder.</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 unless:</w:t>
      </w:r>
    </w:p>
    <w:p>
      <w:pPr>
        <w:spacing w:after="0" w:line="100" w:lineRule="exact"/>
        <w:rPr>
          <w:sz w:val="20"/>
          <w:szCs w:val="20"/>
          <w:color w:val="auto"/>
        </w:rPr>
      </w:pPr>
    </w:p>
    <w:p>
      <w:pPr>
        <w:ind w:left="1260" w:hanging="45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or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185"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which is generally imposed on a foreign corporation on the actual or deemed repatriation from the United States of earnings and profits attributable to a United States trade or business. If interest is subject to U.S. federal income tax on a net basis in accordance with the rules described in the preceding sentence, payments of such interest will not be subject to U.S. withholding tax so long as the Non-U.S. Holder provides us or the paying agent with an IRS Form W-8ECI. To claim the benefit of an income tax treaty, the Non-U.S. Holder must timely provide the appropriate, properly executed IRS forms.</w:t>
      </w:r>
    </w:p>
    <w:p>
      <w:pPr>
        <w:spacing w:after="0" w:line="105"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b w:val="1"/>
          <w:bCs w:val="1"/>
          <w:i w:val="1"/>
          <w:iCs w:val="1"/>
          <w:color w:val="auto"/>
        </w:rPr>
        <w:t xml:space="preserve">Disposition of the Notes. </w:t>
      </w:r>
      <w:r>
        <w:rPr>
          <w:rFonts w:ascii="Arial" w:cs="Arial" w:eastAsia="Arial" w:hAnsi="Arial"/>
          <w:sz w:val="18"/>
          <w:szCs w:val="18"/>
          <w:color w:val="auto"/>
        </w:rPr>
        <w:t>Subject to the discussion on backup withholding below, a Non-U.S. Holder generally will not be subject to U.S. federal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or withholding tax on gain from the sale, exchange, redemption or other taxable disposition of a note unless:</w:t>
      </w:r>
    </w:p>
    <w:p>
      <w:pPr>
        <w:spacing w:after="0" w:line="37" w:lineRule="exact"/>
        <w:rPr>
          <w:sz w:val="20"/>
          <w:szCs w:val="20"/>
          <w:color w:val="auto"/>
        </w:rPr>
      </w:pPr>
    </w:p>
    <w:p>
      <w:pPr>
        <w:ind w:left="800" w:right="420" w:hanging="225"/>
        <w:spacing w:after="0" w:line="325"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or a trade or business within the United States (and, if required by an applicable tax treaty, is attributable to a permanent establishment maintained in the United States by the Non-U.S. Holder); or</w:t>
      </w:r>
    </w:p>
    <w:p>
      <w:pPr>
        <w:spacing w:after="0" w:line="1" w:lineRule="exact"/>
        <w:rPr>
          <w:rFonts w:ascii="Arial" w:cs="Arial" w:eastAsia="Arial" w:hAnsi="Arial"/>
          <w:sz w:val="16"/>
          <w:szCs w:val="16"/>
          <w:color w:val="auto"/>
        </w:rPr>
      </w:pPr>
    </w:p>
    <w:p>
      <w:pPr>
        <w:ind w:left="800" w:right="300" w:hanging="225"/>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Except to the extent provided by an applicable tax treaty, gain from the sale or disposition of a note that is effectively connected with the conduct by the Non-U.S. Holder of a trade or business in the United States generally will be subject to U.S. federal income tax on a net basis at the rates applicable to U.S. persons. A Non-U.S. Holder that is treated as a corporation for U.S. federal income tax purposes may also be subject to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30% branch profits tax (subject to reduction under an applicable tax treaty), which is generally imposed on a foreign corporation on the actual or deemed repatriation from the United States of earnings and profits attributable to a United States trade or business. If such gains are realized by a Non-U.S. Holder who is an individual present in the United States for 183 days or more in the taxable year, then such individual generally will be subject to U.S. federal income tax at a rate of 30% (subject to reduction under an applicable tax treaty) on the amount by which capital gains from U.S. sources (including gains from the sale or other disposition of the notes) exceed capital losses allocable to U.S. sources. To claim the benefit of an income tax treaty, the Non-U.S. Holder must timely provide the appropriate, properly executed IRS forms.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3" w:lineRule="exact"/>
        <w:rPr>
          <w:sz w:val="20"/>
          <w:szCs w:val="20"/>
          <w:color w:val="auto"/>
        </w:rPr>
      </w:pPr>
    </w:p>
    <w:p>
      <w:pPr>
        <w:ind w:right="260" w:firstLine="571"/>
        <w:spacing w:after="0" w:line="253" w:lineRule="auto"/>
        <w:rPr>
          <w:sz w:val="20"/>
          <w:szCs w:val="20"/>
          <w:color w:val="auto"/>
        </w:rPr>
      </w:pPr>
      <w:r>
        <w:rPr>
          <w:rFonts w:ascii="Arial" w:cs="Arial" w:eastAsia="Arial" w:hAnsi="Arial"/>
          <w:sz w:val="18"/>
          <w:szCs w:val="18"/>
          <w:color w:val="auto"/>
        </w:rPr>
        <w:t>Payments to a U.S. Holder (other than an “exempt recipient,” including a corporation and certain other persons who, when required, demonstrate their exempt status) of the principal of, interest on and any premium with respect to, or the proceeds of a sale or other disposition of, a note may be subject to information reporting requirements, and U.S. federal backup withholding at the applicable statutory rate. In general, if a non-corporate U.S. Holder subject to information reporting fails to provide an accurate taxpayer identification number or otherwise fails to comply with applicable U.S. information reporting or certification requirements, backup withholding at the applicable rate may apply. Any amount withheld from a payment to a U.S. Holder under the backup withholding rules generally is allowable as a credit against the U.S. Holder’s U.S. federal income tax liability, provided that the required information is timely furnished to the IRS.</w:t>
      </w:r>
    </w:p>
    <w:p>
      <w:pPr>
        <w:spacing w:after="0" w:line="134"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Payments to a Non-U.S. Holder of interest on a note generally will be reported to the IRS and to the Non-U.S. Holder. Copies of applicable IRS information returns may be made available, under the provisions of a specific tax treaty or agreement, to the tax authorities of the country in which the Non-U.S. Holder resides.</w:t>
      </w:r>
    </w:p>
    <w:p>
      <w:pPr>
        <w:spacing w:after="0" w:line="127"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Payments to a Non-U.S. Holder of the principal of, interest on and any premium with respect to, or the proceeds of a sale or other disposition of, a note generally will not be subject to backup withholding or additional information reporting, provided that (i) the Non-U.S. Holder certifies under penalties of perjury on IRS Form W-8BEN that it is not a United States person and certain other conditions are satisfied, or (ii) the Non-U.S. Holder otherwise establishes an exemption; provided that, in either case, neither we nor any withholding agent knows or has reason to know that the holder is a United States person or that the conditions of any other exemptions are in fact not satisfied. Any amounts so withheld may be refunded or credited against the Non-U.S. Holder’s U.S. federal income tax liability, if any, provided that the required information is timely furnished to the IRS.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color w:val="auto"/>
        </w:rPr>
        <w:t>Wachovia Capital Markets, LLC and Citigroup Global Markets Inc. are acting as joint book-running managers of the offering and as representatives of the underwriters named below.</w:t>
      </w:r>
    </w:p>
    <w:p>
      <w:pPr>
        <w:spacing w:after="0" w:line="118"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Subject to the terms and conditions stated in the underwriting agreement and a related pricing agreement, each dated the date of this prospectus supplement, each underwriter named below has agreed to purchase, and we have agreed to sell to that underwriter, the principal amounts of 2012 Notes and 2017 Notes set forth opposite the underwriter’s name.</w:t>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Principal</w:t>
            </w:r>
          </w:p>
        </w:tc>
        <w:tc>
          <w:tcPr>
            <w:tcW w:w="4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09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Amount of</w:t>
            </w: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9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4"/>
        </w:trPr>
        <w:tc>
          <w:tcPr>
            <w:tcW w:w="77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8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2012 Notes</w:t>
            </w:r>
          </w:p>
        </w:tc>
        <w:tc>
          <w:tcPr>
            <w:tcW w:w="4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9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3"/>
              </w:rPr>
              <w:t>2017 Notes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48,000,000</w:t>
            </w:r>
          </w:p>
        </w:tc>
        <w:tc>
          <w:tcPr>
            <w:tcW w:w="5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36,000,000</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39,000,000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7,200,000</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Commerzbank Capital Markets Corp.</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7,200,000</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7,800,000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7,200,000</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7,200,000</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7,800,000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Capital Markets, Inc.</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7,200,000</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120,000,000</w:t>
            </w:r>
          </w:p>
        </w:tc>
        <w:tc>
          <w:tcPr>
            <w:tcW w:w="5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must purchase all of the 2012 Notes or the 2017 Notes respectively, if they purchase any of the 2012 Notes or the 2017 Notes. However, the sales of the 2012 Notes and the 2017 Notes are not conditioned upon each other, and we may consummate the sale of one and not the other, or consummate the sales at different times.</w:t>
      </w:r>
    </w:p>
    <w:p>
      <w:pPr>
        <w:spacing w:after="0" w:line="130"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The underwriters propose to offer some of the notes directly to the public at the applicable public offering price set forth on the cover page of this prospectus supplement and some of the notes to dealers at the applicable public offering price less a concession not to exceed 0.350% of the principal amount of the 2012 Notes and 0.400% of the principal amount of the 2017 Notes. The underwriters may allow, and dealers may reallow, a concession not to exceed 0.250% of the principal amount of the 2012 Notes and 0.250% of the principal amount of the 2017 Notes on sales to other dealers. After the initial offering of the notes to the public, the representatives may change the applicable public offering price and concessions.</w:t>
      </w:r>
    </w:p>
    <w:p>
      <w:pPr>
        <w:spacing w:after="0" w:line="102"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percentages of the principal amount of each series of the notes).</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480" w:type="dxa"/>
            <w:vAlign w:val="bottom"/>
          </w:tcPr>
          <w:p>
            <w:pPr>
              <w:jc w:val="right"/>
              <w:ind w:right="26"/>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1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2"/>
              </w:rPr>
              <w:t>Notes</w:t>
            </w: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Paid by Federal Realty.</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0.6125%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0.650%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In connection with the offering, Wachovia Capital Markets, LLC and Citigroup Global Markets Inc., on behalf of the underwriters, may purchase and sell notes in the open market. These transactions may include over-allotment, syndicate covering transactions and stabilizing transactions. Over-allotment involves syndicate sales of notes of a particular series in excess of the principal amount of notes of such series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07" w:lineRule="exact"/>
        <w:rPr>
          <w:sz w:val="20"/>
          <w:szCs w:val="20"/>
          <w:color w:val="auto"/>
        </w:rPr>
      </w:pPr>
    </w:p>
    <w:p>
      <w:pPr>
        <w:ind w:right="420" w:firstLine="571"/>
        <w:spacing w:after="0" w:line="268" w:lineRule="auto"/>
        <w:rPr>
          <w:sz w:val="20"/>
          <w:szCs w:val="20"/>
          <w:color w:val="auto"/>
        </w:rPr>
      </w:pPr>
      <w:r>
        <w:rPr>
          <w:rFonts w:ascii="Arial" w:cs="Arial" w:eastAsia="Arial" w:hAnsi="Arial"/>
          <w:sz w:val="18"/>
          <w:szCs w:val="18"/>
          <w:color w:val="auto"/>
        </w:rPr>
        <w:t>The underwriters also may impose penalty bids. Penalty bids permit the underwriters to reclaim a selling concession from a syndicate member when Wachovia Capital Markets, LLC and Citigroup Global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Markets Inc., in covering syndicate short positions or making stabilizing purchases, repurchase notes originally sold by that syndicate member.</w:t>
      </w:r>
    </w:p>
    <w:p>
      <w:pPr>
        <w:spacing w:after="0" w:line="158" w:lineRule="exact"/>
        <w:rPr>
          <w:sz w:val="20"/>
          <w:szCs w:val="20"/>
          <w:color w:val="auto"/>
        </w:rPr>
      </w:pPr>
    </w:p>
    <w:p>
      <w:pPr>
        <w:ind w:right="280" w:firstLine="571"/>
        <w:spacing w:after="0" w:line="335" w:lineRule="auto"/>
        <w:rPr>
          <w:sz w:val="20"/>
          <w:szCs w:val="20"/>
          <w:color w:val="auto"/>
        </w:rPr>
      </w:pPr>
      <w:r>
        <w:rPr>
          <w:rFonts w:ascii="Arial" w:cs="Arial" w:eastAsia="Arial" w:hAnsi="Arial"/>
          <w:sz w:val="15"/>
          <w:szCs w:val="15"/>
          <w:color w:val="auto"/>
        </w:rPr>
        <w:t>Any of these activities may have the effect of preventing or retarding a decline in the market prices of the notes. They may also cause the prices of the notes to be higher than the prices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estimate that our total expenses for this offering (excluding the underwriting discount) will be $300,000.</w:t>
      </w:r>
    </w:p>
    <w:p>
      <w:pPr>
        <w:spacing w:after="0" w:line="158" w:lineRule="exact"/>
        <w:rPr>
          <w:sz w:val="20"/>
          <w:szCs w:val="20"/>
          <w:color w:val="auto"/>
        </w:rPr>
      </w:pPr>
    </w:p>
    <w:p>
      <w:pPr>
        <w:ind w:right="740" w:firstLine="571"/>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 which will be the third business day following the date of the pricing of the notes.</w:t>
      </w:r>
    </w:p>
    <w:p>
      <w:pPr>
        <w:spacing w:after="0" w:line="118"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underwriters have performed investment banking, advisory and fiduciary services for us from time to time for which they have received customary fees and expenses. The underwriters may, from time to time, engage in transactions with and perform services for us in the ordinary course of their business. In particular, affiliates of Wachovia Capital Markets, LLC and Citigroup Global Markets Inc. are lenders under our existing revolving credit facility, and affiliates of Wachovia Capital Markets, LLC are an administrative agent, syndication agent and co-documentation agent, respectively, under our existing revolving credit facility.</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in electronic format may be made available on the websites maintained by one or more of the underwriters.</w:t>
      </w:r>
    </w:p>
    <w:p>
      <w:pPr>
        <w:spacing w:after="0" w:line="158" w:lineRule="exact"/>
        <w:rPr>
          <w:sz w:val="20"/>
          <w:szCs w:val="20"/>
          <w:color w:val="auto"/>
        </w:rPr>
      </w:pPr>
    </w:p>
    <w:p>
      <w:pPr>
        <w:ind w:right="680" w:firstLine="571"/>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consolidated balance sheets as of December 31, 2005 and 2004 and the consolidated statements of operations, common shareholders’ equity and cash flows for the three years ended December 31, 2005, 2004 and 2003 appearing in our Annual Report on Form 10-K, as amended, for the fiscal year ended December 31, 2005 and incorporated by reference into this prospectus supplement and elsewhere in the registration statement have been audited by Grant Thornton LLP, independent registered public accounting firm as indicated in their report with respect thereto, and are incorporated by reference herein and therein in reliance upon the authority of said firm as experts in giving said report.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60" w:firstLine="571"/>
        <w:spacing w:after="0" w:line="323" w:lineRule="auto"/>
        <w:rPr>
          <w:sz w:val="20"/>
          <w:szCs w:val="20"/>
          <w:color w:val="auto"/>
        </w:rPr>
      </w:pPr>
      <w:r>
        <w:rPr>
          <w:rFonts w:ascii="Arial" w:cs="Arial" w:eastAsia="Arial" w:hAnsi="Arial"/>
          <w:sz w:val="15"/>
          <w:szCs w:val="15"/>
          <w:color w:val="auto"/>
        </w:rPr>
        <w:t>The legality of the notes offered by this prospectus supplement will be passed upon for us by Pillsbury Winthrop Shaw Pittman LLP, Washington, DC. In addition, the description of federal income tax consequences contained in the accompanying prospectus under “Federal Income Tax Consequences” and in this prospectus supplement under “Certain Federal Income Tax Considerations” is, to the extent that it constitutes matters of law, summaries of legal matters or legal conclusions, based upon the opinion of Pillsbury Winthrop Shaw Pittman LLP. Sidley Austin LLP, New York, New York, will act as counsel to the underwriters.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jc w:val="both"/>
        <w:ind w:right="180" w:firstLine="571"/>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or SEC. Our SEC filings are available to the public at the SEC’s website at www.sec.gov. You may also read and copy any document we file at the SEC’s Public Reference Room at: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Public Reference Section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Please call the SEC at (800) 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27"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The SEC allows us to “incorporate by reference” the information we file with the SEC and the New York Stock Exchange, which means we can disclose important information to you by referring you to those documents. The information we incorporate by reference is an important part of this prospectus supplement and the accompanying prospectus, and all information that we will later file with the SEC will automatically update and supersede that information. We incorporate by reference the documents listed below as well as any future filings made with the SEC under Sections 13(a), 13(c), 14, or 15(d) of the Securities Exchange Act of 1934, or the Exchange Act (Exchange Act File No. 1-07533), from the date of this prospectus supplement until we terminate the offering hereunder.</w:t>
      </w:r>
    </w:p>
    <w:p>
      <w:pPr>
        <w:spacing w:after="0" w:line="131" w:lineRule="exact"/>
        <w:rPr>
          <w:sz w:val="20"/>
          <w:szCs w:val="20"/>
          <w:color w:val="auto"/>
        </w:rPr>
      </w:pPr>
    </w:p>
    <w:p>
      <w:pPr>
        <w:ind w:left="800" w:hanging="22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 Report on Form 10-K, as amended, for the fiscal year ended December 31, 2005</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March 31, 2006</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Report on Form 8-K filed with the SEC on February 23, 2006</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Report on Form 8-K filed with the SEC on February 28, 2006</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10, 2006</w:t>
      </w:r>
    </w:p>
    <w:p>
      <w:pPr>
        <w:spacing w:after="0" w:line="185"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Copies of these filings are available at no cost on our website, www.federalrealty.com. Amendments to these filings will be posted to our website as soon as reasonably practical after filing with the SEC. In addition, you may obtain a copy of these filings and any amendments to the filings at no cost, by writing or telephoning us. Those copies will not include exhibits to the filings unless the exhibits are specifically incorporated by reference in the documents or unless you specifically request them. You also may obtain copies of any exhibits to the registration statement. Please direct your request to:</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5540" w:right="4480" w:hanging="1040"/>
        <w:spacing w:after="0" w:line="517" w:lineRule="auto"/>
        <w:tabs>
          <w:tab w:leader="none" w:pos="4916" w:val="left"/>
        </w:tabs>
        <w:numPr>
          <w:ilvl w:val="0"/>
          <w:numId w:val="9"/>
        </w:numPr>
        <w:rPr>
          <w:rFonts w:ascii="Arial" w:cs="Arial" w:eastAsia="Arial" w:hAnsi="Arial"/>
          <w:sz w:val="16"/>
          <w:szCs w:val="16"/>
          <w:color w:val="auto"/>
        </w:rPr>
      </w:pPr>
      <w:r>
        <w:rPr>
          <w:rFonts w:ascii="Arial" w:cs="Arial" w:eastAsia="Arial" w:hAnsi="Arial"/>
          <w:sz w:val="16"/>
          <w:szCs w:val="16"/>
          <w:color w:val="auto"/>
        </w:rPr>
        <w:t>998-8100 or (800) 658-8980 S-19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This prospectus supplement and the accompanying prospectus do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this prospectus supplement and the accompanying prospectus about the provisions or contents of any contract, agreement or any other document referred to are not necessarily complete. Please refer to the actual exhibit for a more complete description of the matters involved. You may obtain copies of the exhibits by contacting the person named above.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77" w:lineRule="exact"/>
        <w:rPr>
          <w:sz w:val="20"/>
          <w:szCs w:val="20"/>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58" w:lineRule="exact"/>
        <w:rPr>
          <w:sz w:val="20"/>
          <w:szCs w:val="20"/>
          <w:color w:val="auto"/>
        </w:rPr>
      </w:pPr>
    </w:p>
    <w:p>
      <w:pPr>
        <w:jc w:val="both"/>
        <w:ind w:right="160" w:firstLine="571"/>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3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Please read this prospectus and the applicable supplement carefully before you invest.</w:t>
      </w:r>
    </w:p>
    <w:p>
      <w:pPr>
        <w:spacing w:after="0" w:line="164"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149225</wp:posOffset>
            </wp:positionV>
            <wp:extent cx="13976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June 20, 2006.</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80" w:type="dxa"/>
            <w:vAlign w:val="bottom"/>
            <w:gridSpan w:val="2"/>
          </w:tcPr>
          <w:p>
            <w:pPr>
              <w:ind w:left="17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12"/>
        </w:trPr>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56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140" w:type="dxa"/>
            <w:vAlign w:val="bottom"/>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Forward-Looking Information</w:t>
              </w:r>
            </w:hyperlink>
          </w:p>
        </w:tc>
        <w:tc>
          <w:tcPr>
            <w:tcW w:w="90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The Company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Ratios of Earnings to Combined Fixed Charges and Preferred Share Dividends</w:t>
              </w:r>
            </w:hyperlink>
          </w:p>
        </w:tc>
        <w:tc>
          <w:tcPr>
            <w:tcW w:w="56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Description of Debt Securities</w:t>
              </w:r>
            </w:hyperlink>
          </w:p>
        </w:tc>
        <w:tc>
          <w:tcPr>
            <w:tcW w:w="90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Description of Shares of Beneficial Interest</w:t>
              </w:r>
            </w:hyperlink>
          </w:p>
        </w:tc>
        <w:tc>
          <w:tcPr>
            <w:tcW w:w="80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46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56">
              <w:r>
                <w:rPr>
                  <w:rFonts w:ascii="Arial" w:cs="Arial" w:eastAsia="Arial" w:hAnsi="Arial"/>
                  <w:sz w:val="18"/>
                  <w:szCs w:val="18"/>
                  <w:color w:val="0000EE"/>
                  <w:w w:val="85"/>
                </w:rPr>
                <w:t>Federal Income Tax Consequences</w:t>
              </w:r>
            </w:hyperlink>
          </w:p>
        </w:tc>
        <w:tc>
          <w:tcPr>
            <w:tcW w:w="86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Plan of Distribution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4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Legal Matters</w:t>
              </w:r>
            </w:hyperlink>
          </w:p>
        </w:tc>
        <w:tc>
          <w:tcPr>
            <w:tcW w:w="97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0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Experts</w:t>
              </w:r>
            </w:hyperlink>
          </w:p>
        </w:tc>
        <w:tc>
          <w:tcPr>
            <w:tcW w:w="1014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Where You Can Find More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You should read both this prospectus and the applicable prospectus supplement, together with additional information described under the heading “Where You Can Find More Information.”</w:t>
      </w:r>
    </w:p>
    <w:p>
      <w:pPr>
        <w:spacing w:after="0" w:line="131"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References to “we,” “us” or “our” refer to Federal Realty Investment Trust and its directly or indirectly owned subsidiaries, unless the context otherwise requires. The term “you” refers to a prospective investor.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64"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Before investing in our securities, you should be aware that there are various risks. Investors should carefully consider, among other factors, the factors discussed in this prospectus and in any prospectus supplement. This prospectus contains, and any accompanying prospectus supplement will contain, forward-looking statements within the meaning of Section 27A of the Securities Act of 1933, as amended, Section 21E of the Securities Exchange Act of 1934, as amended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64"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high-quality retail and mixed-use properties. As of March 31, 2006, we owned or had a majority interest in 104 community and neighborhood shopping centers and mixed-use properties comprising approximately 17.6 million square feet, located primarily in densely populated and affluent communities throughout the Northeast and Mid-Atlantic United States, as well as in California, and one apartment complex in Maryland.</w:t>
      </w:r>
    </w:p>
    <w:p>
      <w:pPr>
        <w:spacing w:after="0" w:line="99"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 xml:space="preserve">We operate in a manner intended to qualify as a real estate investment trust pursuant to provisions of the Internal Revenue Code. Our offices are located at 1626 East Jefferson Street, Rockville, Maryland 20852. Our telephone number is (301) 998-8100 or (800) 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in our website is not a part of this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37" w:lineRule="exact"/>
        <w:rPr>
          <w:sz w:val="20"/>
          <w:szCs w:val="20"/>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 of new properties;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7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RATIO OF EARNINGS TO COMBINED FIXED CHARGES AND PREFERRED STOCK DIVIDENDS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stock dividends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980" w:type="dxa"/>
            <w:vAlign w:val="bottom"/>
            <w:gridSpan w:val="4"/>
          </w:tcPr>
          <w:p>
            <w:pPr>
              <w:ind w:left="180"/>
              <w:spacing w:after="0"/>
              <w:rPr>
                <w:sz w:val="20"/>
                <w:szCs w:val="20"/>
                <w:color w:val="auto"/>
              </w:rPr>
            </w:pPr>
            <w:r>
              <w:rPr>
                <w:rFonts w:ascii="Arial" w:cs="Arial" w:eastAsia="Arial" w:hAnsi="Arial"/>
                <w:sz w:val="14"/>
                <w:szCs w:val="14"/>
                <w:b w:val="1"/>
                <w:bCs w:val="1"/>
                <w:color w:val="auto"/>
              </w:rPr>
              <w:t>For the Three Months</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4"/>
        </w:trPr>
        <w:tc>
          <w:tcPr>
            <w:tcW w:w="6500" w:type="dxa"/>
            <w:vAlign w:val="bottom"/>
          </w:tcPr>
          <w:p>
            <w:pPr>
              <w:spacing w:after="0"/>
              <w:rPr>
                <w:sz w:val="15"/>
                <w:szCs w:val="15"/>
                <w:color w:val="auto"/>
              </w:rPr>
            </w:pPr>
          </w:p>
        </w:tc>
        <w:tc>
          <w:tcPr>
            <w:tcW w:w="1980" w:type="dxa"/>
            <w:vAlign w:val="bottom"/>
            <w:gridSpan w:val="4"/>
          </w:tcPr>
          <w:p>
            <w:pPr>
              <w:ind w:left="320"/>
              <w:spacing w:after="0"/>
              <w:rPr>
                <w:sz w:val="20"/>
                <w:szCs w:val="20"/>
                <w:color w:val="auto"/>
              </w:rPr>
            </w:pPr>
            <w:r>
              <w:rPr>
                <w:rFonts w:ascii="Arial" w:cs="Arial" w:eastAsia="Arial" w:hAnsi="Arial"/>
                <w:sz w:val="14"/>
                <w:szCs w:val="14"/>
                <w:b w:val="1"/>
                <w:bCs w:val="1"/>
                <w:color w:val="auto"/>
              </w:rPr>
              <w:t>Ended March 31,</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88"/>
              </w:rPr>
              <w:t>For the Years Ended December 31,</w:t>
            </w:r>
          </w:p>
        </w:tc>
        <w:tc>
          <w:tcPr>
            <w:tcW w:w="420" w:type="dxa"/>
            <w:vAlign w:val="bottom"/>
          </w:tcPr>
          <w:p>
            <w:pPr>
              <w:spacing w:after="0"/>
              <w:rPr>
                <w:sz w:val="15"/>
                <w:szCs w:val="15"/>
                <w:color w:val="auto"/>
              </w:rPr>
            </w:pPr>
          </w:p>
        </w:tc>
      </w:tr>
      <w:tr>
        <w:trPr>
          <w:trHeight w:val="95"/>
        </w:trPr>
        <w:tc>
          <w:tcPr>
            <w:tcW w:w="65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263"/>
        </w:trPr>
        <w:tc>
          <w:tcPr>
            <w:tcW w:w="650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2"/>
                <w:szCs w:val="22"/>
                <w:color w:val="auto"/>
              </w:rPr>
            </w:pPr>
          </w:p>
        </w:tc>
        <w:tc>
          <w:tcPr>
            <w:tcW w:w="660" w:type="dxa"/>
            <w:vAlign w:val="bottom"/>
          </w:tcPr>
          <w:p>
            <w:pPr>
              <w:jc w:val="right"/>
              <w:ind w:right="119"/>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2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r>
      <w:tr>
        <w:trPr>
          <w:trHeight w:val="95"/>
        </w:trPr>
        <w:tc>
          <w:tcPr>
            <w:tcW w:w="65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102"/>
        </w:trPr>
        <w:tc>
          <w:tcPr>
            <w:tcW w:w="6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w:t>
            </w: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8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w:t>
            </w:r>
          </w:p>
        </w:tc>
        <w:tc>
          <w:tcPr>
            <w:tcW w:w="6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6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14"/>
        </w:trPr>
        <w:tc>
          <w:tcPr>
            <w:tcW w:w="650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29"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minority interests plus distributed income of equity investees and fixed charges (excluding capitalized interest) less minority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99"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minority interests plus distributed income of equity investees and fixed charges (excluding capitalized interest) less minority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64" w:lineRule="exact"/>
        <w:rPr>
          <w:sz w:val="20"/>
          <w:szCs w:val="20"/>
          <w:color w:val="auto"/>
        </w:rPr>
      </w:pPr>
    </w:p>
    <w:p>
      <w:pPr>
        <w:ind w:right="320" w:firstLine="571"/>
        <w:spacing w:after="0" w:line="323" w:lineRule="auto"/>
        <w:rPr>
          <w:sz w:val="20"/>
          <w:szCs w:val="20"/>
          <w:color w:val="auto"/>
        </w:rPr>
      </w:pPr>
      <w:r>
        <w:rPr>
          <w:rFonts w:ascii="Arial" w:cs="Arial" w:eastAsia="Arial" w:hAnsi="Arial"/>
          <w:sz w:val="15"/>
          <w:szCs w:val="15"/>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77" w:lineRule="exact"/>
        <w:rPr>
          <w:sz w:val="20"/>
          <w:szCs w:val="20"/>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85" w:lineRule="exact"/>
        <w:rPr>
          <w:sz w:val="20"/>
          <w:szCs w:val="20"/>
          <w:color w:val="auto"/>
        </w:rPr>
      </w:pPr>
    </w:p>
    <w:p>
      <w:pPr>
        <w:ind w:right="160" w:firstLine="571"/>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Unless we say otherwise in a prospectus supplement:</w:t>
      </w:r>
    </w:p>
    <w:p>
      <w:pPr>
        <w:spacing w:after="0" w:line="77" w:lineRule="exact"/>
        <w:rPr>
          <w:sz w:val="20"/>
          <w:szCs w:val="20"/>
          <w:color w:val="auto"/>
        </w:rPr>
      </w:pPr>
    </w:p>
    <w:p>
      <w:pPr>
        <w:ind w:left="800" w:hanging="225"/>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03" w:lineRule="exact"/>
        <w:rPr>
          <w:rFonts w:ascii="Arial" w:cs="Arial" w:eastAsia="Arial" w:hAnsi="Arial"/>
          <w:sz w:val="18"/>
          <w:szCs w:val="18"/>
          <w:color w:val="auto"/>
        </w:rPr>
      </w:pPr>
    </w:p>
    <w:p>
      <w:pPr>
        <w:ind w:left="800" w:right="520" w:hanging="225"/>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83" w:lineRule="exact"/>
        <w:rPr>
          <w:sz w:val="20"/>
          <w:szCs w:val="20"/>
          <w:color w:val="auto"/>
        </w:rPr>
      </w:pPr>
    </w:p>
    <w:p>
      <w:pPr>
        <w:jc w:val="both"/>
        <w:ind w:right="20" w:firstLine="571"/>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an indenture between us and Wachovia Bank National Association, as successor to First Union National Bank, Trustee. We have filed with the SEC two indentures that are exhibits to the registration statement that includes this prospectus. The senior indenture describes the general terms of senior debt securities we may issue. In addition to describing the general terms of subordinated debt securities that we may issue, the subordinated indenture includes additional terms describing the subordination provisions of these securities. Each of the indentures is subject to the Trust Indenture Act of 1939, as amended.</w:t>
      </w:r>
    </w:p>
    <w:p>
      <w:pPr>
        <w:spacing w:after="0" w:line="129" w:lineRule="exact"/>
        <w:rPr>
          <w:sz w:val="20"/>
          <w:szCs w:val="20"/>
          <w:color w:val="auto"/>
        </w:rPr>
      </w:pPr>
    </w:p>
    <w:p>
      <w:pPr>
        <w:ind w:firstLine="571"/>
        <w:spacing w:after="0" w:line="323" w:lineRule="auto"/>
        <w:rPr>
          <w:sz w:val="20"/>
          <w:szCs w:val="20"/>
          <w:color w:val="auto"/>
        </w:rPr>
      </w:pPr>
      <w:r>
        <w:rPr>
          <w:rFonts w:ascii="Arial" w:cs="Arial" w:eastAsia="Arial" w:hAnsi="Arial"/>
          <w:sz w:val="15"/>
          <w:szCs w:val="15"/>
          <w:color w:val="auto"/>
        </w:rPr>
        <w:t>The indentures do not include all the terms of debt securities we may issue through this prospectus. If we issue debt securities through this prospectus, our Board of Trustees will establish the additional terms for each series of debt securities. The additional terms will be either established pursuant to, and set forth in, a supplemental indenture, or established pursuant to a resolution of our Board of Trustees and set forth in an officer’s certificate. Each indenture describes the additional terms that may be established and we summarize the additional terms that may be established under “— Additional Terms of Debt Securities,” below.</w:t>
      </w:r>
    </w:p>
    <w:p>
      <w:pPr>
        <w:spacing w:after="0" w:line="84"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We have summarized the provisions of the senior indenture and the subordinated indenture below. The summary is not complete. You should read the indentures for provisions that may be important to you. The extent, if any, to which the provisions of the base indentures apply to particular debt securities will be described in the prospectus supplement relating to those securities. You should read the prospectus supplement for more information regarding any particular issuance of debt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8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when we issue the series. We will describe the terms of the series in a prospectus supplement. Each indenture provides that the terms that may be established include the following:</w:t>
      </w:r>
    </w:p>
    <w:p>
      <w:pPr>
        <w:spacing w:after="0" w:line="46" w:lineRule="exact"/>
        <w:rPr>
          <w:sz w:val="20"/>
          <w:szCs w:val="20"/>
          <w:color w:val="auto"/>
        </w:rPr>
      </w:pPr>
    </w:p>
    <w:p>
      <w:pPr>
        <w:ind w:left="580"/>
        <w:spacing w:after="0"/>
        <w:tabs>
          <w:tab w:leader="none" w:pos="780" w:val="left"/>
          <w:tab w:leader="none" w:pos="1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i w:val="1"/>
          <w:iCs w:val="1"/>
          <w:color w:val="auto"/>
        </w:rPr>
        <w:t>Title.</w:t>
      </w:r>
      <w:r>
        <w:rPr>
          <w:sz w:val="20"/>
          <w:szCs w:val="20"/>
          <w:color w:val="auto"/>
        </w:rPr>
        <w:tab/>
      </w:r>
      <w:r>
        <w:rPr>
          <w:rFonts w:ascii="Arial" w:cs="Arial" w:eastAsia="Arial" w:hAnsi="Arial"/>
          <w:sz w:val="16"/>
          <w:szCs w:val="16"/>
          <w:color w:val="auto"/>
        </w:rPr>
        <w:t>The title of the debt securities offered.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03" w:lineRule="exact"/>
        <w:rPr>
          <w:rFonts w:ascii="Arial" w:cs="Arial" w:eastAsia="Arial" w:hAnsi="Arial"/>
          <w:sz w:val="18"/>
          <w:szCs w:val="18"/>
          <w:color w:val="auto"/>
        </w:rPr>
      </w:pPr>
    </w:p>
    <w:p>
      <w:pPr>
        <w:ind w:left="800" w:right="220" w:hanging="225"/>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37" w:lineRule="exact"/>
        <w:rPr>
          <w:rFonts w:ascii="Arial" w:cs="Arial" w:eastAsia="Arial" w:hAnsi="Arial"/>
          <w:sz w:val="18"/>
          <w:szCs w:val="18"/>
          <w:color w:val="auto"/>
        </w:rPr>
      </w:pPr>
    </w:p>
    <w:p>
      <w:pPr>
        <w:ind w:left="800" w:right="500" w:hanging="225"/>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03" w:lineRule="exact"/>
        <w:rPr>
          <w:rFonts w:ascii="Arial" w:cs="Arial" w:eastAsia="Arial" w:hAnsi="Arial"/>
          <w:sz w:val="18"/>
          <w:szCs w:val="18"/>
          <w:color w:val="auto"/>
        </w:rPr>
      </w:pPr>
    </w:p>
    <w:p>
      <w:pPr>
        <w:ind w:left="800" w:right="180" w:hanging="225"/>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Payment Dates. </w:t>
      </w:r>
      <w:r>
        <w:rPr>
          <w:rFonts w:ascii="Arial" w:cs="Arial" w:eastAsia="Arial" w:hAnsi="Arial"/>
          <w:sz w:val="18"/>
          <w:szCs w:val="18"/>
          <w:color w:val="auto"/>
        </w:rPr>
        <w:t>The date or dates on which interest will be payable and the record date or dates to determine the persons who will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w:t>
      </w:r>
    </w:p>
    <w:p>
      <w:pPr>
        <w:spacing w:after="0" w:line="37"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37" w:lineRule="exact"/>
        <w:rPr>
          <w:rFonts w:ascii="Arial" w:cs="Arial" w:eastAsia="Arial" w:hAnsi="Arial"/>
          <w:sz w:val="18"/>
          <w:szCs w:val="18"/>
          <w:color w:val="auto"/>
        </w:rPr>
      </w:pPr>
    </w:p>
    <w:p>
      <w:pPr>
        <w:ind w:left="800" w:right="60" w:hanging="225"/>
        <w:spacing w:after="0" w:line="259"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45" w:lineRule="exact"/>
        <w:rPr>
          <w:rFonts w:ascii="Arial" w:cs="Arial" w:eastAsia="Arial" w:hAnsi="Arial"/>
          <w:sz w:val="18"/>
          <w:szCs w:val="18"/>
          <w:color w:val="auto"/>
        </w:rPr>
      </w:pPr>
    </w:p>
    <w:p>
      <w:pPr>
        <w:ind w:left="800" w:right="80" w:hanging="225"/>
        <w:spacing w:after="0" w:line="298"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18" w:lineRule="exact"/>
        <w:rPr>
          <w:rFonts w:ascii="Arial" w:cs="Arial" w:eastAsia="Arial" w:hAnsi="Arial"/>
          <w:sz w:val="16"/>
          <w:szCs w:val="16"/>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03" w:lineRule="exact"/>
        <w:rPr>
          <w:rFonts w:ascii="Arial" w:cs="Arial" w:eastAsia="Arial" w:hAnsi="Arial"/>
          <w:sz w:val="18"/>
          <w:szCs w:val="18"/>
          <w:color w:val="auto"/>
        </w:rPr>
      </w:pPr>
    </w:p>
    <w:p>
      <w:pPr>
        <w:ind w:left="800" w:right="120" w:hanging="225"/>
        <w:spacing w:after="0" w:line="25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48" w:lineRule="exact"/>
        <w:rPr>
          <w:rFonts w:ascii="Arial" w:cs="Arial" w:eastAsia="Arial" w:hAnsi="Arial"/>
          <w:sz w:val="18"/>
          <w:szCs w:val="18"/>
          <w:color w:val="auto"/>
        </w:rPr>
      </w:pPr>
    </w:p>
    <w:p>
      <w:pPr>
        <w:ind w:left="800" w:right="160" w:hanging="225"/>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37" w:lineRule="exact"/>
        <w:rPr>
          <w:rFonts w:ascii="Arial" w:cs="Arial" w:eastAsia="Arial" w:hAnsi="Arial"/>
          <w:sz w:val="18"/>
          <w:szCs w:val="18"/>
          <w:color w:val="auto"/>
        </w:rPr>
      </w:pPr>
    </w:p>
    <w:p>
      <w:pPr>
        <w:ind w:left="800" w:right="100" w:hanging="225"/>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26" w:lineRule="exact"/>
        <w:rPr>
          <w:rFonts w:ascii="Arial" w:cs="Arial" w:eastAsia="Arial" w:hAnsi="Arial"/>
          <w:sz w:val="16"/>
          <w:szCs w:val="16"/>
          <w:color w:val="auto"/>
        </w:rPr>
      </w:pPr>
    </w:p>
    <w:p>
      <w:pPr>
        <w:ind w:left="800" w:right="120" w:hanging="225"/>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37" w:lineRule="exact"/>
        <w:rPr>
          <w:rFonts w:ascii="Arial" w:cs="Arial" w:eastAsia="Arial" w:hAnsi="Arial"/>
          <w:sz w:val="18"/>
          <w:szCs w:val="18"/>
          <w:color w:val="auto"/>
        </w:rPr>
      </w:pPr>
    </w:p>
    <w:p>
      <w:pPr>
        <w:ind w:left="800" w:right="60" w:hanging="225"/>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300" w:hanging="225"/>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03"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03" w:lineRule="exact"/>
        <w:rPr>
          <w:rFonts w:ascii="Arial" w:cs="Arial" w:eastAsia="Arial" w:hAnsi="Arial"/>
          <w:sz w:val="18"/>
          <w:szCs w:val="18"/>
          <w:color w:val="auto"/>
        </w:rPr>
      </w:pPr>
    </w:p>
    <w:p>
      <w:pPr>
        <w:ind w:left="800" w:right="80" w:hanging="225"/>
        <w:spacing w:after="0" w:line="25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48" w:lineRule="exact"/>
        <w:rPr>
          <w:rFonts w:ascii="Arial" w:cs="Arial" w:eastAsia="Arial" w:hAnsi="Arial"/>
          <w:sz w:val="18"/>
          <w:szCs w:val="18"/>
          <w:color w:val="auto"/>
        </w:rPr>
      </w:pPr>
    </w:p>
    <w:p>
      <w:pPr>
        <w:ind w:left="800" w:hanging="225"/>
        <w:spacing w:after="0" w:line="259"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installation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45" w:lineRule="exact"/>
        <w:rPr>
          <w:rFonts w:ascii="Arial" w:cs="Arial" w:eastAsia="Arial" w:hAnsi="Arial"/>
          <w:sz w:val="18"/>
          <w:szCs w:val="18"/>
          <w:color w:val="auto"/>
        </w:rPr>
      </w:pPr>
    </w:p>
    <w:p>
      <w:pPr>
        <w:ind w:left="800" w:right="60" w:hanging="225"/>
        <w:spacing w:after="0" w:line="325"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1" w:lineRule="exact"/>
        <w:rPr>
          <w:rFonts w:ascii="Arial" w:cs="Arial" w:eastAsia="Arial" w:hAnsi="Arial"/>
          <w:sz w:val="16"/>
          <w:szCs w:val="16"/>
          <w:color w:val="auto"/>
        </w:rPr>
      </w:pPr>
    </w:p>
    <w:p>
      <w:pPr>
        <w:ind w:left="800" w:right="540" w:hanging="225"/>
        <w:spacing w:after="0" w:line="325"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1" w:lineRule="exact"/>
        <w:rPr>
          <w:rFonts w:ascii="Arial" w:cs="Arial" w:eastAsia="Arial" w:hAnsi="Arial"/>
          <w:sz w:val="16"/>
          <w:szCs w:val="16"/>
          <w:color w:val="auto"/>
        </w:rPr>
      </w:pPr>
    </w:p>
    <w:p>
      <w:pPr>
        <w:ind w:left="800" w:right="120" w:hanging="225"/>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Subordination. </w:t>
      </w:r>
      <w:r>
        <w:rPr>
          <w:rFonts w:ascii="Arial" w:cs="Arial" w:eastAsia="Arial" w:hAnsi="Arial"/>
          <w:sz w:val="18"/>
          <w:szCs w:val="18"/>
          <w:color w:val="auto"/>
        </w:rPr>
        <w:t>In the case of the subordinated indenture, the relative degree to which the offered debt securities shall be senior to or junior to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 whether currently outstanding or to be offered in the future, and to other debt, in right of payment.</w:t>
      </w:r>
    </w:p>
    <w:p>
      <w:pPr>
        <w:spacing w:after="0" w:line="37"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37"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The terms, if any, upon which the offered debt securities may be converted or exchanged into or for our common shares,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or other securities or property.</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03" w:lineRule="exact"/>
        <w:rPr>
          <w:rFonts w:ascii="Arial" w:cs="Arial" w:eastAsia="Arial" w:hAnsi="Arial"/>
          <w:sz w:val="18"/>
          <w:szCs w:val="18"/>
          <w:color w:val="auto"/>
        </w:rPr>
      </w:pPr>
    </w:p>
    <w:p>
      <w:pPr>
        <w:ind w:left="800" w:right="220" w:hanging="225"/>
        <w:spacing w:after="0" w:line="332"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83" w:lineRule="exact"/>
        <w:rPr>
          <w:sz w:val="20"/>
          <w:szCs w:val="20"/>
          <w:color w:val="auto"/>
        </w:rPr>
      </w:pPr>
    </w:p>
    <w:p>
      <w:pPr>
        <w:ind w:left="580"/>
        <w:spacing w:after="0"/>
        <w:tabs>
          <w:tab w:leader="none" w:pos="2740" w:val="left"/>
        </w:tabs>
        <w:rPr>
          <w:sz w:val="20"/>
          <w:szCs w:val="20"/>
          <w:color w:val="auto"/>
        </w:rPr>
      </w:pPr>
      <w:r>
        <w:rPr>
          <w:rFonts w:ascii="Arial" w:cs="Arial" w:eastAsia="Arial" w:hAnsi="Arial"/>
          <w:sz w:val="18"/>
          <w:szCs w:val="18"/>
          <w:b w:val="1"/>
          <w:bCs w:val="1"/>
          <w:i w:val="1"/>
          <w:iCs w:val="1"/>
          <w:color w:val="auto"/>
        </w:rPr>
        <w:t>Registered or Bearer Form.</w:t>
      </w:r>
      <w:r>
        <w:rPr>
          <w:sz w:val="20"/>
          <w:szCs w:val="20"/>
          <w:color w:val="auto"/>
        </w:rPr>
        <w:tab/>
      </w:r>
      <w:r>
        <w:rPr>
          <w:rFonts w:ascii="Arial" w:cs="Arial" w:eastAsia="Arial" w:hAnsi="Arial"/>
          <w:sz w:val="15"/>
          <w:szCs w:val="15"/>
          <w:color w:val="auto"/>
        </w:rPr>
        <w:t>Debt securities may be offered in either registered or bearer form.</w:t>
      </w:r>
    </w:p>
    <w:p>
      <w:pPr>
        <w:spacing w:after="0" w:line="77" w:lineRule="exact"/>
        <w:rPr>
          <w:sz w:val="20"/>
          <w:szCs w:val="20"/>
          <w:color w:val="auto"/>
        </w:rPr>
      </w:pPr>
    </w:p>
    <w:p>
      <w:pPr>
        <w:ind w:left="800" w:right="2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40" w:hanging="225"/>
        <w:spacing w:after="0" w:line="306"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consequences relating to the offered debt securities in a prospectus supplement.</w:t>
      </w:r>
    </w:p>
    <w:p>
      <w:pPr>
        <w:spacing w:after="0" w:line="93" w:lineRule="exact"/>
        <w:rPr>
          <w:sz w:val="20"/>
          <w:szCs w:val="20"/>
          <w:color w:val="auto"/>
        </w:rPr>
      </w:pPr>
    </w:p>
    <w:p>
      <w:pPr>
        <w:ind w:left="580"/>
        <w:spacing w:after="0"/>
        <w:tabs>
          <w:tab w:leader="none" w:pos="1900" w:val="left"/>
        </w:tabs>
        <w:rPr>
          <w:sz w:val="20"/>
          <w:szCs w:val="20"/>
          <w:color w:val="auto"/>
        </w:rPr>
      </w:pPr>
      <w:r>
        <w:rPr>
          <w:rFonts w:ascii="Arial" w:cs="Arial" w:eastAsia="Arial" w:hAnsi="Arial"/>
          <w:sz w:val="16"/>
          <w:szCs w:val="16"/>
          <w:b w:val="1"/>
          <w:bCs w:val="1"/>
          <w:i w:val="1"/>
          <w:iCs w:val="1"/>
          <w:color w:val="auto"/>
        </w:rPr>
        <w:t>Denominations.</w:t>
      </w:r>
      <w:r>
        <w:rPr>
          <w:sz w:val="20"/>
          <w:szCs w:val="20"/>
          <w:color w:val="auto"/>
        </w:rPr>
        <w:tab/>
      </w:r>
      <w:r>
        <w:rPr>
          <w:rFonts w:ascii="Arial" w:cs="Arial" w:eastAsia="Arial" w:hAnsi="Arial"/>
          <w:sz w:val="16"/>
          <w:szCs w:val="16"/>
          <w:color w:val="auto"/>
        </w:rPr>
        <w:t>Unless we say otherwise in a prospectus supplement, we will issue debt securities in denominations of:</w:t>
      </w:r>
    </w:p>
    <w:p>
      <w:pPr>
        <w:spacing w:after="0" w:line="100" w:lineRule="exact"/>
        <w:rPr>
          <w:sz w:val="20"/>
          <w:szCs w:val="20"/>
          <w:color w:val="auto"/>
        </w:rPr>
      </w:pPr>
    </w:p>
    <w:p>
      <w:pPr>
        <w:ind w:left="800" w:hanging="225"/>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85" w:lineRule="exact"/>
        <w:rPr>
          <w:sz w:val="20"/>
          <w:szCs w:val="20"/>
          <w:color w:val="auto"/>
        </w:rPr>
      </w:pPr>
    </w:p>
    <w:p>
      <w:pPr>
        <w:ind w:left="580"/>
        <w:spacing w:after="0"/>
        <w:tabs>
          <w:tab w:leader="none" w:pos="3960" w:val="left"/>
        </w:tabs>
        <w:rPr>
          <w:sz w:val="20"/>
          <w:szCs w:val="20"/>
          <w:color w:val="auto"/>
        </w:rPr>
      </w:pPr>
      <w:r>
        <w:rPr>
          <w:rFonts w:ascii="Arial" w:cs="Arial" w:eastAsia="Arial" w:hAnsi="Arial"/>
          <w:sz w:val="18"/>
          <w:szCs w:val="18"/>
          <w:b w:val="1"/>
          <w:bCs w:val="1"/>
          <w:i w:val="1"/>
          <w:iCs w:val="1"/>
          <w:color w:val="auto"/>
        </w:rPr>
        <w:t>Payment Currencies and Indexed Securities.</w:t>
      </w:r>
      <w:r>
        <w:rPr>
          <w:sz w:val="20"/>
          <w:szCs w:val="20"/>
          <w:color w:val="auto"/>
        </w:rPr>
        <w:tab/>
      </w:r>
      <w:r>
        <w:rPr>
          <w:rFonts w:ascii="Arial" w:cs="Arial" w:eastAsia="Arial" w:hAnsi="Arial"/>
          <w:sz w:val="16"/>
          <w:szCs w:val="16"/>
          <w:color w:val="auto"/>
        </w:rPr>
        <w:t>We may offer debt securities for which:</w:t>
      </w:r>
    </w:p>
    <w:p>
      <w:pPr>
        <w:spacing w:after="0" w:line="77" w:lineRule="exact"/>
        <w:rPr>
          <w:sz w:val="20"/>
          <w:szCs w:val="20"/>
          <w:color w:val="auto"/>
        </w:rPr>
      </w:pPr>
    </w:p>
    <w:p>
      <w:pPr>
        <w:ind w:left="800" w:hanging="22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other currency may be a currency unit composed of various currencies. Payments on debt securities may also be based on an index.</w:t>
      </w:r>
    </w:p>
    <w:p>
      <w:pPr>
        <w:spacing w:after="0" w:line="181" w:lineRule="exact"/>
        <w:rPr>
          <w:sz w:val="20"/>
          <w:szCs w:val="20"/>
          <w:color w:val="auto"/>
        </w:rPr>
      </w:pPr>
    </w:p>
    <w:p>
      <w:pPr>
        <w:jc w:val="both"/>
        <w:ind w:right="100" w:firstLine="571"/>
        <w:spacing w:after="0" w:line="253"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Wachovia Bank National Association, 401 S. Tryon Street, 12</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Charlotte, North Carolina 28288. We will notify you of any change in the office’s location. At our option, however, we may make any interest payments on debt securities issued in registered form by:</w:t>
      </w:r>
    </w:p>
    <w:p>
      <w:pPr>
        <w:spacing w:after="0" w:line="49" w:lineRule="exact"/>
        <w:rPr>
          <w:sz w:val="20"/>
          <w:szCs w:val="20"/>
          <w:color w:val="auto"/>
        </w:rPr>
      </w:pPr>
    </w:p>
    <w:p>
      <w:pPr>
        <w:ind w:left="800" w:hanging="22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mailing checks to you at the address you specify;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specify.</w:t>
      </w:r>
    </w:p>
    <w:p>
      <w:pPr>
        <w:spacing w:after="0" w:line="185"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18"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We will describe in a prospectus supplement how we will pay amounts owing on bearer securities. We will only pay amounts owing on bearer securities at an office outside the United States.</w:t>
      </w:r>
    </w:p>
    <w:p>
      <w:pPr>
        <w:spacing w:after="0" w:line="118" w:lineRule="exact"/>
        <w:rPr>
          <w:sz w:val="20"/>
          <w:szCs w:val="20"/>
          <w:color w:val="auto"/>
        </w:rPr>
      </w:pPr>
    </w:p>
    <w:p>
      <w:pPr>
        <w:ind w:firstLine="571"/>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agency that we designate. You may transfer or exchange debt securities without service charge, although we may require you to pay any related tax or other governmental charge.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77" w:lineRule="exact"/>
        <w:rPr>
          <w:sz w:val="20"/>
          <w:szCs w:val="20"/>
          <w:color w:val="auto"/>
        </w:rPr>
      </w:pPr>
    </w:p>
    <w:p>
      <w:pPr>
        <w:ind w:left="800" w:hanging="22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Registered 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right="520" w:firstLine="571"/>
        <w:spacing w:after="0" w:line="268" w:lineRule="auto"/>
        <w:rPr>
          <w:sz w:val="20"/>
          <w:szCs w:val="20"/>
          <w:color w:val="auto"/>
        </w:rPr>
      </w:pPr>
      <w:r>
        <w:rPr>
          <w:rFonts w:ascii="Arial" w:cs="Arial" w:eastAsia="Arial" w:hAnsi="Arial"/>
          <w:sz w:val="18"/>
          <w:szCs w:val="18"/>
          <w:color w:val="auto"/>
        </w:rPr>
        <w:t>Each indenture contains the following covenants. Any additional material covenants applicable to any series of debt securities will be set forth in a prospectus supplement.</w:t>
      </w:r>
    </w:p>
    <w:p>
      <w:pPr>
        <w:spacing w:after="0" w:line="118"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3"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99" w:lineRule="exact"/>
        <w:rPr>
          <w:sz w:val="20"/>
          <w:szCs w:val="20"/>
          <w:color w:val="auto"/>
        </w:rPr>
      </w:pPr>
    </w:p>
    <w:p>
      <w:pPr>
        <w:ind w:left="580"/>
        <w:spacing w:after="0"/>
        <w:tabs>
          <w:tab w:leader="none" w:pos="3380" w:val="left"/>
        </w:tabs>
        <w:rPr>
          <w:sz w:val="20"/>
          <w:szCs w:val="20"/>
          <w:color w:val="auto"/>
        </w:rPr>
      </w:pPr>
      <w:r>
        <w:rPr>
          <w:rFonts w:ascii="Arial" w:cs="Arial" w:eastAsia="Arial" w:hAnsi="Arial"/>
          <w:sz w:val="18"/>
          <w:szCs w:val="18"/>
          <w:b w:val="1"/>
          <w:bCs w:val="1"/>
          <w:i w:val="1"/>
          <w:iCs w:val="1"/>
          <w:color w:val="auto"/>
        </w:rPr>
        <w:t>Payment of Taxes and Other Claims.</w:t>
      </w:r>
      <w:r>
        <w:rPr>
          <w:sz w:val="20"/>
          <w:szCs w:val="20"/>
          <w:color w:val="auto"/>
        </w:rPr>
        <w:tab/>
      </w:r>
      <w:r>
        <w:rPr>
          <w:rFonts w:ascii="Arial" w:cs="Arial" w:eastAsia="Arial" w:hAnsi="Arial"/>
          <w:sz w:val="15"/>
          <w:szCs w:val="15"/>
          <w:color w:val="auto"/>
        </w:rPr>
        <w:t>We will pay or discharge or cause to be paid or discharged, before they shall become delinquent:</w:t>
      </w:r>
    </w:p>
    <w:p>
      <w:pPr>
        <w:spacing w:after="0" w:line="77" w:lineRule="exact"/>
        <w:rPr>
          <w:sz w:val="20"/>
          <w:szCs w:val="20"/>
          <w:color w:val="auto"/>
        </w:rPr>
      </w:pPr>
    </w:p>
    <w:p>
      <w:pPr>
        <w:ind w:left="800" w:hanging="225"/>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0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18" w:lineRule="exact"/>
        <w:rPr>
          <w:sz w:val="20"/>
          <w:szCs w:val="20"/>
          <w:color w:val="auto"/>
        </w:rPr>
      </w:pPr>
    </w:p>
    <w:p>
      <w:pPr>
        <w:ind w:right="120" w:firstLine="571"/>
        <w:spacing w:after="0" w:line="325"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1" w:lineRule="exact"/>
        <w:rPr>
          <w:sz w:val="20"/>
          <w:szCs w:val="20"/>
          <w:color w:val="auto"/>
        </w:rPr>
      </w:pPr>
    </w:p>
    <w:p>
      <w:pPr>
        <w:jc w:val="both"/>
        <w:ind w:left="800" w:right="80" w:hanging="225"/>
        <w:spacing w:after="0" w:line="259"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45"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37" w:lineRule="exact"/>
        <w:rPr>
          <w:rFonts w:ascii="Arial" w:cs="Arial" w:eastAsia="Arial" w:hAnsi="Arial"/>
          <w:sz w:val="18"/>
          <w:szCs w:val="18"/>
          <w:color w:val="auto"/>
        </w:rPr>
      </w:pPr>
    </w:p>
    <w:p>
      <w:pPr>
        <w:ind w:left="800" w:right="220" w:hanging="225"/>
        <w:spacing w:after="0" w:line="26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83"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We may consolidate with, or sell, lease or convey all or substantially all of our assets, or merge with or into any other entity, provided that we satisfy all of the following conditions:</w:t>
      </w:r>
    </w:p>
    <w:p>
      <w:pPr>
        <w:spacing w:after="0" w:line="37" w:lineRule="exact"/>
        <w:rPr>
          <w:sz w:val="20"/>
          <w:szCs w:val="20"/>
          <w:color w:val="auto"/>
        </w:rPr>
      </w:pPr>
    </w:p>
    <w:p>
      <w:pPr>
        <w:ind w:left="800" w:hanging="225"/>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either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must be the continuing company, or</w:t>
      </w:r>
    </w:p>
    <w:p>
      <w:pPr>
        <w:spacing w:after="0" w:line="103" w:lineRule="exact"/>
        <w:rPr>
          <w:rFonts w:ascii="Arial" w:cs="Arial" w:eastAsia="Arial" w:hAnsi="Arial"/>
          <w:sz w:val="18"/>
          <w:szCs w:val="18"/>
          <w:color w:val="auto"/>
        </w:rPr>
      </w:pPr>
    </w:p>
    <w:p>
      <w:pPr>
        <w:ind w:left="1260" w:right="180" w:hanging="455"/>
        <w:spacing w:after="0" w:line="259" w:lineRule="auto"/>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45"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transactions, no default or event of default under the debt securities shall have occurred and be continuing; and</w:t>
      </w:r>
    </w:p>
    <w:p>
      <w:pPr>
        <w:spacing w:after="0" w:line="37" w:lineRule="exact"/>
        <w:rPr>
          <w:rFonts w:ascii="Arial" w:cs="Arial" w:eastAsia="Arial" w:hAnsi="Arial"/>
          <w:sz w:val="18"/>
          <w:szCs w:val="18"/>
          <w:color w:val="auto"/>
        </w:rPr>
      </w:pPr>
    </w:p>
    <w:p>
      <w:pPr>
        <w:ind w:left="800" w:right="180" w:hanging="225"/>
        <w:spacing w:after="0" w:line="256"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83"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99" w:lineRule="exact"/>
        <w:rPr>
          <w:sz w:val="20"/>
          <w:szCs w:val="20"/>
          <w:color w:val="auto"/>
        </w:rPr>
      </w:pPr>
    </w:p>
    <w:p>
      <w:pPr>
        <w:ind w:right="200" w:firstLine="571"/>
        <w:spacing w:after="0" w:line="325" w:lineRule="auto"/>
        <w:rPr>
          <w:sz w:val="20"/>
          <w:szCs w:val="20"/>
          <w:color w:val="auto"/>
        </w:rPr>
      </w:pPr>
      <w:r>
        <w:rPr>
          <w:rFonts w:ascii="Arial" w:cs="Arial" w:eastAsia="Arial" w:hAnsi="Arial"/>
          <w:sz w:val="16"/>
          <w:szCs w:val="16"/>
          <w:color w:val="auto"/>
        </w:rPr>
        <w:t>Senior debt is defined in the subordinated indenture as the principal of and interest on, or substantially similar payments to be made by us in respect of, the following, whether outstanding at the date of execution of the subordinated indenture or thereafter incurred, created or assumed:</w:t>
      </w:r>
    </w:p>
    <w:p>
      <w:pPr>
        <w:spacing w:after="0" w:line="1" w:lineRule="exact"/>
        <w:rPr>
          <w:sz w:val="20"/>
          <w:szCs w:val="20"/>
          <w:color w:val="auto"/>
        </w:rPr>
      </w:pPr>
    </w:p>
    <w:p>
      <w:pPr>
        <w:ind w:left="800" w:hanging="225"/>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03" w:lineRule="exact"/>
        <w:rPr>
          <w:rFonts w:ascii="Arial" w:cs="Arial" w:eastAsia="Arial" w:hAnsi="Arial"/>
          <w:sz w:val="18"/>
          <w:szCs w:val="18"/>
          <w:color w:val="auto"/>
        </w:rPr>
      </w:pPr>
    </w:p>
    <w:p>
      <w:pPr>
        <w:ind w:left="800" w:right="380" w:hanging="225"/>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03" w:lineRule="exact"/>
        <w:rPr>
          <w:rFonts w:ascii="Arial" w:cs="Arial" w:eastAsia="Arial" w:hAnsi="Arial"/>
          <w:sz w:val="18"/>
          <w:szCs w:val="18"/>
          <w:color w:val="auto"/>
        </w:rPr>
      </w:pPr>
    </w:p>
    <w:p>
      <w:pPr>
        <w:ind w:left="800" w:right="240" w:hanging="225"/>
        <w:spacing w:after="0" w:line="325"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1" w:lineRule="exact"/>
        <w:rPr>
          <w:rFonts w:ascii="Arial" w:cs="Arial" w:eastAsia="Arial" w:hAnsi="Arial"/>
          <w:sz w:val="16"/>
          <w:szCs w:val="16"/>
          <w:color w:val="auto"/>
        </w:rPr>
      </w:pPr>
    </w:p>
    <w:p>
      <w:pPr>
        <w:ind w:left="800" w:right="60" w:hanging="225"/>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37" w:lineRule="exact"/>
        <w:rPr>
          <w:rFonts w:ascii="Arial" w:cs="Arial" w:eastAsia="Arial" w:hAnsi="Arial"/>
          <w:sz w:val="18"/>
          <w:szCs w:val="18"/>
          <w:color w:val="auto"/>
        </w:rPr>
      </w:pPr>
    </w:p>
    <w:p>
      <w:pPr>
        <w:ind w:left="1260" w:right="80" w:hanging="455"/>
        <w:spacing w:after="0" w:line="306" w:lineRule="auto"/>
        <w:tabs>
          <w:tab w:leader="none" w:pos="12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60" w:hanging="455"/>
        <w:spacing w:after="0" w:line="268"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no restrictions in the subordinated indenture upon the creation of additional senior debt.</w:t>
      </w:r>
    </w:p>
    <w:p>
      <w:pPr>
        <w:spacing w:after="0" w:line="158"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37" w:lineRule="exact"/>
        <w:rPr>
          <w:sz w:val="20"/>
          <w:szCs w:val="20"/>
          <w:color w:val="auto"/>
        </w:rPr>
      </w:pPr>
    </w:p>
    <w:p>
      <w:pPr>
        <w:ind w:left="800" w:hanging="22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85"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00" w:lineRule="exact"/>
        <w:rPr>
          <w:sz w:val="20"/>
          <w:szCs w:val="20"/>
          <w:color w:val="auto"/>
        </w:rPr>
      </w:pPr>
    </w:p>
    <w:p>
      <w:pPr>
        <w:ind w:left="800" w:hanging="225"/>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85"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37" w:lineRule="exact"/>
        <w:rPr>
          <w:sz w:val="20"/>
          <w:szCs w:val="20"/>
          <w:color w:val="auto"/>
        </w:rPr>
      </w:pPr>
    </w:p>
    <w:p>
      <w:pPr>
        <w:ind w:left="800" w:hanging="225"/>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85" w:lineRule="exact"/>
        <w:rPr>
          <w:sz w:val="20"/>
          <w:szCs w:val="20"/>
          <w:color w:val="auto"/>
        </w:rPr>
      </w:pPr>
    </w:p>
    <w:p>
      <w:pPr>
        <w:jc w:val="both"/>
        <w:ind w:right="460" w:firstLine="571"/>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must resume payments on our subordinated debt securities, and make any payments we have missed, upon the earliest of:</w:t>
      </w:r>
    </w:p>
    <w:p>
      <w:pPr>
        <w:spacing w:after="0" w:line="46" w:lineRule="exact"/>
        <w:rPr>
          <w:sz w:val="20"/>
          <w:szCs w:val="20"/>
          <w:color w:val="auto"/>
        </w:rPr>
      </w:pPr>
    </w:p>
    <w:p>
      <w:pPr>
        <w:ind w:left="800" w:hanging="225"/>
        <w:spacing w:after="0"/>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26" w:lineRule="exact"/>
        <w:rPr>
          <w:rFonts w:ascii="Arial" w:cs="Arial" w:eastAsia="Arial" w:hAnsi="Arial"/>
          <w:sz w:val="16"/>
          <w:szCs w:val="16"/>
          <w:color w:val="auto"/>
        </w:rPr>
      </w:pPr>
    </w:p>
    <w:p>
      <w:pPr>
        <w:ind w:left="800" w:right="140" w:hanging="225"/>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18"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83" w:lineRule="exact"/>
        <w:rPr>
          <w:sz w:val="20"/>
          <w:szCs w:val="20"/>
          <w:color w:val="auto"/>
        </w:rPr>
      </w:pPr>
    </w:p>
    <w:p>
      <w:pPr>
        <w:ind w:right="780" w:firstLine="571"/>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37" w:lineRule="exact"/>
        <w:rPr>
          <w:sz w:val="20"/>
          <w:szCs w:val="20"/>
          <w:color w:val="auto"/>
        </w:rPr>
      </w:pPr>
    </w:p>
    <w:p>
      <w:pPr>
        <w:ind w:left="580" w:right="320" w:firstLine="541"/>
        <w:spacing w:after="0" w:line="268" w:lineRule="auto"/>
        <w:tabs>
          <w:tab w:leader="none" w:pos="14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payment of any interest on any debt security of that series when it becomes due and payable, if the default continues for a period of 30 days.</w:t>
      </w:r>
    </w:p>
    <w:p>
      <w:pPr>
        <w:spacing w:after="0" w:line="37" w:lineRule="exact"/>
        <w:rPr>
          <w:rFonts w:ascii="Arial" w:cs="Arial" w:eastAsia="Arial" w:hAnsi="Arial"/>
          <w:sz w:val="18"/>
          <w:szCs w:val="18"/>
          <w:color w:val="auto"/>
        </w:rPr>
      </w:pPr>
    </w:p>
    <w:p>
      <w:pPr>
        <w:ind w:left="580" w:firstLine="541"/>
        <w:spacing w:after="0" w:line="268" w:lineRule="auto"/>
        <w:tabs>
          <w:tab w:leader="none" w:pos="14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37" w:lineRule="exact"/>
        <w:rPr>
          <w:rFonts w:ascii="Arial" w:cs="Arial" w:eastAsia="Arial" w:hAnsi="Arial"/>
          <w:sz w:val="18"/>
          <w:szCs w:val="18"/>
          <w:color w:val="auto"/>
        </w:rPr>
      </w:pPr>
    </w:p>
    <w:p>
      <w:pPr>
        <w:ind w:left="1420" w:hanging="29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76" w:lineRule="exact"/>
        <w:rPr>
          <w:rFonts w:ascii="Arial" w:cs="Arial" w:eastAsia="Arial" w:hAnsi="Arial"/>
          <w:sz w:val="18"/>
          <w:szCs w:val="18"/>
          <w:color w:val="auto"/>
        </w:rPr>
      </w:pPr>
    </w:p>
    <w:p>
      <w:pPr>
        <w:ind w:left="580" w:right="140" w:firstLine="541"/>
        <w:spacing w:after="0" w:line="259" w:lineRule="auto"/>
        <w:tabs>
          <w:tab w:leader="none" w:pos="14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45" w:lineRule="exact"/>
        <w:rPr>
          <w:rFonts w:ascii="Arial" w:cs="Arial" w:eastAsia="Arial" w:hAnsi="Arial"/>
          <w:sz w:val="18"/>
          <w:szCs w:val="18"/>
          <w:color w:val="auto"/>
        </w:rPr>
      </w:pPr>
    </w:p>
    <w:p>
      <w:pPr>
        <w:ind w:left="2040" w:hanging="377"/>
        <w:spacing w:after="0"/>
        <w:tabs>
          <w:tab w:leader="none" w:pos="2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76" w:lineRule="exact"/>
        <w:rPr>
          <w:rFonts w:ascii="Arial" w:cs="Arial" w:eastAsia="Arial" w:hAnsi="Arial"/>
          <w:sz w:val="18"/>
          <w:szCs w:val="18"/>
          <w:color w:val="auto"/>
        </w:rPr>
      </w:pPr>
    </w:p>
    <w:p>
      <w:pPr>
        <w:ind w:left="2040" w:hanging="377"/>
        <w:spacing w:after="0"/>
        <w:tabs>
          <w:tab w:leader="none" w:pos="2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99" w:lineRule="exact"/>
        <w:rPr>
          <w:rFonts w:ascii="Arial" w:cs="Arial" w:eastAsia="Arial" w:hAnsi="Arial"/>
          <w:sz w:val="16"/>
          <w:szCs w:val="16"/>
          <w:color w:val="auto"/>
        </w:rPr>
      </w:pPr>
    </w:p>
    <w:p>
      <w:pPr>
        <w:ind w:left="580" w:right="60" w:firstLine="541"/>
        <w:spacing w:after="0" w:line="289" w:lineRule="auto"/>
        <w:tabs>
          <w:tab w:leader="none" w:pos="142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23" w:lineRule="exact"/>
        <w:rPr>
          <w:rFonts w:ascii="Arial" w:cs="Arial" w:eastAsia="Arial" w:hAnsi="Arial"/>
          <w:sz w:val="16"/>
          <w:szCs w:val="16"/>
          <w:color w:val="auto"/>
        </w:rPr>
      </w:pPr>
    </w:p>
    <w:p>
      <w:pPr>
        <w:ind w:left="1420" w:hanging="29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76" w:lineRule="exact"/>
        <w:rPr>
          <w:rFonts w:ascii="Arial" w:cs="Arial" w:eastAsia="Arial" w:hAnsi="Arial"/>
          <w:sz w:val="18"/>
          <w:szCs w:val="18"/>
          <w:color w:val="auto"/>
        </w:rPr>
      </w:pPr>
    </w:p>
    <w:p>
      <w:pPr>
        <w:ind w:left="2040" w:hanging="377"/>
        <w:spacing w:after="0"/>
        <w:tabs>
          <w:tab w:leader="none" w:pos="2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76" w:lineRule="exact"/>
        <w:rPr>
          <w:rFonts w:ascii="Arial" w:cs="Arial" w:eastAsia="Arial" w:hAnsi="Arial"/>
          <w:sz w:val="18"/>
          <w:szCs w:val="18"/>
          <w:color w:val="auto"/>
        </w:rPr>
      </w:pPr>
    </w:p>
    <w:p>
      <w:pPr>
        <w:ind w:left="2040" w:hanging="377"/>
        <w:spacing w:after="0"/>
        <w:tabs>
          <w:tab w:leader="none" w:pos="2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and</w:t>
      </w:r>
    </w:p>
    <w:p>
      <w:pPr>
        <w:spacing w:after="0" w:line="99" w:lineRule="exact"/>
        <w:rPr>
          <w:rFonts w:ascii="Arial" w:cs="Arial" w:eastAsia="Arial" w:hAnsi="Arial"/>
          <w:sz w:val="16"/>
          <w:szCs w:val="16"/>
          <w:color w:val="auto"/>
        </w:rPr>
      </w:pPr>
    </w:p>
    <w:p>
      <w:pPr>
        <w:ind w:left="2040" w:hanging="377"/>
        <w:spacing w:after="0"/>
        <w:tabs>
          <w:tab w:leader="none" w:pos="2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77" w:lineRule="exact"/>
        <w:rPr>
          <w:sz w:val="20"/>
          <w:szCs w:val="20"/>
          <w:color w:val="auto"/>
        </w:rPr>
      </w:pPr>
    </w:p>
    <w:p>
      <w:pPr>
        <w:ind w:left="1420" w:hanging="29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76" w:lineRule="exact"/>
        <w:rPr>
          <w:rFonts w:ascii="Arial" w:cs="Arial" w:eastAsia="Arial" w:hAnsi="Arial"/>
          <w:sz w:val="18"/>
          <w:szCs w:val="18"/>
          <w:color w:val="auto"/>
        </w:rPr>
      </w:pPr>
    </w:p>
    <w:p>
      <w:pPr>
        <w:ind w:left="1140" w:right="300" w:firstLine="523"/>
        <w:spacing w:after="0" w:line="268" w:lineRule="auto"/>
        <w:tabs>
          <w:tab w:leader="none" w:pos="2024"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 or any other case or proceeding to be adjudicated bankrupt or insolvent;</w:t>
      </w:r>
    </w:p>
    <w:p>
      <w:pPr>
        <w:spacing w:after="0" w:line="37" w:lineRule="exact"/>
        <w:rPr>
          <w:rFonts w:ascii="Arial" w:cs="Arial" w:eastAsia="Arial" w:hAnsi="Arial"/>
          <w:sz w:val="18"/>
          <w:szCs w:val="18"/>
          <w:color w:val="auto"/>
        </w:rPr>
      </w:pPr>
    </w:p>
    <w:p>
      <w:pPr>
        <w:ind w:left="1140" w:right="280" w:firstLine="523"/>
        <w:spacing w:after="0" w:line="347" w:lineRule="auto"/>
        <w:tabs>
          <w:tab w:leader="none" w:pos="2034" w:val="left"/>
        </w:tabs>
        <w:numPr>
          <w:ilvl w:val="1"/>
          <w:numId w:val="32"/>
        </w:numPr>
        <w:rPr>
          <w:rFonts w:ascii="Arial" w:cs="Arial" w:eastAsia="Arial" w:hAnsi="Arial"/>
          <w:sz w:val="15"/>
          <w:szCs w:val="15"/>
          <w:color w:val="auto"/>
        </w:rPr>
      </w:pPr>
      <w:r>
        <w:rPr>
          <w:rFonts w:ascii="Arial" w:cs="Arial" w:eastAsia="Arial" w:hAnsi="Arial"/>
          <w:sz w:val="15"/>
          <w:szCs w:val="15"/>
          <w:color w:val="auto"/>
        </w:rPr>
        <w:t>consent to the entry of a decree or order for relief in respect of us or any of our significant subsidiaries in an involuntary case or proceeding under any applicable bankruptcy law or to the commencement of any bankruptcy or insolvency case or proceeding against us or it;</w:t>
      </w:r>
    </w:p>
    <w:p>
      <w:pPr>
        <w:ind w:left="2040" w:hanging="377"/>
        <w:spacing w:after="0"/>
        <w:tabs>
          <w:tab w:leader="none" w:pos="20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w:t>
      </w:r>
    </w:p>
    <w:p>
      <w:pPr>
        <w:spacing w:after="0" w:line="38"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property;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40" w:hanging="377"/>
        <w:spacing w:after="0"/>
        <w:tabs>
          <w:tab w:leader="none" w:pos="2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76" w:lineRule="exact"/>
        <w:rPr>
          <w:rFonts w:ascii="Arial" w:cs="Arial" w:eastAsia="Arial" w:hAnsi="Arial"/>
          <w:sz w:val="18"/>
          <w:szCs w:val="18"/>
          <w:color w:val="auto"/>
        </w:rPr>
      </w:pPr>
    </w:p>
    <w:p>
      <w:pPr>
        <w:ind w:left="1420" w:hanging="29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58"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37" w:lineRule="exact"/>
        <w:rPr>
          <w:sz w:val="20"/>
          <w:szCs w:val="20"/>
          <w:color w:val="auto"/>
        </w:rPr>
      </w:pPr>
    </w:p>
    <w:p>
      <w:pPr>
        <w:ind w:left="800" w:hanging="225"/>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85"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that if an event of default occurs and continues,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02"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b w:val="1"/>
          <w:bCs w:val="1"/>
          <w:i w:val="1"/>
          <w:iCs w:val="1"/>
          <w:color w:val="auto"/>
        </w:rPr>
        <w:t xml:space="preserve">Waiver of Acceleration. </w:t>
      </w:r>
      <w:r>
        <w:rPr>
          <w:rFonts w:ascii="Arial" w:cs="Arial" w:eastAsia="Arial" w:hAnsi="Arial"/>
          <w:sz w:val="18"/>
          <w:szCs w:val="18"/>
          <w:color w:val="auto"/>
        </w:rPr>
        <w:t>Unless we say otherwise in a prospectus supplement, each indenture provides that, after a declaration of acceleration,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46" w:lineRule="exact"/>
        <w:rPr>
          <w:sz w:val="20"/>
          <w:szCs w:val="20"/>
          <w:color w:val="auto"/>
        </w:rPr>
      </w:pPr>
    </w:p>
    <w:p>
      <w:pPr>
        <w:ind w:left="800" w:hanging="225"/>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overdue interest on all debt securities of the applicable series,</w:t>
      </w:r>
    </w:p>
    <w:p>
      <w:pPr>
        <w:spacing w:after="0" w:line="103" w:lineRule="exact"/>
        <w:rPr>
          <w:rFonts w:ascii="Arial" w:cs="Arial" w:eastAsia="Arial" w:hAnsi="Arial"/>
          <w:sz w:val="18"/>
          <w:szCs w:val="18"/>
          <w:color w:val="auto"/>
        </w:rPr>
      </w:pPr>
    </w:p>
    <w:p>
      <w:pPr>
        <w:ind w:left="1260" w:right="260" w:hanging="455"/>
        <w:spacing w:after="0" w:line="268" w:lineRule="auto"/>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borne by the debt securities, and</w:t>
      </w:r>
    </w:p>
    <w:p>
      <w:pPr>
        <w:spacing w:after="0" w:line="103" w:lineRule="exact"/>
        <w:rPr>
          <w:rFonts w:ascii="Arial" w:cs="Arial" w:eastAsia="Arial" w:hAnsi="Arial"/>
          <w:sz w:val="18"/>
          <w:szCs w:val="18"/>
          <w:color w:val="auto"/>
        </w:rPr>
      </w:pPr>
    </w:p>
    <w:p>
      <w:pPr>
        <w:ind w:left="1260" w:right="300" w:hanging="455"/>
        <w:spacing w:after="0" w:line="268" w:lineRule="auto"/>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37" w:lineRule="exact"/>
        <w:rPr>
          <w:rFonts w:ascii="Arial" w:cs="Arial" w:eastAsia="Arial" w:hAnsi="Arial"/>
          <w:sz w:val="18"/>
          <w:szCs w:val="18"/>
          <w:color w:val="auto"/>
        </w:rPr>
      </w:pPr>
    </w:p>
    <w:p>
      <w:pPr>
        <w:ind w:left="800" w:right="100" w:hanging="225"/>
        <w:spacing w:after="0" w:line="26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18"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written statement as to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any debt security of such series or in the payment of any sinking fund installment in respect of any debt security of such series) if the trustee considers such withholding to be in the interest of the holders.</w:t>
      </w:r>
    </w:p>
    <w:p>
      <w:pPr>
        <w:spacing w:after="0" w:line="105" w:lineRule="exact"/>
        <w:rPr>
          <w:sz w:val="20"/>
          <w:szCs w:val="20"/>
          <w:color w:val="auto"/>
        </w:rPr>
      </w:pPr>
    </w:p>
    <w:p>
      <w:pPr>
        <w:jc w:val="both"/>
        <w:ind w:right="160" w:firstLine="571"/>
        <w:spacing w:after="0" w:line="306" w:lineRule="auto"/>
        <w:rPr>
          <w:sz w:val="20"/>
          <w:szCs w:val="20"/>
          <w:color w:val="auto"/>
        </w:rPr>
      </w:pPr>
      <w:r>
        <w:rPr>
          <w:rFonts w:ascii="Arial" w:cs="Arial" w:eastAsia="Arial" w:hAnsi="Arial"/>
          <w:sz w:val="16"/>
          <w:szCs w:val="16"/>
          <w:b w:val="1"/>
          <w:bCs w:val="1"/>
          <w:i w:val="1"/>
          <w:iCs w:val="1"/>
          <w:color w:val="auto"/>
        </w:rPr>
        <w:t xml:space="preserve">Limitation on Suits. </w:t>
      </w:r>
      <w:r>
        <w:rPr>
          <w:rFonts w:ascii="Arial" w:cs="Arial" w:eastAsia="Arial" w:hAnsi="Arial"/>
          <w:sz w:val="16"/>
          <w:szCs w:val="16"/>
          <w:color w:val="auto"/>
        </w:rPr>
        <w:t>Each indenture provides that no holders of debt securities of any series may institute any proceedings, judicial or otherwise,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the indenture or for any remedy thereunder, except in the case of the failure of the trustee, for 60 days, to act after it has received a written request to institute proceedings in respect of an event of default from the holders of not less than 25% in aggregate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principal amount of the debt securities of the applicable series outstanding, as well as an offer of indemnity reasonably satisfactory to it.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27"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93"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93"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83"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46" w:lineRule="exact"/>
        <w:rPr>
          <w:sz w:val="20"/>
          <w:szCs w:val="20"/>
          <w:color w:val="auto"/>
        </w:rPr>
      </w:pPr>
    </w:p>
    <w:p>
      <w:pPr>
        <w:ind w:left="800" w:right="340" w:hanging="225"/>
        <w:spacing w:after="0" w:line="26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37" w:lineRule="exact"/>
        <w:rPr>
          <w:rFonts w:ascii="Arial" w:cs="Arial" w:eastAsia="Arial" w:hAnsi="Arial"/>
          <w:sz w:val="18"/>
          <w:szCs w:val="18"/>
          <w:color w:val="auto"/>
        </w:rPr>
      </w:pPr>
    </w:p>
    <w:p>
      <w:pPr>
        <w:ind w:left="800" w:hanging="225"/>
        <w:spacing w:after="0" w:line="325" w:lineRule="auto"/>
        <w:tabs>
          <w:tab w:leader="none" w:pos="8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1" w:lineRule="exact"/>
        <w:rPr>
          <w:rFonts w:ascii="Arial" w:cs="Arial" w:eastAsia="Arial" w:hAnsi="Arial"/>
          <w:sz w:val="16"/>
          <w:szCs w:val="16"/>
          <w:color w:val="auto"/>
        </w:rPr>
      </w:pPr>
    </w:p>
    <w:p>
      <w:pPr>
        <w:ind w:left="800" w:hanging="225"/>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85"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w:t>
      </w:r>
    </w:p>
    <w:p>
      <w:pPr>
        <w:spacing w:after="0" w:line="50" w:lineRule="exact"/>
        <w:rPr>
          <w:sz w:val="20"/>
          <w:szCs w:val="20"/>
          <w:color w:val="auto"/>
        </w:rPr>
      </w:pPr>
    </w:p>
    <w:p>
      <w:pPr>
        <w:ind w:left="120" w:hanging="112"/>
        <w:spacing w:after="0"/>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series:</w:t>
      </w:r>
    </w:p>
    <w:p>
      <w:pPr>
        <w:spacing w:after="0" w:line="70" w:lineRule="exact"/>
        <w:rPr>
          <w:rFonts w:ascii="Arial" w:cs="Arial" w:eastAsia="Arial" w:hAnsi="Arial"/>
          <w:sz w:val="18"/>
          <w:szCs w:val="18"/>
          <w:color w:val="auto"/>
        </w:rPr>
      </w:pPr>
    </w:p>
    <w:p>
      <w:pPr>
        <w:ind w:left="800" w:right="140" w:hanging="225"/>
        <w:spacing w:after="0" w:line="254" w:lineRule="auto"/>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of the debt securities of the applicable series, an amount in (i) currency, currencies or currency unit in which those debt securities are then specified as payable at maturity, (ii) government securities (as defined in the applicable indenture) or (iii) any combination thereof, as will be sufficient,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since the date we issued the applicable debt securities, there has been a change in the applicable federal income tax law,</w:t>
      </w:r>
    </w:p>
    <w:p>
      <w:pPr>
        <w:spacing w:after="0" w:line="104"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46" w:lineRule="exact"/>
        <w:rPr>
          <w:sz w:val="20"/>
          <w:szCs w:val="20"/>
          <w:color w:val="auto"/>
        </w:rPr>
      </w:pPr>
    </w:p>
    <w:p>
      <w:pPr>
        <w:ind w:left="800" w:right="40" w:hanging="225"/>
        <w:spacing w:after="0" w:line="256"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48"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37" w:lineRule="exact"/>
        <w:rPr>
          <w:rFonts w:ascii="Arial" w:cs="Arial" w:eastAsia="Arial" w:hAnsi="Arial"/>
          <w:sz w:val="18"/>
          <w:szCs w:val="18"/>
          <w:color w:val="auto"/>
        </w:rPr>
      </w:pPr>
    </w:p>
    <w:p>
      <w:pPr>
        <w:ind w:left="800" w:right="360" w:hanging="225"/>
        <w:spacing w:after="0" w:line="268"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37" w:lineRule="exact"/>
        <w:rPr>
          <w:rFonts w:ascii="Arial" w:cs="Arial" w:eastAsia="Arial" w:hAnsi="Arial"/>
          <w:sz w:val="18"/>
          <w:szCs w:val="18"/>
          <w:color w:val="auto"/>
        </w:rPr>
      </w:pPr>
    </w:p>
    <w:p>
      <w:pPr>
        <w:ind w:left="800" w:right="340" w:hanging="225"/>
        <w:spacing w:after="0" w:line="268"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37" w:lineRule="exact"/>
        <w:rPr>
          <w:rFonts w:ascii="Arial" w:cs="Arial" w:eastAsia="Arial" w:hAnsi="Arial"/>
          <w:sz w:val="18"/>
          <w:szCs w:val="18"/>
          <w:color w:val="auto"/>
        </w:rPr>
      </w:pPr>
    </w:p>
    <w:p>
      <w:pPr>
        <w:ind w:left="800" w:right="60" w:hanging="225"/>
        <w:spacing w:after="0" w:line="306" w:lineRule="auto"/>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representations under the Investment Company Act have been effected.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83" w:lineRule="exact"/>
        <w:rPr>
          <w:sz w:val="20"/>
          <w:szCs w:val="20"/>
          <w:color w:val="auto"/>
        </w:rPr>
      </w:pPr>
    </w:p>
    <w:p>
      <w:pPr>
        <w:jc w:val="both"/>
        <w:ind w:right="340" w:firstLine="571"/>
        <w:spacing w:after="0" w:line="331" w:lineRule="auto"/>
        <w:rPr>
          <w:sz w:val="20"/>
          <w:szCs w:val="20"/>
          <w:color w:val="auto"/>
        </w:rPr>
      </w:pPr>
      <w:r>
        <w:rPr>
          <w:rFonts w:ascii="Arial" w:cs="Arial" w:eastAsia="Arial" w:hAnsi="Arial"/>
          <w:sz w:val="15"/>
          <w:szCs w:val="15"/>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2" w:lineRule="exact"/>
        <w:rPr>
          <w:sz w:val="20"/>
          <w:szCs w:val="20"/>
          <w:color w:val="auto"/>
        </w:rPr>
      </w:pPr>
    </w:p>
    <w:p>
      <w:pPr>
        <w:ind w:left="800" w:hanging="225"/>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the coin or currency in which the principal or premium, if any, of any debt security or the interest thereon is payable;</w:t>
      </w:r>
    </w:p>
    <w:p>
      <w:pPr>
        <w:spacing w:after="0" w:line="103" w:lineRule="exact"/>
        <w:rPr>
          <w:rFonts w:ascii="Arial" w:cs="Arial" w:eastAsia="Arial" w:hAnsi="Arial"/>
          <w:sz w:val="18"/>
          <w:szCs w:val="18"/>
          <w:color w:val="auto"/>
        </w:rPr>
      </w:pPr>
    </w:p>
    <w:p>
      <w:pPr>
        <w:ind w:left="800" w:right="40" w:hanging="225"/>
        <w:spacing w:after="0" w:line="268"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37" w:lineRule="exact"/>
        <w:rPr>
          <w:rFonts w:ascii="Arial" w:cs="Arial" w:eastAsia="Arial" w:hAnsi="Arial"/>
          <w:sz w:val="18"/>
          <w:szCs w:val="18"/>
          <w:color w:val="auto"/>
        </w:rPr>
      </w:pPr>
    </w:p>
    <w:p>
      <w:pPr>
        <w:ind w:left="800" w:right="320" w:hanging="225"/>
        <w:spacing w:after="0" w:line="332" w:lineRule="auto"/>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hanging="225"/>
        <w:spacing w:after="0" w:line="256"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30"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37" w:lineRule="exact"/>
        <w:rPr>
          <w:sz w:val="20"/>
          <w:szCs w:val="20"/>
          <w:color w:val="auto"/>
        </w:rPr>
      </w:pPr>
    </w:p>
    <w:p>
      <w:pPr>
        <w:ind w:left="800" w:right="500" w:hanging="225"/>
        <w:spacing w:after="0" w:line="268"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03" w:lineRule="exact"/>
        <w:rPr>
          <w:rFonts w:ascii="Arial" w:cs="Arial" w:eastAsia="Arial" w:hAnsi="Arial"/>
          <w:sz w:val="18"/>
          <w:szCs w:val="18"/>
          <w:color w:val="auto"/>
        </w:rPr>
      </w:pPr>
    </w:p>
    <w:p>
      <w:pPr>
        <w:ind w:left="800" w:right="20" w:hanging="225"/>
        <w:spacing w:after="0" w:line="331" w:lineRule="auto"/>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w:t>
      </w:r>
    </w:p>
    <w:p>
      <w:pPr>
        <w:spacing w:after="0" w:line="2" w:lineRule="exact"/>
        <w:rPr>
          <w:rFonts w:ascii="Arial" w:cs="Arial" w:eastAsia="Arial" w:hAnsi="Arial"/>
          <w:sz w:val="15"/>
          <w:szCs w:val="15"/>
          <w:color w:val="auto"/>
        </w:rPr>
      </w:pPr>
    </w:p>
    <w:p>
      <w:pPr>
        <w:ind w:left="800" w:hanging="225"/>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03" w:lineRule="exact"/>
        <w:rPr>
          <w:rFonts w:ascii="Arial" w:cs="Arial" w:eastAsia="Arial" w:hAnsi="Arial"/>
          <w:sz w:val="18"/>
          <w:szCs w:val="18"/>
          <w:color w:val="auto"/>
        </w:rPr>
      </w:pPr>
    </w:p>
    <w:p>
      <w:pPr>
        <w:ind w:left="800" w:right="440" w:hanging="225"/>
        <w:spacing w:after="0" w:line="268"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37" w:lineRule="exact"/>
        <w:rPr>
          <w:rFonts w:ascii="Arial" w:cs="Arial" w:eastAsia="Arial" w:hAnsi="Arial"/>
          <w:sz w:val="18"/>
          <w:szCs w:val="18"/>
          <w:color w:val="auto"/>
        </w:rPr>
      </w:pPr>
    </w:p>
    <w:p>
      <w:pPr>
        <w:ind w:left="800" w:right="400" w:hanging="225"/>
        <w:spacing w:after="0" w:line="256"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48" w:lineRule="exact"/>
        <w:rPr>
          <w:rFonts w:ascii="Arial" w:cs="Arial" w:eastAsia="Arial" w:hAnsi="Arial"/>
          <w:sz w:val="18"/>
          <w:szCs w:val="18"/>
          <w:color w:val="auto"/>
        </w:rPr>
      </w:pPr>
    </w:p>
    <w:p>
      <w:pPr>
        <w:ind w:left="800" w:hanging="225"/>
        <w:spacing w:after="0" w:line="259"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27"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8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treated as original issue discount securities in the prospectus supplement relating to such securities. “Original issue discount security” generally means any debt security that:</w:t>
      </w:r>
    </w:p>
    <w:p>
      <w:pPr>
        <w:spacing w:after="0" w:line="37" w:lineRule="exact"/>
        <w:rPr>
          <w:sz w:val="20"/>
          <w:szCs w:val="20"/>
          <w:color w:val="auto"/>
        </w:rPr>
      </w:pPr>
    </w:p>
    <w:p>
      <w:pPr>
        <w:ind w:left="800" w:hanging="225"/>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03" w:lineRule="exact"/>
        <w:rPr>
          <w:rFonts w:ascii="Arial" w:cs="Arial" w:eastAsia="Arial" w:hAnsi="Arial"/>
          <w:sz w:val="18"/>
          <w:szCs w:val="18"/>
          <w:color w:val="auto"/>
        </w:rPr>
      </w:pPr>
    </w:p>
    <w:p>
      <w:pPr>
        <w:ind w:left="800" w:right="100" w:hanging="225"/>
        <w:spacing w:after="0" w:line="268"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Unless we say otherwise in a prospectus supplement, we will send notices to holders of debt securities by mail to the holder’s address as it appears 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register.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jc w:val="center"/>
        <w:ind w:left="400" w:right="420"/>
        <w:spacing w:after="0" w:line="440" w:lineRule="auto"/>
        <w:rPr>
          <w:sz w:val="20"/>
          <w:szCs w:val="20"/>
          <w:color w:val="auto"/>
        </w:rPr>
      </w:pPr>
      <w:r>
        <w:rPr>
          <w:rFonts w:ascii="Arial" w:cs="Arial" w:eastAsia="Arial" w:hAnsi="Arial"/>
          <w:sz w:val="18"/>
          <w:szCs w:val="18"/>
          <w:color w:val="auto"/>
        </w:rPr>
        <w:t>Unless we say otherwise in a prospectus supplement, each indenture and the debt securities will be governed by the laws of the State of New York. 17</w:t>
      </w:r>
    </w:p>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64"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We are a Maryland real estate investment trust. Your rights as a shareholder are governed by the Code of Maryland, including Title 8 of the Corporations and Associations Article, our declaration of trust and our bylaws. The following summary of the material terms, rights and preferences of the shares of beneficial interest is not complete. You should read our declaration of trust, bylaws and shareholder rights plan for more complete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83" w:lineRule="exact"/>
        <w:rPr>
          <w:sz w:val="20"/>
          <w:szCs w:val="20"/>
          <w:color w:val="auto"/>
        </w:rPr>
      </w:pPr>
    </w:p>
    <w:p>
      <w:pPr>
        <w:jc w:val="both"/>
        <w:ind w:right="320" w:firstLine="571"/>
        <w:spacing w:after="0" w:line="339" w:lineRule="auto"/>
        <w:rPr>
          <w:sz w:val="20"/>
          <w:szCs w:val="20"/>
          <w:color w:val="auto"/>
        </w:rPr>
      </w:pPr>
      <w:r>
        <w:rPr>
          <w:rFonts w:ascii="Arial" w:cs="Arial" w:eastAsia="Arial" w:hAnsi="Arial"/>
          <w:sz w:val="15"/>
          <w:szCs w:val="15"/>
          <w:color w:val="auto"/>
        </w:rPr>
        <w:t xml:space="preserve">Our declaration of trust allows us to issue up to 100,000,000 common shares of beneficial interest, par value $.01 per share, and 15,000,000 preferred shares of beneficial interest, par value $.01 per share. As of May 1, 2006, we had issued and outstanding 53,047,258 common shares, and 5,400,000 preferred shares which were designated as 8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Series B Cumulative Redeemable Preferred Shares, which we refer to as the Series B preferred shares.</w:t>
      </w:r>
    </w:p>
    <w:p>
      <w:pPr>
        <w:spacing w:after="0" w:line="1"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Each Series B preferred share is entitled to receive, when, as and if authorized by our Board of Trustees out of funds legally available for that purpose, cumulative dividends at the rate of $2.125 per annum.</w:t>
      </w:r>
    </w:p>
    <w:p>
      <w:pPr>
        <w:spacing w:after="0" w:line="118"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The Series B preferred shares rank prior to the common shares with respect to the payment of dividends and the distribution of assets upon liquidation, dissolution or winding up of the Trust. Our declaration of trust provides that, unless full cumulative dividends on all outstanding Series B preferred shares and any other class or series of our shares of beneficial interest ranking, as to the payment of dividends and the distribution of assets upon liquidation, dissolution or winding up, on a parity with the Series B preferred shares (“Parity Shares”) shall have been declared and paid or declared and set apart for payment for all past dividend periods, then no dividends, other than dividends paid solely in shares of our, or options, warrants or rights to subscribe for or purchase shares of our, beneficial interest which rank junior to the Series B preferred shares with respect to the payment of dividends and the distribution of assets upon our liquidation, dissolution or winding up (“Fully Junior Shares”), shall be declared or paid or set apart for payment on the common shares nor shall any common shares be redeemed, purchased or otherwise acquired (other than for purposes of our employee incentive or benefit plans or by conversion into or exchange for Fully Junior Shares).</w:t>
      </w:r>
    </w:p>
    <w:p>
      <w:pPr>
        <w:spacing w:after="0" w:line="106" w:lineRule="exact"/>
        <w:rPr>
          <w:sz w:val="20"/>
          <w:szCs w:val="20"/>
          <w:color w:val="auto"/>
        </w:rPr>
      </w:pPr>
    </w:p>
    <w:p>
      <w:pPr>
        <w:ind w:right="520" w:firstLine="571"/>
        <w:spacing w:after="0" w:line="268" w:lineRule="auto"/>
        <w:rPr>
          <w:sz w:val="20"/>
          <w:szCs w:val="20"/>
          <w:color w:val="auto"/>
        </w:rPr>
      </w:pPr>
      <w:r>
        <w:rPr>
          <w:rFonts w:ascii="Arial" w:cs="Arial" w:eastAsia="Arial" w:hAnsi="Arial"/>
          <w:sz w:val="18"/>
          <w:szCs w:val="18"/>
          <w:color w:val="auto"/>
        </w:rPr>
        <w:t>In the event of our liquidation, dissolution or winding up, the holders of Series B preferred shares shall be entitled to receive $25 per share, plus all accrued and unpaid dividends, before any distribution shall be made with respect to the common shares.</w:t>
      </w:r>
    </w:p>
    <w:p>
      <w:pPr>
        <w:spacing w:after="0" w:line="118"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37" w:lineRule="exact"/>
        <w:rPr>
          <w:sz w:val="20"/>
          <w:szCs w:val="20"/>
          <w:color w:val="auto"/>
        </w:rPr>
      </w:pPr>
    </w:p>
    <w:p>
      <w:pPr>
        <w:ind w:left="800" w:hanging="225"/>
        <w:spacing w:after="0"/>
        <w:tabs>
          <w:tab w:leader="none" w:pos="8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classify or reclassify any authorized but unissued common shares or preferred shares into one or more classes or series of shares of beneficial interest;</w:t>
      </w:r>
    </w:p>
    <w:p>
      <w:pPr>
        <w:spacing w:after="0" w:line="138" w:lineRule="exact"/>
        <w:rPr>
          <w:rFonts w:ascii="Arial" w:cs="Arial" w:eastAsia="Arial" w:hAnsi="Arial"/>
          <w:sz w:val="15"/>
          <w:szCs w:val="15"/>
          <w:color w:val="auto"/>
        </w:rPr>
      </w:pPr>
    </w:p>
    <w:p>
      <w:pPr>
        <w:ind w:left="800" w:hanging="225"/>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18"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Liability</w:t>
      </w:r>
    </w:p>
    <w:p>
      <w:pPr>
        <w:spacing w:after="0" w:line="83"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Under Maryland law, you will not be personally liable for any obligation of ours solely because you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w:t>
      </w:r>
    </w:p>
    <w:p>
      <w:pPr>
        <w:spacing w:after="0" w:line="127" w:lineRule="exact"/>
        <w:rPr>
          <w:sz w:val="20"/>
          <w:szCs w:val="20"/>
          <w:color w:val="auto"/>
        </w:rPr>
      </w:pPr>
    </w:p>
    <w:p>
      <w:pPr>
        <w:ind w:right="300" w:firstLine="571"/>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83"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B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B preferred shares and any other shares of beneficial interest having a priority over our common shares in the event of our liquidation, dissolution or winding up. As noted above under “— Authorized Shares,” our outstanding Series B preferred shares rank prior to our common shares with respect to the payment of dividends and as to the distribution of assets in the event of our liquidation, dissolution or winding up.</w:t>
      </w:r>
    </w:p>
    <w:p>
      <w:pPr>
        <w:spacing w:after="0" w:line="109"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(other than trustees elected by the holders of our preferred shares under the circumstances described below under “— Preferred Shares — Voting Rights”).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at a meeting where the number of nominees exceeds the number of trustees to be elected, and the holders of a majority of all of the votes cast at a meeting of shareholders duly called and at which a quorum is present can elect a trustee at a meeting where the number of nominees is the same as the number of trustees to be elected, and in both cases the holders of the remaining shares will not be able to elect any trustees.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77" w:lineRule="exact"/>
        <w:rPr>
          <w:sz w:val="20"/>
          <w:szCs w:val="20"/>
          <w:color w:val="auto"/>
        </w:rPr>
      </w:pPr>
    </w:p>
    <w:p>
      <w:pPr>
        <w:ind w:left="800" w:hanging="225"/>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85"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46" w:lineRule="exact"/>
        <w:rPr>
          <w:sz w:val="20"/>
          <w:szCs w:val="20"/>
          <w:color w:val="auto"/>
        </w:rPr>
      </w:pPr>
    </w:p>
    <w:p>
      <w:pPr>
        <w:ind w:left="800" w:right="80" w:hanging="225"/>
        <w:spacing w:after="0" w:line="268"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election of trustees where the number of nominees exceeds the number of trustees to be elected (which requires a plurality of all the votes cast at a meeting of our shareholders at which a quorum is present);</w:t>
      </w:r>
    </w:p>
    <w:p>
      <w:pPr>
        <w:spacing w:after="0" w:line="37" w:lineRule="exact"/>
        <w:rPr>
          <w:rFonts w:ascii="Arial" w:cs="Arial" w:eastAsia="Arial" w:hAnsi="Arial"/>
          <w:sz w:val="18"/>
          <w:szCs w:val="18"/>
          <w:color w:val="auto"/>
        </w:rPr>
      </w:pPr>
    </w:p>
    <w:p>
      <w:pPr>
        <w:ind w:left="800" w:hanging="225"/>
        <w:spacing w:after="0" w:line="256"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48" w:lineRule="exact"/>
        <w:rPr>
          <w:rFonts w:ascii="Arial" w:cs="Arial" w:eastAsia="Arial" w:hAnsi="Arial"/>
          <w:sz w:val="18"/>
          <w:szCs w:val="18"/>
          <w:color w:val="auto"/>
        </w:rPr>
      </w:pPr>
    </w:p>
    <w:p>
      <w:pPr>
        <w:ind w:left="800" w:right="160" w:hanging="225"/>
        <w:spacing w:after="0" w:line="306" w:lineRule="auto"/>
        <w:tabs>
          <w:tab w:leader="none" w:pos="8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12" w:lineRule="exact"/>
        <w:rPr>
          <w:rFonts w:ascii="Arial" w:cs="Arial" w:eastAsia="Arial" w:hAnsi="Arial"/>
          <w:sz w:val="16"/>
          <w:szCs w:val="16"/>
          <w:color w:val="auto"/>
        </w:rPr>
      </w:pPr>
    </w:p>
    <w:p>
      <w:pPr>
        <w:ind w:left="800" w:right="500" w:hanging="225"/>
        <w:spacing w:after="0" w:line="268"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the affirmative vote of two-thirds of all the votes entitled to be cast on the matter); and</w:t>
      </w:r>
    </w:p>
    <w:p>
      <w:pPr>
        <w:spacing w:after="0" w:line="37" w:lineRule="exact"/>
        <w:rPr>
          <w:rFonts w:ascii="Arial" w:cs="Arial" w:eastAsia="Arial" w:hAnsi="Arial"/>
          <w:sz w:val="18"/>
          <w:szCs w:val="18"/>
          <w:color w:val="auto"/>
        </w:rPr>
      </w:pPr>
    </w:p>
    <w:p>
      <w:pPr>
        <w:ind w:left="800" w:right="120" w:hanging="225"/>
        <w:spacing w:after="0" w:line="268"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declaration of trust permits the trustees to revoke our election to be taxed as a real estate investment trust, or REIT, or to determine that compliance with any restriction or limitations on ownership and transfers of shares set forth in the declaration of trust is no longer required in order for us to qualify as a REIT. Our declaration of trust also permits the trustees to amend the declaration of trust from time to time, without approval by you or the other shareholders, to:</w:t>
      </w:r>
    </w:p>
    <w:p>
      <w:pPr>
        <w:spacing w:after="0" w:line="12" w:lineRule="exact"/>
        <w:rPr>
          <w:sz w:val="20"/>
          <w:szCs w:val="20"/>
          <w:color w:val="auto"/>
        </w:rPr>
      </w:pPr>
    </w:p>
    <w:p>
      <w:pPr>
        <w:ind w:left="800" w:hanging="225"/>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law or the Internal Revenue Code;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85"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In addition, any provision of our bylaws may be adopted, altered or repealed by the shareholders, at any meeting of shareholders called for that purpose, by the affirmative vote of holders of not less than a majority of the shares then outstanding and entitled to vote.</w:t>
      </w:r>
    </w:p>
    <w:p>
      <w:pPr>
        <w:spacing w:after="0" w:line="118"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tabs>
          <w:tab w:leader="none" w:pos="2500" w:val="left"/>
        </w:tabs>
        <w:rPr>
          <w:sz w:val="20"/>
          <w:szCs w:val="20"/>
          <w:color w:val="auto"/>
        </w:rPr>
      </w:pPr>
      <w:r>
        <w:rPr>
          <w:rFonts w:ascii="Arial" w:cs="Arial" w:eastAsia="Arial" w:hAnsi="Arial"/>
          <w:sz w:val="18"/>
          <w:szCs w:val="18"/>
          <w:b w:val="1"/>
          <w:bCs w:val="1"/>
          <w:i w:val="1"/>
          <w:iCs w:val="1"/>
          <w:color w:val="auto"/>
        </w:rPr>
        <w:t>Stock Exchange Listing.</w:t>
      </w:r>
      <w:r>
        <w:rPr>
          <w:sz w:val="20"/>
          <w:szCs w:val="20"/>
          <w:color w:val="auto"/>
        </w:rPr>
        <w:tab/>
      </w:r>
      <w:r>
        <w:rPr>
          <w:rFonts w:ascii="Arial" w:cs="Arial" w:eastAsia="Arial" w:hAnsi="Arial"/>
          <w:sz w:val="15"/>
          <w:szCs w:val="15"/>
          <w:color w:val="auto"/>
        </w:rPr>
        <w:t>The common shares are traded on the New York Stock Exchange under the trading symbol “FRT.”</w:t>
      </w:r>
    </w:p>
    <w:p>
      <w:pPr>
        <w:spacing w:after="0" w:line="158" w:lineRule="exact"/>
        <w:rPr>
          <w:sz w:val="20"/>
          <w:szCs w:val="20"/>
          <w:color w:val="auto"/>
        </w:rPr>
      </w:pPr>
    </w:p>
    <w:p>
      <w:pPr>
        <w:ind w:left="580"/>
        <w:spacing w:after="0"/>
        <w:tabs>
          <w:tab w:leader="none" w:pos="2900" w:val="left"/>
        </w:tabs>
        <w:rPr>
          <w:sz w:val="20"/>
          <w:szCs w:val="20"/>
          <w:color w:val="auto"/>
        </w:rPr>
      </w:pPr>
      <w:r>
        <w:rPr>
          <w:rFonts w:ascii="Arial" w:cs="Arial" w:eastAsia="Arial" w:hAnsi="Arial"/>
          <w:sz w:val="18"/>
          <w:szCs w:val="18"/>
          <w:b w:val="1"/>
          <w:bCs w:val="1"/>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common shares is American Stock Transfer &amp; Trust Company, New York, New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83"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0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6"/>
          <w:szCs w:val="16"/>
          <w:b w:val="1"/>
          <w:bCs w:val="1"/>
          <w:i w:val="1"/>
          <w:iCs w:val="1"/>
          <w:color w:val="auto"/>
        </w:rPr>
        <w:t>Terms.</w:t>
      </w:r>
      <w:r>
        <w:rPr>
          <w:sz w:val="20"/>
          <w:szCs w:val="20"/>
          <w:color w:val="auto"/>
        </w:rPr>
        <w:tab/>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00" w:lineRule="exact"/>
        <w:rPr>
          <w:sz w:val="20"/>
          <w:szCs w:val="20"/>
          <w:color w:val="auto"/>
        </w:rPr>
      </w:pPr>
    </w:p>
    <w:p>
      <w:pPr>
        <w:ind w:left="800" w:hanging="225"/>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38" w:lineRule="exact"/>
        <w:rPr>
          <w:rFonts w:ascii="Arial" w:cs="Arial" w:eastAsia="Arial" w:hAnsi="Arial"/>
          <w:sz w:val="15"/>
          <w:szCs w:val="15"/>
          <w:color w:val="auto"/>
        </w:rPr>
      </w:pPr>
    </w:p>
    <w:p>
      <w:pPr>
        <w:ind w:left="800" w:hanging="225"/>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03" w:lineRule="exact"/>
        <w:rPr>
          <w:rFonts w:ascii="Arial" w:cs="Arial" w:eastAsia="Arial" w:hAnsi="Arial"/>
          <w:sz w:val="18"/>
          <w:szCs w:val="18"/>
          <w:color w:val="auto"/>
        </w:rPr>
      </w:pPr>
    </w:p>
    <w:p>
      <w:pPr>
        <w:ind w:left="800" w:right="440" w:hanging="225"/>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37" w:lineRule="exact"/>
        <w:rPr>
          <w:rFonts w:ascii="Arial" w:cs="Arial" w:eastAsia="Arial" w:hAnsi="Arial"/>
          <w:sz w:val="18"/>
          <w:szCs w:val="18"/>
          <w:color w:val="auto"/>
        </w:rPr>
      </w:pPr>
    </w:p>
    <w:p>
      <w:pPr>
        <w:ind w:left="800" w:right="300" w:hanging="225"/>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37" w:lineRule="exact"/>
        <w:rPr>
          <w:rFonts w:ascii="Arial" w:cs="Arial" w:eastAsia="Arial" w:hAnsi="Arial"/>
          <w:sz w:val="18"/>
          <w:szCs w:val="18"/>
          <w:color w:val="auto"/>
        </w:rPr>
      </w:pPr>
    </w:p>
    <w:p>
      <w:pPr>
        <w:ind w:left="800" w:right="200" w:hanging="225"/>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discussion of federal income tax consequences applicable to those preferred shares; and</w:t>
      </w:r>
    </w:p>
    <w:p>
      <w:pPr>
        <w:spacing w:after="0" w:line="103"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real estate investment trust.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99"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37" w:lineRule="exact"/>
        <w:rPr>
          <w:sz w:val="20"/>
          <w:szCs w:val="20"/>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58" w:lineRule="exact"/>
        <w:rPr>
          <w:sz w:val="20"/>
          <w:szCs w:val="20"/>
          <w:color w:val="auto"/>
        </w:rPr>
      </w:pPr>
    </w:p>
    <w:p>
      <w:pPr>
        <w:jc w:val="both"/>
        <w:ind w:right="320" w:firstLine="571"/>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93"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2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27" w:lineRule="exact"/>
        <w:rPr>
          <w:sz w:val="20"/>
          <w:szCs w:val="20"/>
          <w:color w:val="auto"/>
        </w:rPr>
      </w:pPr>
    </w:p>
    <w:p>
      <w:pPr>
        <w:ind w:firstLine="571"/>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571"/>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rights, except as may be required by applicable law or any applicable rules and regulations of the New York Stock Exchange.</w:t>
      </w:r>
    </w:p>
    <w:p>
      <w:pPr>
        <w:spacing w:after="0" w:line="72" w:lineRule="exact"/>
        <w:rPr>
          <w:sz w:val="20"/>
          <w:szCs w:val="20"/>
          <w:color w:val="auto"/>
        </w:rPr>
      </w:pPr>
    </w:p>
    <w:p>
      <w:pPr>
        <w:jc w:val="both"/>
        <w:ind w:right="340" w:firstLine="571"/>
        <w:spacing w:after="0" w:line="303" w:lineRule="auto"/>
        <w:rPr>
          <w:sz w:val="20"/>
          <w:szCs w:val="20"/>
          <w:color w:val="auto"/>
        </w:rPr>
      </w:pPr>
      <w:r>
        <w:rPr>
          <w:rFonts w:ascii="Arial" w:cs="Arial" w:eastAsia="Arial" w:hAnsi="Arial"/>
          <w:sz w:val="15"/>
          <w:szCs w:val="15"/>
          <w:color w:val="auto"/>
        </w:rPr>
        <w:t>Our Declaration of Trust provides that the holders of Series B preferred shares, together with the holders of any series or class of shares ranking on a parity with the Series B preferred shares, voting as a single class regardless of series, will be entitled to elect two additional trustees to serve on the Board of Trustees when six consecutive quarterly dividends payable to the holders of Series B preferred shares or any series or class of parity shares are in arrears.</w:t>
      </w:r>
    </w:p>
    <w:p>
      <w:pPr>
        <w:spacing w:after="0" w:line="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Whenever all dividends in arrears on the Series B preferred shares and any series or class of parity shares have been paid or set aside for payment, then these special voting rights immediately cease (subject to reinstatement under similar circumstances in the future), and the term of office of the trustees so elected automatically expires.</w:t>
      </w:r>
    </w:p>
    <w:p>
      <w:pPr>
        <w:spacing w:after="0" w:line="131"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In addition, the holders of the Series B preferred shares have such voting rights as are required by applicable law or any applicable rules and regulations of the New York Stock Exchange.</w:t>
      </w:r>
    </w:p>
    <w:p>
      <w:pPr>
        <w:spacing w:after="0" w:line="118"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37" w:lineRule="exact"/>
        <w:rPr>
          <w:sz w:val="20"/>
          <w:szCs w:val="20"/>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85"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B preferred shares is American Stock Transfer &amp; Trust Company,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 We will identify the transfer agent and registrar for any additional series of preferred shares issued through this prospectus in a prospectus supplement.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8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3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99" w:lineRule="exact"/>
        <w:rPr>
          <w:sz w:val="20"/>
          <w:szCs w:val="20"/>
          <w:color w:val="auto"/>
        </w:rPr>
      </w:pPr>
    </w:p>
    <w:p>
      <w:pPr>
        <w:ind w:right="680" w:firstLine="571"/>
        <w:spacing w:after="0" w:line="332" w:lineRule="auto"/>
        <w:rPr>
          <w:sz w:val="20"/>
          <w:szCs w:val="20"/>
          <w:color w:val="auto"/>
        </w:rPr>
      </w:pPr>
      <w:r>
        <w:rPr>
          <w:rFonts w:ascii="Arial" w:cs="Arial" w:eastAsia="Arial" w:hAnsi="Arial"/>
          <w:sz w:val="16"/>
          <w:szCs w:val="16"/>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72"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30" w:lineRule="exact"/>
        <w:rPr>
          <w:sz w:val="20"/>
          <w:szCs w:val="20"/>
          <w:color w:val="auto"/>
        </w:rPr>
      </w:pPr>
    </w:p>
    <w:p>
      <w:pPr>
        <w:ind w:right="120" w:firstLine="571"/>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34"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27"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b w:val="1"/>
          <w:bCs w:val="1"/>
          <w:i w:val="1"/>
          <w:iCs w:val="1"/>
          <w:color w:val="auto"/>
        </w:rPr>
        <w:t xml:space="preserve">Conversion of Preferred Shares. </w:t>
      </w:r>
      <w:r>
        <w:rPr>
          <w:rFonts w:ascii="Arial" w:cs="Arial" w:eastAsia="Arial" w:hAnsi="Arial"/>
          <w:sz w:val="18"/>
          <w:szCs w:val="18"/>
          <w:color w:val="auto"/>
        </w:rPr>
        <w:t>Our depositary shares, as such, are not convertible into common shares or any of our other securities or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84" w:lineRule="exact"/>
        <w:rPr>
          <w:sz w:val="20"/>
          <w:szCs w:val="20"/>
          <w:color w:val="auto"/>
        </w:rPr>
      </w:pPr>
    </w:p>
    <w:p>
      <w:pPr>
        <w:ind w:right="180" w:firstLine="571"/>
        <w:spacing w:after="0" w:line="331" w:lineRule="auto"/>
        <w:rPr>
          <w:sz w:val="20"/>
          <w:szCs w:val="20"/>
          <w:color w:val="auto"/>
        </w:rPr>
      </w:pPr>
      <w:r>
        <w:rPr>
          <w:rFonts w:ascii="Arial" w:cs="Arial" w:eastAsia="Arial" w:hAnsi="Arial"/>
          <w:sz w:val="15"/>
          <w:szCs w:val="15"/>
          <w:b w:val="1"/>
          <w:bCs w:val="1"/>
          <w:i w:val="1"/>
          <w:iCs w:val="1"/>
          <w:color w:val="auto"/>
        </w:rPr>
        <w:t xml:space="preserve">Amendment and Termination of the Deposit Agreement. </w:t>
      </w:r>
      <w:r>
        <w:rPr>
          <w:rFonts w:ascii="Arial" w:cs="Arial" w:eastAsia="Arial" w:hAnsi="Arial"/>
          <w:sz w:val="15"/>
          <w:szCs w:val="15"/>
          <w:color w:val="auto"/>
        </w:rPr>
        <w:t>We and the depositary may amend the form of depositary receipt and any provision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 w:lineRule="exact"/>
        <w:rPr>
          <w:sz w:val="20"/>
          <w:szCs w:val="20"/>
          <w:color w:val="auto"/>
        </w:rPr>
      </w:pPr>
    </w:p>
    <w:p>
      <w:pPr>
        <w:ind w:left="800" w:hanging="225"/>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03" w:lineRule="exact"/>
        <w:rPr>
          <w:rFonts w:ascii="Arial" w:cs="Arial" w:eastAsia="Arial" w:hAnsi="Arial"/>
          <w:sz w:val="18"/>
          <w:szCs w:val="18"/>
          <w:color w:val="auto"/>
        </w:rPr>
      </w:pPr>
    </w:p>
    <w:p>
      <w:pPr>
        <w:ind w:left="800" w:right="220" w:hanging="225"/>
        <w:spacing w:after="0" w:line="325" w:lineRule="auto"/>
        <w:tabs>
          <w:tab w:leader="none" w:pos="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1" w:lineRule="exact"/>
        <w:rPr>
          <w:rFonts w:ascii="Arial" w:cs="Arial" w:eastAsia="Arial" w:hAnsi="Arial"/>
          <w:sz w:val="16"/>
          <w:szCs w:val="16"/>
          <w:color w:val="auto"/>
        </w:rPr>
      </w:pPr>
    </w:p>
    <w:p>
      <w:pPr>
        <w:ind w:left="800" w:right="20" w:hanging="225"/>
        <w:spacing w:after="0" w:line="268"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18"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99" w:lineRule="exact"/>
        <w:rPr>
          <w:sz w:val="20"/>
          <w:szCs w:val="20"/>
          <w:color w:val="auto"/>
        </w:rPr>
      </w:pPr>
    </w:p>
    <w:p>
      <w:pPr>
        <w:ind w:right="520" w:firstLine="571"/>
        <w:spacing w:after="0" w:line="298" w:lineRule="auto"/>
        <w:rPr>
          <w:sz w:val="20"/>
          <w:szCs w:val="20"/>
          <w:color w:val="auto"/>
        </w:rPr>
      </w:pPr>
      <w:r>
        <w:rPr>
          <w:rFonts w:ascii="Arial" w:cs="Arial" w:eastAsia="Arial" w:hAnsi="Arial"/>
          <w:sz w:val="16"/>
          <w:szCs w:val="16"/>
          <w:b w:val="1"/>
          <w:bCs w:val="1"/>
          <w:i w:val="1"/>
          <w:iCs w:val="1"/>
          <w:color w:val="auto"/>
        </w:rPr>
        <w:t xml:space="preserve">Charges of Depositary. </w:t>
      </w:r>
      <w:r>
        <w:rPr>
          <w:rFonts w:ascii="Arial" w:cs="Arial" w:eastAsia="Arial" w:hAnsi="Arial"/>
          <w:sz w:val="16"/>
          <w:szCs w:val="16"/>
          <w:color w:val="auto"/>
        </w:rPr>
        <w:t>We will pay all transfer and other taxes and governmental charges arising solely from the existence of the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99"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w:t>
      </w:r>
    </w:p>
    <w:p>
      <w:pPr>
        <w:spacing w:after="0" w:line="11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83" w:lineRule="exact"/>
        <w:rPr>
          <w:sz w:val="20"/>
          <w:szCs w:val="20"/>
          <w:color w:val="auto"/>
        </w:rPr>
      </w:pPr>
    </w:p>
    <w:p>
      <w:pPr>
        <w:ind w:right="340" w:firstLine="571"/>
        <w:spacing w:after="0" w:line="325" w:lineRule="auto"/>
        <w:rPr>
          <w:sz w:val="20"/>
          <w:szCs w:val="20"/>
          <w:color w:val="auto"/>
        </w:rPr>
      </w:pPr>
      <w:r>
        <w:rPr>
          <w:rFonts w:ascii="Arial" w:cs="Arial" w:eastAsia="Arial" w:hAnsi="Arial"/>
          <w:sz w:val="16"/>
          <w:szCs w:val="16"/>
          <w:color w:val="auto"/>
        </w:rPr>
        <w:t>Restrictions on ownership and transfer of shares are important to ensure that we meet certain conditions under the Internal Revenue Code of 1986, as amended, which we refer to as the Code, to qualify as a REIT. For example, the Code contains the following requirements.</w:t>
      </w:r>
    </w:p>
    <w:p>
      <w:pPr>
        <w:spacing w:after="0" w:line="1" w:lineRule="exact"/>
        <w:rPr>
          <w:sz w:val="20"/>
          <w:szCs w:val="20"/>
          <w:color w:val="auto"/>
        </w:rPr>
      </w:pPr>
    </w:p>
    <w:p>
      <w:pPr>
        <w:ind w:left="800" w:right="160" w:hanging="225"/>
        <w:spacing w:after="0" w:line="370" w:lineRule="auto"/>
        <w:tabs>
          <w:tab w:leader="none" w:pos="8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individuals include certain tax-exempt entities except that qualified domestic pension funds are not generally treated as individuals.</w:t>
      </w:r>
    </w:p>
    <w:p>
      <w:pPr>
        <w:spacing w:after="0" w:line="90" w:lineRule="exact"/>
        <w:rPr>
          <w:sz w:val="20"/>
          <w:szCs w:val="20"/>
          <w:color w:val="auto"/>
        </w:rPr>
      </w:pPr>
    </w:p>
    <w:p>
      <w:pPr>
        <w:ind w:left="800" w:right="100" w:hanging="225"/>
        <w:spacing w:after="0" w:line="268"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37"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18"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77" w:lineRule="exact"/>
        <w:rPr>
          <w:sz w:val="20"/>
          <w:szCs w:val="20"/>
          <w:color w:val="auto"/>
        </w:rPr>
      </w:pPr>
    </w:p>
    <w:p>
      <w:pPr>
        <w:ind w:left="800" w:hanging="225"/>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03" w:lineRule="exact"/>
        <w:rPr>
          <w:rFonts w:ascii="Arial" w:cs="Arial" w:eastAsia="Arial" w:hAnsi="Arial"/>
          <w:sz w:val="18"/>
          <w:szCs w:val="18"/>
          <w:color w:val="auto"/>
        </w:rPr>
      </w:pPr>
    </w:p>
    <w:p>
      <w:pPr>
        <w:ind w:left="800" w:right="300" w:hanging="225"/>
        <w:spacing w:after="0" w:line="26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85"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color w:val="auto"/>
        </w:rPr>
        <w:t>. 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0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99"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12" w:lineRule="exact"/>
        <w:rPr>
          <w:sz w:val="20"/>
          <w:szCs w:val="20"/>
          <w:color w:val="auto"/>
        </w:rPr>
      </w:pPr>
    </w:p>
    <w:p>
      <w:pPr>
        <w:ind w:left="800" w:hanging="225"/>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57"/>
        </w:numPr>
        <w:rPr>
          <w:rFonts w:ascii="Arial" w:cs="Arial" w:eastAsia="Arial" w:hAnsi="Arial"/>
          <w:sz w:val="15"/>
          <w:szCs w:val="15"/>
          <w:color w:val="auto"/>
        </w:rPr>
      </w:pPr>
      <w:r>
        <w:rPr>
          <w:rFonts w:ascii="Arial" w:cs="Arial" w:eastAsia="Arial" w:hAnsi="Arial"/>
          <w:sz w:val="15"/>
          <w:szCs w:val="15"/>
          <w:color w:val="auto"/>
        </w:rPr>
        <w:t>the price per share equal to the market price (which is calculated as defined in our declaration of trust) on the date the shares were received, or</w:t>
      </w:r>
    </w:p>
    <w:p>
      <w:pPr>
        <w:spacing w:after="0" w:line="138" w:lineRule="exact"/>
        <w:rPr>
          <w:rFonts w:ascii="Arial" w:cs="Arial" w:eastAsia="Arial" w:hAnsi="Arial"/>
          <w:sz w:val="15"/>
          <w:szCs w:val="15"/>
          <w:color w:val="auto"/>
        </w:rPr>
      </w:pPr>
    </w:p>
    <w:p>
      <w:pPr>
        <w:ind w:left="1260" w:hanging="455"/>
        <w:spacing w:after="0"/>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30"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93"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27"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18" w:lineRule="exact"/>
        <w:rPr>
          <w:sz w:val="20"/>
          <w:szCs w:val="20"/>
          <w:color w:val="auto"/>
        </w:rPr>
      </w:pPr>
    </w:p>
    <w:p>
      <w:pPr>
        <w:jc w:val="both"/>
        <w:ind w:right="220" w:firstLine="571"/>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30" w:lineRule="exact"/>
        <w:rPr>
          <w:sz w:val="20"/>
          <w:szCs w:val="20"/>
          <w:color w:val="auto"/>
        </w:rPr>
      </w:pPr>
    </w:p>
    <w:p>
      <w:pPr>
        <w:ind w:right="300" w:firstLine="571"/>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93"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83"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color w:val="auto"/>
        </w:rPr>
        <w:t>. 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77" w:lineRule="exact"/>
        <w:rPr>
          <w:sz w:val="20"/>
          <w:szCs w:val="20"/>
          <w:color w:val="auto"/>
        </w:rPr>
      </w:pPr>
    </w:p>
    <w:p>
      <w:pPr>
        <w:ind w:left="800" w:hanging="225"/>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83" w:lineRule="exact"/>
        <w:rPr>
          <w:sz w:val="20"/>
          <w:szCs w:val="20"/>
          <w:color w:val="auto"/>
        </w:rPr>
      </w:pPr>
    </w:p>
    <w:p>
      <w:pPr>
        <w:ind w:right="320" w:firstLine="571"/>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18" w:lineRule="exact"/>
        <w:rPr>
          <w:sz w:val="20"/>
          <w:szCs w:val="20"/>
          <w:color w:val="auto"/>
        </w:rPr>
      </w:pPr>
    </w:p>
    <w:p>
      <w:pPr>
        <w:ind w:right="80" w:firstLine="571"/>
        <w:spacing w:after="0" w:line="314" w:lineRule="auto"/>
        <w:rPr>
          <w:sz w:val="20"/>
          <w:szCs w:val="20"/>
          <w:color w:val="auto"/>
        </w:rPr>
      </w:pPr>
      <w:r>
        <w:rPr>
          <w:rFonts w:ascii="Arial" w:cs="Arial" w:eastAsia="Arial" w:hAnsi="Arial"/>
          <w:sz w:val="15"/>
          <w:szCs w:val="15"/>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 Restrictions on Ownership and Transfer” and the supermajority voting rights described under “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91"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color w:val="auto"/>
        </w:rPr>
        <w:t>. 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49" w:lineRule="exact"/>
        <w:rPr>
          <w:sz w:val="20"/>
          <w:szCs w:val="20"/>
          <w:color w:val="auto"/>
        </w:rPr>
      </w:pPr>
    </w:p>
    <w:p>
      <w:pPr>
        <w:ind w:left="800" w:hanging="225"/>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shares; or</w:t>
      </w:r>
    </w:p>
    <w:p>
      <w:pPr>
        <w:spacing w:after="0" w:line="103" w:lineRule="exact"/>
        <w:rPr>
          <w:rFonts w:ascii="Arial" w:cs="Arial" w:eastAsia="Arial" w:hAnsi="Arial"/>
          <w:sz w:val="18"/>
          <w:szCs w:val="18"/>
          <w:color w:val="auto"/>
        </w:rPr>
      </w:pPr>
    </w:p>
    <w:p>
      <w:pPr>
        <w:ind w:left="800" w:right="20" w:hanging="225"/>
        <w:spacing w:after="0" w:line="268"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of our affiliates that beneficially owned 10% or more of the voting power of our shares within two years prior to the applicable date relating to the transaction.</w:t>
      </w:r>
    </w:p>
    <w:p>
      <w:pPr>
        <w:spacing w:after="0" w:line="118"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27"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37" w:lineRule="exact"/>
        <w:rPr>
          <w:sz w:val="20"/>
          <w:szCs w:val="20"/>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w:t>
      </w:r>
    </w:p>
    <w:p>
      <w:pPr>
        <w:spacing w:after="0" w:line="185"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18"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3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real estate investment trust acquired in a “control share acquisition” have no voting rights unless two-thirds of the shareholders (excluding shares owned by the acquirer and by the officers and trustees who are employees of the Maryland real estate investment trust) approve their voting rights.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“Control Shares” are shares that, if added to all other shares previously acquired, would entitle that person to vote, in electing trustees:</w:t>
      </w:r>
    </w:p>
    <w:p>
      <w:pPr>
        <w:spacing w:after="0" w:line="77" w:lineRule="exact"/>
        <w:rPr>
          <w:sz w:val="20"/>
          <w:szCs w:val="20"/>
          <w:color w:val="auto"/>
        </w:rPr>
      </w:pPr>
    </w:p>
    <w:p>
      <w:pPr>
        <w:ind w:left="800" w:hanging="225"/>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10% or more but less than one-third of such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one-third or more but less than a majority of such shares,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majority of the outstanding shares.</w:t>
      </w:r>
    </w:p>
    <w:p>
      <w:pPr>
        <w:spacing w:after="0" w:line="185"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18"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27" w:lineRule="exact"/>
        <w:rPr>
          <w:sz w:val="20"/>
          <w:szCs w:val="20"/>
          <w:color w:val="auto"/>
        </w:rPr>
      </w:pPr>
    </w:p>
    <w:p>
      <w:pPr>
        <w:ind w:right="240" w:firstLine="571"/>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9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b w:val="1"/>
          <w:bCs w:val="1"/>
          <w:i w:val="1"/>
          <w:iCs w:val="1"/>
          <w:color w:val="auto"/>
        </w:rPr>
        <w:t>Rights Plan</w:t>
      </w:r>
      <w:r>
        <w:rPr>
          <w:rFonts w:ascii="Arial" w:cs="Arial" w:eastAsia="Arial" w:hAnsi="Arial"/>
          <w:sz w:val="16"/>
          <w:szCs w:val="16"/>
          <w:color w:val="auto"/>
        </w:rPr>
        <w:t>. On April 13, 1989, we adopted a shareholder rights plan and declared a dividend distribution of one right for each outstanding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to shareholders of record at the close of business on April 24, 1989, with such rights to expire on April 24, 1999. On March 11, 1999, the expiration date of the rights plan was extended and certain other amendments to the terms of the rights plan were adopted. Except as set forth below, each right, when exercisable, entitles the registered holder to purchase from us a number of common shares equal in value to two times the purchase price, which is initially equal to $65.00 per share but is subject to adjustment upon the occurrence of specified events.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rights become exercisable upon the earlier to occur of</w:t>
      </w:r>
    </w:p>
    <w:p>
      <w:pPr>
        <w:spacing w:after="0" w:line="77" w:lineRule="exact"/>
        <w:rPr>
          <w:sz w:val="20"/>
          <w:szCs w:val="20"/>
          <w:color w:val="auto"/>
        </w:rPr>
      </w:pPr>
    </w:p>
    <w:p>
      <w:pPr>
        <w:ind w:left="800" w:right="460" w:hanging="225"/>
        <w:spacing w:after="0" w:line="268"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public announcement that, without our prior consent, a person or group of affiliated or associated persons has acquired, or obtained the right to acquire, beneficial ownership of 20% or more of our common shares; or</w:t>
      </w:r>
    </w:p>
    <w:p>
      <w:pPr>
        <w:spacing w:after="0" w:line="37" w:lineRule="exact"/>
        <w:rPr>
          <w:rFonts w:ascii="Arial" w:cs="Arial" w:eastAsia="Arial" w:hAnsi="Arial"/>
          <w:sz w:val="18"/>
          <w:szCs w:val="18"/>
          <w:color w:val="auto"/>
        </w:rPr>
      </w:pPr>
    </w:p>
    <w:p>
      <w:pPr>
        <w:ind w:left="800" w:right="120" w:hanging="225"/>
        <w:spacing w:after="0" w:line="268"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ten days following the commencement of (or a public announcement of an intention to make) a tender offer or exchange offer that would result in the beneficial ownership by a person or group of 20% or more of our common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to holders of record of our common shares, and the separate rights certificates alone will evidence the rights.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general, the rights will expire on the earliest of</w:t>
      </w:r>
    </w:p>
    <w:p>
      <w:pPr>
        <w:spacing w:after="0" w:line="77" w:lineRule="exact"/>
        <w:rPr>
          <w:sz w:val="20"/>
          <w:szCs w:val="20"/>
          <w:color w:val="auto"/>
        </w:rPr>
      </w:pPr>
    </w:p>
    <w:p>
      <w:pPr>
        <w:ind w:left="800" w:hanging="225"/>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April 24, 2009;</w:t>
      </w:r>
    </w:p>
    <w:p>
      <w:pPr>
        <w:spacing w:after="0" w:line="103" w:lineRule="exact"/>
        <w:rPr>
          <w:rFonts w:ascii="Arial" w:cs="Arial" w:eastAsia="Arial" w:hAnsi="Arial"/>
          <w:sz w:val="18"/>
          <w:szCs w:val="18"/>
          <w:color w:val="auto"/>
        </w:rPr>
      </w:pPr>
    </w:p>
    <w:p>
      <w:pPr>
        <w:ind w:left="800" w:right="540" w:hanging="225"/>
        <w:spacing w:after="0" w:line="268"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85"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set at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99"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which at the time of such transaction would have a market value equal to two times the then-current purchase price of the right.</w:t>
      </w:r>
    </w:p>
    <w:p>
      <w:pPr>
        <w:spacing w:after="0" w:line="102"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15% or more of our common shares. Upon the effective date of the redemption of the rights, the right to exercise the rights will terminate and the only right of the holders of rights will be to receive the price of $0.01 per right.</w:t>
      </w:r>
    </w:p>
    <w:p>
      <w:pPr>
        <w:spacing w:after="0" w:line="105"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18"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color w:val="auto"/>
        </w:rPr>
        <w:t>. 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27"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b w:val="1"/>
          <w:bCs w:val="1"/>
          <w:i w:val="1"/>
          <w:iCs w:val="1"/>
          <w:color w:val="auto"/>
        </w:rPr>
        <w:t>Number of Trustees; Classified Board</w:t>
      </w:r>
      <w:r>
        <w:rPr>
          <w:rFonts w:ascii="Arial" w:cs="Arial" w:eastAsia="Arial" w:hAnsi="Arial"/>
          <w:sz w:val="18"/>
          <w:szCs w:val="18"/>
          <w:color w:val="auto"/>
        </w:rPr>
        <w:t>. The number of trustees may be increased or decreased pursuant to the bylaws, provided that the total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may not be less than five or more than 10. Under Maryland law and our declaration of trust, trustees, except for any trustees that may be elected by holders of preferred shares, are elected in three classes for staggered, three-year terms.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color w:val="auto"/>
        </w:rPr>
        <w:t>. Under the declaration of trust, and subject to the rights of any holders of preferred shares, our shareholders may remove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or without cause, at any meeting of shareholders called for that purpose, either by</w:t>
      </w:r>
    </w:p>
    <w:p>
      <w:pPr>
        <w:spacing w:after="0" w:line="37" w:lineRule="exact"/>
        <w:rPr>
          <w:sz w:val="20"/>
          <w:szCs w:val="20"/>
          <w:color w:val="auto"/>
        </w:rPr>
      </w:pPr>
    </w:p>
    <w:p>
      <w:pPr>
        <w:ind w:left="800" w:right="180" w:hanging="225"/>
        <w:spacing w:after="0" w:line="268"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37" w:lineRule="exact"/>
        <w:rPr>
          <w:rFonts w:ascii="Arial" w:cs="Arial" w:eastAsia="Arial" w:hAnsi="Arial"/>
          <w:sz w:val="18"/>
          <w:szCs w:val="18"/>
          <w:color w:val="auto"/>
        </w:rPr>
      </w:pPr>
    </w:p>
    <w:p>
      <w:pPr>
        <w:ind w:left="800" w:right="200" w:hanging="225"/>
        <w:spacing w:after="0" w:line="268"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18"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color w:val="auto"/>
        </w:rPr>
        <w:t>. 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0" w:lineRule="exact"/>
        <w:rPr>
          <w:sz w:val="20"/>
          <w:szCs w:val="20"/>
          <w:color w:val="auto"/>
        </w:rPr>
      </w:pPr>
    </w:p>
    <w:p>
      <w:pPr>
        <w:ind w:right="320" w:firstLine="571"/>
        <w:spacing w:after="0" w:line="268" w:lineRule="auto"/>
        <w:rPr>
          <w:sz w:val="20"/>
          <w:szCs w:val="20"/>
          <w:color w:val="auto"/>
        </w:rPr>
      </w:pPr>
      <w:r>
        <w:rPr>
          <w:rFonts w:ascii="Arial" w:cs="Arial" w:eastAsia="Arial" w:hAnsi="Arial"/>
          <w:sz w:val="18"/>
          <w:szCs w:val="18"/>
          <w:color w:val="auto"/>
        </w:rPr>
        <w:t>The holders of the Series B preferred shares have the right to elect two additional trustees to the Board of Trustees under the circumstances described above under “— Preferred Shares — Voting Rights.”</w:t>
      </w:r>
    </w:p>
    <w:p>
      <w:pPr>
        <w:spacing w:after="0" w:line="118"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b w:val="1"/>
          <w:bCs w:val="1"/>
          <w:i w:val="1"/>
          <w:iCs w:val="1"/>
          <w:color w:val="auto"/>
        </w:rPr>
        <w:t>Meetings of Shareholders</w:t>
      </w:r>
      <w:r>
        <w:rPr>
          <w:rFonts w:ascii="Arial" w:cs="Arial" w:eastAsia="Arial" w:hAnsi="Arial"/>
          <w:sz w:val="18"/>
          <w:szCs w:val="18"/>
          <w:color w:val="auto"/>
        </w:rPr>
        <w:t>. Our bylaws provide for an annual meeting of shareholders, to be held in May after delivery of the annual report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to elect individuals to the Board of Trustees for the class of trustees then standing for election and transact such other business as may properly be brought before the meeting. Special meetings of shareholders may be called by our President or by one-third of the Board of Trustees, and shall be called at the request in writing of the holders of 25% of all votes entitled to be cast at the meeting.</w:t>
      </w:r>
    </w:p>
    <w:p>
      <w:pPr>
        <w:spacing w:after="0" w:line="13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color w:val="auto"/>
        </w:rPr>
        <w:t>. 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advanced by more than 30 days from the date of the preceding year’s meeting or if we did not hold an annual meeting the preceding year, notice must be delivered within a reasonable time before we begin to print and mail our proxy materials.</w:t>
      </w:r>
    </w:p>
    <w:p>
      <w:pPr>
        <w:spacing w:after="0" w:line="141" w:lineRule="exact"/>
        <w:rPr>
          <w:sz w:val="20"/>
          <w:szCs w:val="20"/>
          <w:color w:val="auto"/>
        </w:rPr>
      </w:pPr>
    </w:p>
    <w:p>
      <w:pPr>
        <w:ind w:right="40" w:firstLine="571"/>
        <w:spacing w:after="0" w:line="256"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or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at a special meeting may be made by shareholders only if the Board of Trustees has determined that trustees shall be elected at the special meeting.</w:t>
      </w:r>
    </w:p>
    <w:p>
      <w:pPr>
        <w:spacing w:after="0" w:line="130" w:lineRule="exact"/>
        <w:rPr>
          <w:sz w:val="20"/>
          <w:szCs w:val="20"/>
          <w:color w:val="auto"/>
        </w:rPr>
      </w:pPr>
    </w:p>
    <w:p>
      <w:pPr>
        <w:ind w:right="180" w:firstLine="571"/>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INCOME TAX CONSEQUENCES</w:t>
      </w:r>
    </w:p>
    <w:p>
      <w:pPr>
        <w:spacing w:after="0" w:line="164"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 dealers or brokers in securities, non-U.S. individuals and foreign corporations (except to the extent discussed in “— Taxation of Non-U.S. Shareholders” below), and shareholders that hold their shares as part of a hedge, appreciated financial position, straddle or conversion transaction.</w:t>
      </w:r>
    </w:p>
    <w:p>
      <w:pPr>
        <w:spacing w:after="0" w:line="107"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72"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83"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2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2005;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14" w:lineRule="exact"/>
        <w:rPr>
          <w:sz w:val="20"/>
          <w:szCs w:val="20"/>
          <w:color w:val="auto"/>
        </w:rPr>
      </w:pPr>
    </w:p>
    <w:p>
      <w:pPr>
        <w:jc w:val="both"/>
        <w:ind w:right="360" w:firstLine="571"/>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corporation. However, we will be subject to federal tax in the following circumstances:</w:t>
      </w:r>
    </w:p>
    <w:p>
      <w:pPr>
        <w:spacing w:after="0" w:line="46" w:lineRule="exact"/>
        <w:rPr>
          <w:sz w:val="20"/>
          <w:szCs w:val="20"/>
          <w:color w:val="auto"/>
        </w:rPr>
      </w:pPr>
    </w:p>
    <w:p>
      <w:pPr>
        <w:ind w:left="800" w:right="20" w:hanging="225"/>
        <w:spacing w:after="0" w:line="268"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may be subject to the “ alternative minimum tax” on any items of tax preference that we do not distribute or allocate to our shareholders;</w:t>
      </w:r>
    </w:p>
    <w:p>
      <w:pPr>
        <w:spacing w:after="0" w:line="126" w:lineRule="exact"/>
        <w:rPr>
          <w:rFonts w:ascii="Arial" w:cs="Arial" w:eastAsia="Arial" w:hAnsi="Arial"/>
          <w:sz w:val="16"/>
          <w:szCs w:val="16"/>
          <w:color w:val="auto"/>
        </w:rPr>
      </w:pPr>
    </w:p>
    <w:p>
      <w:pPr>
        <w:ind w:left="800" w:right="60" w:hanging="225"/>
        <w:spacing w:after="0" w:line="325" w:lineRule="auto"/>
        <w:tabs>
          <w:tab w:leader="none" w:pos="8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 w:lineRule="exact"/>
        <w:rPr>
          <w:rFonts w:ascii="Arial" w:cs="Arial" w:eastAsia="Arial" w:hAnsi="Arial"/>
          <w:sz w:val="16"/>
          <w:szCs w:val="16"/>
          <w:color w:val="auto"/>
        </w:rPr>
      </w:pPr>
    </w:p>
    <w:p>
      <w:pPr>
        <w:ind w:left="800" w:right="40" w:hanging="225"/>
        <w:spacing w:after="0" w:line="268"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8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49" w:lineRule="exact"/>
        <w:rPr>
          <w:rFonts w:ascii="Arial" w:cs="Arial" w:eastAsia="Arial" w:hAnsi="Arial"/>
          <w:sz w:val="16"/>
          <w:szCs w:val="16"/>
          <w:color w:val="auto"/>
        </w:rPr>
      </w:pPr>
    </w:p>
    <w:p>
      <w:pPr>
        <w:ind w:left="800" w:right="20" w:hanging="225"/>
        <w:spacing w:after="0" w:line="256"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48" w:lineRule="exact"/>
        <w:rPr>
          <w:rFonts w:ascii="Arial" w:cs="Arial" w:eastAsia="Arial" w:hAnsi="Arial"/>
          <w:sz w:val="18"/>
          <w:szCs w:val="18"/>
          <w:color w:val="auto"/>
        </w:rPr>
      </w:pPr>
    </w:p>
    <w:p>
      <w:pPr>
        <w:jc w:val="both"/>
        <w:ind w:left="800" w:right="60" w:hanging="225"/>
        <w:spacing w:after="0" w:line="259"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45" w:lineRule="exact"/>
        <w:rPr>
          <w:rFonts w:ascii="Arial" w:cs="Arial" w:eastAsia="Arial" w:hAnsi="Arial"/>
          <w:sz w:val="18"/>
          <w:szCs w:val="18"/>
          <w:color w:val="auto"/>
        </w:rPr>
      </w:pPr>
    </w:p>
    <w:p>
      <w:pPr>
        <w:ind w:left="800" w:right="20" w:hanging="225"/>
        <w:spacing w:after="0" w:line="259"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45" w:lineRule="exact"/>
        <w:rPr>
          <w:rFonts w:ascii="Arial" w:cs="Arial" w:eastAsia="Arial" w:hAnsi="Arial"/>
          <w:sz w:val="18"/>
          <w:szCs w:val="18"/>
          <w:color w:val="auto"/>
        </w:rPr>
      </w:pPr>
    </w:p>
    <w:p>
      <w:pPr>
        <w:ind w:left="800" w:hanging="225"/>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03" w:lineRule="exact"/>
        <w:rPr>
          <w:rFonts w:ascii="Arial" w:cs="Arial" w:eastAsia="Arial" w:hAnsi="Arial"/>
          <w:sz w:val="18"/>
          <w:szCs w:val="18"/>
          <w:color w:val="auto"/>
        </w:rPr>
      </w:pPr>
    </w:p>
    <w:p>
      <w:pPr>
        <w:ind w:left="800" w:right="40" w:hanging="225"/>
        <w:spacing w:after="0" w:line="294" w:lineRule="auto"/>
        <w:tabs>
          <w:tab w:leader="none" w:pos="8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77" w:lineRule="exact"/>
        <w:rPr>
          <w:sz w:val="20"/>
          <w:szCs w:val="20"/>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0" w:hanging="572"/>
        <w:spacing w:after="0" w:line="268"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37" w:lineRule="exact"/>
        <w:rPr>
          <w:rFonts w:ascii="Arial" w:cs="Arial" w:eastAsia="Arial" w:hAnsi="Arial"/>
          <w:sz w:val="18"/>
          <w:szCs w:val="18"/>
          <w:color w:val="auto"/>
        </w:rPr>
      </w:pPr>
    </w:p>
    <w:p>
      <w:pPr>
        <w:ind w:left="580" w:right="500" w:hanging="572"/>
        <w:spacing w:after="0" w:line="268"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37" w:lineRule="exact"/>
        <w:rPr>
          <w:rFonts w:ascii="Arial" w:cs="Arial" w:eastAsia="Arial" w:hAnsi="Arial"/>
          <w:sz w:val="18"/>
          <w:szCs w:val="18"/>
          <w:color w:val="auto"/>
        </w:rPr>
      </w:pPr>
    </w:p>
    <w:p>
      <w:pPr>
        <w:ind w:left="580" w:right="180" w:hanging="572"/>
        <w:spacing w:after="0" w:line="268"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U.S. Department of Treasury (“Treasury”); and</w:t>
      </w:r>
    </w:p>
    <w:p>
      <w:pPr>
        <w:spacing w:after="0" w:line="37" w:lineRule="exact"/>
        <w:rPr>
          <w:rFonts w:ascii="Arial" w:cs="Arial" w:eastAsia="Arial" w:hAnsi="Arial"/>
          <w:sz w:val="18"/>
          <w:szCs w:val="18"/>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58" w:lineRule="exact"/>
        <w:rPr>
          <w:sz w:val="20"/>
          <w:szCs w:val="20"/>
          <w:color w:val="auto"/>
        </w:rPr>
      </w:pPr>
    </w:p>
    <w:p>
      <w:pPr>
        <w:ind w:right="100" w:firstLine="571"/>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5"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“Description of Shares of Beneficial Ownership–Restrictions on Ownership and Transfer.”</w:t>
      </w:r>
    </w:p>
    <w:p>
      <w:pPr>
        <w:spacing w:after="0" w:line="130" w:lineRule="exact"/>
        <w:rPr>
          <w:sz w:val="20"/>
          <w:szCs w:val="20"/>
          <w:color w:val="auto"/>
        </w:rPr>
      </w:pPr>
    </w:p>
    <w:p>
      <w:pPr>
        <w:ind w:right="60" w:firstLine="571"/>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our qualified REIT subsidiaries are not subject to federal corporate income taxation, though they may be subject to state and local taxation.</w:t>
      </w:r>
    </w:p>
    <w:p>
      <w:pPr>
        <w:spacing w:after="0" w:line="106"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must satisfy two gross income tests annually to maintain our qualification as a REIT:</w:t>
      </w:r>
    </w:p>
    <w:p>
      <w:pPr>
        <w:spacing w:after="0" w:line="77" w:lineRule="exact"/>
        <w:rPr>
          <w:sz w:val="20"/>
          <w:szCs w:val="20"/>
          <w:color w:val="auto"/>
        </w:rPr>
      </w:pPr>
    </w:p>
    <w:p>
      <w:pPr>
        <w:ind w:left="800" w:right="40" w:hanging="225"/>
        <w:spacing w:after="0" w:line="255" w:lineRule="auto"/>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48" w:lineRule="exact"/>
        <w:rPr>
          <w:rFonts w:ascii="Arial" w:cs="Arial" w:eastAsia="Arial" w:hAnsi="Arial"/>
          <w:sz w:val="18"/>
          <w:szCs w:val="18"/>
          <w:color w:val="auto"/>
        </w:rPr>
      </w:pPr>
    </w:p>
    <w:p>
      <w:pPr>
        <w:ind w:left="800" w:right="200" w:hanging="225"/>
        <w:spacing w:after="0" w:line="306" w:lineRule="auto"/>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At least 95% of our gross income (excluding gross income from prohibited transactions and certain real estate liability hedges)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58"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Rent that we receive from real property that we own and lease to tenants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qualify as “rents from real property” (which is qualifying income for purposes of the 75% and 95% gross income tests) only if several conditions are met under the REIT tax rules:</w:t>
      </w:r>
    </w:p>
    <w:p>
      <w:pPr>
        <w:spacing w:after="0" w:line="46" w:lineRule="exact"/>
        <w:rPr>
          <w:sz w:val="20"/>
          <w:szCs w:val="20"/>
          <w:color w:val="auto"/>
        </w:rPr>
      </w:pPr>
    </w:p>
    <w:p>
      <w:pPr>
        <w:ind w:left="800" w:right="60" w:hanging="225"/>
        <w:spacing w:after="0" w:line="306" w:lineRule="auto"/>
        <w:tabs>
          <w:tab w:leader="none" w:pos="8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 (except where we have determined that the rent received will not jeopardize our status as a REIT);</w:t>
      </w:r>
    </w:p>
    <w:p>
      <w:pPr>
        <w:spacing w:after="0" w:line="12" w:lineRule="exact"/>
        <w:rPr>
          <w:rFonts w:ascii="Arial" w:cs="Arial" w:eastAsia="Arial" w:hAnsi="Arial"/>
          <w:sz w:val="16"/>
          <w:szCs w:val="16"/>
          <w:color w:val="auto"/>
        </w:rPr>
      </w:pPr>
    </w:p>
    <w:p>
      <w:pPr>
        <w:ind w:left="800" w:hanging="225"/>
        <w:spacing w:after="0" w:line="287" w:lineRule="auto"/>
        <w:tabs>
          <w:tab w:leader="none" w:pos="8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28" w:lineRule="exact"/>
        <w:rPr>
          <w:rFonts w:ascii="Arial" w:cs="Arial" w:eastAsia="Arial" w:hAnsi="Arial"/>
          <w:sz w:val="16"/>
          <w:szCs w:val="16"/>
          <w:color w:val="auto"/>
        </w:rPr>
      </w:pPr>
    </w:p>
    <w:p>
      <w:pPr>
        <w:ind w:left="800" w:right="20" w:hanging="225"/>
        <w:spacing w:after="0" w:line="254"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certain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49" w:lineRule="exact"/>
        <w:rPr>
          <w:rFonts w:ascii="Arial" w:cs="Arial" w:eastAsia="Arial" w:hAnsi="Arial"/>
          <w:sz w:val="18"/>
          <w:szCs w:val="18"/>
          <w:color w:val="auto"/>
        </w:rPr>
      </w:pPr>
    </w:p>
    <w:p>
      <w:pPr>
        <w:ind w:left="800" w:right="280" w:hanging="225"/>
        <w:spacing w:after="0" w:line="268"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rent attributable to any personal property leased in connection with a lease of property is no more than 15% of the total rent received under the lease. In general, we have not leased a significant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spacing w:after="0" w:line="259" w:lineRule="auto"/>
        <w:rPr>
          <w:sz w:val="20"/>
          <w:szCs w:val="20"/>
          <w:color w:val="auto"/>
        </w:rPr>
      </w:pPr>
      <w:r>
        <w:rPr>
          <w:rFonts w:ascii="Arial" w:cs="Arial" w:eastAsia="Arial" w:hAnsi="Arial"/>
          <w:sz w:val="18"/>
          <w:szCs w:val="18"/>
          <w:color w:val="auto"/>
        </w:rPr>
        <w:t>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 and</w:t>
      </w:r>
    </w:p>
    <w:p>
      <w:pPr>
        <w:spacing w:after="0" w:line="59" w:lineRule="exact"/>
        <w:rPr>
          <w:sz w:val="20"/>
          <w:szCs w:val="20"/>
          <w:color w:val="auto"/>
        </w:rPr>
      </w:pPr>
    </w:p>
    <w:p>
      <w:pPr>
        <w:ind w:left="800" w:hanging="225"/>
        <w:spacing w:after="0" w:line="290"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05"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Based on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an ongoing basis, we will use our best efforts not to:</w:t>
      </w:r>
    </w:p>
    <w:p>
      <w:pPr>
        <w:spacing w:after="0" w:line="77" w:lineRule="exact"/>
        <w:rPr>
          <w:sz w:val="20"/>
          <w:szCs w:val="20"/>
          <w:color w:val="auto"/>
        </w:rPr>
      </w:pPr>
    </w:p>
    <w:p>
      <w:pPr>
        <w:ind w:left="800" w:right="160" w:hanging="225"/>
        <w:spacing w:after="0" w:line="268"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37" w:lineRule="exact"/>
        <w:rPr>
          <w:rFonts w:ascii="Arial" w:cs="Arial" w:eastAsia="Arial" w:hAnsi="Arial"/>
          <w:sz w:val="18"/>
          <w:szCs w:val="18"/>
          <w:color w:val="auto"/>
        </w:rPr>
      </w:pPr>
    </w:p>
    <w:p>
      <w:pPr>
        <w:ind w:left="800" w:right="340" w:hanging="225"/>
        <w:spacing w:after="0" w:line="259"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45" w:lineRule="exact"/>
        <w:rPr>
          <w:rFonts w:ascii="Arial" w:cs="Arial" w:eastAsia="Arial" w:hAnsi="Arial"/>
          <w:sz w:val="18"/>
          <w:szCs w:val="18"/>
          <w:color w:val="auto"/>
        </w:rPr>
      </w:pPr>
    </w:p>
    <w:p>
      <w:pPr>
        <w:ind w:left="800" w:right="100" w:hanging="225"/>
        <w:spacing w:after="0" w:line="268"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37" w:lineRule="exact"/>
        <w:rPr>
          <w:rFonts w:ascii="Arial" w:cs="Arial" w:eastAsia="Arial" w:hAnsi="Arial"/>
          <w:sz w:val="18"/>
          <w:szCs w:val="18"/>
          <w:color w:val="auto"/>
        </w:rPr>
      </w:pPr>
    </w:p>
    <w:p>
      <w:pPr>
        <w:jc w:val="both"/>
        <w:ind w:left="800" w:right="20" w:hanging="225"/>
        <w:spacing w:after="0" w:line="259"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58" w:lineRule="exact"/>
        <w:rPr>
          <w:sz w:val="20"/>
          <w:szCs w:val="20"/>
          <w:color w:val="auto"/>
        </w:rPr>
      </w:pPr>
    </w:p>
    <w:p>
      <w:pPr>
        <w:ind w:right="240" w:firstLine="571"/>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2" w:lineRule="exact"/>
        <w:rPr>
          <w:sz w:val="20"/>
          <w:szCs w:val="20"/>
          <w:color w:val="auto"/>
        </w:rPr>
      </w:pPr>
    </w:p>
    <w:p>
      <w:pPr>
        <w:ind w:left="800" w:right="300" w:hanging="225"/>
        <w:spacing w:after="0" w:line="325" w:lineRule="auto"/>
        <w:tabs>
          <w:tab w:leader="none" w:pos="8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1" w:lineRule="exact"/>
        <w:rPr>
          <w:rFonts w:ascii="Arial" w:cs="Arial" w:eastAsia="Arial" w:hAnsi="Arial"/>
          <w:sz w:val="16"/>
          <w:szCs w:val="16"/>
          <w:color w:val="auto"/>
        </w:rPr>
      </w:pPr>
    </w:p>
    <w:p>
      <w:pPr>
        <w:ind w:left="800" w:hanging="225"/>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tabs>
          <w:tab w:leader="none" w:pos="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for which the REIT makes a proper election to treat the property as foreclosure property.</w:t>
      </w:r>
    </w:p>
    <w:p>
      <w:pPr>
        <w:spacing w:after="0" w:line="185"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46" w:lineRule="exact"/>
        <w:rPr>
          <w:sz w:val="20"/>
          <w:szCs w:val="20"/>
          <w:color w:val="auto"/>
        </w:rPr>
      </w:pPr>
    </w:p>
    <w:p>
      <w:pPr>
        <w:ind w:left="800" w:right="280" w:hanging="225"/>
        <w:spacing w:after="0" w:line="268"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37" w:lineRule="exact"/>
        <w:rPr>
          <w:rFonts w:ascii="Arial" w:cs="Arial" w:eastAsia="Arial" w:hAnsi="Arial"/>
          <w:sz w:val="18"/>
          <w:szCs w:val="18"/>
          <w:color w:val="auto"/>
        </w:rPr>
      </w:pPr>
    </w:p>
    <w:p>
      <w:pPr>
        <w:ind w:left="800" w:right="200" w:hanging="225"/>
        <w:spacing w:after="0" w:line="259"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45" w:lineRule="exact"/>
        <w:rPr>
          <w:rFonts w:ascii="Arial" w:cs="Arial" w:eastAsia="Arial" w:hAnsi="Arial"/>
          <w:sz w:val="18"/>
          <w:szCs w:val="18"/>
          <w:color w:val="auto"/>
        </w:rPr>
      </w:pPr>
    </w:p>
    <w:p>
      <w:pPr>
        <w:ind w:left="800" w:right="60" w:hanging="225"/>
        <w:spacing w:after="0" w:line="268"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37" w:lineRule="exact"/>
        <w:rPr>
          <w:rFonts w:ascii="Arial" w:cs="Arial" w:eastAsia="Arial" w:hAnsi="Arial"/>
          <w:sz w:val="18"/>
          <w:szCs w:val="18"/>
          <w:color w:val="auto"/>
        </w:rPr>
      </w:pPr>
    </w:p>
    <w:p>
      <w:pPr>
        <w:ind w:left="800" w:right="220" w:hanging="225"/>
        <w:spacing w:after="0" w:line="370" w:lineRule="auto"/>
        <w:tabs>
          <w:tab w:leader="none" w:pos="8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49"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b w:val="1"/>
          <w:bCs w:val="1"/>
          <w:i w:val="1"/>
          <w:iCs w:val="1"/>
          <w:color w:val="auto"/>
        </w:rPr>
        <w:t>Tax on Prohibited Transactions</w:t>
      </w:r>
      <w:r>
        <w:rPr>
          <w:rFonts w:ascii="Arial" w:cs="Arial" w:eastAsia="Arial" w:hAnsi="Arial"/>
          <w:sz w:val="16"/>
          <w:szCs w:val="16"/>
          <w:color w:val="auto"/>
        </w:rPr>
        <w:t>. A REIT will incur a 100% tax on net income derived from any “prohibited transaction.” A “prohibited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is a sale or other disposition of property (other than foreclosure property) that the REIT holds primarily for sale to customers in the ordinary course of a trade or business. The prohibited transaction rules do not apply to property held by a taxable subsidiary of a REIT. Not taking into account properties held by our taxable REIT subsidiaries, we believe that none of the assets we are treated as holding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106"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99"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8"/>
          <w:szCs w:val="18"/>
          <w:b w:val="1"/>
          <w:bCs w:val="1"/>
          <w:i w:val="1"/>
          <w:iCs w:val="1"/>
          <w:color w:val="auto"/>
        </w:rPr>
        <w:t>Asset Tests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To maintain our qualification as a REIT, we also must satisfy the following asset tests at the close of each quarter of each taxable year:</w:t>
      </w:r>
    </w:p>
    <w:p>
      <w:pPr>
        <w:spacing w:after="0" w:line="77" w:lineRule="exact"/>
        <w:rPr>
          <w:sz w:val="20"/>
          <w:szCs w:val="20"/>
          <w:color w:val="auto"/>
        </w:rPr>
      </w:pPr>
    </w:p>
    <w:p>
      <w:pPr>
        <w:ind w:left="800" w:right="460" w:hanging="225"/>
        <w:spacing w:after="0" w:line="268"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37" w:lineRule="exact"/>
        <w:rPr>
          <w:rFonts w:ascii="Arial" w:cs="Arial" w:eastAsia="Arial" w:hAnsi="Arial"/>
          <w:sz w:val="18"/>
          <w:szCs w:val="18"/>
          <w:color w:val="auto"/>
        </w:rPr>
      </w:pPr>
    </w:p>
    <w:p>
      <w:pPr>
        <w:ind w:left="1260" w:right="480" w:hanging="455"/>
        <w:spacing w:after="0" w:line="268" w:lineRule="auto"/>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37" w:lineRule="exact"/>
        <w:rPr>
          <w:rFonts w:ascii="Arial" w:cs="Arial" w:eastAsia="Arial" w:hAnsi="Arial"/>
          <w:sz w:val="18"/>
          <w:szCs w:val="18"/>
          <w:color w:val="auto"/>
        </w:rPr>
      </w:pPr>
    </w:p>
    <w:p>
      <w:pPr>
        <w:ind w:left="1260" w:right="80" w:hanging="455"/>
        <w:spacing w:after="0" w:line="259" w:lineRule="auto"/>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45" w:lineRule="exact"/>
        <w:rPr>
          <w:rFonts w:ascii="Arial" w:cs="Arial" w:eastAsia="Arial" w:hAnsi="Arial"/>
          <w:sz w:val="18"/>
          <w:szCs w:val="18"/>
          <w:color w:val="auto"/>
        </w:rPr>
      </w:pPr>
    </w:p>
    <w:p>
      <w:pPr>
        <w:ind w:left="1260" w:right="140" w:hanging="455"/>
        <w:spacing w:after="0" w:line="268" w:lineRule="auto"/>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37" w:lineRule="exact"/>
        <w:rPr>
          <w:rFonts w:ascii="Arial" w:cs="Arial" w:eastAsia="Arial" w:hAnsi="Arial"/>
          <w:sz w:val="18"/>
          <w:szCs w:val="18"/>
          <w:color w:val="auto"/>
        </w:rPr>
      </w:pPr>
    </w:p>
    <w:p>
      <w:pPr>
        <w:ind w:left="800" w:right="20" w:hanging="225"/>
        <w:spacing w:after="0" w:line="288" w:lineRule="auto"/>
        <w:tabs>
          <w:tab w:leader="none" w:pos="8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generally may not own more than 10% of the 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58"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29" w:lineRule="exact"/>
        <w:rPr>
          <w:sz w:val="20"/>
          <w:szCs w:val="20"/>
          <w:color w:val="auto"/>
        </w:rPr>
      </w:pPr>
    </w:p>
    <w:p>
      <w:pPr>
        <w:ind w:right="60" w:firstLine="571"/>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53" w:lineRule="auto"/>
        <w:tabs>
          <w:tab w:leader="none" w:pos="25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assest tests within 6 months following the quarter in which it was discovered, and (iv) we pay a tax</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7"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3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following taxable year and pay the distribution on or before the first regular dividend payment date after such declaration.</w:t>
      </w:r>
    </w:p>
    <w:p>
      <w:pPr>
        <w:spacing w:after="0" w:line="99"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05"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07"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0"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27"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72"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 to qualify as a REIT, we would not be able to deduct amounts paid out to shareholders. In fact, we would not be required to distribute any amounts to shareholders in such year. In such event, to the extent of our earnings and profits, all distributions to shareholders would be taxable as ordinary income. Such distributions would, however, be “qualified dividend income,” which is taxable at long-term capital gain rates for individual shareholders.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used herein, the term “taxable U.S. shareholder” means a taxable holder of common or preferred shares that for U.S. federal income tax purposes is</w:t>
      </w:r>
    </w:p>
    <w:p>
      <w:pPr>
        <w:spacing w:after="0" w:line="100" w:lineRule="exact"/>
        <w:rPr>
          <w:sz w:val="20"/>
          <w:szCs w:val="20"/>
          <w:color w:val="auto"/>
        </w:rPr>
      </w:pPr>
    </w:p>
    <w:p>
      <w:pPr>
        <w:ind w:left="800" w:hanging="225"/>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corporation, partnership, or other entity created or organized in or under the laws of the United States, any of its states or the District of Columbia;</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03" w:lineRule="exact"/>
        <w:rPr>
          <w:rFonts w:ascii="Arial" w:cs="Arial" w:eastAsia="Arial" w:hAnsi="Arial"/>
          <w:sz w:val="18"/>
          <w:szCs w:val="18"/>
          <w:color w:val="auto"/>
        </w:rPr>
      </w:pPr>
    </w:p>
    <w:p>
      <w:pPr>
        <w:ind w:left="800" w:right="140" w:hanging="225"/>
        <w:spacing w:after="0" w:line="298" w:lineRule="auto"/>
        <w:tabs>
          <w:tab w:leader="none" w:pos="8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taxable U.S. shareholders.</w:t>
      </w:r>
    </w:p>
    <w:p>
      <w:pPr>
        <w:spacing w:after="0" w:line="99"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If a partnership, including an entity that is treated as a partnership for U.S. federal income tax purposes, is a beneficial owner of our shares, the treatment of a partner in the partnership will generally depend on the status of the partner and the activities of the partnership.</w:t>
      </w:r>
    </w:p>
    <w:p>
      <w:pPr>
        <w:spacing w:after="0" w:line="118" w:lineRule="exact"/>
        <w:rPr>
          <w:sz w:val="20"/>
          <w:szCs w:val="20"/>
          <w:color w:val="auto"/>
        </w:rPr>
      </w:pPr>
    </w:p>
    <w:p>
      <w:pPr>
        <w:ind w:firstLine="571"/>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49"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b w:val="1"/>
          <w:bCs w:val="1"/>
          <w:i w:val="1"/>
          <w:iCs w:val="1"/>
          <w:color w:val="auto"/>
        </w:rPr>
        <w:t xml:space="preserve">Dividends and Other Taxable U.S. Shareholder Distributions. </w:t>
      </w:r>
      <w:r>
        <w:rPr>
          <w:rFonts w:ascii="Arial" w:cs="Arial" w:eastAsia="Arial" w:hAnsi="Arial"/>
          <w:sz w:val="16"/>
          <w:szCs w:val="16"/>
          <w:color w:val="auto"/>
        </w:rPr>
        <w:t>As long as we qualify as a REIT, a taxable U.S. shareholder must take into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distributions on our common and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w:t>
      </w:r>
    </w:p>
    <w:p>
      <w:pPr>
        <w:spacing w:after="0" w:line="93" w:lineRule="exact"/>
        <w:rPr>
          <w:sz w:val="20"/>
          <w:szCs w:val="20"/>
          <w:color w:val="auto"/>
        </w:rPr>
      </w:pPr>
    </w:p>
    <w:p>
      <w:pPr>
        <w:ind w:right="120" w:firstLine="571"/>
        <w:spacing w:after="0" w:line="306"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99" w:lineRule="exact"/>
        <w:rPr>
          <w:sz w:val="20"/>
          <w:szCs w:val="20"/>
          <w:color w:val="auto"/>
        </w:rPr>
      </w:pPr>
    </w:p>
    <w:p>
      <w:pPr>
        <w:ind w:right="200" w:firstLine="571"/>
        <w:spacing w:after="0" w:line="323" w:lineRule="auto"/>
        <w:rPr>
          <w:sz w:val="20"/>
          <w:szCs w:val="20"/>
          <w:color w:val="auto"/>
        </w:rPr>
      </w:pPr>
      <w:r>
        <w:rPr>
          <w:rFonts w:ascii="Arial" w:cs="Arial" w:eastAsia="Arial" w:hAnsi="Arial"/>
          <w:sz w:val="15"/>
          <w:szCs w:val="15"/>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84" w:lineRule="exact"/>
        <w:rPr>
          <w:sz w:val="20"/>
          <w:szCs w:val="20"/>
          <w:color w:val="auto"/>
        </w:rPr>
      </w:pPr>
    </w:p>
    <w:p>
      <w:pPr>
        <w:ind w:right="380" w:firstLine="571"/>
        <w:spacing w:after="0" w:line="298" w:lineRule="auto"/>
        <w:rPr>
          <w:sz w:val="20"/>
          <w:szCs w:val="20"/>
          <w:color w:val="auto"/>
        </w:rPr>
      </w:pPr>
      <w:r>
        <w:rPr>
          <w:rFonts w:ascii="Arial" w:cs="Arial" w:eastAsia="Arial" w:hAnsi="Arial"/>
          <w:sz w:val="16"/>
          <w:szCs w:val="16"/>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99"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06"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the common or preferred shares as long-term capital gain or loss if the taxable U.S. shareholder has held its shares for more than one year and otherwise as short-term capital gain or loss.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05"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b w:val="1"/>
          <w:bCs w:val="1"/>
          <w:i w:val="1"/>
          <w:iCs w:val="1"/>
          <w:color w:val="auto"/>
        </w:rPr>
        <w:t xml:space="preserve">Capital Gains and Losses. </w:t>
      </w:r>
      <w:r>
        <w:rPr>
          <w:rFonts w:ascii="Arial" w:cs="Arial" w:eastAsia="Arial" w:hAnsi="Arial"/>
          <w:sz w:val="18"/>
          <w:szCs w:val="18"/>
          <w:color w:val="auto"/>
        </w:rPr>
        <w:t>A taxpayer generally must hold a capital asset for more than one year for gain or loss derived from its sale or exchange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long-term capital gain or loss. The highest marginal individual income tax rate on ordinary income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tax rate differential between capital gain and ordinary income for non-corporate taxpayers is significant.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generally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14"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14"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05"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Proposed Treasury Regulations would, if adopted, alter the method for recovering a taxable U.S. shareholder’s adjusted tax basis in any of our shares redeemed in a dividend equivalent redemption. Under the Proposed Treasury Regulations, a holder would be treated as realizing a capital loss on the date of the dividend equivalent redemption equal to the adjusted tax basis of the shares redeemed, subject to adjustments. The recognition of such loss would generally be deferred until the occurrence of specified events,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such as, for example, the holder’s ceasing to actually or constructively own any shares. There can be no assurance that the Proposed Treasury Regulations will be adopted, or that they will be adopted in their current form.</w:t>
      </w:r>
    </w:p>
    <w:p>
      <w:pPr>
        <w:spacing w:after="0" w:line="118"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05" w:lineRule="exact"/>
        <w:rPr>
          <w:sz w:val="20"/>
          <w:szCs w:val="20"/>
          <w:color w:val="auto"/>
        </w:rPr>
      </w:pPr>
    </w:p>
    <w:p>
      <w:pPr>
        <w:ind w:right="160" w:firstLine="571"/>
        <w:spacing w:after="0" w:line="370" w:lineRule="auto"/>
        <w:rPr>
          <w:sz w:val="20"/>
          <w:szCs w:val="20"/>
          <w:color w:val="auto"/>
        </w:rPr>
      </w:pPr>
      <w:r>
        <w:rPr>
          <w:rFonts w:ascii="Arial" w:cs="Arial" w:eastAsia="Arial" w:hAnsi="Arial"/>
          <w:sz w:val="15"/>
          <w:szCs w:val="15"/>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49"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provided in the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If a nonqualifying adjustment were made, the holders of preferred shares might be deemed to have received a taxable stock dividend.</w:t>
      </w:r>
    </w:p>
    <w:p>
      <w:pPr>
        <w:spacing w:after="0" w:line="107"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the 15% rate does generally apply to:</w:t>
      </w:r>
    </w:p>
    <w:p>
      <w:pPr>
        <w:spacing w:after="0" w:line="21" w:lineRule="exact"/>
        <w:rPr>
          <w:sz w:val="20"/>
          <w:szCs w:val="20"/>
          <w:color w:val="auto"/>
        </w:rPr>
      </w:pPr>
    </w:p>
    <w:p>
      <w:pPr>
        <w:ind w:left="800" w:hanging="225"/>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03" w:lineRule="exact"/>
        <w:rPr>
          <w:rFonts w:ascii="Arial" w:cs="Arial" w:eastAsia="Arial" w:hAnsi="Arial"/>
          <w:sz w:val="18"/>
          <w:szCs w:val="18"/>
          <w:color w:val="auto"/>
        </w:rPr>
      </w:pPr>
    </w:p>
    <w:p>
      <w:pPr>
        <w:ind w:left="800" w:right="200" w:hanging="225"/>
        <w:spacing w:after="0" w:line="268" w:lineRule="auto"/>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03" w:lineRule="exact"/>
        <w:rPr>
          <w:rFonts w:ascii="Arial" w:cs="Arial" w:eastAsia="Arial" w:hAnsi="Arial"/>
          <w:sz w:val="18"/>
          <w:szCs w:val="18"/>
          <w:color w:val="auto"/>
        </w:rPr>
      </w:pPr>
    </w:p>
    <w:p>
      <w:pPr>
        <w:ind w:left="800" w:right="60" w:hanging="225"/>
        <w:spacing w:after="0" w:line="268" w:lineRule="auto"/>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18"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Without legislation, the maximum tax rate on long-term capital gains will increase to 20% in 2011, and qualified dividend income will no longer be taxed at a preferential rate compared to ordinary income.</w:t>
      </w:r>
    </w:p>
    <w:p>
      <w:pPr>
        <w:spacing w:after="0" w:line="118"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will report to our shareholders and to the IRS the amount of dividends we pay during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calendar year, and the amount of tax we withhold, if any. Under the backup withholding rules, a shareholder may be subject to backup withholding (currently at the rate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U.S. shareholder’s income tax liability. In addition, we may be required to withhold a portion of capital gain distributions to any shareholders who fail to certify their non-foreign status to us.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83"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34" w:lineRule="exact"/>
        <w:rPr>
          <w:sz w:val="20"/>
          <w:szCs w:val="20"/>
          <w:color w:val="auto"/>
        </w:rPr>
      </w:pPr>
    </w:p>
    <w:p>
      <w:pPr>
        <w:ind w:left="800" w:hanging="225"/>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03"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37" w:lineRule="exact"/>
        <w:rPr>
          <w:rFonts w:ascii="Arial" w:cs="Arial" w:eastAsia="Arial" w:hAnsi="Arial"/>
          <w:sz w:val="18"/>
          <w:szCs w:val="18"/>
          <w:color w:val="auto"/>
        </w:rPr>
      </w:pPr>
    </w:p>
    <w:p>
      <w:pPr>
        <w:ind w:left="800" w:right="640" w:hanging="225"/>
        <w:spacing w:after="0" w:line="332" w:lineRule="auto"/>
        <w:tabs>
          <w:tab w:leader="none" w:pos="8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72"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83"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The rules governing U.S. federal income taxation of non-U.S. shareholders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86"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(or beneficial owner in the case of shares owned through a pass-through entity that is not acting as a withholding foreign partnership or trust) provides IRS Form W-8BEN to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114"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05"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an ordinary dividend taxable as described above under “— Ordinary Dividends.”</w:t>
      </w:r>
    </w:p>
    <w:p>
      <w:pPr>
        <w:spacing w:after="0" w:line="99"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our shares, the non-U.S. shareholder incurs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amount of the distribution designated as a capital gain dividend. A non-U.S. shareholder may receive a credit against its FIRPTA tax liability for the amount we withhold.</w:t>
      </w:r>
    </w:p>
    <w:p>
      <w:pPr>
        <w:spacing w:after="0" w:line="118" w:lineRule="exact"/>
        <w:rPr>
          <w:sz w:val="20"/>
          <w:szCs w:val="20"/>
          <w:color w:val="auto"/>
        </w:rPr>
      </w:pPr>
    </w:p>
    <w:p>
      <w:pPr>
        <w:jc w:val="both"/>
        <w:ind w:right="220" w:firstLine="571"/>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taxed in the same manner as taxable U.S. shareholders with respect to such gain (subject to applicable alternative minimum tax and a special alternative minimum tax in the case of nonresident alien individuals), and the purchaser of the shares would be required to withhold and remit to the IRS 10% of the purchase price.</w:t>
      </w:r>
    </w:p>
    <w:p>
      <w:pPr>
        <w:spacing w:after="0" w:line="105"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99"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0"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Backup withholding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48" w:lineRule="exact"/>
        <w:rPr>
          <w:sz w:val="20"/>
          <w:szCs w:val="20"/>
          <w:color w:val="auto"/>
        </w:rPr>
      </w:pPr>
    </w:p>
    <w:p>
      <w:pPr>
        <w:ind w:left="800" w:hanging="225"/>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103" w:lineRule="exact"/>
        <w:rPr>
          <w:rFonts w:ascii="Arial" w:cs="Arial" w:eastAsia="Arial" w:hAnsi="Arial"/>
          <w:sz w:val="18"/>
          <w:szCs w:val="18"/>
          <w:color w:val="auto"/>
        </w:rPr>
      </w:pPr>
    </w:p>
    <w:p>
      <w:pPr>
        <w:ind w:left="800" w:right="620" w:hanging="225"/>
        <w:spacing w:after="0" w:line="268" w:lineRule="auto"/>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 are held by U.S. persons or if it is engaged in the conduct of a trade or business in the U.S.,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83" w:lineRule="exact"/>
        <w:rPr>
          <w:sz w:val="20"/>
          <w:szCs w:val="20"/>
          <w:color w:val="auto"/>
        </w:rPr>
      </w:pPr>
    </w:p>
    <w:p>
      <w:pPr>
        <w:ind w:firstLine="571"/>
        <w:spacing w:after="0" w:line="335" w:lineRule="auto"/>
        <w:rPr>
          <w:sz w:val="20"/>
          <w:szCs w:val="20"/>
          <w:color w:val="auto"/>
        </w:rPr>
      </w:pPr>
      <w:r>
        <w:rPr>
          <w:rFonts w:ascii="Arial" w:cs="Arial" w:eastAsia="Arial" w:hAnsi="Arial"/>
          <w:sz w:val="15"/>
          <w:szCs w:val="15"/>
          <w:b w:val="1"/>
          <w:bCs w:val="1"/>
          <w:i w:val="1"/>
          <w:iCs w:val="1"/>
          <w:color w:val="auto"/>
        </w:rPr>
        <w:t>State and Local Taxes</w:t>
      </w:r>
      <w:r>
        <w:rPr>
          <w:rFonts w:ascii="Arial" w:cs="Arial" w:eastAsia="Arial" w:hAnsi="Arial"/>
          <w:sz w:val="15"/>
          <w:szCs w:val="15"/>
          <w:color w:val="auto"/>
        </w:rPr>
        <w:t>. We and/or you may be subject to state and local tax in various states and localities, including those states and localities in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We may sell securities from time to time in one or more transactions on a negotiated or competitive bid basis to or through one or more underwriters or dealers on a firm commitment or best efforts basis, in the over-the-counter market, on any national securities exchange or automated quotation system on which the securities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 We may also sell securities directly to institutional investors or other purchasers or through agents.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77" w:lineRule="exact"/>
        <w:rPr>
          <w:sz w:val="20"/>
          <w:szCs w:val="20"/>
          <w:color w:val="auto"/>
        </w:rPr>
      </w:pPr>
    </w:p>
    <w:p>
      <w:pPr>
        <w:ind w:left="800" w:right="400" w:hanging="225"/>
        <w:spacing w:after="0" w:line="268" w:lineRule="auto"/>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8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93"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72"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18"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05"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securities may or may not be listed on a national securities exchange or traded in the over-the-counter market (other than the common shares and the Series B preferred shares, each of which are quoted on The New York Stock Exchange). No assurance can be given as to the liquidity of the trading market for any such securities.</w:t>
      </w:r>
    </w:p>
    <w:p>
      <w:pPr>
        <w:spacing w:after="0" w:line="127"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15"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460" w:firstLine="571"/>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Pursuant to the Securities Act of 1933 and the rules promulgated thereunder, we are required to, and have incorporated into this registration statement our Annual Report on Form 10-K for the year ended December 31, 2005. Grant Thornton LLP, independent registered public accounting firm, have audited our consolidated financial statements and schedules and management’s assessment of the effectiveness of internal control over financial reporting included in our Annual Report on Form 10-K for the year ended December 31, 2005, as set forth in their reports, which are incorporated by reference in this prospectus and elsewhere in the registration statement. Our financial statements and schedules and management’s assessment of the effectiveness of internal control over financial reporting contained in the 2005 Form 10-K are incorporated by reference in reliance on Grant Thornton LLP’s report, given on their authority as experts in accounting and auditing.</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 xml:space="preserve">We file annual, quarterly and special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w:t>
      </w:r>
    </w:p>
    <w:p>
      <w:pPr>
        <w:spacing w:after="0" w:line="127"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27"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filings made with the SEC under Sections 13(a), 13(c), 14, or 15(d) of the Securities Exchange Act (Exchange Act File No. 1-07533) made from the date of this prospectus until we sell all of the securities under this prospectus as supplemented.</w:t>
      </w:r>
    </w:p>
    <w:p>
      <w:pPr>
        <w:spacing w:after="0" w:line="105" w:lineRule="exact"/>
        <w:rPr>
          <w:sz w:val="20"/>
          <w:szCs w:val="20"/>
          <w:color w:val="auto"/>
        </w:rPr>
      </w:pPr>
    </w:p>
    <w:p>
      <w:pPr>
        <w:ind w:left="800" w:hanging="225"/>
        <w:spacing w:after="0"/>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2005;</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2006;</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23, 2006;</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28, 2006;</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March 10, 2006;</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 and</w:t>
      </w:r>
    </w:p>
    <w:p>
      <w:pPr>
        <w:spacing w:after="0" w:line="103" w:lineRule="exact"/>
        <w:rPr>
          <w:rFonts w:ascii="Arial" w:cs="Arial" w:eastAsia="Arial" w:hAnsi="Arial"/>
          <w:sz w:val="18"/>
          <w:szCs w:val="18"/>
          <w:color w:val="auto"/>
        </w:rPr>
      </w:pPr>
    </w:p>
    <w:p>
      <w:pPr>
        <w:ind w:left="800" w:right="120" w:hanging="225"/>
        <w:spacing w:after="0" w:line="259" w:lineRule="auto"/>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Description of our Common Share Purchase Rights included in the Registration Statement on Form 8-A/A, filed March 11, 1999, and in the First Amendment to Amended and Restated Rights Agreement, dated as of November 2003 and filed as an exhibit to the Annual Report on Form 10-K for the year ended December 31, 2003, between us and American Stock Transfer &amp; Trust Company.</w:t>
      </w:r>
    </w:p>
    <w:p>
      <w:pPr>
        <w:spacing w:after="0" w:line="127"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 xml:space="preserve">Copies of these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Amendments to these filings will be posted to our website as soon as reasonably practical after filing with the SEC. 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Please direct your request to:</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(301) 998-8100 or (301) 658-8980</w:t>
      </w:r>
    </w:p>
    <w:p>
      <w:pPr>
        <w:spacing w:after="0" w:line="151"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0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4820"/>
        <w:spacing w:after="0"/>
        <w:rPr>
          <w:sz w:val="20"/>
          <w:szCs w:val="20"/>
          <w:color w:val="auto"/>
        </w:rPr>
      </w:pPr>
      <w:r>
        <w:rPr>
          <w:rFonts w:ascii="Arial" w:cs="Arial" w:eastAsia="Arial" w:hAnsi="Arial"/>
          <w:sz w:val="32"/>
          <w:szCs w:val="32"/>
          <w:b w:val="1"/>
          <w:bCs w:val="1"/>
          <w:color w:val="32406B"/>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24130</wp:posOffset>
            </wp:positionV>
            <wp:extent cx="2143760" cy="814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860"/>
        <w:spacing w:after="0"/>
        <w:rPr>
          <w:sz w:val="20"/>
          <w:szCs w:val="20"/>
          <w:color w:val="auto"/>
        </w:rPr>
      </w:pPr>
      <w:r>
        <w:rPr>
          <w:rFonts w:ascii="Arial" w:cs="Arial" w:eastAsia="Arial" w:hAnsi="Arial"/>
          <w:sz w:val="24"/>
          <w:szCs w:val="24"/>
          <w:b w:val="1"/>
          <w:bCs w:val="1"/>
          <w:color w:val="32406B"/>
        </w:rPr>
        <w:t>$120,000,000 6.00% Notes due 2012</w:t>
      </w:r>
    </w:p>
    <w:p>
      <w:pPr>
        <w:spacing w:after="0" w:line="36" w:lineRule="exact"/>
        <w:rPr>
          <w:sz w:val="20"/>
          <w:szCs w:val="20"/>
          <w:color w:val="auto"/>
        </w:rPr>
      </w:pPr>
    </w:p>
    <w:p>
      <w:pPr>
        <w:ind w:left="3860"/>
        <w:spacing w:after="0"/>
        <w:rPr>
          <w:sz w:val="20"/>
          <w:szCs w:val="20"/>
          <w:color w:val="auto"/>
        </w:rPr>
      </w:pPr>
      <w:r>
        <w:rPr>
          <w:rFonts w:ascii="Arial" w:cs="Arial" w:eastAsia="Arial" w:hAnsi="Arial"/>
          <w:sz w:val="24"/>
          <w:szCs w:val="24"/>
          <w:b w:val="1"/>
          <w:bCs w:val="1"/>
          <w:color w:val="32406B"/>
        </w:rPr>
        <w:t>$130,000,000 6.20% Notes due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168275</wp:posOffset>
            </wp:positionV>
            <wp:extent cx="19812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32406B"/>
        </w:rPr>
        <w:t>PROSPECTUS SUPPLEMENT</w:t>
      </w:r>
    </w:p>
    <w:p>
      <w:pPr>
        <w:spacing w:after="0" w:line="7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32406B"/>
        </w:rPr>
        <w:t>July 12,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126365</wp:posOffset>
            </wp:positionV>
            <wp:extent cx="19812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Wachovia Securities</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Citigroup</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Bear, Stearns &amp; Co. Inc.</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30"/>
          <w:szCs w:val="30"/>
          <w:b w:val="1"/>
          <w:bCs w:val="1"/>
          <w:color w:val="32406B"/>
        </w:rPr>
        <w:t>Commerzbank Corporates &amp; Markets</w:t>
      </w:r>
    </w:p>
    <w:p>
      <w:pPr>
        <w:spacing w:after="0" w:line="16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Piper Jaffray</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PNC Capital Markets LLC</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SunTrust Robinson Humphrey</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1)"/>
      <w:numFmt w:val="decimal"/>
      <w:start w:val="1"/>
    </w:lvl>
  </w:abstractNum>
  <w:abstractNum w:abstractNumId="2">
    <w:nsid w:val="725A06FB"/>
    <w:multiLevelType w:val="hybridMultilevel"/>
    <w:lvl w:ilvl="0">
      <w:lvlJc w:val="left"/>
      <w:lvlText w:val="•"/>
      <w:numFmt w:val="bullet"/>
      <w:start w:val="1"/>
    </w:lvl>
    <w:lvl w:ilvl="1">
      <w:lvlJc w:val="left"/>
      <w:lvlText w:val="Ø"/>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1)"/>
      <w:numFmt w:val="decimal"/>
      <w:start w:val="30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lvl w:ilvl="1">
      <w:lvlJc w:val="left"/>
      <w:lvlText w:val="•"/>
      <w:numFmt w:val="bullet"/>
      <w:start w:val="1"/>
    </w:lvl>
  </w:abstractNum>
  <w:abstractNum w:abstractNumId="24">
    <w:nsid w:val="23F9C13C"/>
    <w:multiLevelType w:val="hybridMultilevel"/>
    <w:lvl w:ilvl="0">
      <w:lvlJc w:val="left"/>
      <w:lvlText w:val="•"/>
      <w:numFmt w:val="bullet"/>
      <w:start w:val="1"/>
    </w:lvl>
    <w:lvl w:ilvl="1">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1."/>
      <w:numFmt w:val="decimal"/>
      <w:start w:val="1"/>
    </w:lvl>
    <w:lvl w:ilvl="1">
      <w:lvlJc w:val="left"/>
      <w:lvlText w:val="(%2)"/>
      <w:numFmt w:val="lowerLetter"/>
      <w:start w:val="1"/>
    </w:lvl>
  </w:abstractNum>
  <w:abstractNum w:abstractNumId="31">
    <w:nsid w:val="47398C89"/>
    <w:multiLevelType w:val="hybridMultilevel"/>
    <w:lvl w:ilvl="0">
      <w:lvlJc w:val="left"/>
      <w:lvlText w:val="%1."/>
      <w:numFmt w:val="decimal"/>
      <w:start w:val="7"/>
    </w:lvl>
    <w:lvl w:ilvl="1">
      <w:lvlJc w:val="left"/>
      <w:lvlText w:val="(%2)"/>
      <w:numFmt w:val="lowerLetter"/>
      <w:start w:val="1"/>
    </w:lvl>
  </w:abstractNum>
  <w:abstractNum w:abstractNumId="32">
    <w:nsid w:val="354FE9F9"/>
    <w:multiLevelType w:val="hybridMultilevel"/>
    <w:lvl w:ilvl="0">
      <w:lvlJc w:val="left"/>
      <w:lvlText w:val="%1"/>
      <w:numFmt w:val="decimal"/>
      <w:start w:val="1"/>
    </w:lvl>
    <w:lvl w:ilvl="1">
      <w:lvlJc w:val="left"/>
      <w:lvlText w:val="(%2)"/>
      <w:numFmt w:val="lowerLetter"/>
      <w:start w:val="4"/>
    </w:lvl>
  </w:abstractNum>
  <w:abstractNum w:abstractNumId="33">
    <w:nsid w:val="15B5AF5C"/>
    <w:multiLevelType w:val="hybridMultilevel"/>
    <w:lvl w:ilvl="0">
      <w:lvlJc w:val="left"/>
      <w:lvlText w:val="%1."/>
      <w:numFmt w:val="decimal"/>
      <w:start w:val="8"/>
    </w:lvl>
    <w:lvl w:ilvl="1">
      <w:lvlJc w:val="left"/>
      <w:lvlText w:val="%2"/>
      <w:numFmt w:val="lowerLetter"/>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lvl w:ilvl="1">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a"/>
      <w:numFmt w:val="bullet"/>
      <w:start w:val="1"/>
    </w:lvl>
    <w:lvl w:ilvl="1">
      <w:lvlJc w:val="left"/>
      <w:lvlText w:val="•"/>
      <w:numFmt w:val="bullet"/>
      <w:start w:val="1"/>
    </w:lvl>
  </w:abstractNum>
  <w:abstractNum w:abstractNumId="38">
    <w:nsid w:val="61574095"/>
    <w:multiLevelType w:val="hybridMultilevel"/>
    <w:lvl w:ilvl="0">
      <w:lvlJc w:val="left"/>
      <w:lvlText w:val="•"/>
      <w:numFmt w:val="bullet"/>
      <w:start w:val="1"/>
    </w:lvl>
    <w:lvl w:ilvl="1">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lvl w:ilvl="1">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1."/>
      <w:numFmt w:val="decimal"/>
      <w:start w:val="6"/>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lvl w:ilvl="1">
      <w:lvlJc w:val="left"/>
      <w:lvlText w:val="•"/>
      <w:numFmt w:val="bullet"/>
      <w:start w:val="1"/>
    </w:lvl>
  </w:abstractNum>
  <w:abstractNum w:abstractNumId="77">
    <w:nsid w:val="6A5EE64"/>
    <w:multiLevelType w:val="hybridMultilevel"/>
    <w:lvl w:ilvl="0">
      <w:lvlJc w:val="left"/>
      <w:lvlText w:val="(%1)"/>
      <w:numFmt w:val="lowerRoman"/>
      <w:start w:val="2"/>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
      <w:numFmt w:val="bullet"/>
      <w:start w:val="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2019-12-12T09:11:18Z</dcterms:created>
  <dcterms:modified xsi:type="dcterms:W3CDTF">2019-12-12T09:11:18Z</dcterms:modified>
</cp:coreProperties>
</file>