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ind w:right="140"/>
        <w:spacing w:after="0" w:line="256" w:lineRule="auto"/>
        <w:rPr>
          <w:sz w:val="20"/>
          <w:szCs w:val="20"/>
          <w:color w:val="auto"/>
        </w:rPr>
      </w:pPr>
      <w:r>
        <w:rPr>
          <w:rFonts w:ascii="Arial" w:cs="Arial" w:eastAsia="Arial" w:hAnsi="Arial"/>
          <w:sz w:val="18"/>
          <w:szCs w:val="18"/>
          <w:color w:val="C21128"/>
        </w:rPr>
        <w:t>The information in this preliminary prospectus supplement and the accompanying prospectus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we are not soliciting offers to buy these securities in any jurisdiction where the offer or sale is not permitted.</w:t>
      </w:r>
    </w:p>
    <w:p>
      <w:pPr>
        <w:spacing w:after="0" w:line="12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333-160009</w:t>
      </w:r>
    </w:p>
    <w:p>
      <w:pPr>
        <w:spacing w:after="0" w:line="165" w:lineRule="exact"/>
        <w:rPr>
          <w:sz w:val="24"/>
          <w:szCs w:val="24"/>
          <w:color w:val="auto"/>
        </w:rPr>
      </w:pPr>
    </w:p>
    <w:p>
      <w:pPr>
        <w:ind w:left="3480"/>
        <w:spacing w:after="0"/>
        <w:rPr>
          <w:sz w:val="20"/>
          <w:szCs w:val="20"/>
          <w:color w:val="auto"/>
        </w:rPr>
      </w:pPr>
      <w:r>
        <w:rPr>
          <w:rFonts w:ascii="Arial" w:cs="Arial" w:eastAsia="Arial" w:hAnsi="Arial"/>
          <w:sz w:val="18"/>
          <w:szCs w:val="18"/>
          <w:color w:val="C21128"/>
        </w:rPr>
        <w:t>SUBJECT TO COMPLETION, DATED FEBRUARY 24, 2010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PROSPECTUS SUPPLEMENT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JUNE 16, 2009)</w:t>
      </w:r>
    </w:p>
    <w:p>
      <w:pPr>
        <w:spacing w:after="0" w:line="132"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 Notes due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203200</wp:posOffset>
            </wp:positionV>
            <wp:extent cx="13804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both"/>
        <w:ind w:left="580" w:right="200" w:firstLine="228"/>
        <w:spacing w:after="0" w:line="286" w:lineRule="auto"/>
        <w:rPr>
          <w:sz w:val="20"/>
          <w:szCs w:val="20"/>
          <w:color w:val="auto"/>
        </w:rPr>
      </w:pPr>
      <w:r>
        <w:rPr>
          <w:rFonts w:ascii="Arial" w:cs="Arial" w:eastAsia="Arial" w:hAnsi="Arial"/>
          <w:sz w:val="16"/>
          <w:szCs w:val="16"/>
          <w:color w:val="auto"/>
        </w:rPr>
        <w:t>The notes offered by this prospectus supplement will bear interest at the rate of % per year. Interest on the notes will be payable on and of each year, beginning on , 2010. The notes will mature on , 2020. We may redeem some or all of the notes at any time before maturity.</w:t>
      </w:r>
    </w:p>
    <w:p>
      <w:pPr>
        <w:spacing w:after="0"/>
        <w:rPr>
          <w:sz w:val="20"/>
          <w:szCs w:val="20"/>
          <w:color w:val="auto"/>
        </w:rPr>
      </w:pPr>
      <w:r>
        <w:rPr>
          <w:rFonts w:ascii="Arial" w:cs="Arial" w:eastAsia="Arial" w:hAnsi="Arial"/>
          <w:sz w:val="18"/>
          <w:szCs w:val="18"/>
          <w:color w:val="auto"/>
        </w:rPr>
        <w:t>The redemption price is discussed under the caption “Description of Notes—Optional Redemption.”</w:t>
      </w:r>
    </w:p>
    <w:p>
      <w:pPr>
        <w:spacing w:after="0" w:line="165" w:lineRule="exact"/>
        <w:rPr>
          <w:sz w:val="24"/>
          <w:szCs w:val="24"/>
          <w:color w:val="auto"/>
        </w:rPr>
      </w:pPr>
    </w:p>
    <w:p>
      <w:pPr>
        <w:ind w:right="40" w:firstLine="799"/>
        <w:spacing w:after="0" w:line="259" w:lineRule="auto"/>
        <w:rPr>
          <w:sz w:val="20"/>
          <w:szCs w:val="20"/>
          <w:color w:val="auto"/>
        </w:rPr>
      </w:pPr>
      <w:r>
        <w:rPr>
          <w:rFonts w:ascii="Arial" w:cs="Arial" w:eastAsia="Arial" w:hAnsi="Arial"/>
          <w:sz w:val="18"/>
          <w:szCs w:val="18"/>
          <w:color w:val="auto"/>
        </w:rPr>
        <w:t>The notes will be unsecured senior obligations of our company and will rank equally with all of our other unsecured senior indebtedness. The notes will be effectively subordinated to the prior claims of each secured mortgage lender to any specified property that secures such lender’s mortgage and to all of the unsecured indebtedness of our subsidiaries.</w:t>
      </w:r>
    </w:p>
    <w:p>
      <w:pPr>
        <w:spacing w:after="0" w:line="140" w:lineRule="exact"/>
        <w:rPr>
          <w:sz w:val="24"/>
          <w:szCs w:val="24"/>
          <w:color w:val="auto"/>
        </w:rPr>
      </w:pPr>
    </w:p>
    <w:p>
      <w:pPr>
        <w:ind w:left="80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52" w:lineRule="exact"/>
        <w:rPr>
          <w:sz w:val="24"/>
          <w:szCs w:val="24"/>
          <w:color w:val="auto"/>
        </w:rPr>
      </w:pPr>
    </w:p>
    <w:p>
      <w:pPr>
        <w:ind w:right="280" w:firstLine="799"/>
        <w:spacing w:after="0" w:line="301" w:lineRule="auto"/>
        <w:rPr>
          <w:sz w:val="20"/>
          <w:szCs w:val="20"/>
          <w:color w:val="auto"/>
        </w:rPr>
      </w:pPr>
      <w:r>
        <w:rPr>
          <w:rFonts w:ascii="Arial" w:cs="Arial" w:eastAsia="Arial" w:hAnsi="Arial"/>
          <w:sz w:val="19"/>
          <w:szCs w:val="19"/>
          <w:b w:val="1"/>
          <w:bCs w:val="1"/>
          <w:color w:val="auto"/>
        </w:rPr>
        <w:t>Investing in the notes involves risks. See “Risk Factors” beginning on page S-5 of this prospectus supplement, on page 2 of the accompanying prospectus and in our Annual Report on Form 10-K for the year ended December 31, 2009, filed with the Securities and Exchange Commission, or the SEC, on February 17,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130175</wp:posOffset>
            </wp:positionV>
            <wp:extent cx="13804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Per Note</w:t>
            </w:r>
          </w:p>
        </w:tc>
        <w:tc>
          <w:tcPr>
            <w:tcW w:w="148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r>
              <w:rPr>
                <w:rFonts w:ascii="Arial" w:cs="Arial" w:eastAsia="Arial" w:hAnsi="Arial"/>
                <w:sz w:val="11"/>
                <w:szCs w:val="11"/>
                <w:color w:val="auto"/>
              </w:rPr>
              <w:t>(1)</w:t>
            </w:r>
          </w:p>
        </w:tc>
        <w:tc>
          <w:tcPr>
            <w:tcW w:w="6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Underwriting discount</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88"/>
              </w:rPr>
              <w:t>Proceeds, before expenses, to us</w:t>
            </w:r>
            <w:r>
              <w:rPr>
                <w:rFonts w:ascii="Arial" w:cs="Arial" w:eastAsia="Arial" w:hAnsi="Arial"/>
                <w:sz w:val="11"/>
                <w:szCs w:val="11"/>
                <w:color w:val="auto"/>
                <w:w w:val="88"/>
              </w:rPr>
              <w:t>(1)</w:t>
            </w:r>
          </w:p>
        </w:tc>
        <w:tc>
          <w:tcPr>
            <w:tcW w:w="6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5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80" w:type="dxa"/>
            <w:vAlign w:val="bottom"/>
          </w:tcPr>
          <w:p>
            <w:pPr>
              <w:jc w:val="right"/>
              <w:ind w:right="104"/>
              <w:spacing w:after="0"/>
              <w:rPr>
                <w:sz w:val="20"/>
                <w:szCs w:val="20"/>
                <w:color w:val="auto"/>
              </w:rPr>
            </w:pPr>
            <w:r>
              <w:rPr>
                <w:rFonts w:ascii="Arial" w:cs="Arial" w:eastAsia="Arial" w:hAnsi="Arial"/>
                <w:sz w:val="11"/>
                <w:szCs w:val="11"/>
                <w:color w:val="auto"/>
                <w:w w:val="74"/>
              </w:rPr>
              <w:t>(1)</w:t>
            </w:r>
          </w:p>
        </w:tc>
        <w:tc>
          <w:tcPr>
            <w:tcW w:w="2680" w:type="dxa"/>
            <w:vAlign w:val="bottom"/>
            <w:gridSpan w:val="2"/>
            <w:vMerge w:val="restart"/>
          </w:tcPr>
          <w:p>
            <w:pPr>
              <w:ind w:left="160"/>
              <w:spacing w:after="0"/>
              <w:rPr>
                <w:sz w:val="20"/>
                <w:szCs w:val="20"/>
                <w:color w:val="auto"/>
              </w:rPr>
            </w:pPr>
            <w:r>
              <w:rPr>
                <w:rFonts w:ascii="Arial" w:cs="Arial" w:eastAsia="Arial" w:hAnsi="Arial"/>
                <w:sz w:val="18"/>
                <w:szCs w:val="18"/>
                <w:color w:val="auto"/>
                <w:w w:val="94"/>
              </w:rPr>
              <w:t>Plus accrued interest from March</w:t>
            </w:r>
          </w:p>
        </w:tc>
        <w:tc>
          <w:tcPr>
            <w:tcW w:w="6180" w:type="dxa"/>
            <w:vAlign w:val="bottom"/>
            <w:gridSpan w:val="2"/>
            <w:vMerge w:val="restart"/>
          </w:tcPr>
          <w:p>
            <w:pPr>
              <w:jc w:val="right"/>
              <w:ind w:right="3132"/>
              <w:spacing w:after="0"/>
              <w:rPr>
                <w:sz w:val="20"/>
                <w:szCs w:val="20"/>
                <w:color w:val="auto"/>
              </w:rPr>
            </w:pPr>
            <w:r>
              <w:rPr>
                <w:rFonts w:ascii="Arial" w:cs="Arial" w:eastAsia="Arial" w:hAnsi="Arial"/>
                <w:sz w:val="18"/>
                <w:szCs w:val="18"/>
                <w:color w:val="auto"/>
                <w:w w:val="88"/>
              </w:rPr>
              <w:t>, 2010, if settlement occurs after that date.</w:t>
            </w:r>
          </w:p>
        </w:tc>
        <w:tc>
          <w:tcPr>
            <w:tcW w:w="1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80" w:type="dxa"/>
            <w:vAlign w:val="bottom"/>
            <w:gridSpan w:val="2"/>
            <w:vMerge w:val="continue"/>
          </w:tcPr>
          <w:p>
            <w:pPr>
              <w:spacing w:after="0"/>
              <w:rPr>
                <w:sz w:val="8"/>
                <w:szCs w:val="8"/>
                <w:color w:val="auto"/>
              </w:rPr>
            </w:pPr>
          </w:p>
        </w:tc>
        <w:tc>
          <w:tcPr>
            <w:tcW w:w="6180" w:type="dxa"/>
            <w:vAlign w:val="bottom"/>
            <w:gridSpan w:val="2"/>
            <w:vMerge w:val="continue"/>
          </w:tcPr>
          <w:p>
            <w:pPr>
              <w:spacing w:after="0"/>
              <w:rPr>
                <w:sz w:val="8"/>
                <w:szCs w:val="8"/>
                <w:color w:val="auto"/>
              </w:rPr>
            </w:pPr>
          </w:p>
        </w:tc>
        <w:tc>
          <w:tcPr>
            <w:tcW w:w="1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6" w:lineRule="exact"/>
        <w:rPr>
          <w:sz w:val="24"/>
          <w:szCs w:val="24"/>
          <w:color w:val="auto"/>
        </w:rPr>
      </w:pPr>
    </w:p>
    <w:p>
      <w:pPr>
        <w:ind w:firstLine="799"/>
        <w:spacing w:after="0" w:line="268"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March , 2010.</w:t>
      </w:r>
    </w:p>
    <w:p>
      <w:pPr>
        <w:spacing w:after="0" w:line="126" w:lineRule="exact"/>
        <w:rPr>
          <w:sz w:val="24"/>
          <w:szCs w:val="24"/>
          <w:color w:val="auto"/>
        </w:rPr>
      </w:pPr>
    </w:p>
    <w:p>
      <w:pPr>
        <w:ind w:right="680" w:firstLine="799"/>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133350</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230" w:right="239" w:bottom="1440" w:gutter="0" w:footer="0" w:header="0"/>
        </w:sectPr>
      </w:pPr>
    </w:p>
    <w:p>
      <w:pPr>
        <w:spacing w:after="0" w:line="287" w:lineRule="exact"/>
        <w:rPr>
          <w:sz w:val="24"/>
          <w:szCs w:val="24"/>
          <w:color w:val="auto"/>
        </w:rPr>
      </w:pPr>
    </w:p>
    <w:p>
      <w:pPr>
        <w:spacing w:after="0"/>
        <w:rPr>
          <w:sz w:val="20"/>
          <w:szCs w:val="20"/>
          <w:color w:val="auto"/>
        </w:rPr>
      </w:pPr>
      <w:r>
        <w:rPr>
          <w:rFonts w:ascii="Arial" w:cs="Arial" w:eastAsia="Arial" w:hAnsi="Arial"/>
          <w:sz w:val="30"/>
          <w:szCs w:val="30"/>
          <w:b w:val="1"/>
          <w:bCs w:val="1"/>
          <w:color w:val="auto"/>
        </w:rPr>
        <w:t>BofA Merrill Lynch</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Arial" w:cs="Arial" w:eastAsia="Arial" w:hAnsi="Arial"/>
          <w:sz w:val="28"/>
          <w:szCs w:val="28"/>
          <w:b w:val="1"/>
          <w:bCs w:val="1"/>
          <w:color w:val="auto"/>
        </w:rPr>
        <w:t>Wells Fargo Securities</w:t>
      </w:r>
    </w:p>
    <w:p>
      <w:pPr>
        <w:spacing w:after="0" w:line="222" w:lineRule="exact"/>
        <w:rPr>
          <w:sz w:val="24"/>
          <w:szCs w:val="24"/>
          <w:color w:val="auto"/>
        </w:rPr>
      </w:pPr>
    </w:p>
    <w:p>
      <w:pPr>
        <w:sectPr>
          <w:pgSz w:w="11900" w:h="16838" w:orient="portrait"/>
          <w:cols w:equalWidth="0" w:num="2">
            <w:col w:w="7600" w:space="720"/>
            <w:col w:w="3100"/>
          </w:cols>
          <w:pgMar w:left="240" w:top="230" w:right="239" w:bottom="1440" w:gutter="0" w:footer="0" w:header="0"/>
          <w:type w:val="continuous"/>
        </w:sectPr>
      </w:pPr>
    </w:p>
    <w:p>
      <w:pPr>
        <w:spacing w:after="0" w:line="15" w:lineRule="exact"/>
        <w:rPr>
          <w:sz w:val="24"/>
          <w:szCs w:val="24"/>
          <w:color w:val="auto"/>
        </w:rPr>
      </w:pPr>
    </w:p>
    <w:p>
      <w:pPr>
        <w:ind w:left="3580"/>
        <w:spacing w:after="0"/>
        <w:rPr>
          <w:sz w:val="20"/>
          <w:szCs w:val="20"/>
          <w:color w:val="auto"/>
        </w:rPr>
      </w:pPr>
      <w:r>
        <w:rPr>
          <w:rFonts w:ascii="Arial" w:cs="Arial" w:eastAsia="Arial" w:hAnsi="Arial"/>
          <w:sz w:val="15"/>
          <w:szCs w:val="15"/>
          <w:color w:val="auto"/>
        </w:rPr>
        <w:t>The date of this prospectus supplement is February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 2010.</w:t>
      </w:r>
    </w:p>
    <w:p>
      <w:pPr>
        <w:sectPr>
          <w:pgSz w:w="11900" w:h="16838" w:orient="portrait"/>
          <w:cols w:equalWidth="0" w:num="2">
            <w:col w:w="7160" w:space="220"/>
            <w:col w:w="404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540" w:type="dxa"/>
            <w:vAlign w:val="bottom"/>
            <w:gridSpan w:val="2"/>
          </w:tcPr>
          <w:p>
            <w:pPr>
              <w:jc w:val="center"/>
              <w:ind w:right="4100"/>
              <w:spacing w:after="0"/>
              <w:rPr>
                <w:sz w:val="20"/>
                <w:szCs w:val="20"/>
                <w:color w:val="auto"/>
              </w:rPr>
            </w:pPr>
            <w:r>
              <w:rPr>
                <w:rFonts w:ascii="Arial" w:cs="Arial" w:eastAsia="Arial" w:hAnsi="Arial"/>
                <w:sz w:val="18"/>
                <w:szCs w:val="18"/>
                <w:b w:val="1"/>
                <w:bCs w:val="1"/>
                <w:color w:val="auto"/>
                <w:w w:val="96"/>
              </w:rPr>
              <w:t>TABLE OF CONTENTS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40" w:type="dxa"/>
            <w:vAlign w:val="bottom"/>
            <w:gridSpan w:val="2"/>
          </w:tcPr>
          <w:p>
            <w:pPr>
              <w:jc w:val="center"/>
              <w:ind w:right="4100"/>
              <w:spacing w:after="0"/>
              <w:rPr>
                <w:sz w:val="20"/>
                <w:szCs w:val="20"/>
                <w:color w:val="auto"/>
              </w:rPr>
            </w:pPr>
            <w:r>
              <w:rPr>
                <w:rFonts w:ascii="Arial" w:cs="Arial" w:eastAsia="Arial" w:hAnsi="Arial"/>
                <w:sz w:val="18"/>
                <w:szCs w:val="18"/>
                <w:b w:val="1"/>
                <w:bCs w:val="1"/>
                <w:color w:val="auto"/>
                <w:w w:val="85"/>
              </w:rPr>
              <w:t>Prospectus Supplement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440" w:type="dxa"/>
            <w:vAlign w:val="bottom"/>
            <w:gridSpan w:val="12"/>
            <w:vMerge w:val="restart"/>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About this Prospectus Supplement</w:t>
              </w:r>
            </w:hyperlink>
          </w:p>
        </w:tc>
        <w:tc>
          <w:tcPr>
            <w:tcW w:w="8600" w:type="dxa"/>
            <w:vAlign w:val="bottom"/>
            <w:gridSpan w:val="8"/>
            <w:vMerge w:val="restart"/>
          </w:tcPr>
          <w:p>
            <w:pPr>
              <w:spacing w:after="0"/>
              <w:rPr>
                <w:sz w:val="24"/>
                <w:szCs w:val="24"/>
                <w:color w:val="auto"/>
              </w:rPr>
            </w:pPr>
          </w:p>
        </w:tc>
        <w:tc>
          <w:tcPr>
            <w:tcW w:w="4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2440" w:type="dxa"/>
            <w:vAlign w:val="bottom"/>
            <w:tcBorders>
              <w:bottom w:val="single" w:sz="8" w:color="0000EE"/>
            </w:tcBorders>
            <w:gridSpan w:val="12"/>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gridSpan w:val="2"/>
          </w:tcPr>
          <w:p>
            <w:pPr>
              <w:jc w:val="right"/>
              <w:ind w:right="20"/>
              <w:spacing w:after="0" w:line="170" w:lineRule="exact"/>
              <w:rPr>
                <w:sz w:val="20"/>
                <w:szCs w:val="20"/>
                <w:color w:val="auto"/>
              </w:rPr>
            </w:pPr>
            <w:r>
              <w:rPr>
                <w:rFonts w:ascii="Arial" w:cs="Arial" w:eastAsia="Arial" w:hAnsi="Arial"/>
                <w:sz w:val="18"/>
                <w:szCs w:val="18"/>
                <w:color w:val="auto"/>
                <w:w w:val="99"/>
              </w:rPr>
              <w:t>ii</w:t>
            </w:r>
          </w:p>
        </w:tc>
        <w:tc>
          <w:tcPr>
            <w:tcW w:w="0" w:type="dxa"/>
            <w:vAlign w:val="bottom"/>
          </w:tcPr>
          <w:p>
            <w:pPr>
              <w:spacing w:after="0"/>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Cautionary Statement Concerning Forward-Looking Statements</w:t>
              </w:r>
            </w:hyperlink>
          </w:p>
        </w:tc>
        <w:tc>
          <w:tcPr>
            <w:tcW w:w="8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7"/>
          </w:tcPr>
          <w:p>
            <w:pPr>
              <w:spacing w:after="0"/>
              <w:rPr>
                <w:sz w:val="17"/>
                <w:szCs w:val="17"/>
                <w:color w:val="auto"/>
              </w:rPr>
            </w:pPr>
          </w:p>
        </w:tc>
        <w:tc>
          <w:tcPr>
            <w:tcW w:w="65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10140" w:type="dxa"/>
            <w:vAlign w:val="bottom"/>
            <w:gridSpan w:val="18"/>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S-5</w:t>
            </w:r>
          </w:p>
        </w:tc>
        <w:tc>
          <w:tcPr>
            <w:tcW w:w="0" w:type="dxa"/>
            <w:vAlign w:val="bottom"/>
          </w:tcPr>
          <w:p>
            <w:pPr>
              <w:spacing w:after="0"/>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8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Ratios of Earnings to Fixed Charges</w:t>
              </w:r>
            </w:hyperlink>
          </w:p>
        </w:tc>
        <w:tc>
          <w:tcPr>
            <w:tcW w:w="848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Description of Notes</w:t>
              </w:r>
            </w:hyperlink>
          </w:p>
        </w:tc>
        <w:tc>
          <w:tcPr>
            <w:tcW w:w="956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Additional Material U.S. Federal Income Tax Considerations</w:t>
              </w:r>
            </w:hyperlink>
          </w:p>
        </w:tc>
        <w:tc>
          <w:tcPr>
            <w:tcW w:w="6740" w:type="dxa"/>
            <w:vAlign w:val="bottom"/>
            <w:gridSpan w:val="3"/>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94"/>
              </w:rPr>
              <w:t>S-14</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Underwriting</w:t>
              </w:r>
            </w:hyperlink>
          </w:p>
        </w:tc>
        <w:tc>
          <w:tcPr>
            <w:tcW w:w="10080" w:type="dxa"/>
            <w:vAlign w:val="bottom"/>
            <w:gridSpan w:val="17"/>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94"/>
              </w:rPr>
              <w:t>S-20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94"/>
              </w:rPr>
              <w:t>S-20</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40" w:type="dxa"/>
            <w:vAlign w:val="bottom"/>
            <w:gridSpan w:val="2"/>
          </w:tcPr>
          <w:p>
            <w:pPr>
              <w:jc w:val="center"/>
              <w:ind w:right="4120"/>
              <w:spacing w:after="0"/>
              <w:rPr>
                <w:sz w:val="20"/>
                <w:szCs w:val="20"/>
                <w:color w:val="auto"/>
              </w:rPr>
            </w:pPr>
            <w:r>
              <w:rPr>
                <w:rFonts w:ascii="Arial" w:cs="Arial" w:eastAsia="Arial" w:hAnsi="Arial"/>
                <w:sz w:val="18"/>
                <w:szCs w:val="18"/>
                <w:b w:val="1"/>
                <w:bCs w:val="1"/>
                <w:color w:val="auto"/>
                <w:w w:val="83"/>
              </w:rPr>
              <w:t>Prospectus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40" w:type="dxa"/>
            <w:vAlign w:val="bottom"/>
            <w:gridSpan w:val="20"/>
            <w:vMerge w:val="restart"/>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8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40" w:type="dxa"/>
            <w:vAlign w:val="bottom"/>
            <w:gridSpan w:val="20"/>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640" w:type="dxa"/>
            <w:vAlign w:val="bottom"/>
            <w:tcBorders>
              <w:top w:val="single" w:sz="8" w:color="0000EE"/>
            </w:tcBorders>
            <w:gridSpan w:val="7"/>
          </w:tcPr>
          <w:p>
            <w:pPr>
              <w:spacing w:after="0"/>
              <w:rPr>
                <w:sz w:val="17"/>
                <w:szCs w:val="17"/>
                <w:color w:val="auto"/>
              </w:rPr>
            </w:pPr>
          </w:p>
        </w:tc>
        <w:tc>
          <w:tcPr>
            <w:tcW w:w="9500" w:type="dxa"/>
            <w:vAlign w:val="bottom"/>
            <w:gridSpan w:val="11"/>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Forward-Looking Information</w:t>
              </w:r>
            </w:hyperlink>
          </w:p>
        </w:tc>
        <w:tc>
          <w:tcPr>
            <w:tcW w:w="8900" w:type="dxa"/>
            <w:vAlign w:val="bottom"/>
            <w:gridSpan w:val="10"/>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The Company</w:t>
              </w:r>
            </w:hyperlink>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Ratios of Earnings to Combined Fixed Charges and Preferred Share Dividends</w:t>
              </w:r>
            </w:hyperlink>
          </w:p>
        </w:tc>
        <w:tc>
          <w:tcPr>
            <w:tcW w:w="5500" w:type="dxa"/>
            <w:vAlign w:val="bottom"/>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Description of Debt Securities</w:t>
              </w:r>
            </w:hyperlink>
          </w:p>
        </w:tc>
        <w:tc>
          <w:tcPr>
            <w:tcW w:w="8900" w:type="dxa"/>
            <w:vAlign w:val="bottom"/>
            <w:gridSpan w:val="10"/>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Description of Shares of Beneficial Interest</w:t>
              </w:r>
            </w:hyperlink>
          </w:p>
        </w:tc>
        <w:tc>
          <w:tcPr>
            <w:tcW w:w="7980" w:type="dxa"/>
            <w:vAlign w:val="bottom"/>
            <w:gridSpan w:val="5"/>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Material Federal Income Tax Considerations</w:t>
              </w:r>
            </w:hyperlink>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Plan of Distribution</w:t>
              </w:r>
            </w:hyperlink>
          </w:p>
        </w:tc>
        <w:tc>
          <w:tcPr>
            <w:tcW w:w="7900" w:type="dxa"/>
            <w:vAlign w:val="bottom"/>
            <w:gridSpan w:val="4"/>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Legal Matters</w:t>
              </w:r>
            </w:hyperlink>
          </w:p>
        </w:tc>
        <w:tc>
          <w:tcPr>
            <w:tcW w:w="9640" w:type="dxa"/>
            <w:vAlign w:val="bottom"/>
            <w:gridSpan w:val="13"/>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Experts</w:t>
              </w:r>
            </w:hyperlink>
          </w:p>
        </w:tc>
        <w:tc>
          <w:tcPr>
            <w:tcW w:w="10060" w:type="dxa"/>
            <w:vAlign w:val="bottom"/>
            <w:gridSpan w:val="16"/>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3"/>
          </w:tcPr>
          <w:p>
            <w:pPr>
              <w:spacing w:after="0" w:line="20" w:lineRule="exact"/>
              <w:rPr>
                <w:sz w:val="1"/>
                <w:szCs w:val="1"/>
                <w:color w:val="auto"/>
              </w:rPr>
            </w:pPr>
          </w:p>
        </w:tc>
        <w:tc>
          <w:tcPr>
            <w:tcW w:w="824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Where You Can Find More Information</w:t>
              </w:r>
            </w:hyperlink>
          </w:p>
        </w:tc>
        <w:tc>
          <w:tcPr>
            <w:tcW w:w="4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right="240" w:firstLine="799"/>
        <w:spacing w:after="0" w:line="312" w:lineRule="auto"/>
        <w:rPr>
          <w:sz w:val="20"/>
          <w:szCs w:val="20"/>
          <w:color w:val="auto"/>
        </w:rPr>
      </w:pPr>
      <w:r>
        <w:rPr>
          <w:rFonts w:ascii="Arial" w:cs="Arial" w:eastAsia="Arial" w:hAnsi="Arial"/>
          <w:sz w:val="15"/>
          <w:szCs w:val="15"/>
          <w:color w:val="auto"/>
        </w:rPr>
        <w:t>You should read this prospectus supplement along with the accompanying prospectus, as well as the information contained or incorporated by reference herein and therein, carefully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05" w:lineRule="exact"/>
        <w:rPr>
          <w:sz w:val="20"/>
          <w:szCs w:val="20"/>
          <w:color w:val="auto"/>
        </w:rPr>
      </w:pPr>
    </w:p>
    <w:p>
      <w:pPr>
        <w:ind w:right="320" w:firstLine="799"/>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07" w:lineRule="exact"/>
        <w:rPr>
          <w:sz w:val="20"/>
          <w:szCs w:val="20"/>
          <w:color w:val="auto"/>
        </w:rPr>
      </w:pPr>
    </w:p>
    <w:p>
      <w:pPr>
        <w:ind w:right="100" w:firstLine="799"/>
        <w:spacing w:after="0" w:line="268"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26"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77" w:lineRule="exact"/>
        <w:rPr>
          <w:sz w:val="20"/>
          <w:szCs w:val="20"/>
          <w:color w:val="auto"/>
        </w:rPr>
      </w:pPr>
    </w:p>
    <w:p>
      <w:pPr>
        <w:ind w:firstLine="799"/>
        <w:spacing w:after="0" w:line="288" w:lineRule="auto"/>
        <w:rPr>
          <w:sz w:val="20"/>
          <w:szCs w:val="20"/>
          <w:color w:val="auto"/>
        </w:rPr>
      </w:pPr>
      <w:r>
        <w:rPr>
          <w:rFonts w:ascii="Arial" w:cs="Arial" w:eastAsia="Arial" w:hAnsi="Arial"/>
          <w:sz w:val="16"/>
          <w:szCs w:val="16"/>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as amended, or the Act, Section 21E of the Securities Exchange Act of 1934, as amended, or the Exchange Act, and the Private Securities Litigation Reform Act of 1995. In particular, the risk factors included or incorporated by reference in this prospectus supplement and the accompanying prospectus describe forward-looking information. The risk factors, including those contained on page S-5 of this prospectus supplement, on page 2 of the accompanying prospectus and in our Annual Report on Form 10-K for the year ended December 31, 2009, filed with the SEC on February 17, 2010,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160" w:lineRule="exact"/>
        <w:rPr>
          <w:sz w:val="20"/>
          <w:szCs w:val="20"/>
          <w:color w:val="auto"/>
        </w:rPr>
      </w:pPr>
    </w:p>
    <w:p>
      <w:pPr>
        <w:ind w:left="1240" w:right="180" w:hanging="327"/>
        <w:spacing w:after="0" w:line="268"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72" w:lineRule="exact"/>
        <w:rPr>
          <w:rFonts w:ascii="Arial" w:cs="Arial" w:eastAsia="Arial" w:hAnsi="Arial"/>
          <w:sz w:val="18"/>
          <w:szCs w:val="18"/>
          <w:color w:val="auto"/>
        </w:rPr>
      </w:pPr>
    </w:p>
    <w:p>
      <w:pPr>
        <w:ind w:left="1240" w:right="60" w:hanging="327"/>
        <w:spacing w:after="0" w:line="259"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redevelopments or renovations project may cost more, take more time to complete or fail to perform as expected;</w:t>
      </w:r>
    </w:p>
    <w:p>
      <w:pPr>
        <w:spacing w:after="0" w:line="180" w:lineRule="exact"/>
        <w:rPr>
          <w:rFonts w:ascii="Arial" w:cs="Arial" w:eastAsia="Arial" w:hAnsi="Arial"/>
          <w:sz w:val="18"/>
          <w:szCs w:val="18"/>
          <w:color w:val="auto"/>
        </w:rPr>
      </w:pPr>
    </w:p>
    <w:p>
      <w:pPr>
        <w:ind w:left="1240" w:right="580" w:hanging="327"/>
        <w:spacing w:after="0" w:line="268"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172" w:lineRule="exact"/>
        <w:rPr>
          <w:rFonts w:ascii="Arial" w:cs="Arial" w:eastAsia="Arial" w:hAnsi="Arial"/>
          <w:sz w:val="18"/>
          <w:szCs w:val="18"/>
          <w:color w:val="auto"/>
        </w:rPr>
      </w:pPr>
    </w:p>
    <w:p>
      <w:pPr>
        <w:ind w:left="1240" w:hanging="327"/>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211" w:lineRule="exact"/>
        <w:rPr>
          <w:rFonts w:ascii="Arial" w:cs="Arial" w:eastAsia="Arial" w:hAnsi="Arial"/>
          <w:sz w:val="18"/>
          <w:szCs w:val="18"/>
          <w:color w:val="auto"/>
        </w:rPr>
      </w:pPr>
    </w:p>
    <w:p>
      <w:pPr>
        <w:ind w:left="1700" w:hanging="449"/>
        <w:spacing w:after="0"/>
        <w:tabs>
          <w:tab w:leader="none" w:pos="1700" w:val="left"/>
        </w:tabs>
        <w:numPr>
          <w:ilvl w:val="1"/>
          <w:numId w:val="1"/>
        </w:numPr>
        <w:rPr>
          <w:rFonts w:ascii="Arial" w:cs="Arial" w:eastAsia="Arial" w:hAnsi="Arial"/>
          <w:sz w:val="16"/>
          <w:szCs w:val="16"/>
          <w:color w:val="auto"/>
        </w:rPr>
      </w:pPr>
      <w:r>
        <w:rPr>
          <w:rFonts w:ascii="Arial" w:cs="Arial" w:eastAsia="Arial" w:hAnsi="Arial"/>
          <w:sz w:val="16"/>
          <w:szCs w:val="16"/>
          <w:color w:val="auto"/>
        </w:rPr>
        <w:t>occupancy levels at our properties and the amount of rent that we receive from our properties may be lower than expected,</w:t>
      </w:r>
    </w:p>
    <w:p>
      <w:pPr>
        <w:spacing w:after="0" w:line="234" w:lineRule="exact"/>
        <w:rPr>
          <w:rFonts w:ascii="Arial" w:cs="Arial" w:eastAsia="Arial" w:hAnsi="Arial"/>
          <w:sz w:val="16"/>
          <w:szCs w:val="16"/>
          <w:color w:val="auto"/>
        </w:rPr>
      </w:pPr>
    </w:p>
    <w:p>
      <w:pPr>
        <w:ind w:left="1700" w:hanging="449"/>
        <w:spacing w:after="0"/>
        <w:tabs>
          <w:tab w:leader="none" w:pos="1700" w:val="left"/>
        </w:tabs>
        <w:numPr>
          <w:ilvl w:val="1"/>
          <w:numId w:val="1"/>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211" w:lineRule="exact"/>
        <w:rPr>
          <w:rFonts w:ascii="Arial" w:cs="Arial" w:eastAsia="Arial" w:hAnsi="Arial"/>
          <w:sz w:val="18"/>
          <w:szCs w:val="18"/>
          <w:color w:val="auto"/>
        </w:rPr>
      </w:pPr>
    </w:p>
    <w:p>
      <w:pPr>
        <w:ind w:left="1700" w:hanging="449"/>
        <w:spacing w:after="0"/>
        <w:tabs>
          <w:tab w:leader="none" w:pos="1700" w:val="left"/>
        </w:tabs>
        <w:numPr>
          <w:ilvl w:val="1"/>
          <w:numId w:val="1"/>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211" w:lineRule="exact"/>
        <w:rPr>
          <w:rFonts w:ascii="Arial" w:cs="Arial" w:eastAsia="Arial" w:hAnsi="Arial"/>
          <w:sz w:val="18"/>
          <w:szCs w:val="18"/>
          <w:color w:val="auto"/>
        </w:rPr>
      </w:pPr>
    </w:p>
    <w:p>
      <w:pPr>
        <w:ind w:left="1700" w:hanging="449"/>
        <w:spacing w:after="0"/>
        <w:tabs>
          <w:tab w:leader="none" w:pos="1700" w:val="left"/>
        </w:tabs>
        <w:numPr>
          <w:ilvl w:val="1"/>
          <w:numId w:val="1"/>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211" w:lineRule="exact"/>
        <w:rPr>
          <w:rFonts w:ascii="Arial" w:cs="Arial" w:eastAsia="Arial" w:hAnsi="Arial"/>
          <w:sz w:val="18"/>
          <w:szCs w:val="18"/>
          <w:color w:val="auto"/>
        </w:rPr>
      </w:pPr>
    </w:p>
    <w:p>
      <w:pPr>
        <w:ind w:left="1700" w:hanging="449"/>
        <w:spacing w:after="0"/>
        <w:tabs>
          <w:tab w:leader="none" w:pos="1700" w:val="left"/>
        </w:tabs>
        <w:numPr>
          <w:ilvl w:val="1"/>
          <w:numId w:val="1"/>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211" w:lineRule="exact"/>
        <w:rPr>
          <w:rFonts w:ascii="Arial" w:cs="Arial" w:eastAsia="Arial" w:hAnsi="Arial"/>
          <w:sz w:val="18"/>
          <w:szCs w:val="18"/>
          <w:color w:val="auto"/>
        </w:rPr>
      </w:pPr>
    </w:p>
    <w:p>
      <w:pPr>
        <w:ind w:left="1240" w:right="240" w:hanging="327"/>
        <w:spacing w:after="0" w:line="259"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that are acceptable to us, our ability to meet existing financial covenants and the limitations imposed on our operations by those covenants, and the possibility of increases in interest rates that would result in increased interest expense; and</w:t>
      </w:r>
    </w:p>
    <w:p>
      <w:pPr>
        <w:spacing w:after="0" w:line="180" w:lineRule="exact"/>
        <w:rPr>
          <w:rFonts w:ascii="Arial" w:cs="Arial" w:eastAsia="Arial" w:hAnsi="Arial"/>
          <w:sz w:val="18"/>
          <w:szCs w:val="18"/>
          <w:color w:val="auto"/>
        </w:rPr>
      </w:pPr>
    </w:p>
    <w:p>
      <w:pPr>
        <w:ind w:left="1240" w:right="220" w:hanging="327"/>
        <w:spacing w:after="0" w:line="259"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or REIT, for U.S.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17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31172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firstLine="775"/>
        <w:spacing w:after="0" w:line="259"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200" w:firstLine="775"/>
        <w:spacing w:after="0" w:line="283"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high-quality retail and mixed-use properties located primarily in densely populated and affluent communities in strategically selected metropolitan markets in the Northeast and Mid-Atlantic regions of the United States, as well as in California. As of December 31, 2009, we owned or had a majority interest in community and neighborhood shopping centers and mixed-use properties which are operated as 84 predominantly retail real estate projects comprising approximately</w:t>
      </w:r>
    </w:p>
    <w:p>
      <w:pPr>
        <w:spacing w:after="0" w:line="3" w:lineRule="exact"/>
        <w:rPr>
          <w:sz w:val="20"/>
          <w:szCs w:val="20"/>
          <w:color w:val="auto"/>
        </w:rPr>
      </w:pPr>
    </w:p>
    <w:p>
      <w:pPr>
        <w:ind w:left="200" w:right="100"/>
        <w:spacing w:after="0" w:line="295" w:lineRule="auto"/>
        <w:rPr>
          <w:sz w:val="20"/>
          <w:szCs w:val="20"/>
          <w:color w:val="auto"/>
        </w:rPr>
      </w:pPr>
      <w:r>
        <w:rPr>
          <w:rFonts w:ascii="Arial" w:cs="Arial" w:eastAsia="Arial" w:hAnsi="Arial"/>
          <w:sz w:val="16"/>
          <w:szCs w:val="16"/>
          <w:color w:val="auto"/>
        </w:rPr>
        <w:t>18.2 million square feet. In total, the real estate projects were 94.5% leased and 93.2% occupied at December 31, 2009. A joint venture in which we own a 30% interest owned seven retail real estate projects totaling approximately 1.0 million square feet as of December 31, 2009. In total, the joint venture properties in which we own an interest were 85.0% leased and occupied at December 31, 2009. We have paid quarterly dividends to our shareholders continuously since our founding in 1962 and have increased our dividends per common share for 42 consecutive years.</w:t>
      </w:r>
    </w:p>
    <w:p>
      <w:pPr>
        <w:spacing w:after="0" w:line="115" w:lineRule="exact"/>
        <w:rPr>
          <w:sz w:val="20"/>
          <w:szCs w:val="20"/>
          <w:color w:val="auto"/>
        </w:rPr>
      </w:pPr>
    </w:p>
    <w:p>
      <w:pPr>
        <w:ind w:left="200" w:right="120" w:firstLine="775"/>
        <w:spacing w:after="0" w:line="303" w:lineRule="auto"/>
        <w:rPr>
          <w:sz w:val="20"/>
          <w:szCs w:val="20"/>
          <w:color w:val="auto"/>
        </w:rPr>
      </w:pPr>
      <w:r>
        <w:rPr>
          <w:rFonts w:ascii="Arial" w:cs="Arial" w:eastAsia="Arial" w:hAnsi="Arial"/>
          <w:sz w:val="15"/>
          <w:szCs w:val="15"/>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w:t>
      </w:r>
    </w:p>
    <w:p>
      <w:pPr>
        <w:spacing w:after="0" w:line="1" w:lineRule="exact"/>
        <w:rPr>
          <w:sz w:val="20"/>
          <w:szCs w:val="20"/>
          <w:color w:val="auto"/>
        </w:rPr>
      </w:pPr>
    </w:p>
    <w:p>
      <w:pPr>
        <w:ind w:left="200" w:right="60" w:hanging="3"/>
        <w:spacing w:after="0" w:line="261"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3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60"/>
          </w:cols>
          <w:pgMar w:left="24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200" w:firstLine="775"/>
        <w:spacing w:after="0" w:line="259"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Securities offered</w:t>
            </w:r>
          </w:p>
        </w:tc>
        <w:tc>
          <w:tcPr>
            <w:tcW w:w="1300" w:type="dxa"/>
            <w:vAlign w:val="bottom"/>
          </w:tcPr>
          <w:p>
            <w:pPr>
              <w:ind w:left="920"/>
              <w:spacing w:after="0"/>
              <w:rPr>
                <w:sz w:val="20"/>
                <w:szCs w:val="20"/>
                <w:color w:val="auto"/>
              </w:rPr>
            </w:pPr>
            <w:r>
              <w:rPr>
                <w:rFonts w:ascii="Arial" w:cs="Arial" w:eastAsia="Arial" w:hAnsi="Arial"/>
                <w:sz w:val="18"/>
                <w:szCs w:val="18"/>
                <w:color w:val="auto"/>
              </w:rPr>
              <w:t>$</w:t>
            </w:r>
          </w:p>
        </w:tc>
        <w:tc>
          <w:tcPr>
            <w:tcW w:w="3140" w:type="dxa"/>
            <w:vAlign w:val="bottom"/>
          </w:tcPr>
          <w:p>
            <w:pPr>
              <w:ind w:left="280"/>
              <w:spacing w:after="0"/>
              <w:rPr>
                <w:sz w:val="20"/>
                <w:szCs w:val="20"/>
                <w:color w:val="auto"/>
              </w:rPr>
            </w:pPr>
            <w:r>
              <w:rPr>
                <w:rFonts w:ascii="Arial" w:cs="Arial" w:eastAsia="Arial" w:hAnsi="Arial"/>
                <w:sz w:val="18"/>
                <w:szCs w:val="18"/>
                <w:color w:val="auto"/>
                <w:w w:val="96"/>
              </w:rPr>
              <w:t>million aggregate principal amount of</w:t>
            </w:r>
          </w:p>
        </w:tc>
        <w:tc>
          <w:tcPr>
            <w:tcW w:w="1760" w:type="dxa"/>
            <w:vAlign w:val="bottom"/>
          </w:tcPr>
          <w:p>
            <w:pPr>
              <w:ind w:left="200"/>
              <w:spacing w:after="0"/>
              <w:rPr>
                <w:sz w:val="20"/>
                <w:szCs w:val="20"/>
                <w:color w:val="auto"/>
              </w:rPr>
            </w:pPr>
            <w:r>
              <w:rPr>
                <w:rFonts w:ascii="Arial" w:cs="Arial" w:eastAsia="Arial" w:hAnsi="Arial"/>
                <w:sz w:val="18"/>
                <w:szCs w:val="18"/>
                <w:color w:val="auto"/>
              </w:rPr>
              <w:t>% notes due 2020.</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Maturity</w:t>
            </w:r>
          </w:p>
        </w:tc>
        <w:tc>
          <w:tcPr>
            <w:tcW w:w="7200" w:type="dxa"/>
            <w:vAlign w:val="bottom"/>
            <w:gridSpan w:val="4"/>
          </w:tcPr>
          <w:p>
            <w:pPr>
              <w:ind w:left="920"/>
              <w:spacing w:after="0"/>
              <w:rPr>
                <w:sz w:val="20"/>
                <w:szCs w:val="20"/>
                <w:color w:val="auto"/>
              </w:rPr>
            </w:pPr>
            <w:r>
              <w:rPr>
                <w:rFonts w:ascii="Arial" w:cs="Arial" w:eastAsia="Arial" w:hAnsi="Arial"/>
                <w:sz w:val="18"/>
                <w:szCs w:val="18"/>
                <w:color w:val="auto"/>
                <w:w w:val="99"/>
              </w:rPr>
              <w:t>Unless redeemed prior to maturity as described below, the notes will mature on</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 2020.</w:t>
            </w:r>
          </w:p>
        </w:tc>
      </w:tr>
      <w:tr>
        <w:trPr>
          <w:trHeight w:val="426"/>
        </w:trPr>
        <w:tc>
          <w:tcPr>
            <w:tcW w:w="32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200" w:type="dxa"/>
            <w:vAlign w:val="bottom"/>
            <w:gridSpan w:val="3"/>
          </w:tcPr>
          <w:p>
            <w:pPr>
              <w:ind w:left="920"/>
              <w:spacing w:after="0"/>
              <w:rPr>
                <w:sz w:val="20"/>
                <w:szCs w:val="20"/>
                <w:color w:val="auto"/>
              </w:rPr>
            </w:pPr>
            <w:r>
              <w:rPr>
                <w:rFonts w:ascii="Arial" w:cs="Arial" w:eastAsia="Arial" w:hAnsi="Arial"/>
                <w:sz w:val="18"/>
                <w:szCs w:val="18"/>
                <w:color w:val="auto"/>
                <w:w w:val="96"/>
              </w:rPr>
              <w:t>Interest on the notes will be payable semi-annually in arrears on and</w:t>
            </w:r>
          </w:p>
        </w:tc>
        <w:tc>
          <w:tcPr>
            <w:tcW w:w="1540" w:type="dxa"/>
            <w:vAlign w:val="bottom"/>
            <w:gridSpan w:val="2"/>
          </w:tcPr>
          <w:p>
            <w:pPr>
              <w:jc w:val="right"/>
              <w:ind w:right="192"/>
              <w:spacing w:after="0"/>
              <w:rPr>
                <w:sz w:val="20"/>
                <w:szCs w:val="20"/>
                <w:color w:val="auto"/>
              </w:rPr>
            </w:pPr>
            <w:r>
              <w:rPr>
                <w:rFonts w:ascii="Arial" w:cs="Arial" w:eastAsia="Arial" w:hAnsi="Arial"/>
                <w:sz w:val="18"/>
                <w:szCs w:val="18"/>
                <w:color w:val="auto"/>
              </w:rPr>
              <w:t>, beginning on</w:t>
            </w:r>
          </w:p>
        </w:tc>
      </w:tr>
      <w:tr>
        <w:trPr>
          <w:trHeight w:val="222"/>
        </w:trPr>
        <w:tc>
          <w:tcPr>
            <w:tcW w:w="3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 2010, and at maturity.</w:t>
            </w:r>
          </w:p>
        </w:tc>
        <w:tc>
          <w:tcPr>
            <w:tcW w:w="1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12"/>
        </w:trPr>
        <w:tc>
          <w:tcPr>
            <w:tcW w:w="3280" w:type="dxa"/>
            <w:vAlign w:val="bottom"/>
          </w:tcPr>
          <w:p>
            <w:pPr>
              <w:spacing w:after="0"/>
              <w:rPr>
                <w:sz w:val="20"/>
                <w:szCs w:val="20"/>
                <w:color w:val="auto"/>
              </w:rPr>
            </w:pPr>
            <w:r>
              <w:rPr>
                <w:rFonts w:ascii="Arial" w:cs="Arial" w:eastAsia="Arial" w:hAnsi="Arial"/>
                <w:sz w:val="18"/>
                <w:szCs w:val="18"/>
                <w:color w:val="auto"/>
              </w:rPr>
              <w:t>Ranking</w:t>
            </w:r>
          </w:p>
        </w:tc>
        <w:tc>
          <w:tcPr>
            <w:tcW w:w="7740" w:type="dxa"/>
            <w:vAlign w:val="bottom"/>
            <w:gridSpan w:val="5"/>
          </w:tcPr>
          <w:p>
            <w:pPr>
              <w:ind w:left="920"/>
              <w:spacing w:after="0"/>
              <w:rPr>
                <w:sz w:val="20"/>
                <w:szCs w:val="20"/>
                <w:color w:val="auto"/>
              </w:rPr>
            </w:pPr>
            <w:r>
              <w:rPr>
                <w:rFonts w:ascii="Arial" w:cs="Arial" w:eastAsia="Arial" w:hAnsi="Arial"/>
                <w:sz w:val="18"/>
                <w:szCs w:val="18"/>
                <w:color w:val="auto"/>
                <w:w w:val="91"/>
              </w:rPr>
              <w:t xml:space="preserve">The notes will rank </w:t>
            </w:r>
            <w:r>
              <w:rPr>
                <w:rFonts w:ascii="Arial" w:cs="Arial" w:eastAsia="Arial" w:hAnsi="Arial"/>
                <w:sz w:val="18"/>
                <w:szCs w:val="18"/>
                <w:i w:val="1"/>
                <w:iCs w:val="1"/>
                <w:color w:val="auto"/>
                <w:w w:val="91"/>
              </w:rPr>
              <w:t>pari passu</w:t>
            </w:r>
            <w:r>
              <w:rPr>
                <w:rFonts w:ascii="Arial" w:cs="Arial" w:eastAsia="Arial" w:hAnsi="Arial"/>
                <w:sz w:val="18"/>
                <w:szCs w:val="18"/>
                <w:color w:val="auto"/>
                <w:w w:val="91"/>
              </w:rPr>
              <w:t>, or equally, with all of our other unsecured and unsubordinated</w:t>
            </w:r>
          </w:p>
        </w:tc>
      </w:tr>
      <w:tr>
        <w:trPr>
          <w:trHeight w:val="216"/>
        </w:trPr>
        <w:tc>
          <w:tcPr>
            <w:tcW w:w="3280" w:type="dxa"/>
            <w:vAlign w:val="bottom"/>
          </w:tcPr>
          <w:p>
            <w:pPr>
              <w:spacing w:after="0"/>
              <w:rPr>
                <w:sz w:val="18"/>
                <w:szCs w:val="18"/>
                <w:color w:val="auto"/>
              </w:rPr>
            </w:pPr>
          </w:p>
        </w:tc>
        <w:tc>
          <w:tcPr>
            <w:tcW w:w="7740" w:type="dxa"/>
            <w:vAlign w:val="bottom"/>
            <w:gridSpan w:val="5"/>
          </w:tcPr>
          <w:p>
            <w:pPr>
              <w:ind w:left="920"/>
              <w:spacing w:after="0"/>
              <w:rPr>
                <w:sz w:val="20"/>
                <w:szCs w:val="20"/>
                <w:color w:val="auto"/>
              </w:rPr>
            </w:pPr>
            <w:r>
              <w:rPr>
                <w:rFonts w:ascii="Arial" w:cs="Arial" w:eastAsia="Arial" w:hAnsi="Arial"/>
                <w:sz w:val="18"/>
                <w:szCs w:val="18"/>
                <w:color w:val="auto"/>
                <w:w w:val="90"/>
              </w:rPr>
              <w:t>indebtedness, and the notes will be effectively subordinated to the prior claims of each secured</w:t>
            </w:r>
          </w:p>
        </w:tc>
      </w:tr>
      <w:tr>
        <w:trPr>
          <w:trHeight w:val="216"/>
        </w:trPr>
        <w:tc>
          <w:tcPr>
            <w:tcW w:w="3280" w:type="dxa"/>
            <w:vAlign w:val="bottom"/>
          </w:tcPr>
          <w:p>
            <w:pPr>
              <w:spacing w:after="0"/>
              <w:rPr>
                <w:sz w:val="18"/>
                <w:szCs w:val="18"/>
                <w:color w:val="auto"/>
              </w:rPr>
            </w:pPr>
          </w:p>
        </w:tc>
        <w:tc>
          <w:tcPr>
            <w:tcW w:w="7740" w:type="dxa"/>
            <w:vAlign w:val="bottom"/>
            <w:gridSpan w:val="5"/>
          </w:tcPr>
          <w:p>
            <w:pPr>
              <w:ind w:left="920"/>
              <w:spacing w:after="0"/>
              <w:rPr>
                <w:sz w:val="20"/>
                <w:szCs w:val="20"/>
                <w:color w:val="auto"/>
              </w:rPr>
            </w:pPr>
            <w:r>
              <w:rPr>
                <w:rFonts w:ascii="Arial" w:cs="Arial" w:eastAsia="Arial" w:hAnsi="Arial"/>
                <w:sz w:val="18"/>
                <w:szCs w:val="18"/>
                <w:color w:val="auto"/>
                <w:w w:val="91"/>
              </w:rPr>
              <w:t>mortgage lender to any specific property that secures such lender’s mortgage and to all of the</w:t>
            </w:r>
          </w:p>
        </w:tc>
      </w:tr>
      <w:tr>
        <w:trPr>
          <w:trHeight w:val="216"/>
        </w:trPr>
        <w:tc>
          <w:tcPr>
            <w:tcW w:w="3280" w:type="dxa"/>
            <w:vAlign w:val="bottom"/>
          </w:tcPr>
          <w:p>
            <w:pPr>
              <w:spacing w:after="0"/>
              <w:rPr>
                <w:sz w:val="18"/>
                <w:szCs w:val="18"/>
                <w:color w:val="auto"/>
              </w:rPr>
            </w:pPr>
          </w:p>
        </w:tc>
        <w:tc>
          <w:tcPr>
            <w:tcW w:w="7740" w:type="dxa"/>
            <w:vAlign w:val="bottom"/>
            <w:gridSpan w:val="5"/>
          </w:tcPr>
          <w:p>
            <w:pPr>
              <w:ind w:left="920"/>
              <w:spacing w:after="0"/>
              <w:rPr>
                <w:sz w:val="20"/>
                <w:szCs w:val="20"/>
                <w:color w:val="auto"/>
              </w:rPr>
            </w:pPr>
            <w:r>
              <w:rPr>
                <w:rFonts w:ascii="Arial" w:cs="Arial" w:eastAsia="Arial" w:hAnsi="Arial"/>
                <w:sz w:val="18"/>
                <w:szCs w:val="18"/>
                <w:color w:val="auto"/>
                <w:w w:val="90"/>
              </w:rPr>
              <w:t>unsecured indebtedness of our subsidiaries. After giving effect to this offering and to the use of</w:t>
            </w:r>
          </w:p>
        </w:tc>
      </w:tr>
      <w:tr>
        <w:trPr>
          <w:trHeight w:val="216"/>
        </w:trPr>
        <w:tc>
          <w:tcPr>
            <w:tcW w:w="3280" w:type="dxa"/>
            <w:vAlign w:val="bottom"/>
          </w:tcPr>
          <w:p>
            <w:pPr>
              <w:spacing w:after="0"/>
              <w:rPr>
                <w:sz w:val="18"/>
                <w:szCs w:val="18"/>
                <w:color w:val="auto"/>
              </w:rPr>
            </w:pPr>
          </w:p>
        </w:tc>
        <w:tc>
          <w:tcPr>
            <w:tcW w:w="7740" w:type="dxa"/>
            <w:vAlign w:val="bottom"/>
            <w:gridSpan w:val="5"/>
          </w:tcPr>
          <w:p>
            <w:pPr>
              <w:ind w:left="920"/>
              <w:spacing w:after="0"/>
              <w:rPr>
                <w:sz w:val="20"/>
                <w:szCs w:val="20"/>
                <w:color w:val="auto"/>
              </w:rPr>
            </w:pPr>
            <w:r>
              <w:rPr>
                <w:rFonts w:ascii="Arial" w:cs="Arial" w:eastAsia="Arial" w:hAnsi="Arial"/>
                <w:sz w:val="18"/>
                <w:szCs w:val="18"/>
                <w:color w:val="auto"/>
                <w:w w:val="90"/>
              </w:rPr>
              <w:t>proceeds from this offering, we will have outstanding approximately $540 million (excluding net</w:t>
            </w:r>
          </w:p>
        </w:tc>
      </w:tr>
      <w:tr>
        <w:trPr>
          <w:trHeight w:val="216"/>
        </w:trPr>
        <w:tc>
          <w:tcPr>
            <w:tcW w:w="3280" w:type="dxa"/>
            <w:vAlign w:val="bottom"/>
          </w:tcPr>
          <w:p>
            <w:pPr>
              <w:spacing w:after="0"/>
              <w:rPr>
                <w:sz w:val="18"/>
                <w:szCs w:val="18"/>
                <w:color w:val="auto"/>
              </w:rPr>
            </w:pPr>
          </w:p>
        </w:tc>
        <w:tc>
          <w:tcPr>
            <w:tcW w:w="7740" w:type="dxa"/>
            <w:vAlign w:val="bottom"/>
            <w:gridSpan w:val="5"/>
          </w:tcPr>
          <w:p>
            <w:pPr>
              <w:ind w:left="920"/>
              <w:spacing w:after="0"/>
              <w:rPr>
                <w:sz w:val="20"/>
                <w:szCs w:val="20"/>
                <w:color w:val="auto"/>
              </w:rPr>
            </w:pPr>
            <w:r>
              <w:rPr>
                <w:rFonts w:ascii="Arial" w:cs="Arial" w:eastAsia="Arial" w:hAnsi="Arial"/>
                <w:sz w:val="18"/>
                <w:szCs w:val="18"/>
                <w:color w:val="auto"/>
                <w:w w:val="89"/>
              </w:rPr>
              <w:t>unamortized discount) of secured indebtedness collateralized by all or parts of 22 properties (of</w:t>
            </w:r>
          </w:p>
        </w:tc>
      </w:tr>
      <w:tr>
        <w:trPr>
          <w:trHeight w:val="216"/>
        </w:trPr>
        <w:tc>
          <w:tcPr>
            <w:tcW w:w="3280" w:type="dxa"/>
            <w:vAlign w:val="bottom"/>
          </w:tcPr>
          <w:p>
            <w:pPr>
              <w:spacing w:after="0"/>
              <w:rPr>
                <w:sz w:val="18"/>
                <w:szCs w:val="18"/>
                <w:color w:val="auto"/>
              </w:rPr>
            </w:pPr>
          </w:p>
        </w:tc>
        <w:tc>
          <w:tcPr>
            <w:tcW w:w="7740" w:type="dxa"/>
            <w:vAlign w:val="bottom"/>
            <w:gridSpan w:val="5"/>
          </w:tcPr>
          <w:p>
            <w:pPr>
              <w:ind w:left="920"/>
              <w:spacing w:after="0"/>
              <w:rPr>
                <w:sz w:val="20"/>
                <w:szCs w:val="20"/>
                <w:color w:val="auto"/>
              </w:rPr>
            </w:pPr>
            <w:r>
              <w:rPr>
                <w:rFonts w:ascii="Arial" w:cs="Arial" w:eastAsia="Arial" w:hAnsi="Arial"/>
                <w:sz w:val="18"/>
                <w:szCs w:val="18"/>
                <w:color w:val="auto"/>
                <w:w w:val="90"/>
              </w:rPr>
              <w:t>which approximately $286 million was issued by our subsidiaries), approximately $12 million of</w:t>
            </w:r>
          </w:p>
        </w:tc>
      </w:tr>
      <w:tr>
        <w:trPr>
          <w:trHeight w:val="216"/>
        </w:trPr>
        <w:tc>
          <w:tcPr>
            <w:tcW w:w="3280" w:type="dxa"/>
            <w:vAlign w:val="bottom"/>
          </w:tcPr>
          <w:p>
            <w:pPr>
              <w:spacing w:after="0"/>
              <w:rPr>
                <w:sz w:val="18"/>
                <w:szCs w:val="18"/>
                <w:color w:val="auto"/>
              </w:rPr>
            </w:pPr>
          </w:p>
        </w:tc>
        <w:tc>
          <w:tcPr>
            <w:tcW w:w="7200" w:type="dxa"/>
            <w:vAlign w:val="bottom"/>
            <w:gridSpan w:val="4"/>
          </w:tcPr>
          <w:p>
            <w:pPr>
              <w:ind w:left="920"/>
              <w:spacing w:after="0"/>
              <w:rPr>
                <w:sz w:val="20"/>
                <w:szCs w:val="20"/>
                <w:color w:val="auto"/>
              </w:rPr>
            </w:pPr>
            <w:r>
              <w:rPr>
                <w:rFonts w:ascii="Arial" w:cs="Arial" w:eastAsia="Arial" w:hAnsi="Arial"/>
                <w:sz w:val="18"/>
                <w:szCs w:val="18"/>
                <w:color w:val="auto"/>
                <w:w w:val="87"/>
              </w:rPr>
              <w:t>unsecured indebtedness issued by our subsidiaries (which will be senior to the notes) and</w:t>
            </w:r>
          </w:p>
        </w:tc>
        <w:tc>
          <w:tcPr>
            <w:tcW w:w="5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7740" w:type="dxa"/>
            <w:vAlign w:val="bottom"/>
            <w:gridSpan w:val="5"/>
          </w:tcPr>
          <w:p>
            <w:pPr>
              <w:ind w:left="920"/>
              <w:spacing w:after="0"/>
              <w:rPr>
                <w:sz w:val="20"/>
                <w:szCs w:val="20"/>
                <w:color w:val="auto"/>
              </w:rPr>
            </w:pPr>
            <w:r>
              <w:rPr>
                <w:rFonts w:ascii="Arial" w:cs="Arial" w:eastAsia="Arial" w:hAnsi="Arial"/>
                <w:sz w:val="18"/>
                <w:szCs w:val="18"/>
                <w:color w:val="auto"/>
                <w:w w:val="94"/>
              </w:rPr>
              <w:t>approximately $1,180 million of other unsecured indebtedness (excluding net unamortized</w:t>
            </w:r>
          </w:p>
        </w:tc>
      </w:tr>
      <w:tr>
        <w:trPr>
          <w:trHeight w:val="222"/>
        </w:trPr>
        <w:tc>
          <w:tcPr>
            <w:tcW w:w="3280" w:type="dxa"/>
            <w:vAlign w:val="bottom"/>
          </w:tcPr>
          <w:p>
            <w:pPr>
              <w:spacing w:after="0"/>
              <w:rPr>
                <w:sz w:val="19"/>
                <w:szCs w:val="19"/>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rPr>
              <w:t>premium) ranking equally with the notes.</w:t>
            </w:r>
          </w:p>
        </w:tc>
        <w:tc>
          <w:tcPr>
            <w:tcW w:w="1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12"/>
        </w:trPr>
        <w:tc>
          <w:tcPr>
            <w:tcW w:w="3280" w:type="dxa"/>
            <w:vAlign w:val="bottom"/>
          </w:tcPr>
          <w:p>
            <w:pPr>
              <w:spacing w:after="0"/>
              <w:rPr>
                <w:sz w:val="20"/>
                <w:szCs w:val="20"/>
                <w:color w:val="auto"/>
              </w:rPr>
            </w:pPr>
            <w:r>
              <w:rPr>
                <w:rFonts w:ascii="Arial" w:cs="Arial" w:eastAsia="Arial" w:hAnsi="Arial"/>
                <w:sz w:val="18"/>
                <w:szCs w:val="18"/>
                <w:color w:val="auto"/>
              </w:rPr>
              <w:t>Use of proceeds</w:t>
            </w:r>
          </w:p>
        </w:tc>
        <w:tc>
          <w:tcPr>
            <w:tcW w:w="7740" w:type="dxa"/>
            <w:vAlign w:val="bottom"/>
            <w:gridSpan w:val="5"/>
          </w:tcPr>
          <w:p>
            <w:pPr>
              <w:ind w:left="920"/>
              <w:spacing w:after="0"/>
              <w:rPr>
                <w:sz w:val="20"/>
                <w:szCs w:val="20"/>
                <w:color w:val="auto"/>
              </w:rPr>
            </w:pPr>
            <w:r>
              <w:rPr>
                <w:rFonts w:ascii="Arial" w:cs="Arial" w:eastAsia="Arial" w:hAnsi="Arial"/>
                <w:sz w:val="18"/>
                <w:szCs w:val="18"/>
                <w:color w:val="auto"/>
                <w:w w:val="90"/>
              </w:rPr>
              <w:t>We intend to use the net proceeds from this offering to fund potential acquisition opportunities,</w:t>
            </w:r>
          </w:p>
        </w:tc>
      </w:tr>
      <w:tr>
        <w:trPr>
          <w:trHeight w:val="216"/>
        </w:trPr>
        <w:tc>
          <w:tcPr>
            <w:tcW w:w="3280" w:type="dxa"/>
            <w:vAlign w:val="bottom"/>
          </w:tcPr>
          <w:p>
            <w:pPr>
              <w:spacing w:after="0"/>
              <w:rPr>
                <w:sz w:val="18"/>
                <w:szCs w:val="18"/>
                <w:color w:val="auto"/>
              </w:rPr>
            </w:pPr>
          </w:p>
        </w:tc>
        <w:tc>
          <w:tcPr>
            <w:tcW w:w="7740" w:type="dxa"/>
            <w:vAlign w:val="bottom"/>
            <w:gridSpan w:val="5"/>
          </w:tcPr>
          <w:p>
            <w:pPr>
              <w:ind w:left="920"/>
              <w:spacing w:after="0"/>
              <w:rPr>
                <w:sz w:val="20"/>
                <w:szCs w:val="20"/>
                <w:color w:val="auto"/>
              </w:rPr>
            </w:pPr>
            <w:r>
              <w:rPr>
                <w:rFonts w:ascii="Arial" w:cs="Arial" w:eastAsia="Arial" w:hAnsi="Arial"/>
                <w:sz w:val="18"/>
                <w:szCs w:val="18"/>
                <w:color w:val="auto"/>
                <w:w w:val="89"/>
              </w:rPr>
              <w:t>fund our redevelopment pipeline, reduce amounts outstanding under our $250 million term loan,</w:t>
            </w:r>
          </w:p>
        </w:tc>
      </w:tr>
      <w:tr>
        <w:trPr>
          <w:trHeight w:val="222"/>
        </w:trPr>
        <w:tc>
          <w:tcPr>
            <w:tcW w:w="3280" w:type="dxa"/>
            <w:vAlign w:val="bottom"/>
          </w:tcPr>
          <w:p>
            <w:pPr>
              <w:spacing w:after="0"/>
              <w:rPr>
                <w:sz w:val="19"/>
                <w:szCs w:val="19"/>
                <w:color w:val="auto"/>
              </w:rPr>
            </w:pPr>
          </w:p>
        </w:tc>
        <w:tc>
          <w:tcPr>
            <w:tcW w:w="7740" w:type="dxa"/>
            <w:vAlign w:val="bottom"/>
            <w:gridSpan w:val="5"/>
          </w:tcPr>
          <w:p>
            <w:pPr>
              <w:ind w:left="920"/>
              <w:spacing w:after="0"/>
              <w:rPr>
                <w:sz w:val="20"/>
                <w:szCs w:val="20"/>
                <w:color w:val="auto"/>
              </w:rPr>
            </w:pPr>
            <w:r>
              <w:rPr>
                <w:rFonts w:ascii="Arial" w:cs="Arial" w:eastAsia="Arial" w:hAnsi="Arial"/>
                <w:sz w:val="18"/>
                <w:szCs w:val="18"/>
                <w:color w:val="auto"/>
                <w:w w:val="88"/>
              </w:rPr>
              <w:t>and/or for general corporate purposes. See “Use of Proceeds” on page S-6 for more information.</w:t>
            </w:r>
          </w:p>
        </w:tc>
      </w:tr>
      <w:tr>
        <w:trPr>
          <w:trHeight w:val="419"/>
        </w:trPr>
        <w:tc>
          <w:tcPr>
            <w:tcW w:w="3280" w:type="dxa"/>
            <w:vAlign w:val="bottom"/>
          </w:tcPr>
          <w:p>
            <w:pPr>
              <w:spacing w:after="0"/>
              <w:rPr>
                <w:sz w:val="20"/>
                <w:szCs w:val="20"/>
                <w:color w:val="auto"/>
              </w:rPr>
            </w:pPr>
            <w:r>
              <w:rPr>
                <w:rFonts w:ascii="Arial" w:cs="Arial" w:eastAsia="Arial" w:hAnsi="Arial"/>
                <w:sz w:val="18"/>
                <w:szCs w:val="18"/>
                <w:color w:val="auto"/>
              </w:rPr>
              <w:t>Limitations on incurrence of debt</w:t>
            </w:r>
          </w:p>
        </w:tc>
        <w:tc>
          <w:tcPr>
            <w:tcW w:w="6200" w:type="dxa"/>
            <w:vAlign w:val="bottom"/>
            <w:gridSpan w:val="3"/>
          </w:tcPr>
          <w:p>
            <w:pPr>
              <w:ind w:left="920"/>
              <w:spacing w:after="0"/>
              <w:rPr>
                <w:sz w:val="20"/>
                <w:szCs w:val="20"/>
                <w:color w:val="auto"/>
              </w:rPr>
            </w:pPr>
            <w:r>
              <w:rPr>
                <w:rFonts w:ascii="Arial" w:cs="Arial" w:eastAsia="Arial" w:hAnsi="Arial"/>
                <w:sz w:val="18"/>
                <w:szCs w:val="18"/>
                <w:color w:val="auto"/>
              </w:rPr>
              <w:t>The notes contain various covenants, including the following:</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10" w:lineRule="exact"/>
        <w:rPr>
          <w:sz w:val="20"/>
          <w:szCs w:val="20"/>
          <w:color w:val="auto"/>
        </w:rPr>
      </w:pPr>
    </w:p>
    <w:p>
      <w:pPr>
        <w:ind w:left="4400" w:right="40" w:hanging="3"/>
        <w:spacing w:after="0" w:line="282" w:lineRule="auto"/>
        <w:tabs>
          <w:tab w:leader="none" w:pos="4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immediately after 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U.S. Bank National Association, the trustee) prior to the incurrence of such additional Debt and</w:t>
      </w:r>
    </w:p>
    <w:p>
      <w:pPr>
        <w:spacing w:after="0" w:line="5" w:lineRule="exact"/>
        <w:rPr>
          <w:rFonts w:ascii="Arial" w:cs="Arial" w:eastAsia="Arial" w:hAnsi="Arial"/>
          <w:sz w:val="16"/>
          <w:szCs w:val="16"/>
          <w:color w:val="auto"/>
        </w:rPr>
      </w:pPr>
    </w:p>
    <w:p>
      <w:pPr>
        <w:ind w:left="4400"/>
        <w:spacing w:after="0"/>
        <w:rPr>
          <w:rFonts w:ascii="Arial" w:cs="Arial" w:eastAsia="Arial" w:hAnsi="Arial"/>
          <w:sz w:val="16"/>
          <w:szCs w:val="16"/>
          <w:color w:val="auto"/>
        </w:rPr>
      </w:pPr>
      <w:r>
        <w:rPr>
          <w:rFonts w:ascii="Arial" w:cs="Arial" w:eastAsia="Arial" w:hAnsi="Arial"/>
          <w:sz w:val="18"/>
          <w:szCs w:val="18"/>
          <w:color w:val="auto"/>
        </w:rPr>
        <w:t>(b) the purchase price of any real estate assets or</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66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1669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400" w:right="200"/>
        <w:spacing w:after="0" w:line="323" w:lineRule="auto"/>
        <w:rPr>
          <w:sz w:val="20"/>
          <w:szCs w:val="20"/>
          <w:color w:val="auto"/>
        </w:rPr>
      </w:pPr>
      <w:r>
        <w:rPr>
          <w:rFonts w:ascii="Arial" w:cs="Arial" w:eastAsia="Arial" w:hAnsi="Arial"/>
          <w:sz w:val="15"/>
          <w:szCs w:val="15"/>
          <w:color w:val="auto"/>
        </w:rPr>
        <w:t>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52" w:lineRule="exact"/>
        <w:rPr>
          <w:sz w:val="20"/>
          <w:szCs w:val="20"/>
          <w:color w:val="auto"/>
        </w:rPr>
      </w:pPr>
    </w:p>
    <w:p>
      <w:pPr>
        <w:ind w:left="4400" w:hanging="3"/>
        <w:spacing w:after="0" w:line="285" w:lineRule="auto"/>
        <w:tabs>
          <w:tab w:leader="none" w:pos="4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161" w:lineRule="exact"/>
        <w:rPr>
          <w:rFonts w:ascii="Arial" w:cs="Arial" w:eastAsia="Arial" w:hAnsi="Arial"/>
          <w:sz w:val="16"/>
          <w:szCs w:val="16"/>
          <w:color w:val="auto"/>
        </w:rPr>
      </w:pPr>
    </w:p>
    <w:p>
      <w:pPr>
        <w:ind w:left="4400" w:right="80" w:hanging="3"/>
        <w:spacing w:after="0" w:line="283" w:lineRule="auto"/>
        <w:tabs>
          <w:tab w:leader="none" w:pos="4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w:t>
      </w:r>
    </w:p>
    <w:p>
      <w:pPr>
        <w:spacing w:after="0" w:line="2" w:lineRule="exact"/>
        <w:rPr>
          <w:rFonts w:ascii="Arial" w:cs="Arial" w:eastAsia="Arial" w:hAnsi="Arial"/>
          <w:sz w:val="16"/>
          <w:szCs w:val="16"/>
          <w:color w:val="auto"/>
        </w:rPr>
      </w:pPr>
    </w:p>
    <w:p>
      <w:pPr>
        <w:ind w:left="4400"/>
        <w:spacing w:after="0" w:line="287" w:lineRule="auto"/>
        <w:rPr>
          <w:rFonts w:ascii="Arial" w:cs="Arial" w:eastAsia="Arial" w:hAnsi="Arial"/>
          <w:sz w:val="16"/>
          <w:szCs w:val="16"/>
          <w:color w:val="auto"/>
        </w:rPr>
      </w:pPr>
      <w:r>
        <w:rPr>
          <w:rFonts w:ascii="Arial" w:cs="Arial" w:eastAsia="Arial" w:hAnsi="Arial"/>
          <w:sz w:val="16"/>
          <w:szCs w:val="16"/>
          <w:color w:val="auto"/>
        </w:rPr>
        <w:t>(a)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980" w:type="dxa"/>
            <w:vAlign w:val="bottom"/>
            <w:tcBorders>
              <w:top w:val="single" w:sz="8" w:color="auto"/>
              <w:left w:val="single" w:sz="8" w:color="auto"/>
            </w:tcBorders>
          </w:tcPr>
          <w:p>
            <w:pPr>
              <w:spacing w:after="0"/>
              <w:rPr>
                <w:sz w:val="24"/>
                <w:szCs w:val="24"/>
                <w:color w:val="auto"/>
              </w:rPr>
            </w:pPr>
          </w:p>
        </w:tc>
        <w:tc>
          <w:tcPr>
            <w:tcW w:w="74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92"/>
              </w:rPr>
              <w:t>acquisition had occurred as of the first day of such period, with the appropriate adjustments with</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1"/>
              </w:rPr>
              <w:t>respect to such acquisition being included in such unaudited pro forma calculation; and (d) in the</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case of any acquisition or disposition by us or our subsidiaries of any asset or group of assets</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89"/>
              </w:rPr>
              <w:t>since the first day of such four-quarter period, whether by merger, stock purchase or sale, or asset</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2"/>
              </w:rPr>
              <w:t>purchase or sale, such acquisition or disposition or any related repayment of Debt had occurred</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as of the first day of such period, with the appropriate adjustments with respect to such</w:t>
            </w:r>
          </w:p>
        </w:tc>
      </w:tr>
      <w:tr>
        <w:trPr>
          <w:trHeight w:val="222"/>
        </w:trPr>
        <w:tc>
          <w:tcPr>
            <w:tcW w:w="39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acquisition or disposition being included in such unaudited pro forma calculation; and</w:t>
            </w:r>
          </w:p>
        </w:tc>
      </w:tr>
      <w:tr>
        <w:trPr>
          <w:trHeight w:val="426"/>
        </w:trPr>
        <w:tc>
          <w:tcPr>
            <w:tcW w:w="3980" w:type="dxa"/>
            <w:vAlign w:val="bottom"/>
            <w:tcBorders>
              <w:left w:val="single" w:sz="8" w:color="auto"/>
            </w:tcBorders>
          </w:tcPr>
          <w:p>
            <w:pPr>
              <w:spacing w:after="0"/>
              <w:rPr>
                <w:sz w:val="24"/>
                <w:szCs w:val="24"/>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(4) we, together with our subsidiaries, will maintain an Unencumbered Total Asset Value in an</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3"/>
              </w:rPr>
              <w:t>amount not less than 150% of the aggregate outstanding principal amount of all of our and our</w:t>
            </w:r>
          </w:p>
        </w:tc>
      </w:tr>
      <w:tr>
        <w:trPr>
          <w:trHeight w:val="222"/>
        </w:trPr>
        <w:tc>
          <w:tcPr>
            <w:tcW w:w="39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subsidiaries’ unsecured Debt, taken as a whole.</w:t>
            </w:r>
          </w:p>
        </w:tc>
      </w:tr>
      <w:tr>
        <w:trPr>
          <w:trHeight w:val="412"/>
        </w:trPr>
        <w:tc>
          <w:tcPr>
            <w:tcW w:w="39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The notes are redeemable at any time at our option, in whole or in part, at a redemption price</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2"/>
              </w:rPr>
              <w:t>equal to the greater of (1) 100% of the principal amount of the notes being redeemed, or (2) the</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0"/>
              </w:rPr>
              <w:t>sum of the present values of the remaining scheduled payments of principal and interest thereon,</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discounted to the redemption date on a semi-annual basis at the Adjusted Treasury Rate plus</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w w:val="91"/>
              </w:rPr>
              <w:t>basis points (0.   %), plus, in each case, accrued interest thereon to the redemption date. A</w:t>
            </w:r>
          </w:p>
        </w:tc>
      </w:tr>
      <w:tr>
        <w:trPr>
          <w:trHeight w:val="222"/>
        </w:trPr>
        <w:tc>
          <w:tcPr>
            <w:tcW w:w="39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detailed description is in “Description of Notes—Optional Redemption.”</w:t>
            </w:r>
          </w:p>
        </w:tc>
      </w:tr>
      <w:tr>
        <w:trPr>
          <w:trHeight w:val="412"/>
        </w:trPr>
        <w:tc>
          <w:tcPr>
            <w:tcW w:w="39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9"/>
              </w:rPr>
              <w:t>Material U.S. federal income tax considerations</w:t>
            </w: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3"/>
              </w:rPr>
              <w:t>For a description of the material U.S. federal income tax considerations of an investment in the</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notes, please review the disclosure in this prospectus supplement under “Additional Material</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2"/>
              </w:rPr>
              <w:t>U.S. Federal Income Tax Considerations” and in the accompanying prospectus under “Material</w:t>
            </w:r>
          </w:p>
        </w:tc>
      </w:tr>
      <w:tr>
        <w:trPr>
          <w:trHeight w:val="222"/>
        </w:trPr>
        <w:tc>
          <w:tcPr>
            <w:tcW w:w="39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Federal Income Tax Considerations.”</w:t>
            </w:r>
          </w:p>
        </w:tc>
      </w:tr>
      <w:tr>
        <w:trPr>
          <w:trHeight w:val="412"/>
        </w:trPr>
        <w:tc>
          <w:tcPr>
            <w:tcW w:w="39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1"/>
              </w:rPr>
              <w:t>Investing in the notes involves risks. Please review the risk factors discussed beginning on page</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0"/>
              </w:rPr>
              <w:t>S-5 of this prospectus supplement, on page 2 of the accompanying prospectus and in our Annual</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1"/>
              </w:rPr>
              <w:t>Report on Form 10-K for the year ended December 31, 2009, filed with the SEC on February 17,</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8"/>
              </w:rPr>
              <w:t>2010, and the other information contained or incorporated by reference in this prospectus</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supplement and the accompanying prospectus for a discussion of factors you should consider</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2"/>
              </w:rPr>
              <w:t>before deciding to invest in the notes. You may obtain a copy of our Annual Report on Form 10-</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K and the other documents incorporated by reference in this prospectus supplement and the</w:t>
            </w:r>
          </w:p>
        </w:tc>
      </w:tr>
      <w:tr>
        <w:trPr>
          <w:trHeight w:val="216"/>
        </w:trPr>
        <w:tc>
          <w:tcPr>
            <w:tcW w:w="3980" w:type="dxa"/>
            <w:vAlign w:val="bottom"/>
            <w:tcBorders>
              <w:left w:val="single" w:sz="8" w:color="auto"/>
            </w:tcBorders>
          </w:tcPr>
          <w:p>
            <w:pPr>
              <w:spacing w:after="0"/>
              <w:rPr>
                <w:sz w:val="18"/>
                <w:szCs w:val="18"/>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accompanying prospectus by following the procedures described under “Where You Can Find</w:t>
            </w:r>
          </w:p>
        </w:tc>
      </w:tr>
      <w:tr>
        <w:trPr>
          <w:trHeight w:val="222"/>
        </w:trPr>
        <w:tc>
          <w:tcPr>
            <w:tcW w:w="3980" w:type="dxa"/>
            <w:vAlign w:val="bottom"/>
            <w:tcBorders>
              <w:left w:val="single" w:sz="8" w:color="auto"/>
            </w:tcBorders>
          </w:tcPr>
          <w:p>
            <w:pPr>
              <w:spacing w:after="0"/>
              <w:rPr>
                <w:sz w:val="19"/>
                <w:szCs w:val="19"/>
                <w:color w:val="auto"/>
              </w:rPr>
            </w:pPr>
          </w:p>
        </w:tc>
        <w:tc>
          <w:tcPr>
            <w:tcW w:w="748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More Information” on page 55 of the accompanying prospectus.</w:t>
            </w:r>
          </w:p>
        </w:tc>
      </w:tr>
      <w:tr>
        <w:trPr>
          <w:trHeight w:val="161"/>
        </w:trPr>
        <w:tc>
          <w:tcPr>
            <w:tcW w:w="3980" w:type="dxa"/>
            <w:vAlign w:val="bottom"/>
            <w:tcBorders>
              <w:left w:val="single" w:sz="8" w:color="auto"/>
              <w:bottom w:val="single" w:sz="8" w:color="auto"/>
            </w:tcBorders>
          </w:tcPr>
          <w:p>
            <w:pPr>
              <w:spacing w:after="0"/>
              <w:rPr>
                <w:sz w:val="13"/>
                <w:szCs w:val="13"/>
                <w:color w:val="auto"/>
              </w:rPr>
            </w:pPr>
          </w:p>
        </w:tc>
        <w:tc>
          <w:tcPr>
            <w:tcW w:w="7480" w:type="dxa"/>
            <w:vAlign w:val="bottom"/>
            <w:tcBorders>
              <w:bottom w:val="single" w:sz="8" w:color="auto"/>
              <w:right w:val="single" w:sz="8" w:color="auto"/>
            </w:tcBorders>
          </w:tcPr>
          <w:p>
            <w:pPr>
              <w:spacing w:after="0"/>
              <w:rPr>
                <w:sz w:val="13"/>
                <w:szCs w:val="13"/>
                <w:color w:val="auto"/>
              </w:rPr>
            </w:pPr>
          </w:p>
        </w:tc>
      </w:tr>
      <w:tr>
        <w:trPr>
          <w:trHeight w:val="359"/>
        </w:trPr>
        <w:tc>
          <w:tcPr>
            <w:tcW w:w="3980" w:type="dxa"/>
            <w:vAlign w:val="bottom"/>
          </w:tcPr>
          <w:p>
            <w:pPr>
              <w:spacing w:after="0"/>
              <w:rPr>
                <w:sz w:val="24"/>
                <w:szCs w:val="24"/>
                <w:color w:val="auto"/>
              </w:rPr>
            </w:pPr>
          </w:p>
        </w:tc>
        <w:tc>
          <w:tcPr>
            <w:tcW w:w="7480" w:type="dxa"/>
            <w:vAlign w:val="bottom"/>
          </w:tcPr>
          <w:p>
            <w:pPr>
              <w:ind w:left="162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799"/>
        <w:spacing w:after="0" w:line="291"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2 of the accompanying prospectus and the risk factors included in our Annual Report on Form 10-K filed with the SEC on February 17, 2010 before you decide to purchase the notes. The risks and uncertainties described below and in the referenced Form 10-K are not the only ones we may confront. Additional risks and uncertainties not currently known to us or that we currently deem immaterial also may impair our business operations. If any of those risks actually occur, our financial condition, operating results and prospects could be materially adversely affected. This section contains forward-looking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177" w:lineRule="exact"/>
        <w:rPr>
          <w:sz w:val="20"/>
          <w:szCs w:val="20"/>
          <w:color w:val="auto"/>
        </w:rPr>
      </w:pPr>
    </w:p>
    <w:p>
      <w:pPr>
        <w:ind w:right="20" w:firstLine="799"/>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necessary funds from these sources on acceptable terms or at 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our subsidiaries’ preferred equity holders.</w:t>
      </w:r>
    </w:p>
    <w:p>
      <w:pPr>
        <w:spacing w:after="0" w:line="177"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December 31, 2009, after giving effect to this offering, and to the issuance of the notes and the application of the net proceeds of this offering, our subsidiaries had approximately $298 million of debt outstanding,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177" w:lineRule="exact"/>
        <w:rPr>
          <w:sz w:val="20"/>
          <w:szCs w:val="20"/>
          <w:color w:val="auto"/>
        </w:rPr>
      </w:pPr>
    </w:p>
    <w:p>
      <w:pPr>
        <w:ind w:right="40" w:firstLine="799"/>
        <w:spacing w:after="0" w:line="290" w:lineRule="auto"/>
        <w:rPr>
          <w:sz w:val="20"/>
          <w:szCs w:val="20"/>
          <w:color w:val="auto"/>
        </w:rPr>
      </w:pPr>
      <w:r>
        <w:rPr>
          <w:rFonts w:ascii="Arial" w:cs="Arial" w:eastAsia="Arial" w:hAnsi="Arial"/>
          <w:sz w:val="16"/>
          <w:szCs w:val="16"/>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December 31, 2009, after giving effect to this offering and the application of the net proceeds of this offering, we had approximately $540 million (excluding net unamortized discount) of secured debt outstanding, all of which was effectively senior to the notes to the extent of the value of the securing assets.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177"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There is currently no established trading market for the notes.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212" w:lineRule="exact"/>
        <w:rPr>
          <w:sz w:val="20"/>
          <w:szCs w:val="20"/>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171" w:lineRule="exact"/>
        <w:rPr>
          <w:sz w:val="20"/>
          <w:szCs w:val="20"/>
          <w:color w:val="auto"/>
        </w:rPr>
      </w:pPr>
    </w:p>
    <w:p>
      <w:pPr>
        <w:ind w:right="80" w:firstLine="799"/>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800"/>
        <w:spacing w:after="0"/>
        <w:tabs>
          <w:tab w:leader="none" w:pos="10020" w:val="left"/>
        </w:tabs>
        <w:rPr>
          <w:sz w:val="20"/>
          <w:szCs w:val="20"/>
          <w:color w:val="auto"/>
        </w:rPr>
      </w:pPr>
      <w:r>
        <w:rPr>
          <w:rFonts w:ascii="Arial" w:cs="Arial" w:eastAsia="Arial" w:hAnsi="Arial"/>
          <w:sz w:val="18"/>
          <w:szCs w:val="18"/>
          <w:color w:val="auto"/>
        </w:rPr>
        <w:t>The net proceeds to us from the sale of the notes offered by this prospectus supplement are estimated to be approximately $</w:t>
      </w:r>
      <w:r>
        <w:rPr>
          <w:sz w:val="20"/>
          <w:szCs w:val="20"/>
          <w:color w:val="auto"/>
        </w:rPr>
        <w:tab/>
      </w:r>
      <w:r>
        <w:rPr>
          <w:rFonts w:ascii="Arial" w:cs="Arial" w:eastAsia="Arial" w:hAnsi="Arial"/>
          <w:sz w:val="16"/>
          <w:szCs w:val="16"/>
          <w:color w:val="auto"/>
        </w:rPr>
        <w:t>million after</w:t>
      </w:r>
    </w:p>
    <w:p>
      <w:pPr>
        <w:spacing w:after="0" w:line="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deducting the underwriting discount and other estimated expenses of this offering payable by us. We intend to use these net proceeds to fund potential acquisition opportunities, fund our redevelopment pipeline, reduce amounts outstanding under our $250 million term loan, and/or for general corporate purposes. Our $250 million term loan bears interest at LIBOR, subject to a 1.50% floor, plus 300 basis points and matures on July 27, 2011. Affiliates of the representatives of the underwriters are lenders under our term loan and will receive a pro rata portion of any proceeds used to reduce amounts outstanding under the term loan. In addition, affiliates of the syndicate of underwriters that may offer the notes in this offering may include lenders under our term loan. Any such affiliate would also receive a pro rata portion of any proceeds used to reduce amounts outstanding under the term loan.</w:t>
      </w:r>
    </w:p>
    <w:p>
      <w:pPr>
        <w:spacing w:after="0" w:line="112"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RATIOS OF EARNINGS TO FIXED CHARGES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w w:val="87"/>
              </w:rPr>
              <w:t>For the Years Ended December 31,</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58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1.8x</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2.1x</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1.7x</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1.9x</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1.9x</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right="120" w:firstLine="8"/>
        <w:spacing w:after="0" w:line="331" w:lineRule="auto"/>
        <w:tabs>
          <w:tab w:leader="none" w:pos="239" w:val="left"/>
        </w:tabs>
        <w:numPr>
          <w:ilvl w:val="0"/>
          <w:numId w:val="6"/>
        </w:numPr>
        <w:rPr>
          <w:rFonts w:ascii="Arial" w:cs="Arial" w:eastAsia="Arial" w:hAnsi="Arial"/>
          <w:sz w:val="15"/>
          <w:szCs w:val="15"/>
          <w:color w:val="auto"/>
        </w:rPr>
      </w:pPr>
      <w:r>
        <w:rPr>
          <w:rFonts w:ascii="Arial" w:cs="Arial" w:eastAsia="Arial" w:hAnsi="Arial"/>
          <w:sz w:val="15"/>
          <w:szCs w:val="15"/>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NOTES</w:t>
      </w:r>
    </w:p>
    <w:p>
      <w:pPr>
        <w:spacing w:after="0" w:line="177" w:lineRule="exact"/>
        <w:rPr>
          <w:sz w:val="20"/>
          <w:szCs w:val="20"/>
          <w:color w:val="auto"/>
        </w:rPr>
      </w:pPr>
    </w:p>
    <w:p>
      <w:pPr>
        <w:ind w:right="180" w:firstLine="799"/>
        <w:spacing w:after="0" w:line="259"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380"/>
          </w:cols>
          <w:pgMar w:left="240" w:top="459" w:right="279" w:bottom="1440" w:gutter="0" w:footer="0" w:header="0"/>
        </w:sectPr>
      </w:pP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We are offering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million of our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 notes maturing 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 2020, which may be redeemed prior to that date in accordance with their</w:t>
      </w:r>
    </w:p>
    <w:p>
      <w:pPr>
        <w:spacing w:after="0" w:line="49" w:lineRule="exact"/>
        <w:rPr>
          <w:sz w:val="20"/>
          <w:szCs w:val="20"/>
          <w:color w:val="auto"/>
        </w:rPr>
      </w:pPr>
    </w:p>
    <w:p>
      <w:pPr>
        <w:sectPr>
          <w:pgSz w:w="11900" w:h="16838" w:orient="portrait"/>
          <w:cols w:equalWidth="0" w:num="4">
            <w:col w:w="2040" w:space="560"/>
            <w:col w:w="980" w:space="400"/>
            <w:col w:w="1480" w:space="720"/>
            <w:col w:w="5200"/>
          </w:cols>
          <w:pgMar w:left="240" w:top="459" w:right="279" w:bottom="1440" w:gutter="0" w:footer="0" w:header="0"/>
          <w:type w:val="continuous"/>
        </w:sectPr>
      </w:pPr>
    </w:p>
    <w:p>
      <w:pPr>
        <w:spacing w:after="0"/>
        <w:rPr>
          <w:sz w:val="20"/>
          <w:szCs w:val="20"/>
          <w:color w:val="auto"/>
        </w:rPr>
      </w:pPr>
      <w:r>
        <w:rPr>
          <w:rFonts w:ascii="Arial" w:cs="Arial" w:eastAsia="Arial" w:hAnsi="Arial"/>
          <w:sz w:val="15"/>
          <w:szCs w:val="15"/>
          <w:color w:val="auto"/>
        </w:rPr>
        <w:t>terms.</w:t>
      </w:r>
    </w:p>
    <w:p>
      <w:pPr>
        <w:sectPr>
          <w:pgSz w:w="11900" w:h="16838" w:orient="portrait"/>
          <w:cols w:equalWidth="0" w:num="1">
            <w:col w:w="11380"/>
          </w:cols>
          <w:pgMar w:left="240" w:top="459" w:right="279" w:bottom="1440" w:gutter="0" w:footer="0" w:header="0"/>
          <w:type w:val="continuous"/>
        </w:sectPr>
      </w:pPr>
    </w:p>
    <w:p>
      <w:pPr>
        <w:spacing w:after="0" w:line="199" w:lineRule="exact"/>
        <w:rPr>
          <w:sz w:val="20"/>
          <w:szCs w:val="20"/>
          <w:color w:val="auto"/>
        </w:rPr>
      </w:pPr>
    </w:p>
    <w:p>
      <w:pPr>
        <w:jc w:val="center"/>
        <w:ind w:left="720"/>
        <w:spacing w:after="0"/>
        <w:rPr>
          <w:sz w:val="20"/>
          <w:szCs w:val="20"/>
          <w:color w:val="auto"/>
        </w:rPr>
      </w:pPr>
      <w:r>
        <w:rPr>
          <w:rFonts w:ascii="Arial" w:cs="Arial" w:eastAsia="Arial" w:hAnsi="Arial"/>
          <w:sz w:val="15"/>
          <w:szCs w:val="15"/>
          <w:color w:val="auto"/>
        </w:rPr>
        <w:t>We will pay interest on the notes semi-annually in arrears on</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of each year, beginning</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 2010, to the registered</w:t>
      </w:r>
    </w:p>
    <w:p>
      <w:pPr>
        <w:spacing w:after="0" w:line="50" w:lineRule="exact"/>
        <w:rPr>
          <w:sz w:val="20"/>
          <w:szCs w:val="20"/>
          <w:color w:val="auto"/>
        </w:rPr>
      </w:pPr>
    </w:p>
    <w:p>
      <w:pPr>
        <w:sectPr>
          <w:pgSz w:w="11900" w:h="16838" w:orient="portrait"/>
          <w:cols w:equalWidth="0" w:num="4">
            <w:col w:w="5140" w:space="720"/>
            <w:col w:w="320" w:space="720"/>
            <w:col w:w="1660" w:space="720"/>
            <w:col w:w="2100"/>
          </w:cols>
          <w:pgMar w:left="240" w:top="459" w:right="279" w:bottom="1440" w:gutter="0" w:footer="0" w:header="0"/>
          <w:type w:val="continuous"/>
        </w:sectPr>
      </w:pPr>
    </w:p>
    <w:p>
      <w:pPr>
        <w:spacing w:after="0"/>
        <w:tabs>
          <w:tab w:leader="none" w:pos="3380" w:val="left"/>
          <w:tab w:leader="none" w:pos="4380" w:val="left"/>
        </w:tabs>
        <w:rPr>
          <w:sz w:val="20"/>
          <w:szCs w:val="20"/>
          <w:color w:val="auto"/>
        </w:rPr>
      </w:pPr>
      <w:r>
        <w:rPr>
          <w:rFonts w:ascii="Arial" w:cs="Arial" w:eastAsia="Arial" w:hAnsi="Arial"/>
          <w:sz w:val="18"/>
          <w:szCs w:val="18"/>
          <w:color w:val="auto"/>
        </w:rPr>
        <w:t>holders of the notes on the preceding</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4"/>
          <w:szCs w:val="14"/>
          <w:color w:val="auto"/>
        </w:rPr>
        <w:t>.</w:t>
      </w:r>
    </w:p>
    <w:p>
      <w:pPr>
        <w:sectPr>
          <w:pgSz w:w="11900" w:h="16838" w:orient="portrait"/>
          <w:cols w:equalWidth="0" w:num="1">
            <w:col w:w="11380"/>
          </w:cols>
          <w:pgMar w:left="240" w:top="459" w:right="279" w:bottom="1440" w:gutter="0" w:footer="0" w:header="0"/>
          <w:type w:val="continuous"/>
        </w:sectPr>
      </w:pPr>
    </w:p>
    <w:p>
      <w:pPr>
        <w:spacing w:after="0" w:line="16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165"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issue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77"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and the notes will be effectively subordinated to the prior claims of each secured mortgage lender to any specific property that secures such lender’s mortgage and to all of the unsecured indebtedness of our subsidiaries. After giving effect to this offering and to the use of proceeds from this offering, we will have outstanding approximately $540 million (excluding net unamortized discount) of secured indebtedness collateralized by all or parts of 22 properties (of which approximately $286 million was issued by our subsidiaries), approximately $12 million of unsecured indebtedness issued by our subsidiaries (which will be senior to the notes) and approximately $1,180 million of other unsecured indebtedness (excluding net unamortized premium) ranking equally with the notes.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77" w:lineRule="exact"/>
        <w:rPr>
          <w:sz w:val="20"/>
          <w:szCs w:val="20"/>
          <w:color w:val="auto"/>
        </w:rPr>
      </w:pPr>
    </w:p>
    <w:p>
      <w:pPr>
        <w:ind w:right="180" w:firstLine="799"/>
        <w:spacing w:after="0" w:line="302" w:lineRule="auto"/>
        <w:rPr>
          <w:sz w:val="20"/>
          <w:szCs w:val="20"/>
          <w:color w:val="auto"/>
        </w:rPr>
      </w:pPr>
      <w:r>
        <w:rPr>
          <w:rFonts w:ascii="Arial" w:cs="Arial" w:eastAsia="Arial" w:hAnsi="Arial"/>
          <w:sz w:val="15"/>
          <w:szCs w:val="15"/>
          <w:color w:val="auto"/>
        </w:rPr>
        <w:t>We may redeem the notes at any time in whole or from time to time in part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w:t>
      </w:r>
    </w:p>
    <w:p>
      <w:pPr>
        <w:spacing w:after="0" w:line="3" w:lineRule="exact"/>
        <w:rPr>
          <w:sz w:val="20"/>
          <w:szCs w:val="20"/>
          <w:color w:val="auto"/>
        </w:rPr>
      </w:pPr>
    </w:p>
    <w:p>
      <w:pPr>
        <w:ind w:left="400"/>
        <w:spacing w:after="0"/>
        <w:tabs>
          <w:tab w:leader="none" w:pos="1660" w:val="left"/>
        </w:tabs>
        <w:rPr>
          <w:sz w:val="20"/>
          <w:szCs w:val="20"/>
          <w:color w:val="auto"/>
        </w:rPr>
      </w:pPr>
      <w:r>
        <w:rPr>
          <w:rFonts w:ascii="Arial" w:cs="Arial" w:eastAsia="Arial" w:hAnsi="Arial"/>
          <w:sz w:val="18"/>
          <w:szCs w:val="18"/>
          <w:color w:val="auto"/>
        </w:rPr>
        <w:t>basis points (0.</w:t>
      </w:r>
      <w:r>
        <w:rPr>
          <w:sz w:val="20"/>
          <w:szCs w:val="20"/>
          <w:color w:val="auto"/>
        </w:rPr>
        <w:tab/>
      </w:r>
      <w:r>
        <w:rPr>
          <w:rFonts w:ascii="Arial" w:cs="Arial" w:eastAsia="Arial" w:hAnsi="Arial"/>
          <w:sz w:val="15"/>
          <w:szCs w:val="15"/>
          <w:color w:val="auto"/>
        </w:rPr>
        <w:t>%), plus, in each case, accrued interest thereon to the redemption date.</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As used herein:</w:t>
      </w:r>
    </w:p>
    <w:p>
      <w:pPr>
        <w:spacing w:after="0" w:line="171" w:lineRule="exact"/>
        <w:rPr>
          <w:sz w:val="20"/>
          <w:szCs w:val="20"/>
          <w:color w:val="auto"/>
        </w:rPr>
      </w:pPr>
    </w:p>
    <w:p>
      <w:pPr>
        <w:ind w:right="260" w:firstLine="7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Comparable Treasury Issue (expressed as a percentage of its principal amount) equal to the Comparable Treasury Price for such redemption date.</w:t>
      </w:r>
    </w:p>
    <w:p>
      <w:pPr>
        <w:spacing w:after="0" w:line="194" w:lineRule="exact"/>
        <w:rPr>
          <w:sz w:val="20"/>
          <w:szCs w:val="20"/>
          <w:color w:val="auto"/>
        </w:rPr>
      </w:pPr>
    </w:p>
    <w:p>
      <w:pPr>
        <w:ind w:right="280" w:firstLine="79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40"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four such Reference Treasury Dealer Quotations, the average of all such Quotations.</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171" w:lineRule="exact"/>
        <w:rPr>
          <w:sz w:val="20"/>
          <w:szCs w:val="20"/>
          <w:color w:val="auto"/>
        </w:rPr>
      </w:pPr>
    </w:p>
    <w:p>
      <w:pPr>
        <w:ind w:right="180" w:firstLine="79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Banc of America Securities LLC and a Primary Treasury Dealer (as defined below) selected by Wells Fargo Securities, LLC,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either of the Reference Treasury Dealers ceases to be a primary U.S. Government securities dealer, or a Primary Treasury Dealer, we will substitute therefor another Primary Treasury Dealer; and (2) any two other Primary Treasury Dealers selected by us.</w:t>
      </w:r>
    </w:p>
    <w:p>
      <w:pPr>
        <w:spacing w:after="0" w:line="143" w:lineRule="exact"/>
        <w:rPr>
          <w:sz w:val="20"/>
          <w:szCs w:val="20"/>
          <w:color w:val="auto"/>
        </w:rPr>
      </w:pPr>
    </w:p>
    <w:p>
      <w:pPr>
        <w:ind w:right="80" w:firstLine="799"/>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07" w:lineRule="exact"/>
        <w:rPr>
          <w:sz w:val="20"/>
          <w:szCs w:val="20"/>
          <w:color w:val="auto"/>
        </w:rPr>
      </w:pPr>
    </w:p>
    <w:p>
      <w:pPr>
        <w:ind w:right="220" w:firstLine="799"/>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b w:val="1"/>
          <w:bCs w:val="1"/>
          <w:i w:val="1"/>
          <w:iCs w:val="1"/>
          <w:color w:val="auto"/>
        </w:rPr>
        <w:t xml:space="preserve">Limitations on Incurrence of Debt.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18" w:lineRule="exact"/>
        <w:rPr>
          <w:sz w:val="20"/>
          <w:szCs w:val="20"/>
          <w:color w:val="auto"/>
        </w:rPr>
      </w:pPr>
    </w:p>
    <w:p>
      <w:pPr>
        <w:ind w:right="220" w:firstLine="799"/>
        <w:spacing w:after="0" w:line="255" w:lineRule="auto"/>
        <w:rPr>
          <w:sz w:val="20"/>
          <w:szCs w:val="20"/>
          <w:color w:val="auto"/>
        </w:rPr>
      </w:pPr>
      <w:r>
        <w:rPr>
          <w:rFonts w:ascii="Arial" w:cs="Arial" w:eastAsia="Arial" w:hAnsi="Arial"/>
          <w:sz w:val="18"/>
          <w:szCs w:val="18"/>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w:t>
      </w:r>
      <w:r>
        <w:rPr>
          <w:rFonts w:ascii="Arial" w:cs="Arial" w:eastAsia="Arial" w:hAnsi="Arial"/>
          <w:sz w:val="16"/>
          <w:szCs w:val="16"/>
          <w:color w:val="auto"/>
        </w:rPr>
        <w:t>for purposes of this limitation, the amount of obligations under capital leases shown as a liability on our consolidated balance sheet shall be deducted from</w:t>
      </w:r>
      <w:r>
        <w:rPr>
          <w:rFonts w:ascii="Arial" w:cs="Arial" w:eastAsia="Arial" w:hAnsi="Arial"/>
          <w:sz w:val="16"/>
          <w:szCs w:val="16"/>
          <w:i w:val="1"/>
          <w:iCs w:val="1"/>
          <w:color w:val="auto"/>
        </w:rPr>
        <w:t xml:space="preserve"> </w:t>
      </w:r>
      <w:r>
        <w:rPr>
          <w:rFonts w:ascii="Arial" w:cs="Arial" w:eastAsia="Arial" w:hAnsi="Arial"/>
          <w:sz w:val="16"/>
          <w:szCs w:val="16"/>
          <w:color w:val="auto"/>
        </w:rPr>
        <w:t>Debt and from Total Assets.</w:t>
      </w:r>
    </w:p>
    <w:p>
      <w:pPr>
        <w:spacing w:after="0" w:line="118"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21"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b w:val="1"/>
          <w:bCs w:val="1"/>
          <w:i w:val="1"/>
          <w:iCs w:val="1"/>
          <w:color w:val="auto"/>
        </w:rPr>
        <w:t xml:space="preserve">Maintenance of Unencumbered Total Asset Value.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40" w:lineRule="exact"/>
        <w:rPr>
          <w:sz w:val="20"/>
          <w:szCs w:val="20"/>
          <w:color w:val="auto"/>
        </w:rPr>
      </w:pPr>
    </w:p>
    <w:p>
      <w:pPr>
        <w:ind w:right="180" w:firstLine="799"/>
        <w:spacing w:after="0" w:line="294" w:lineRule="auto"/>
        <w:rPr>
          <w:sz w:val="20"/>
          <w:szCs w:val="20"/>
          <w:color w:val="auto"/>
        </w:rPr>
      </w:pPr>
      <w:r>
        <w:rPr>
          <w:rFonts w:ascii="Arial" w:cs="Arial" w:eastAsia="Arial" w:hAnsi="Arial"/>
          <w:sz w:val="16"/>
          <w:szCs w:val="16"/>
          <w:b w:val="1"/>
          <w:bCs w:val="1"/>
          <w:i w:val="1"/>
          <w:iCs w:val="1"/>
          <w:color w:val="auto"/>
        </w:rPr>
        <w:t xml:space="preserve">Insurance. </w:t>
      </w:r>
      <w:r>
        <w:rPr>
          <w:rFonts w:ascii="Arial" w:cs="Arial" w:eastAsia="Arial" w:hAnsi="Arial"/>
          <w:sz w:val="16"/>
          <w:szCs w:val="16"/>
          <w:color w:val="auto"/>
        </w:rPr>
        <w:t>The notes will provide that we will, and will cause each of our subsidiaries to, maintain insurance with financially sound and reputable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Agent (as defined in our credit agreement dated as of July 28, 2006)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As used herein:</w:t>
      </w:r>
    </w:p>
    <w:p>
      <w:pPr>
        <w:spacing w:after="0" w:line="171"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43" w:lineRule="exact"/>
        <w:rPr>
          <w:sz w:val="20"/>
          <w:szCs w:val="20"/>
          <w:color w:val="auto"/>
        </w:rPr>
      </w:pPr>
    </w:p>
    <w:p>
      <w:pPr>
        <w:ind w:right="140" w:firstLine="7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40" w:lineRule="exact"/>
        <w:rPr>
          <w:sz w:val="20"/>
          <w:szCs w:val="20"/>
          <w:color w:val="auto"/>
        </w:rPr>
      </w:pPr>
    </w:p>
    <w:p>
      <w:pPr>
        <w:ind w:right="220" w:firstLine="7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32" w:lineRule="exact"/>
        <w:rPr>
          <w:sz w:val="20"/>
          <w:szCs w:val="20"/>
          <w:color w:val="auto"/>
        </w:rPr>
      </w:pPr>
    </w:p>
    <w:p>
      <w:pPr>
        <w:ind w:firstLine="79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28" w:lineRule="exact"/>
        <w:rPr>
          <w:sz w:val="20"/>
          <w:szCs w:val="20"/>
          <w:color w:val="auto"/>
        </w:rPr>
      </w:pPr>
    </w:p>
    <w:p>
      <w:pPr>
        <w:ind w:right="40" w:firstLine="7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13" w:lineRule="exact"/>
        <w:rPr>
          <w:sz w:val="20"/>
          <w:szCs w:val="20"/>
          <w:color w:val="auto"/>
        </w:rPr>
      </w:pPr>
    </w:p>
    <w:p>
      <w:pPr>
        <w:ind w:right="220" w:firstLine="7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32" w:lineRule="exact"/>
        <w:rPr>
          <w:sz w:val="20"/>
          <w:szCs w:val="20"/>
          <w:color w:val="auto"/>
        </w:rPr>
      </w:pPr>
    </w:p>
    <w:p>
      <w:pPr>
        <w:ind w:right="660" w:firstLine="799"/>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85" w:lineRule="exact"/>
        <w:rPr>
          <w:sz w:val="20"/>
          <w:szCs w:val="20"/>
          <w:color w:val="auto"/>
        </w:rPr>
      </w:pPr>
    </w:p>
    <w:p>
      <w:pPr>
        <w:ind w:right="320" w:firstLine="799"/>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Undepreciated Real Estate Assets</w:t>
      </w:r>
      <w:r>
        <w:rPr>
          <w:rFonts w:ascii="Arial" w:cs="Arial" w:eastAsia="Arial" w:hAnsi="Arial"/>
          <w:sz w:val="15"/>
          <w:szCs w:val="15"/>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62"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Unencumbered Total Asset Value</w:t>
      </w:r>
      <w:r>
        <w:rPr>
          <w:rFonts w:ascii="Arial" w:cs="Arial" w:eastAsia="Arial" w:hAnsi="Arial"/>
          <w:sz w:val="18"/>
          <w:szCs w:val="18"/>
          <w:color w:val="auto"/>
        </w:rPr>
        <w:t>” as of any date means the sum of (a) those Undepreciated Real Estate Assets not encumbered by any mortgage, lien, 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799"/>
        <w:spacing w:after="0" w:line="438" w:lineRule="auto"/>
        <w:rPr>
          <w:sz w:val="20"/>
          <w:szCs w:val="20"/>
          <w:color w:val="auto"/>
        </w:rPr>
      </w:pPr>
      <w:r>
        <w:rPr>
          <w:rFonts w:ascii="Arial" w:cs="Arial" w:eastAsia="Arial" w:hAnsi="Arial"/>
          <w:sz w:val="18"/>
          <w:szCs w:val="18"/>
          <w:color w:val="auto"/>
        </w:rPr>
        <w:t xml:space="preserve">See “Description of Debt Securities—Certain Covenants” in the accompanying prospectus for a description of additional covenants applicable to us. </w:t>
      </w:r>
      <w:r>
        <w:rPr>
          <w:rFonts w:ascii="Arial" w:cs="Arial" w:eastAsia="Arial" w:hAnsi="Arial"/>
          <w:sz w:val="18"/>
          <w:szCs w:val="18"/>
          <w:b w:val="1"/>
          <w:bCs w:val="1"/>
          <w:color w:val="auto"/>
        </w:rPr>
        <w:t>Book-Entry Form</w:t>
      </w:r>
    </w:p>
    <w:p>
      <w:pPr>
        <w:spacing w:after="0" w:line="1"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43" w:lineRule="exact"/>
        <w:rPr>
          <w:sz w:val="20"/>
          <w:szCs w:val="20"/>
          <w:color w:val="auto"/>
        </w:rPr>
      </w:pPr>
    </w:p>
    <w:p>
      <w:pPr>
        <w:ind w:right="40" w:firstLine="799"/>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18" w:lineRule="exact"/>
        <w:rPr>
          <w:sz w:val="20"/>
          <w:szCs w:val="20"/>
          <w:color w:val="auto"/>
        </w:rPr>
      </w:pPr>
    </w:p>
    <w:p>
      <w:pPr>
        <w:ind w:right="40" w:firstLine="799"/>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20" w:lineRule="exact"/>
        <w:rPr>
          <w:sz w:val="20"/>
          <w:szCs w:val="20"/>
          <w:color w:val="auto"/>
        </w:rPr>
      </w:pPr>
    </w:p>
    <w:p>
      <w:pPr>
        <w:ind w:right="40" w:firstLine="799"/>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43"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13"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18" w:lineRule="exact"/>
        <w:rPr>
          <w:sz w:val="20"/>
          <w:szCs w:val="20"/>
          <w:color w:val="auto"/>
        </w:rPr>
      </w:pPr>
    </w:p>
    <w:p>
      <w:pPr>
        <w:ind w:right="120" w:firstLine="799"/>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16" w:lineRule="exact"/>
        <w:rPr>
          <w:sz w:val="20"/>
          <w:szCs w:val="20"/>
          <w:color w:val="auto"/>
        </w:rPr>
      </w:pPr>
    </w:p>
    <w:p>
      <w:pPr>
        <w:ind w:right="440" w:firstLine="799"/>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40" w:lineRule="exact"/>
        <w:rPr>
          <w:sz w:val="20"/>
          <w:szCs w:val="20"/>
          <w:color w:val="auto"/>
        </w:rPr>
      </w:pPr>
    </w:p>
    <w:p>
      <w:pPr>
        <w:ind w:right="60" w:firstLine="799"/>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88" w:lineRule="exact"/>
        <w:rPr>
          <w:sz w:val="20"/>
          <w:szCs w:val="20"/>
          <w:color w:val="auto"/>
        </w:rPr>
      </w:pPr>
    </w:p>
    <w:p>
      <w:pPr>
        <w:ind w:right="140" w:firstLine="799"/>
        <w:spacing w:after="0" w:line="289" w:lineRule="auto"/>
        <w:rPr>
          <w:sz w:val="20"/>
          <w:szCs w:val="20"/>
          <w:color w:val="auto"/>
        </w:rPr>
      </w:pPr>
      <w:r>
        <w:rPr>
          <w:rFonts w:ascii="Arial" w:cs="Arial" w:eastAsia="Arial" w:hAnsi="Arial"/>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32"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U.S. FEDERAL INCOME TAX CONSIDERATIONS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ind w:right="20" w:firstLine="799"/>
        <w:spacing w:after="0" w:line="285"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36 of the accompanying prospectus. The following is a summary of the additional material U.S. federal income tax considerations pertaining to the acquisition, ownership and disposition of the notes and should be read in conjunction with the referenced sections in the accompanying prospectus. This discussion applies only to initial holders of notes that acquire their notes pursuant to this offering and hold the notes as capital assets (generally property held for investment) within the meaning of Section 1221 of the Code. This discussion is based on the Code, income tax regulations promulgated thereunder, judicial positions, published positions of the Internal Revenue Service, or the IRS, and other applicable authorities, all as in effect as of the date hereof and all of which are subject to change, possibly with retroactive effect. This discussion of additional considerations is general in nature and is not exhaustive of all possible tax considerations, nor does the discussion address any state, local or foreign tax considerations or any U.S. tax considerations (e.g., estate or gift tax) other than U.S. federal income tax considerations, that may be applicable to particular holders. This discussion of additional considerations is based on current law and does not purport to deal with all aspects of U.S. federal income taxation that may be relevant to a prospective holder of the notes in light of its particular circumstances or to certain types of holders subject to special treatment under the U.S. federal income tax laws, such as financial institutions, brokers, dealers in securities and commodities, insurance companies, certain former U.S. citizens or long-term residents, regulated investment companies, REITs, tax-exempt organizations, controlled foreign corporations, passive foreign investment companies, persons that acquire their notes in connection with employment or other performance of personal services, persons subject to the alternative minimum tax, persons that are, or that hold their notes through, partnerships or other pass-through entities, U.S. holders whose functional currency is not the U.S. dollar, or persons that hold notes as part of a straddle, hedge, conversion, synthetic security or constructive sale transaction for U.S. federal income tax purposes. We have not requested and will not request a ruling from the IRS with respect to any of the U.S. federal income tax issues discussed below or in the accompanying prospectus.</w:t>
      </w:r>
    </w:p>
    <w:p>
      <w:pPr>
        <w:spacing w:after="0" w:line="115" w:lineRule="exact"/>
        <w:rPr>
          <w:sz w:val="20"/>
          <w:szCs w:val="20"/>
          <w:color w:val="auto"/>
        </w:rPr>
      </w:pPr>
    </w:p>
    <w:p>
      <w:pPr>
        <w:ind w:right="100" w:firstLine="799"/>
        <w:spacing w:after="0" w:line="339" w:lineRule="auto"/>
        <w:rPr>
          <w:sz w:val="20"/>
          <w:szCs w:val="20"/>
          <w:color w:val="auto"/>
        </w:rPr>
      </w:pPr>
      <w:r>
        <w:rPr>
          <w:rFonts w:ascii="Arial" w:cs="Arial" w:eastAsia="Arial" w:hAnsi="Arial"/>
          <w:sz w:val="16"/>
          <w:szCs w:val="16"/>
          <w:b w:val="1"/>
          <w:bCs w:val="1"/>
          <w:color w:val="auto"/>
        </w:rPr>
        <w:t>PROSPECTIVE INVESTORS ARE URGED TO CONSULT THEIR OWN TAX ADVISORS REGARDING THE U.S. FEDERAL, STATE, LOCAL, FOREIGN AND OTHER TAX CONSEQUENCES OF THE ACQUISITION, OWNERSHIP AND DISPOSITION OF THE NOTES.</w:t>
      </w:r>
    </w:p>
    <w:p>
      <w:pPr>
        <w:spacing w:after="0" w:line="8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As used herein, the term “U.S. Holder” means a beneficial owner of a note that for U.S. federal income tax purposes is</w:t>
      </w:r>
    </w:p>
    <w:p>
      <w:pPr>
        <w:spacing w:after="0" w:line="212" w:lineRule="exact"/>
        <w:rPr>
          <w:sz w:val="20"/>
          <w:szCs w:val="20"/>
          <w:color w:val="auto"/>
        </w:rPr>
      </w:pPr>
    </w:p>
    <w:p>
      <w:pPr>
        <w:ind w:left="1240" w:hanging="327"/>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11" w:lineRule="exact"/>
        <w:rPr>
          <w:rFonts w:ascii="Arial" w:cs="Arial" w:eastAsia="Arial" w:hAnsi="Arial"/>
          <w:sz w:val="18"/>
          <w:szCs w:val="18"/>
          <w:color w:val="auto"/>
        </w:rPr>
      </w:pPr>
    </w:p>
    <w:p>
      <w:pPr>
        <w:ind w:left="1240" w:right="80" w:hanging="327"/>
        <w:spacing w:after="0" w:line="268"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of its states or the District of Columbia;</w:t>
      </w:r>
    </w:p>
    <w:p>
      <w:pPr>
        <w:spacing w:after="0" w:line="172" w:lineRule="exact"/>
        <w:rPr>
          <w:rFonts w:ascii="Arial" w:cs="Arial" w:eastAsia="Arial" w:hAnsi="Arial"/>
          <w:sz w:val="18"/>
          <w:szCs w:val="18"/>
          <w:color w:val="auto"/>
        </w:rPr>
      </w:pPr>
    </w:p>
    <w:p>
      <w:pPr>
        <w:ind w:left="1240" w:hanging="327"/>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11" w:lineRule="exact"/>
        <w:rPr>
          <w:rFonts w:ascii="Arial" w:cs="Arial" w:eastAsia="Arial" w:hAnsi="Arial"/>
          <w:sz w:val="18"/>
          <w:szCs w:val="18"/>
          <w:color w:val="auto"/>
        </w:rPr>
      </w:pPr>
    </w:p>
    <w:p>
      <w:pPr>
        <w:ind w:left="1240" w:right="320" w:hanging="327"/>
        <w:spacing w:after="0" w:line="332"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the trust has a valid election in effect to be treated as a U.S. person.</w:t>
      </w:r>
    </w:p>
    <w:p>
      <w:pPr>
        <w:spacing w:after="0" w:line="85" w:lineRule="exact"/>
        <w:rPr>
          <w:sz w:val="20"/>
          <w:szCs w:val="20"/>
          <w:color w:val="auto"/>
        </w:rPr>
      </w:pPr>
    </w:p>
    <w:p>
      <w:pPr>
        <w:ind w:right="40" w:firstLine="799"/>
        <w:spacing w:after="0" w:line="268" w:lineRule="auto"/>
        <w:rPr>
          <w:sz w:val="20"/>
          <w:szCs w:val="20"/>
          <w:color w:val="auto"/>
        </w:rPr>
      </w:pPr>
      <w:r>
        <w:rPr>
          <w:rFonts w:ascii="Arial" w:cs="Arial" w:eastAsia="Arial" w:hAnsi="Arial"/>
          <w:sz w:val="18"/>
          <w:szCs w:val="18"/>
          <w:color w:val="auto"/>
        </w:rPr>
        <w:t>A “Non-U.S. Holder” means a beneficial owner of a note that is not a U.S. Holder and that is not a partnership or an entity or arrangement treated as a partnership for U.S. federal income tax purposes.</w:t>
      </w:r>
    </w:p>
    <w:p>
      <w:pPr>
        <w:spacing w:after="0" w:line="132"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a note, the treatment of a partner in the partnership will generally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depend on the status of the partner and the activities of the partnership. Holders that are partnerships holding notes (and partners in such partnerships) are encouraged to consult their tax advisors.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77" w:lineRule="exact"/>
        <w:rPr>
          <w:sz w:val="20"/>
          <w:szCs w:val="20"/>
          <w:color w:val="auto"/>
        </w:rPr>
      </w:pPr>
    </w:p>
    <w:p>
      <w:pPr>
        <w:jc w:val="both"/>
        <w:ind w:right="320" w:firstLine="799"/>
        <w:spacing w:after="0" w:line="306" w:lineRule="auto"/>
        <w:rPr>
          <w:sz w:val="20"/>
          <w:szCs w:val="20"/>
          <w:color w:val="auto"/>
        </w:rPr>
      </w:pPr>
      <w:r>
        <w:rPr>
          <w:rFonts w:ascii="Arial" w:cs="Arial" w:eastAsia="Arial" w:hAnsi="Arial"/>
          <w:sz w:val="16"/>
          <w:szCs w:val="16"/>
          <w:b w:val="1"/>
          <w:bCs w:val="1"/>
          <w:i w:val="1"/>
          <w:iCs w:val="1"/>
          <w:color w:val="auto"/>
        </w:rPr>
        <w:t xml:space="preserve">Stated Interest on the Notes. </w:t>
      </w:r>
      <w:r>
        <w:rPr>
          <w:rFonts w:ascii="Arial" w:cs="Arial" w:eastAsia="Arial" w:hAnsi="Arial"/>
          <w:sz w:val="16"/>
          <w:szCs w:val="16"/>
          <w:color w:val="auto"/>
        </w:rPr>
        <w:t>A U.S. Holder generally will be required to include stated interest on the notes as ordinary income when received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accrued in accordance with the U.S. Holder’s regular method of tax accounting to the extent such stated interest is “qualified stated interest.” Stated interest is qualified stated interest if it is unconditionally payable in cash at least annually. The stated interest on the notes is qualified stated interest.</w:t>
      </w:r>
    </w:p>
    <w:p>
      <w:pPr>
        <w:spacing w:after="0" w:line="107"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 exceeds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its “issue price” by an amount that is equal to or greater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143" w:lineRule="exact"/>
        <w:rPr>
          <w:sz w:val="20"/>
          <w:szCs w:val="20"/>
          <w:color w:val="auto"/>
        </w:rPr>
      </w:pPr>
    </w:p>
    <w:p>
      <w:pPr>
        <w:jc w:val="both"/>
        <w:ind w:right="280" w:firstLine="799"/>
        <w:spacing w:after="0" w:line="303" w:lineRule="auto"/>
        <w:rPr>
          <w:sz w:val="20"/>
          <w:szCs w:val="20"/>
          <w:color w:val="auto"/>
        </w:rPr>
      </w:pPr>
      <w:r>
        <w:rPr>
          <w:rFonts w:ascii="Arial" w:cs="Arial" w:eastAsia="Arial" w:hAnsi="Arial"/>
          <w:sz w:val="15"/>
          <w:szCs w:val="15"/>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44"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are encouraged to consult their own tax advisors regarding the determination of the issue price of the notes and the possible application of the OID rules.</w:t>
      </w:r>
    </w:p>
    <w:p>
      <w:pPr>
        <w:spacing w:after="0" w:line="140" w:lineRule="exact"/>
        <w:rPr>
          <w:sz w:val="20"/>
          <w:szCs w:val="20"/>
          <w:color w:val="auto"/>
        </w:rPr>
      </w:pPr>
    </w:p>
    <w:p>
      <w:pPr>
        <w:ind w:firstLine="799"/>
        <w:spacing w:after="0" w:line="312" w:lineRule="auto"/>
        <w:rPr>
          <w:sz w:val="20"/>
          <w:szCs w:val="20"/>
          <w:color w:val="auto"/>
        </w:rPr>
      </w:pPr>
      <w:r>
        <w:rPr>
          <w:rFonts w:ascii="Arial" w:cs="Arial" w:eastAsia="Arial" w:hAnsi="Arial"/>
          <w:sz w:val="15"/>
          <w:szCs w:val="15"/>
          <w:b w:val="1"/>
          <w:bCs w:val="1"/>
          <w:i w:val="1"/>
          <w:iCs w:val="1"/>
          <w:color w:val="auto"/>
        </w:rPr>
        <w:t xml:space="preserve">Sale, Exchange, Redemption or Retirement of the Notes. </w:t>
      </w:r>
      <w:r>
        <w:rPr>
          <w:rFonts w:ascii="Arial" w:cs="Arial" w:eastAsia="Arial" w:hAnsi="Arial"/>
          <w:sz w:val="15"/>
          <w:szCs w:val="15"/>
          <w:color w:val="auto"/>
        </w:rPr>
        <w:t>Unless a non-recognition provision applies, upon the sale, exchange, redemption, retirement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other taxable disposition of a note, a U.S. Holder will generally recognize capital gain or loss equal to the difference (if any) between the amount realized (other than amounts attributable to accrued but unpaid stated interest, which amounts will be treated as interest, taxable to the U.S. Holder in accordance with its regular method of accounting, as described above) and such U.S. Holder’s adjusted tax basis in the note. The U.S. Holder’s adjusted tax basis in a note generally will be the purchase price for the note, reduced by the amount of any payments previously received by the U.S. Holder (other than qualified stated interest). Such gain or loss shall be treated as long-term capital gain or loss if the notes are held for more than one year at the time of disposition. Long-term capital gain of a non-corporate U.S. Holder is generally subject to preferential rates of taxation. The ability of U.S. Holders to deduct capital losses is subject to limitations.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77" w:lineRule="exact"/>
        <w:rPr>
          <w:sz w:val="20"/>
          <w:szCs w:val="20"/>
          <w:color w:val="auto"/>
        </w:rPr>
      </w:pPr>
    </w:p>
    <w:p>
      <w:pPr>
        <w:ind w:right="320" w:firstLine="799"/>
        <w:spacing w:after="0" w:line="268"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encouraged to consult with their tax advisors to determine the impact of U.S. federal, state, local and non-U.S. tax laws with regard to the notes.</w:t>
      </w:r>
    </w:p>
    <w:p>
      <w:pPr>
        <w:spacing w:after="0" w:line="194" w:lineRule="exact"/>
        <w:rPr>
          <w:sz w:val="20"/>
          <w:szCs w:val="20"/>
          <w:color w:val="auto"/>
        </w:rPr>
      </w:pPr>
    </w:p>
    <w:p>
      <w:pPr>
        <w:ind w:right="60" w:firstLine="799"/>
        <w:spacing w:after="0" w:line="268" w:lineRule="auto"/>
        <w:rPr>
          <w:sz w:val="20"/>
          <w:szCs w:val="20"/>
          <w:color w:val="auto"/>
        </w:rPr>
      </w:pPr>
      <w:r>
        <w:rPr>
          <w:rFonts w:ascii="Arial" w:cs="Arial" w:eastAsia="Arial" w:hAnsi="Arial"/>
          <w:sz w:val="18"/>
          <w:szCs w:val="18"/>
          <w:b w:val="1"/>
          <w:bCs w:val="1"/>
          <w:i w:val="1"/>
          <w:iCs w:val="1"/>
          <w:color w:val="auto"/>
        </w:rPr>
        <w:t xml:space="preserve">Interest on the Notes. </w:t>
      </w:r>
      <w:r>
        <w:rPr>
          <w:rFonts w:ascii="Arial" w:cs="Arial" w:eastAsia="Arial" w:hAnsi="Arial"/>
          <w:sz w:val="18"/>
          <w:szCs w:val="18"/>
          <w:color w:val="auto"/>
        </w:rPr>
        <w:t>Subject to the discussion on backup withholding below, a Non-U.S. Holder generally will not be subject to U.S. federal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or withholding tax on payments of interest (including OID) on a note,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72" w:lineRule="exact"/>
        <w:rPr>
          <w:sz w:val="20"/>
          <w:szCs w:val="20"/>
          <w:color w:val="auto"/>
        </w:rPr>
      </w:pPr>
    </w:p>
    <w:p>
      <w:pPr>
        <w:jc w:val="both"/>
        <w:ind w:left="1240" w:right="80" w:hanging="327"/>
        <w:spacing w:after="0" w:line="259"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Non-U.S. Holder is not (A) a direct or indirect owner of 10% or more of our voting stock, (B) a controlled foreign corporation related to us through stock ownership, or (C) a bank whose receipt of interest on a note is pursuant to a loan agreement entered into in the ordinary course of business;</w:t>
      </w:r>
    </w:p>
    <w:p>
      <w:pPr>
        <w:spacing w:after="0" w:line="180" w:lineRule="exact"/>
        <w:rPr>
          <w:rFonts w:ascii="Arial" w:cs="Arial" w:eastAsia="Arial" w:hAnsi="Arial"/>
          <w:sz w:val="18"/>
          <w:szCs w:val="18"/>
          <w:color w:val="auto"/>
        </w:rPr>
      </w:pPr>
    </w:p>
    <w:p>
      <w:pPr>
        <w:ind w:left="1240" w:right="220" w:hanging="327"/>
        <w:spacing w:after="0" w:line="268"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interest payments are not effectively connected with the conduct by the Non-U.S. Holder of a trade or business within the United States; and</w:t>
      </w:r>
    </w:p>
    <w:p>
      <w:pPr>
        <w:spacing w:after="0" w:line="172" w:lineRule="exact"/>
        <w:rPr>
          <w:rFonts w:ascii="Arial" w:cs="Arial" w:eastAsia="Arial" w:hAnsi="Arial"/>
          <w:sz w:val="18"/>
          <w:szCs w:val="18"/>
          <w:color w:val="auto"/>
        </w:rPr>
      </w:pPr>
    </w:p>
    <w:p>
      <w:pPr>
        <w:ind w:left="1240" w:right="300" w:hanging="327"/>
        <w:spacing w:after="0" w:line="332"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or our paying agent receives certain information from the Non-U.S. Holder (or a financial institution that holds the notes on behalf of the Non-U.S. Holder in the ordinary course of its trade or business), including certification that such holder is a Non-U.S. Holder.</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unless:</w:t>
      </w:r>
    </w:p>
    <w:p>
      <w:pPr>
        <w:spacing w:after="0" w:line="205" w:lineRule="exact"/>
        <w:rPr>
          <w:sz w:val="20"/>
          <w:szCs w:val="20"/>
          <w:color w:val="auto"/>
        </w:rPr>
      </w:pPr>
    </w:p>
    <w:p>
      <w:pPr>
        <w:ind w:left="1240" w:hanging="327"/>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or</w:t>
      </w:r>
    </w:p>
    <w:p>
      <w:pPr>
        <w:spacing w:after="0" w:line="211" w:lineRule="exact"/>
        <w:rPr>
          <w:rFonts w:ascii="Arial" w:cs="Arial" w:eastAsia="Arial" w:hAnsi="Arial"/>
          <w:sz w:val="18"/>
          <w:szCs w:val="18"/>
          <w:color w:val="auto"/>
        </w:rPr>
      </w:pPr>
    </w:p>
    <w:p>
      <w:pPr>
        <w:ind w:left="1240" w:hanging="327"/>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171"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which is generally imposed on a foreign corporation on the actual or deemed repatriation from the United States of earnings and profits attributable to a U.S. trade or business. If interest is subject to U.S. federal income tax on a net basis in accordance with the rules described in the preceding sentence, payments of such interest will not be subject to U.S. withholding tax so long as the Non-U.S. Holder provides us or the paying agent with an appropriate IRS form (generally, IRS Form W-8ECI). To claim the benefit of an income tax treaty, the Non-U.S. Holder must timely provide the appropriate, properly executed IRS forms (generally, IRS Form W-8BEN). These forms may be required to be periodically updated.</w:t>
      </w:r>
    </w:p>
    <w:p>
      <w:pPr>
        <w:spacing w:after="0" w:line="118" w:lineRule="exact"/>
        <w:rPr>
          <w:sz w:val="20"/>
          <w:szCs w:val="20"/>
          <w:color w:val="auto"/>
        </w:rPr>
      </w:pPr>
    </w:p>
    <w:p>
      <w:pPr>
        <w:ind w:right="160" w:firstLine="799"/>
        <w:spacing w:after="0" w:line="332" w:lineRule="auto"/>
        <w:rPr>
          <w:sz w:val="20"/>
          <w:szCs w:val="20"/>
          <w:color w:val="auto"/>
        </w:rPr>
      </w:pPr>
      <w:r>
        <w:rPr>
          <w:rFonts w:ascii="Arial" w:cs="Arial" w:eastAsia="Arial" w:hAnsi="Arial"/>
          <w:sz w:val="16"/>
          <w:szCs w:val="16"/>
          <w:b w:val="1"/>
          <w:bCs w:val="1"/>
          <w:i w:val="1"/>
          <w:iCs w:val="1"/>
          <w:color w:val="auto"/>
        </w:rPr>
        <w:t xml:space="preserve">Sale, Exchange, Redemption or Retirement of the Notes. </w:t>
      </w:r>
      <w:r>
        <w:rPr>
          <w:rFonts w:ascii="Arial" w:cs="Arial" w:eastAsia="Arial" w:hAnsi="Arial"/>
          <w:sz w:val="16"/>
          <w:szCs w:val="16"/>
          <w:color w:val="auto"/>
        </w:rPr>
        <w:t>Subject to the discussion on backup withholding below, a Non-U.S. Holder generally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 subject to U.S. federal income or withholding tax on gain from the sale, exchange, redemption, retirement or other disposition of a note unless:</w:t>
      </w:r>
    </w:p>
    <w:p>
      <w:pPr>
        <w:spacing w:after="0" w:line="126" w:lineRule="exact"/>
        <w:rPr>
          <w:sz w:val="20"/>
          <w:szCs w:val="20"/>
          <w:color w:val="auto"/>
        </w:rPr>
      </w:pPr>
    </w:p>
    <w:p>
      <w:pPr>
        <w:ind w:left="1240" w:right="180" w:hanging="327"/>
        <w:spacing w:after="0" w:line="332"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or a trade or business within the United States (and, if required by an applicable tax treaty, is attributable to a permanent establishment maintained in the United States by the Non-U.S. Holder); or</w:t>
      </w:r>
    </w:p>
    <w:p>
      <w:pPr>
        <w:spacing w:after="0" w:line="125" w:lineRule="exact"/>
        <w:rPr>
          <w:rFonts w:ascii="Arial" w:cs="Arial" w:eastAsia="Arial" w:hAnsi="Arial"/>
          <w:sz w:val="16"/>
          <w:szCs w:val="16"/>
          <w:color w:val="auto"/>
        </w:rPr>
      </w:pPr>
    </w:p>
    <w:p>
      <w:pPr>
        <w:ind w:left="1240" w:right="380" w:hanging="327"/>
        <w:spacing w:after="0" w:line="268"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32" w:lineRule="exact"/>
        <w:rPr>
          <w:sz w:val="20"/>
          <w:szCs w:val="20"/>
          <w:color w:val="auto"/>
        </w:rPr>
      </w:pPr>
    </w:p>
    <w:p>
      <w:pPr>
        <w:jc w:val="both"/>
        <w:ind w:right="180" w:firstLine="799"/>
        <w:spacing w:after="0" w:line="306" w:lineRule="auto"/>
        <w:rPr>
          <w:sz w:val="20"/>
          <w:szCs w:val="20"/>
          <w:color w:val="auto"/>
        </w:rPr>
      </w:pPr>
      <w:r>
        <w:rPr>
          <w:rFonts w:ascii="Arial" w:cs="Arial" w:eastAsia="Arial" w:hAnsi="Arial"/>
          <w:sz w:val="16"/>
          <w:szCs w:val="16"/>
          <w:color w:val="auto"/>
        </w:rPr>
        <w:t>Except to the extent provided by an applicable tax treaty, gain from the sale or disposition of a note that is effectively connected with the conduct by the Non-U.S. Holder of a trade or business in the United States generally will be subject to U.S. federal income tax on a net basis at the rates applicable to U.S. persons. A Non-U.S. Holder that is treated as a corporation for U.S. federal income tax purposes may also be subject to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30% branch profits tax (subject to reduction under an applicable tax treaty), which is generally imposed on a foreign corporation on the actual or deemed repatriation from the United States of earnings and profits attributable to a United States trade or business. If such gains are realized by a Non-U.S. Holder who is an individual present in the United States for 183 days or more in the taxable year, then such individual generally will be subject to U.S. federal income tax at a rate of 30% (subject to reduction or exemption under an applicable tax treaty) on the amount by which capital gains from U.S. sources (including gains from the sale or other disposition of the notes) exceed certain capital losses allocable to U.S. sources. Any amount attributable to accrued but unpaid interest on the notes will be treated in the same manner as payments of interest made to such Non-U.S. Holder, as described above under “—Interest on the Notes.” Non-U.S. Holders are encouraged to consult their own tax advisors on the treatment of any accrued but unpaid interest on the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77" w:lineRule="exact"/>
        <w:rPr>
          <w:sz w:val="20"/>
          <w:szCs w:val="20"/>
          <w:color w:val="auto"/>
        </w:rPr>
      </w:pPr>
    </w:p>
    <w:p>
      <w:pPr>
        <w:ind w:right="40" w:firstLine="799"/>
        <w:spacing w:after="0" w:line="294" w:lineRule="auto"/>
        <w:rPr>
          <w:sz w:val="20"/>
          <w:szCs w:val="20"/>
          <w:color w:val="auto"/>
        </w:rPr>
      </w:pPr>
      <w:r>
        <w:rPr>
          <w:rFonts w:ascii="Arial" w:cs="Arial" w:eastAsia="Arial" w:hAnsi="Arial"/>
          <w:sz w:val="16"/>
          <w:szCs w:val="16"/>
          <w:color w:val="auto"/>
        </w:rPr>
        <w:t>Payments to a U.S. Holder (other than an “exempt recipient,” including a corporation and certain other persons who, when required, demonstrate their exempt status) of the principal of, interest on and any premium with respect to, or the proceeds of a sale or other disposition of, a note may be subject to information reporting requirements, and U.S. federal backup withholding at the applicable statutory rate. In general, if a non-corporate U.S. Holder subject to information reporting fails to provide an accurate taxpayer identification number or otherwise fails to comply with applicable U.S. information reporting or certification requirements, backup withholding at the applicable rate (currently at 28%) may apply.</w:t>
      </w:r>
    </w:p>
    <w:p>
      <w:pPr>
        <w:spacing w:after="0" w:line="116"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 xml:space="preserve">In general, information reporting on IRS Form 1099 and backup withholding will not apply to payments of principal, interest and any premium made by us or a paying agent to a Non-U.S. Holder on the notes if the certification described above under “—Interest on the Notes” is received,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payor does not have actual knowledge or reason to know that the Non-U.S. Holder is a U.S. person. However, interest generally will be reported annually to the IRS and the Non-U.S. Holder on IRS Form 1042-S. Copies of these information returns may also be made available under the provisions of a specific treaty or agreement to the tax authorities of the country in which the payee resides.</w:t>
      </w:r>
    </w:p>
    <w:p>
      <w:pPr>
        <w:spacing w:after="0" w:line="143"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Payments of the proceeds from a sale by a Non-U.S. Holder made to or through a foreign office of a broker generally will not be subject to information reporting or backup withholding. Information reporting may apply to such payments, however, if the broker is a U.S. person, a controlled foreign corporation for U.S. tax purposes, the U.S. branch of a foreign bank or a foreign insurance company, a foreign partnership controlled by U.S. persons or engaged in a U.S. trade or business, or a foreign person 50% or more of whose gross income is effectively connected with a U.S. trade or business for a specified three-year period. Payments of the proceeds from the sale of notes through the U.S. office of a broker is subject to information reporting and backup withholding unless the Non-U.S. Holder certifies as to its non-U.S. status or otherwise establishes an exemption from information reporting and backup withholding.</w:t>
      </w:r>
    </w:p>
    <w:p>
      <w:pPr>
        <w:spacing w:after="0" w:line="120" w:lineRule="exact"/>
        <w:rPr>
          <w:sz w:val="20"/>
          <w:szCs w:val="20"/>
          <w:color w:val="auto"/>
        </w:rPr>
      </w:pPr>
    </w:p>
    <w:p>
      <w:pPr>
        <w:ind w:right="80" w:firstLine="799"/>
        <w:spacing w:after="0" w:line="256" w:lineRule="auto"/>
        <w:rPr>
          <w:sz w:val="20"/>
          <w:szCs w:val="20"/>
          <w:color w:val="auto"/>
        </w:rPr>
      </w:pPr>
      <w:r>
        <w:rPr>
          <w:rFonts w:ascii="Arial" w:cs="Arial" w:eastAsia="Arial" w:hAnsi="Arial"/>
          <w:sz w:val="18"/>
          <w:szCs w:val="18"/>
          <w:color w:val="auto"/>
        </w:rPr>
        <w:t>Backup withholding does not represent an additional income tax, and any amounts deducted and withheld pursuant to the backup withholding rules should generally be allowed as a credit against the recipient’s U.S. federal income tax liability or as a refund, provided the required information is timely furnished to the IRS. Certain penalties may be imposed by the IRS on a recipient of payments that is required to supply information but that does not do so in the proper manner.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 Potentially Affecting Taxation of Notes Held By or Through Foreign Entities</w:t>
      </w:r>
    </w:p>
    <w:p>
      <w:pPr>
        <w:spacing w:after="0" w:line="177" w:lineRule="exact"/>
        <w:rPr>
          <w:sz w:val="20"/>
          <w:szCs w:val="20"/>
          <w:color w:val="auto"/>
        </w:rPr>
      </w:pPr>
    </w:p>
    <w:p>
      <w:pPr>
        <w:ind w:right="180" w:firstLine="799"/>
        <w:spacing w:after="0" w:line="306" w:lineRule="auto"/>
        <w:rPr>
          <w:sz w:val="20"/>
          <w:szCs w:val="20"/>
          <w:color w:val="auto"/>
        </w:rPr>
      </w:pPr>
      <w:r>
        <w:rPr>
          <w:rFonts w:ascii="Arial" w:cs="Arial" w:eastAsia="Arial" w:hAnsi="Arial"/>
          <w:sz w:val="16"/>
          <w:szCs w:val="16"/>
          <w:color w:val="auto"/>
        </w:rPr>
        <w:t>Proposed legislation recently introduced in the U.S. Congress would generally impose a withholding tax of 30 percent on interest income (including OID) from the notes and the gross proceeds of a disposition of the notes paid to a foreign financial institution, unless such institution enters into an agreement with the U.S. government to collect and provide to the U.S. tax authorities substantial information regarding U.S. account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holders of such institution (which would include certain equity and debt holders of such institution, as well as certain account holders that are foreign entities with U.S. owners). The proposed legislation would also generally impose a withholding tax of 30 percent on interest income from the notes and the gross proceeds of a disposition of the notes paid to a non-financial foreign entity unless such entity provides the withholding agent with a certification identifying the direct and indirect U.S. owners of the entity. We will not pay any additional amounts to a Non-U.S. Holder in respect of any amounts withheld under these provisions. Under certain circumstances, a Non-U.S. Holder of the notes might be eligible for refunds or credits of such taxes. If enacted in its current form, these new withholding rules generally would be effective for payments made after December 31, 2012. The provisions of this proposed legislation may change and there can be no assurance that this proposal or other similar proposals will not have an adverse impact on an investment in the notes. Investors are encouraged to consult with their own tax advisors regarding the possible implications of this proposed legislation on their investment in the notes.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jc w:val="both"/>
        <w:ind w:right="100" w:firstLine="799"/>
        <w:spacing w:after="0" w:line="256" w:lineRule="auto"/>
        <w:rPr>
          <w:sz w:val="20"/>
          <w:szCs w:val="20"/>
          <w:color w:val="auto"/>
        </w:rPr>
      </w:pPr>
      <w:r>
        <w:rPr>
          <w:rFonts w:ascii="Arial" w:cs="Arial" w:eastAsia="Arial" w:hAnsi="Arial"/>
          <w:sz w:val="18"/>
          <w:szCs w:val="18"/>
          <w:color w:val="auto"/>
        </w:rPr>
        <w:t>We intend to offer the notes through the underwriters. Banc of America Securities LLC and Wells Fargo Securities, LLC are acting as representatives of the underwriters named below.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61"/>
        </w:trPr>
        <w:tc>
          <w:tcPr>
            <w:tcW w:w="974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6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7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9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gridSpan w:val="2"/>
          </w:tcPr>
          <w:p>
            <w:pPr>
              <w:jc w:val="right"/>
              <w:ind w:right="532"/>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77" w:lineRule="exact"/>
        <w:rPr>
          <w:sz w:val="20"/>
          <w:szCs w:val="20"/>
          <w:color w:val="auto"/>
        </w:rPr>
      </w:pPr>
    </w:p>
    <w:p>
      <w:pPr>
        <w:ind w:right="120" w:firstLine="799"/>
        <w:spacing w:after="0" w:line="256"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 of the principal amount of the notes. The underwriters may allow, and the dealers may reallow, a discount not in excess of % of the principal amount of the notes on sales to other dealers. After the initial offering, the public offering price and concession to dealers may be changed.</w:t>
      </w:r>
    </w:p>
    <w:p>
      <w:pPr>
        <w:spacing w:after="0" w:line="143" w:lineRule="exact"/>
        <w:rPr>
          <w:sz w:val="20"/>
          <w:szCs w:val="20"/>
          <w:color w:val="auto"/>
        </w:rPr>
      </w:pPr>
    </w:p>
    <w:p>
      <w:pPr>
        <w:ind w:right="80" w:firstLine="799"/>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68" w:lineRule="exact"/>
        <w:rPr>
          <w:sz w:val="20"/>
          <w:szCs w:val="20"/>
          <w:color w:val="auto"/>
        </w:rPr>
      </w:pPr>
    </w:p>
    <w:p>
      <w:pPr>
        <w:ind w:left="10580"/>
        <w:spacing w:after="0"/>
        <w:rPr>
          <w:sz w:val="20"/>
          <w:szCs w:val="20"/>
          <w:color w:val="auto"/>
        </w:rPr>
      </w:pPr>
      <w:r>
        <w:rPr>
          <w:rFonts w:ascii="Arial" w:cs="Arial" w:eastAsia="Arial" w:hAnsi="Arial"/>
          <w:sz w:val="14"/>
          <w:szCs w:val="14"/>
          <w:b w:val="1"/>
          <w:bCs w:val="1"/>
          <w:color w:val="auto"/>
        </w:rPr>
        <w:t>Paid by Us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0"/>
        </w:trPr>
        <w:tc>
          <w:tcPr>
            <w:tcW w:w="10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Per note</w:t>
            </w:r>
          </w:p>
        </w:tc>
        <w:tc>
          <w:tcPr>
            <w:tcW w:w="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0.  %</w:t>
            </w:r>
          </w:p>
        </w:tc>
      </w:tr>
    </w:tbl>
    <w:p>
      <w:pPr>
        <w:spacing w:after="0" w:line="154" w:lineRule="exact"/>
        <w:rPr>
          <w:sz w:val="20"/>
          <w:szCs w:val="20"/>
          <w:color w:val="auto"/>
        </w:rPr>
      </w:pPr>
    </w:p>
    <w:p>
      <w:pPr>
        <w:ind w:right="60" w:firstLine="799"/>
        <w:spacing w:after="0" w:line="318" w:lineRule="auto"/>
        <w:rPr>
          <w:sz w:val="20"/>
          <w:szCs w:val="20"/>
          <w:color w:val="auto"/>
        </w:rPr>
      </w:pPr>
      <w:r>
        <w:rPr>
          <w:rFonts w:ascii="Arial" w:cs="Arial" w:eastAsia="Arial" w:hAnsi="Arial"/>
          <w:sz w:val="15"/>
          <w:szCs w:val="15"/>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00" w:lineRule="exact"/>
        <w:rPr>
          <w:sz w:val="20"/>
          <w:szCs w:val="20"/>
          <w:color w:val="auto"/>
        </w:rPr>
      </w:pPr>
    </w:p>
    <w:p>
      <w:pPr>
        <w:ind w:right="180" w:firstLine="799"/>
        <w:spacing w:after="0" w:line="33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799"/>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0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$150,000.</w:t>
      </w:r>
    </w:p>
    <w:p>
      <w:pPr>
        <w:spacing w:after="0" w:line="171" w:lineRule="exact"/>
        <w:rPr>
          <w:sz w:val="20"/>
          <w:szCs w:val="20"/>
          <w:color w:val="auto"/>
        </w:rPr>
      </w:pPr>
    </w:p>
    <w:p>
      <w:pPr>
        <w:ind w:right="500" w:firstLine="799"/>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77"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The underwriters have performed investment banking, and other commercial services for us from time to time for which they have received customary fees and expenses. The underwriters may, from time to time, engage in transactions with and perform services for us in the ordinary course of their business. Affiliates of the representatives of the underwriters are lenders under our $250 million term loan maturing on July 27, 2011 and will receive a pro rata portion of any proceeds used to reduce amounts outstanding under the term loan. In addition, affiliates of the syndicate of underwriters that may offer the notes in this offering may include lenders under our term loan. Any such affiliate would also receive a pro rata portion of any proceeds used to reduce amounts outstanding under the term loan.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77" w:lineRule="exact"/>
        <w:rPr>
          <w:sz w:val="20"/>
          <w:szCs w:val="20"/>
          <w:color w:val="auto"/>
        </w:rPr>
      </w:pPr>
    </w:p>
    <w:p>
      <w:pPr>
        <w:ind w:right="800" w:firstLine="799"/>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60" w:firstLine="799"/>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 xml:space="preserve">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4"/>
          <w:szCs w:val="14"/>
          <w:color w:val="auto"/>
        </w:rPr>
        <w:t>LLP</w:t>
      </w:r>
      <w:r>
        <w:rPr>
          <w:rFonts w:ascii="Arial" w:cs="Arial" w:eastAsia="Arial" w:hAnsi="Arial"/>
          <w:sz w:val="18"/>
          <w:szCs w:val="18"/>
          <w:color w:val="auto"/>
        </w:rPr>
        <w:t>, New York, New York, will act as counsel to the underwriters.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or REIT,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107"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hyperlink w:anchor="page2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June 16, 2009.</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0" w:type="dxa"/>
            <w:vAlign w:val="bottom"/>
            <w:gridSpan w:val="2"/>
          </w:tcPr>
          <w:p>
            <w:pPr>
              <w:ind w:left="16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12"/>
            <w:vMerge w:val="restart"/>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640" w:type="dxa"/>
            <w:vAlign w:val="bottom"/>
            <w:tcBorders>
              <w:top w:val="single" w:sz="8" w:color="0000EE"/>
            </w:tcBorders>
            <w:gridSpan w:val="4"/>
          </w:tcPr>
          <w:p>
            <w:pPr>
              <w:spacing w:after="0"/>
              <w:rPr>
                <w:sz w:val="17"/>
                <w:szCs w:val="17"/>
                <w:color w:val="auto"/>
              </w:rPr>
            </w:pPr>
          </w:p>
        </w:tc>
        <w:tc>
          <w:tcPr>
            <w:tcW w:w="96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Forward-Looking Information</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The Company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Ratios of Earnings to Combined Fixed Charges and Preferred Share Dividends</w:t>
              </w:r>
            </w:hyperlink>
          </w:p>
        </w:tc>
        <w:tc>
          <w:tcPr>
            <w:tcW w:w="5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Description of Debt Securities</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Description of Shares of Beneficial Interest</w:t>
              </w:r>
            </w:hyperlink>
          </w:p>
        </w:tc>
        <w:tc>
          <w:tcPr>
            <w:tcW w:w="80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Material Federal Income Tax Considerations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Plan of Distribution</w:t>
              </w:r>
            </w:hyperlink>
          </w:p>
        </w:tc>
        <w:tc>
          <w:tcPr>
            <w:tcW w:w="80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Legal Matters</w:t>
              </w:r>
            </w:hyperlink>
          </w:p>
        </w:tc>
        <w:tc>
          <w:tcPr>
            <w:tcW w:w="97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Experts</w:t>
              </w:r>
            </w:hyperlink>
          </w:p>
        </w:tc>
        <w:tc>
          <w:tcPr>
            <w:tcW w:w="101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2008,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an equity real estate investment trust specializing in the ownership, management and redevelopment of high-quality retail and mixed-use properties located primarily in densely populated and affluent communities in strategically selected metropolitan markets in the Northeast and Mid-Atlantic regions of the United States, as well as in California. As of March 31, 2009, we owned or had a majority interest in community and neighborhood shopping centers and mixed-use projects which are operated as 84 predominantly retail real estate properties comprising approximately 18.1 million square feet.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operate in a manner intended to enable us to qualify as a REIT pursuant to provisions of the Internal Revenue Code of 1986, as amended, or the Code.</w:t>
      </w:r>
    </w:p>
    <w:p>
      <w:pPr>
        <w:spacing w:after="0" w:line="20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were founded in 1962 as a real estate investment trust under the laws of the District of Columbia and re-formed as a real estate investment trust in the state of Maryland in 1999. Our principal executive offices are located at 1626 East Jefferson Street, Rockville, Maryland 20852. Our telephone number is</w:t>
      </w:r>
    </w:p>
    <w:p>
      <w:pPr>
        <w:ind w:right="60" w:firstLine="8"/>
        <w:spacing w:after="0" w:line="323"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and is not incorporated herein by reference.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17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6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RATIO OF EARNINGS TO COMBINED FIXED CHARGES AND PREFERRED SHARE DIVIDENDS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stock dividends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For the Three Months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3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Ended March 31,</w:t>
            </w:r>
          </w:p>
        </w:tc>
        <w:tc>
          <w:tcPr>
            <w:tcW w:w="220" w:type="dxa"/>
            <w:vAlign w:val="bottom"/>
          </w:tcPr>
          <w:p>
            <w:pPr>
              <w:spacing w:after="0"/>
              <w:rPr>
                <w:sz w:val="14"/>
                <w:szCs w:val="14"/>
                <w:color w:val="auto"/>
              </w:rPr>
            </w:pPr>
          </w:p>
        </w:tc>
        <w:tc>
          <w:tcPr>
            <w:tcW w:w="2240" w:type="dxa"/>
            <w:vAlign w:val="bottom"/>
            <w:gridSpan w:val="13"/>
          </w:tcPr>
          <w:p>
            <w:pPr>
              <w:ind w:left="100"/>
              <w:spacing w:after="0"/>
              <w:rPr>
                <w:sz w:val="20"/>
                <w:szCs w:val="20"/>
                <w:color w:val="auto"/>
              </w:rPr>
            </w:pPr>
            <w:r>
              <w:rPr>
                <w:rFonts w:ascii="Arial" w:cs="Arial" w:eastAsia="Arial" w:hAnsi="Arial"/>
                <w:sz w:val="14"/>
                <w:szCs w:val="14"/>
                <w:b w:val="1"/>
                <w:bCs w:val="1"/>
                <w:color w:val="auto"/>
                <w:w w:val="91"/>
              </w:rPr>
              <w:t>For the Years Ended December 31,</w:t>
            </w: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5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noncontrolling interests plus distributed income of equity investees and fixed charges (excluding capitalized interest) less noncontrolling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noncontrolling interests plus distributed income of equity investees and fixed charges (excluding capitalized interest) less noncontrolling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212"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212"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7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14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211"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172"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211"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172"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18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211"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the offered debt securities may elect to receive payments in respect of the offered debt securities in a currency or currency unit other than that in which the offered debt securities are stated to be payable.</w:t>
      </w:r>
    </w:p>
    <w:p>
      <w:pPr>
        <w:spacing w:after="0" w:line="186" w:lineRule="exact"/>
        <w:rPr>
          <w:sz w:val="20"/>
          <w:szCs w:val="20"/>
          <w:color w:val="auto"/>
        </w:rPr>
      </w:pPr>
    </w:p>
    <w:p>
      <w:pPr>
        <w:ind w:left="900" w:right="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211"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211"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211"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183"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certain certificates or other documents or satisfaction of other conditions in addition to those specified in the applicable indenture, the form of those certificates, documents or conditions.</w:t>
      </w:r>
    </w:p>
    <w:p>
      <w:pPr>
        <w:spacing w:after="0" w:line="180" w:lineRule="exact"/>
        <w:rPr>
          <w:rFonts w:ascii="Arial" w:cs="Arial" w:eastAsia="Arial" w:hAnsi="Arial"/>
          <w:sz w:val="18"/>
          <w:szCs w:val="18"/>
          <w:color w:val="auto"/>
        </w:rPr>
      </w:pPr>
    </w:p>
    <w:p>
      <w:pPr>
        <w:ind w:left="900" w:right="56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payable and the manner in which, or the person to whom, any interest on any bearer securities of the series will be payable.</w:t>
      </w:r>
    </w:p>
    <w:p>
      <w:pPr>
        <w:spacing w:after="0" w:line="125"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125"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172"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211"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77" w:lineRule="exact"/>
        <w:rPr>
          <w:sz w:val="20"/>
          <w:szCs w:val="20"/>
          <w:color w:val="auto"/>
        </w:rPr>
      </w:pPr>
    </w:p>
    <w:p>
      <w:pPr>
        <w:ind w:left="460"/>
        <w:spacing w:after="0"/>
        <w:tabs>
          <w:tab w:leader="none" w:pos="2620" w:val="left"/>
        </w:tabs>
        <w:rPr>
          <w:sz w:val="20"/>
          <w:szCs w:val="20"/>
          <w:color w:val="auto"/>
        </w:rPr>
      </w:pPr>
      <w:r>
        <w:rPr>
          <w:rFonts w:ascii="Arial" w:cs="Arial" w:eastAsia="Arial" w:hAnsi="Arial"/>
          <w:sz w:val="18"/>
          <w:szCs w:val="18"/>
          <w:b w:val="1"/>
          <w:bCs w:val="1"/>
          <w:i w:val="1"/>
          <w:iCs w:val="1"/>
          <w:color w:val="auto"/>
        </w:rPr>
        <w:t>Registered or Bearer Form.</w:t>
      </w:r>
      <w:r>
        <w:rPr>
          <w:sz w:val="20"/>
          <w:szCs w:val="20"/>
          <w:color w:val="auto"/>
        </w:rPr>
        <w:tab/>
      </w:r>
      <w:r>
        <w:rPr>
          <w:rFonts w:ascii="Arial" w:cs="Arial" w:eastAsia="Arial" w:hAnsi="Arial"/>
          <w:sz w:val="15"/>
          <w:szCs w:val="15"/>
          <w:color w:val="auto"/>
        </w:rPr>
        <w:t>Debt securities may be offered in either registered or bearer form.</w:t>
      </w:r>
    </w:p>
    <w:p>
      <w:pPr>
        <w:spacing w:after="0" w:line="212" w:lineRule="exact"/>
        <w:rPr>
          <w:sz w:val="20"/>
          <w:szCs w:val="20"/>
          <w:color w:val="auto"/>
        </w:rPr>
      </w:pPr>
    </w:p>
    <w:p>
      <w:pPr>
        <w:ind w:left="900" w:right="6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72"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6"/>
          <w:szCs w:val="16"/>
          <w:b w:val="1"/>
          <w:bCs w:val="1"/>
          <w:i w:val="1"/>
          <w:iCs w:val="1"/>
          <w:color w:val="auto"/>
        </w:rPr>
        <w:t>Denominations.</w:t>
      </w:r>
      <w:r>
        <w:rPr>
          <w:sz w:val="20"/>
          <w:szCs w:val="20"/>
          <w:color w:val="auto"/>
        </w:rPr>
        <w:tab/>
      </w:r>
      <w:r>
        <w:rPr>
          <w:rFonts w:ascii="Arial" w:cs="Arial" w:eastAsia="Arial" w:hAnsi="Arial"/>
          <w:sz w:val="16"/>
          <w:szCs w:val="16"/>
          <w:color w:val="auto"/>
        </w:rPr>
        <w:t>Unless we say otherwise in a prospectus supplement, we will issue debt securities in denominations of:</w:t>
      </w:r>
    </w:p>
    <w:p>
      <w:pPr>
        <w:spacing w:after="0" w:line="235"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tabs>
          <w:tab w:leader="none" w:pos="3840" w:val="left"/>
        </w:tabs>
        <w:rPr>
          <w:sz w:val="20"/>
          <w:szCs w:val="20"/>
          <w:color w:val="auto"/>
        </w:rPr>
      </w:pPr>
      <w:r>
        <w:rPr>
          <w:rFonts w:ascii="Arial" w:cs="Arial" w:eastAsia="Arial" w:hAnsi="Arial"/>
          <w:sz w:val="18"/>
          <w:szCs w:val="18"/>
          <w:b w:val="1"/>
          <w:bCs w:val="1"/>
          <w:i w:val="1"/>
          <w:iCs w:val="1"/>
          <w:color w:val="auto"/>
        </w:rPr>
        <w:t>Payment Currencies and Indexed Securities.</w:t>
      </w:r>
      <w:r>
        <w:rPr>
          <w:sz w:val="20"/>
          <w:szCs w:val="20"/>
          <w:color w:val="auto"/>
        </w:rPr>
        <w:tab/>
      </w:r>
      <w:r>
        <w:rPr>
          <w:rFonts w:ascii="Arial" w:cs="Arial" w:eastAsia="Arial" w:hAnsi="Arial"/>
          <w:sz w:val="16"/>
          <w:szCs w:val="16"/>
          <w:color w:val="auto"/>
        </w:rPr>
        <w:t>We may offer debt securities for which:</w:t>
      </w:r>
    </w:p>
    <w:p>
      <w:pPr>
        <w:spacing w:after="0" w:line="21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other currency may be a currency unit composed of various currencies. Payments on debt securities may also be based on an index.</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14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21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i w:val="1"/>
          <w:iCs w:val="1"/>
          <w:color w:val="auto"/>
        </w:rPr>
        <w:t>Payment of Taxes and Other Claims.</w:t>
      </w:r>
      <w:r>
        <w:rPr>
          <w:sz w:val="20"/>
          <w:szCs w:val="20"/>
          <w:color w:val="auto"/>
        </w:rPr>
        <w:tab/>
      </w:r>
      <w:r>
        <w:rPr>
          <w:rFonts w:ascii="Arial" w:cs="Arial" w:eastAsia="Arial" w:hAnsi="Arial"/>
          <w:sz w:val="15"/>
          <w:szCs w:val="15"/>
          <w:color w:val="auto"/>
        </w:rPr>
        <w:t>We will pay or discharge or cause to be paid or discharged, before they shall become delinquent:</w:t>
      </w:r>
    </w:p>
    <w:p>
      <w:pPr>
        <w:spacing w:after="0" w:line="21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126" w:lineRule="exact"/>
        <w:rPr>
          <w:sz w:val="20"/>
          <w:szCs w:val="20"/>
          <w:color w:val="auto"/>
        </w:rPr>
      </w:pPr>
    </w:p>
    <w:p>
      <w:pPr>
        <w:ind w:left="900" w:right="14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18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72"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12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either</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211" w:lineRule="exact"/>
        <w:rPr>
          <w:rFonts w:ascii="Arial" w:cs="Arial" w:eastAsia="Arial" w:hAnsi="Arial"/>
          <w:sz w:val="18"/>
          <w:szCs w:val="18"/>
          <w:color w:val="auto"/>
        </w:rPr>
      </w:pPr>
    </w:p>
    <w:p>
      <w:pPr>
        <w:ind w:left="1460" w:right="320" w:hanging="547"/>
        <w:spacing w:after="0" w:line="259" w:lineRule="auto"/>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8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172"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103"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obligations as lessee under leases of property whether made as part of any sale and leaseback transaction to which we are a party or otherwise;</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125"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172" w:lineRule="exact"/>
        <w:rPr>
          <w:rFonts w:ascii="Arial" w:cs="Arial" w:eastAsia="Arial" w:hAnsi="Arial"/>
          <w:sz w:val="18"/>
          <w:szCs w:val="18"/>
          <w:color w:val="auto"/>
        </w:rPr>
      </w:pPr>
    </w:p>
    <w:p>
      <w:pPr>
        <w:jc w:val="both"/>
        <w:ind w:left="1460" w:right="40" w:hanging="547"/>
        <w:spacing w:after="0" w:line="306" w:lineRule="auto"/>
        <w:tabs>
          <w:tab w:leader="none" w:pos="14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147" w:lineRule="exact"/>
        <w:rPr>
          <w:rFonts w:ascii="Arial" w:cs="Arial" w:eastAsia="Arial" w:hAnsi="Arial"/>
          <w:sz w:val="16"/>
          <w:szCs w:val="16"/>
          <w:color w:val="auto"/>
        </w:rPr>
      </w:pPr>
    </w:p>
    <w:p>
      <w:pPr>
        <w:ind w:left="1460" w:right="300" w:hanging="547"/>
        <w:spacing w:after="0" w:line="268" w:lineRule="auto"/>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172"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211" w:lineRule="exact"/>
        <w:rPr>
          <w:rFonts w:ascii="Arial" w:cs="Arial" w:eastAsia="Arial" w:hAnsi="Arial"/>
          <w:sz w:val="18"/>
          <w:szCs w:val="18"/>
          <w:color w:val="auto"/>
        </w:rPr>
      </w:pPr>
    </w:p>
    <w:p>
      <w:pPr>
        <w:ind w:left="5620" w:right="4780" w:hanging="5166"/>
        <w:spacing w:after="0" w:line="525" w:lineRule="auto"/>
        <w:tabs>
          <w:tab w:leader="none" w:pos="89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purchase, redeem, defease, or otherwise acquire any subordinated debt securities. 11</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235"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17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18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7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32" w:lineRule="exact"/>
        <w:rPr>
          <w:sz w:val="20"/>
          <w:szCs w:val="20"/>
          <w:color w:val="auto"/>
        </w:rPr>
      </w:pPr>
    </w:p>
    <w:p>
      <w:pPr>
        <w:ind w:left="460" w:right="20" w:firstLine="443"/>
        <w:spacing w:after="0" w:line="268" w:lineRule="auto"/>
        <w:tabs>
          <w:tab w:leader="none" w:pos="11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68" w:lineRule="auto"/>
        <w:tabs>
          <w:tab w:leader="none" w:pos="11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31" w:lineRule="exact"/>
        <w:rPr>
          <w:rFonts w:ascii="Arial" w:cs="Arial" w:eastAsia="Arial" w:hAnsi="Arial"/>
          <w:sz w:val="18"/>
          <w:szCs w:val="18"/>
          <w:color w:val="auto"/>
        </w:rPr>
      </w:pPr>
    </w:p>
    <w:p>
      <w:pPr>
        <w:ind w:left="1200" w:hanging="297"/>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71" w:lineRule="exact"/>
        <w:rPr>
          <w:rFonts w:ascii="Arial" w:cs="Arial" w:eastAsia="Arial" w:hAnsi="Arial"/>
          <w:sz w:val="18"/>
          <w:szCs w:val="18"/>
          <w:color w:val="auto"/>
        </w:rPr>
      </w:pPr>
    </w:p>
    <w:p>
      <w:pPr>
        <w:ind w:left="460" w:firstLine="443"/>
        <w:spacing w:after="0" w:line="259" w:lineRule="auto"/>
        <w:tabs>
          <w:tab w:leader="none" w:pos="11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40" w:lineRule="exact"/>
        <w:rPr>
          <w:rFonts w:ascii="Arial" w:cs="Arial" w:eastAsia="Arial" w:hAnsi="Arial"/>
          <w:sz w:val="18"/>
          <w:szCs w:val="18"/>
          <w:color w:val="auto"/>
        </w:rPr>
      </w:pPr>
    </w:p>
    <w:p>
      <w:pPr>
        <w:ind w:left="1720" w:hanging="379"/>
        <w:spacing w:after="0"/>
        <w:tabs>
          <w:tab w:leader="none" w:pos="1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94" w:lineRule="exact"/>
        <w:rPr>
          <w:rFonts w:ascii="Arial" w:cs="Arial" w:eastAsia="Arial" w:hAnsi="Arial"/>
          <w:sz w:val="16"/>
          <w:szCs w:val="16"/>
          <w:color w:val="auto"/>
        </w:rPr>
      </w:pPr>
    </w:p>
    <w:p>
      <w:pPr>
        <w:ind w:left="460" w:right="60" w:firstLine="443"/>
        <w:spacing w:after="0" w:line="289" w:lineRule="auto"/>
        <w:tabs>
          <w:tab w:leader="none" w:pos="120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8" w:lineRule="exact"/>
        <w:rPr>
          <w:rFonts w:ascii="Arial" w:cs="Arial" w:eastAsia="Arial" w:hAnsi="Arial"/>
          <w:sz w:val="16"/>
          <w:szCs w:val="16"/>
          <w:color w:val="auto"/>
        </w:rPr>
      </w:pPr>
    </w:p>
    <w:p>
      <w:pPr>
        <w:ind w:left="1200" w:hanging="297"/>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94" w:lineRule="exact"/>
        <w:rPr>
          <w:rFonts w:ascii="Arial" w:cs="Arial" w:eastAsia="Arial" w:hAnsi="Arial"/>
          <w:sz w:val="16"/>
          <w:szCs w:val="16"/>
          <w:color w:val="auto"/>
        </w:rPr>
      </w:pPr>
    </w:p>
    <w:p>
      <w:pPr>
        <w:ind w:left="1720" w:hanging="379"/>
        <w:spacing w:after="0"/>
        <w:tabs>
          <w:tab w:leader="none" w:pos="1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71" w:lineRule="exact"/>
        <w:rPr>
          <w:sz w:val="20"/>
          <w:szCs w:val="20"/>
          <w:color w:val="auto"/>
        </w:rPr>
      </w:pPr>
    </w:p>
    <w:p>
      <w:pPr>
        <w:ind w:left="1200" w:hanging="297"/>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71" w:lineRule="exact"/>
        <w:rPr>
          <w:rFonts w:ascii="Arial" w:cs="Arial" w:eastAsia="Arial" w:hAnsi="Arial"/>
          <w:sz w:val="18"/>
          <w:szCs w:val="18"/>
          <w:color w:val="auto"/>
        </w:rPr>
      </w:pPr>
    </w:p>
    <w:p>
      <w:pPr>
        <w:ind w:left="920" w:right="740" w:firstLine="421"/>
        <w:spacing w:after="0" w:line="268" w:lineRule="auto"/>
        <w:tabs>
          <w:tab w:leader="none" w:pos="1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31" w:lineRule="exact"/>
        <w:rPr>
          <w:rFonts w:ascii="Arial" w:cs="Arial" w:eastAsia="Arial" w:hAnsi="Arial"/>
          <w:sz w:val="18"/>
          <w:szCs w:val="18"/>
          <w:color w:val="auto"/>
        </w:rPr>
      </w:pPr>
    </w:p>
    <w:p>
      <w:pPr>
        <w:ind w:left="920" w:right="480" w:firstLine="421"/>
        <w:spacing w:after="0" w:line="268" w:lineRule="auto"/>
        <w:tabs>
          <w:tab w:leader="none" w:pos="17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131" w:lineRule="exact"/>
        <w:rPr>
          <w:rFonts w:ascii="Arial" w:cs="Arial" w:eastAsia="Arial" w:hAnsi="Arial"/>
          <w:sz w:val="18"/>
          <w:szCs w:val="18"/>
          <w:color w:val="auto"/>
        </w:rPr>
      </w:pPr>
    </w:p>
    <w:p>
      <w:pPr>
        <w:ind w:left="1720" w:hanging="379"/>
        <w:spacing w:after="0"/>
        <w:tabs>
          <w:tab w:leader="none" w:pos="1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tabs>
          <w:tab w:leader="none" w:pos="11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5"/>
          <w:szCs w:val="15"/>
          <w:color w:val="auto"/>
        </w:rPr>
        <w:t>Any other event of default provided with respect to the debt securities of that series.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17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147"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234"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234"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7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181" w:lineRule="exact"/>
        <w:rPr>
          <w:sz w:val="20"/>
          <w:szCs w:val="20"/>
          <w:color w:val="auto"/>
        </w:rPr>
      </w:pPr>
    </w:p>
    <w:p>
      <w:pPr>
        <w:ind w:left="900" w:right="24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172"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05"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157" w:lineRule="exact"/>
        <w:rPr>
          <w:rFonts w:ascii="Arial" w:cs="Arial" w:eastAsia="Arial" w:hAnsi="Arial"/>
          <w:sz w:val="16"/>
          <w:szCs w:val="16"/>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we have received from, or there has been published by, the Internal Revenue Service a ruling, or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since the date of execution of the indenture, there has been a change in the applicable federal income tax law,</w:t>
      </w:r>
    </w:p>
    <w:p>
      <w:pPr>
        <w:spacing w:after="0" w:line="211" w:lineRule="exact"/>
        <w:rPr>
          <w:rFonts w:ascii="Arial" w:cs="Arial" w:eastAsia="Arial" w:hAnsi="Arial"/>
          <w:sz w:val="18"/>
          <w:szCs w:val="18"/>
          <w:color w:val="auto"/>
        </w:rPr>
      </w:pPr>
    </w:p>
    <w:p>
      <w:pPr>
        <w:ind w:left="920" w:right="60"/>
        <w:spacing w:after="0" w:line="259" w:lineRule="auto"/>
        <w:rPr>
          <w:rFonts w:ascii="Arial" w:cs="Arial" w:eastAsia="Arial" w:hAnsi="Arial"/>
          <w:sz w:val="18"/>
          <w:szCs w:val="18"/>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80"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18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172"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172"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172"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211"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172"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7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18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172" w:lineRule="exact"/>
        <w:rPr>
          <w:sz w:val="20"/>
          <w:szCs w:val="20"/>
          <w:color w:val="auto"/>
        </w:rPr>
      </w:pPr>
    </w:p>
    <w:p>
      <w:pPr>
        <w:ind w:left="900" w:right="30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211"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211"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72" w:lineRule="exact"/>
        <w:rPr>
          <w:rFonts w:ascii="Arial" w:cs="Arial" w:eastAsia="Arial" w:hAnsi="Arial"/>
          <w:sz w:val="18"/>
          <w:szCs w:val="18"/>
          <w:color w:val="auto"/>
        </w:rPr>
      </w:pPr>
    </w:p>
    <w:p>
      <w:pPr>
        <w:ind w:left="900" w:right="220" w:hanging="446"/>
        <w:spacing w:after="0" w:line="25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156"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211"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our shareholder rights plan.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shareholder rights plan and the articles supplementary with respect to our Series 1 preferred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77"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June 11, 2009, we had issued and outstanding 59,156,354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172" w:lineRule="exact"/>
        <w:rPr>
          <w:sz w:val="20"/>
          <w:szCs w:val="20"/>
          <w:color w:val="auto"/>
        </w:rPr>
      </w:pPr>
    </w:p>
    <w:p>
      <w:pPr>
        <w:ind w:left="900" w:right="56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212"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83"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183"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147"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tabs>
          <w:tab w:leader="none" w:pos="2380" w:val="left"/>
        </w:tabs>
        <w:rPr>
          <w:sz w:val="20"/>
          <w:szCs w:val="20"/>
          <w:color w:val="auto"/>
        </w:rPr>
      </w:pPr>
      <w:r>
        <w:rPr>
          <w:rFonts w:ascii="Arial" w:cs="Arial" w:eastAsia="Arial" w:hAnsi="Arial"/>
          <w:sz w:val="18"/>
          <w:szCs w:val="18"/>
          <w:b w:val="1"/>
          <w:bCs w:val="1"/>
          <w:i w:val="1"/>
          <w:iCs w:val="1"/>
          <w:color w:val="auto"/>
        </w:rPr>
        <w:t>Stock Exchange Listing.</w:t>
      </w:r>
      <w:r>
        <w:rPr>
          <w:sz w:val="20"/>
          <w:szCs w:val="20"/>
          <w:color w:val="auto"/>
        </w:rPr>
        <w:tab/>
      </w:r>
      <w:r>
        <w:rPr>
          <w:rFonts w:ascii="Arial" w:cs="Arial" w:eastAsia="Arial" w:hAnsi="Arial"/>
          <w:sz w:val="15"/>
          <w:szCs w:val="15"/>
          <w:color w:val="auto"/>
        </w:rPr>
        <w:t>The common shares are traded on the New York Stock Exchange under the trading symbol “FRT.”</w:t>
      </w:r>
    </w:p>
    <w:p>
      <w:pPr>
        <w:spacing w:after="0" w:line="171" w:lineRule="exact"/>
        <w:rPr>
          <w:sz w:val="20"/>
          <w:szCs w:val="20"/>
          <w:color w:val="auto"/>
        </w:rPr>
      </w:pPr>
    </w:p>
    <w:p>
      <w:pPr>
        <w:ind w:left="460"/>
        <w:spacing w:after="0"/>
        <w:tabs>
          <w:tab w:leader="none" w:pos="2780" w:val="left"/>
        </w:tabs>
        <w:rPr>
          <w:sz w:val="20"/>
          <w:szCs w:val="20"/>
          <w:color w:val="auto"/>
        </w:rPr>
      </w:pPr>
      <w:r>
        <w:rPr>
          <w:rFonts w:ascii="Arial" w:cs="Arial" w:eastAsia="Arial" w:hAnsi="Arial"/>
          <w:sz w:val="18"/>
          <w:szCs w:val="18"/>
          <w:b w:val="1"/>
          <w:bCs w:val="1"/>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common shares is American Stock Transfer &amp; Trust Company, New York, New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8"/>
          <w:szCs w:val="18"/>
          <w:b w:val="1"/>
          <w:bCs w:val="1"/>
          <w:i w:val="1"/>
          <w:iCs w:val="1"/>
          <w:color w:val="auto"/>
        </w:rPr>
        <w:t>Voting Rights.</w:t>
      </w:r>
      <w:r>
        <w:rPr>
          <w:sz w:val="20"/>
          <w:szCs w:val="20"/>
          <w:color w:val="auto"/>
        </w:rPr>
        <w:tab/>
      </w:r>
      <w:r>
        <w:rPr>
          <w:rFonts w:ascii="Arial" w:cs="Arial" w:eastAsia="Arial" w:hAnsi="Arial"/>
          <w:sz w:val="15"/>
          <w:szCs w:val="15"/>
          <w:color w:val="auto"/>
        </w:rPr>
        <w:t>The Series 1 preferred shares shall have no voting rights.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Conversion Rights. </w:t>
      </w:r>
      <w:r>
        <w:rPr>
          <w:rFonts w:ascii="Arial" w:cs="Arial" w:eastAsia="Arial" w:hAnsi="Arial"/>
          <w:sz w:val="16"/>
          <w:szCs w:val="16"/>
          <w:color w:val="auto"/>
        </w:rPr>
        <w:t>Subject to other applicable provisions within the articles supplementary for the Series 1 preferred shares, from the date of issuance,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i w:val="1"/>
          <w:iCs w:val="1"/>
          <w:color w:val="auto"/>
        </w:rPr>
        <w:t>Terms.</w:t>
      </w:r>
      <w:r>
        <w:rPr>
          <w:sz w:val="20"/>
          <w:szCs w:val="20"/>
          <w:color w:val="auto"/>
        </w:rPr>
        <w:tab/>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212"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211"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172"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Unless otherwise indicated in the applicable supplement, holders of preferred shares we issue in the future will not have any voting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may be required by applicable law or any applicable rules and regulations of the New York Stock Exchange.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172"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and Termination of the Deposit Agreement. </w:t>
      </w:r>
      <w:r>
        <w:rPr>
          <w:rFonts w:ascii="Arial" w:cs="Arial" w:eastAsia="Arial" w:hAnsi="Arial"/>
          <w:sz w:val="15"/>
          <w:szCs w:val="15"/>
          <w:color w:val="auto"/>
        </w:rPr>
        <w:t>We and the depositary may amend the form of depositary receipt and any provision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129"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Charges of Depositary. </w:t>
      </w:r>
      <w:r>
        <w:rPr>
          <w:rFonts w:ascii="Arial" w:cs="Arial" w:eastAsia="Arial" w:hAnsi="Arial"/>
          <w:sz w:val="16"/>
          <w:szCs w:val="16"/>
          <w:color w:val="auto"/>
        </w:rPr>
        <w:t>We will pay all transfer and other taxes and governmental charges arising solely from the existence of the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receipts shall have the right to inspect the transfer books of the depositary and the list of holders of depositary receipts as provided in the applicable deposit agreement or as required by law.</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72" w:lineRule="exact"/>
        <w:rPr>
          <w:sz w:val="20"/>
          <w:szCs w:val="20"/>
          <w:color w:val="auto"/>
        </w:rPr>
      </w:pPr>
    </w:p>
    <w:p>
      <w:pPr>
        <w:ind w:left="900" w:right="60" w:hanging="446"/>
        <w:spacing w:after="0" w:line="306"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147"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172"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212"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211"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147"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211" w:lineRule="exact"/>
        <w:rPr>
          <w:rFonts w:ascii="Arial" w:cs="Arial" w:eastAsia="Arial" w:hAnsi="Arial"/>
          <w:sz w:val="18"/>
          <w:szCs w:val="18"/>
          <w:color w:val="auto"/>
        </w:rPr>
      </w:pPr>
    </w:p>
    <w:p>
      <w:pPr>
        <w:ind w:left="1460" w:right="120" w:hanging="547"/>
        <w:spacing w:after="0" w:line="268" w:lineRule="auto"/>
        <w:tabs>
          <w:tab w:leader="none" w:pos="14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212"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Restrictions on Ownership and Transfer” and the supermajority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07"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211"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172"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2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172"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right="60" w:firstLine="456"/>
        <w:spacing w:after="0" w:line="311" w:lineRule="auto"/>
        <w:rPr>
          <w:sz w:val="20"/>
          <w:szCs w:val="20"/>
          <w:color w:val="auto"/>
        </w:rPr>
      </w:pPr>
      <w:r>
        <w:rPr>
          <w:rFonts w:ascii="Arial" w:cs="Arial" w:eastAsia="Arial" w:hAnsi="Arial"/>
          <w:sz w:val="15"/>
          <w:szCs w:val="15"/>
          <w:b w:val="1"/>
          <w:bCs w:val="1"/>
          <w:i w:val="1"/>
          <w:iCs w:val="1"/>
          <w:color w:val="auto"/>
        </w:rPr>
        <w:t>Rights Plan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April 13, 1989, we adopted a shareholder rights plan and declared a dividend distribution of one right for each outstanding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 to shareholders of record at the close of business on April 24, 1989, with such rights to expire on April 24, 1999. On March 11, 1999, the expiration date of the rights plan was extended ten years and certain other amendments to the terms of the rights plan were adopted. On November 23, 2003, the rights plan was modified to increase the triggering ownership threshold to 20% and to add a provision commonly called a “TIDE” provision requiring that the independent trustees of the Board of Trustees review the rights under the rights plan every three years. On March 16, 2009, the rights plan was further amended to extend the expiration date for an additional three years and to add a provision commonly called a “qualified offer” provision, which is explained below. Except as set forth below, each right, as amended, when exercisable, entitles the registered holder to purchase from us a number of common shares (or fractional shares) having a then-current market value of two times the purchase price, initially equal to $65.00 per share, subject to adjustment upon the occurrence of specified events.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become exercisable upon the distribution date, which shall be the earlier to occur of:</w:t>
      </w:r>
    </w:p>
    <w:p>
      <w:pPr>
        <w:spacing w:after="0" w:line="212" w:lineRule="exact"/>
        <w:rPr>
          <w:sz w:val="20"/>
          <w:szCs w:val="20"/>
          <w:color w:val="auto"/>
        </w:rPr>
      </w:pPr>
    </w:p>
    <w:p>
      <w:pPr>
        <w:ind w:left="900" w:right="8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public announcement that, without the prior consent of the Board of Trustees, a person or group of affiliated or associated persons has acquired, or obtained the right to acquire, beneficial ownership of 20% or more of our common shares (without regard to the ownership limits contained within our declaration of trust); or</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ten days following the commencement of (or a public announcement of an intention to make) a tender offer or exchange offer that would result in the beneficial ownership by a person or group of affiliated or associated persons of 20% or more of our common shares.</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as soon as practicable to holders of record of our common shares as of the close of business on the distribution date, and the separate rights certificates alone will evidence the rights.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the rights will expire on the earliest of</w:t>
      </w:r>
    </w:p>
    <w:p>
      <w:pPr>
        <w:spacing w:after="0" w:line="212"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April 24, 2012;</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(or, in the event there is more than one acquiring company, the acquiring company receiving the greatest portion of the assets or earning power transferred), which at the time of such transaction would have a market value equal to two times the then-current purchase price of the right.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which redemption shall be effective upon the authorization of the Board of Trustees.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20% or more of our common shares.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event we receive a qualified offer and we do not redeem the rights, within 90 days thereafter, then, upon request from holders (other than the offeror and its affiliates or associates or any officer or trustee of ours) of at least 10% of the outstanding common shares for the calling of a special meeting, we will hold a special meeting within 60 days after receipt of such a request. If, at such meeting, holders of more than 50% of the outstanding common shares (other than shares of the offeror or its affiliates or associates or any officer or trustee of ours) vote for redemption of the rights, then we will thereafter redeem the rights (or take similar action) as promptly as practicable. If such a meeting is not held on or prior to the 60</w:t>
      </w:r>
      <w:r>
        <w:rPr>
          <w:rFonts w:ascii="Arial" w:cs="Arial" w:eastAsia="Arial" w:hAnsi="Arial"/>
          <w:sz w:val="10"/>
          <w:szCs w:val="10"/>
          <w:color w:val="auto"/>
        </w:rPr>
        <w:t>th</w:t>
      </w:r>
      <w:r>
        <w:rPr>
          <w:rFonts w:ascii="Arial" w:cs="Arial" w:eastAsia="Arial" w:hAnsi="Arial"/>
          <w:sz w:val="16"/>
          <w:szCs w:val="16"/>
          <w:color w:val="auto"/>
        </w:rPr>
        <w:t xml:space="preserve"> day after a qualifying request is received (which period shall be extended if we are exercising reasonable efforts to hold such a meeting and have been prevented by circumstances reasonably beyond our control), we shall promptly thereafter redeem the rights (or take similar action). However, we are not required to hold such a meeting unless the qualified offer at issue has an expiration date which is at least 10 business days after such meeting, and any obligations of us to hold such a meeting or to redeem the rights in connection therewith are null and void in the event any person, entity or group acquires, or obtains the right to acquire, beneficial ownership of 20% or more of our common shares.</w:t>
      </w:r>
    </w:p>
    <w:p>
      <w:pPr>
        <w:spacing w:after="0" w:line="12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 qualified offer shall mean a tender offer which, among other things, (a) is an all-cash offer for all common shares at a price per share which is at least the higher of (x) $97; or (y) an amount equal to 25% higher than the higher of (1) the average closing price of the common shares over the period of 30 trading days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immediately preceding commencement of the offer or (2) the average closing price of the common shares over the period of five trading days immediately preceding commencement of the offer, (b) includes a firm financing commitment which, when added to the offeror’s cash, will be sufficient, (c) has a non-waivable condition that the offeror must own, after consummating the offer, at least 50% of the common shares then outstanding (other than common shares already held by such offeror and its affiliates or associates or any trustee or officer of ours), (d) stays open for at least 60 business days (extended for any increase in price) and (e) commits the offeror to buy all other common shares at the same price paid pursuant to the offer.</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any event, upon the effective date of the redemption of the rights, the right to exercise the rights will terminate and the only right of the holders of rights will be to receive the price of $0.01 per right.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179" w:lineRule="exact"/>
        <w:rPr>
          <w:sz w:val="20"/>
          <w:szCs w:val="20"/>
          <w:color w:val="auto"/>
        </w:rPr>
      </w:pPr>
    </w:p>
    <w:p>
      <w:pPr>
        <w:ind w:left="900" w:right="1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172"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b w:val="1"/>
          <w:bCs w:val="1"/>
          <w:i w:val="1"/>
          <w:iCs w:val="1"/>
          <w:color w:val="auto"/>
        </w:rPr>
        <w:t>Limitation of Liability of Trustees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183"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211"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ownership and disposition of our common, preferred, and depositary shares. If we offer one or more additional series of common shares or preferred shares, debt securities, depositary shares, warrants to purchase debt or equity securities, or rights to purchase our common shares, the prospectus supplement would include information about certain additional material U.S. federal income tax considerations to holders of any of the offered securities.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2008;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qualification tests. For a discussion of the tax treatment of us and our shareholders if we fail to qualify as a REIT, see “— Requirements for REIT Qualification — Failure to Qualify.”</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181" w:lineRule="exact"/>
        <w:rPr>
          <w:sz w:val="20"/>
          <w:szCs w:val="20"/>
          <w:color w:val="auto"/>
        </w:rPr>
      </w:pPr>
    </w:p>
    <w:p>
      <w:pPr>
        <w:ind w:left="900" w:right="56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234"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184"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83" w:lineRule="exact"/>
        <w:rPr>
          <w:rFonts w:ascii="Arial" w:cs="Arial" w:eastAsia="Arial" w:hAnsi="Arial"/>
          <w:sz w:val="18"/>
          <w:szCs w:val="18"/>
          <w:color w:val="auto"/>
        </w:rPr>
      </w:pPr>
    </w:p>
    <w:p>
      <w:pPr>
        <w:jc w:val="both"/>
        <w:ind w:left="900" w:right="2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8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18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211"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212"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211"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72"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172"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w:t>
      </w:r>
    </w:p>
    <w:p>
      <w:pPr>
        <w:spacing w:after="0" w:line="110"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We must satisfy two gross income tests annually to maintain our qualification as a REIT:</w:t>
      </w:r>
    </w:p>
    <w:p>
      <w:pPr>
        <w:spacing w:after="0" w:line="218" w:lineRule="exact"/>
        <w:rPr>
          <w:sz w:val="20"/>
          <w:szCs w:val="20"/>
          <w:color w:val="auto"/>
        </w:rPr>
      </w:pPr>
    </w:p>
    <w:p>
      <w:pPr>
        <w:ind w:left="900" w:right="40" w:hanging="446"/>
        <w:spacing w:after="0" w:line="291"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certain real estate liability hedges and, after July 30, 2008,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160"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certain real estate liability hedges and, after July 30, 2008,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65"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w:t>
      </w:r>
    </w:p>
    <w:p>
      <w:pPr>
        <w:spacing w:after="0" w:line="179" w:lineRule="exact"/>
        <w:rPr>
          <w:sz w:val="20"/>
          <w:szCs w:val="20"/>
          <w:color w:val="auto"/>
        </w:rPr>
      </w:pPr>
    </w:p>
    <w:p>
      <w:pPr>
        <w:ind w:left="900" w:hanging="446"/>
        <w:spacing w:after="0" w:line="256"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Although, generally, rent may be based on a fixed percentage or percentages of receipts or sales, if the rent is based, in whole or in part, on the income or profits of any person, the rent will not qualify as “rents from real property.” We have not entered into any lease based in whole or part on the net income of any person and do not anticipate entering into such arrangements unless, in either instance, we determine or have determined in our discretion that such arrangements will not jeopardize our status as a REIT;</w:t>
      </w:r>
    </w:p>
    <w:p>
      <w:pPr>
        <w:spacing w:after="0" w:line="183" w:lineRule="exact"/>
        <w:rPr>
          <w:rFonts w:ascii="Arial" w:cs="Arial" w:eastAsia="Arial" w:hAnsi="Arial"/>
          <w:sz w:val="18"/>
          <w:szCs w:val="18"/>
          <w:color w:val="auto"/>
        </w:rPr>
      </w:pPr>
    </w:p>
    <w:p>
      <w:pPr>
        <w:ind w:left="900" w:right="220" w:hanging="446"/>
        <w:spacing w:after="0" w:line="306"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172" w:lineRule="exact"/>
        <w:rPr>
          <w:sz w:val="20"/>
          <w:szCs w:val="20"/>
          <w:color w:val="auto"/>
        </w:rPr>
      </w:pPr>
    </w:p>
    <w:p>
      <w:pPr>
        <w:ind w:left="900" w:right="20" w:hanging="446"/>
        <w:spacing w:after="0" w:line="318" w:lineRule="auto"/>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will not jeopardize our status as a REIT;</w:t>
      </w:r>
    </w:p>
    <w:p>
      <w:pPr>
        <w:spacing w:after="0" w:line="140" w:lineRule="exact"/>
        <w:rPr>
          <w:rFonts w:ascii="Arial" w:cs="Arial" w:eastAsia="Arial" w:hAnsi="Arial"/>
          <w:sz w:val="15"/>
          <w:szCs w:val="15"/>
          <w:color w:val="auto"/>
        </w:rPr>
      </w:pPr>
    </w:p>
    <w:p>
      <w:pPr>
        <w:ind w:left="900" w:hanging="446"/>
        <w:spacing w:after="0" w:line="294"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or we lease personal property in connection with a future lease, we believe that rent under each lease from the personal property has been or will be less than 15% of total rent from that lease or that the amount of rent attributable to the personal property will not jeopardize our status as a REIT; and</w:t>
      </w:r>
    </w:p>
    <w:p>
      <w:pPr>
        <w:spacing w:after="0" w:line="156" w:lineRule="exact"/>
        <w:rPr>
          <w:rFonts w:ascii="Arial" w:cs="Arial" w:eastAsia="Arial" w:hAnsi="Arial"/>
          <w:sz w:val="16"/>
          <w:szCs w:val="16"/>
          <w:color w:val="auto"/>
        </w:rPr>
      </w:pPr>
    </w:p>
    <w:p>
      <w:pPr>
        <w:ind w:left="900" w:right="160" w:hanging="446"/>
        <w:spacing w:after="0" w:line="289"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212" w:lineRule="exact"/>
        <w:rPr>
          <w:sz w:val="20"/>
          <w:szCs w:val="20"/>
          <w:color w:val="auto"/>
        </w:rPr>
      </w:pPr>
    </w:p>
    <w:p>
      <w:pPr>
        <w:ind w:left="900" w:right="8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446"/>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18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172" w:lineRule="exact"/>
        <w:rPr>
          <w:rFonts w:ascii="Arial" w:cs="Arial" w:eastAsia="Arial" w:hAnsi="Arial"/>
          <w:sz w:val="18"/>
          <w:szCs w:val="18"/>
          <w:color w:val="auto"/>
        </w:rPr>
      </w:pPr>
    </w:p>
    <w:p>
      <w:pPr>
        <w:ind w:left="900" w:right="280" w:hanging="446"/>
        <w:spacing w:after="0" w:line="306"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perform services considered to be provided for the convenience of the tenant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65"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44" w:lineRule="exact"/>
        <w:rPr>
          <w:sz w:val="20"/>
          <w:szCs w:val="20"/>
          <w:color w:val="auto"/>
        </w:rPr>
      </w:pPr>
    </w:p>
    <w:p>
      <w:pPr>
        <w:ind w:left="900" w:right="200" w:hanging="446"/>
        <w:spacing w:after="0" w:line="33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03" w:lineRule="exact"/>
        <w:rPr>
          <w:sz w:val="20"/>
          <w:szCs w:val="20"/>
          <w:color w:val="auto"/>
        </w:rPr>
      </w:pPr>
    </w:p>
    <w:p>
      <w:pPr>
        <w:ind w:left="900" w:right="18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172"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80"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25" w:lineRule="exact"/>
        <w:rPr>
          <w:rFonts w:ascii="Arial" w:cs="Arial" w:eastAsia="Arial" w:hAnsi="Arial"/>
          <w:sz w:val="16"/>
          <w:szCs w:val="16"/>
          <w:color w:val="auto"/>
        </w:rPr>
      </w:pPr>
    </w:p>
    <w:p>
      <w:pPr>
        <w:ind w:left="900" w:right="120" w:hanging="446"/>
        <w:spacing w:after="0" w:line="370" w:lineRule="auto"/>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5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REIT will incur a 100% tax on net income derived from any “prohibited transaction.” A “prohibited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is a sale or other disposition of property (other than foreclosure property) that the REIT holds primarily for sale to customers in the ordinary course of a trade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business. With respect to prohibited transactions occurring after July 30, 2008, any foreign currency gain (as defined in Section 988(b)(1) of the Code) and any foreign currency loss (as defined in Section 988(b)(2) of the Code) will be taken into account in determining the amount of income subject to the 100% penalty tax.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For sales on or prior to July 30, 2008, the 2-year periods referenced in (i) and (ii) above were 4 years, and the 10% fair market value test described in the alternative in (iii) above did not apply. We believe we have complied with the terms of the safe-harbor provision and we will attempt to comply with the terms of the safe-harbor in the future. We may fail to comply with the safe-harbor provision or may own property that could be characterized as property held “primarily for sale to customers in the ordinary course of a trade or business.”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Hedging Transactions. </w:t>
      </w:r>
      <w:r>
        <w:rPr>
          <w:rFonts w:ascii="Arial" w:cs="Arial" w:eastAsia="Arial" w:hAnsi="Arial"/>
          <w:sz w:val="16"/>
          <w:szCs w:val="16"/>
          <w:color w:val="auto"/>
        </w:rPr>
        <w:t>Except to the extent provided by Treasury regulations, any income we derive from a hedging transaction (which may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Real estate liability hedging transactions entered into on or before July 30, 2008, however, will likely generate nonqualifying income for purposes of the 75% gross income test, and foreign currency hedges entered into on or before July 30, 2008, will likely generate nonqualifying income for purposes of both the 75% and 95% gross income tests. Moreover, income from any hedging transaction not described above will likely continue to be treated as nonqualifying for both the 75% and 95% gross income test.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Relief from Consequences of Failing to Meet Income Tests. </w:t>
      </w:r>
      <w:r>
        <w:rPr>
          <w:rFonts w:ascii="Arial" w:cs="Arial" w:eastAsia="Arial" w:hAnsi="Arial"/>
          <w:sz w:val="18"/>
          <w:szCs w:val="18"/>
          <w:color w:val="auto"/>
        </w:rPr>
        <w:t>If we fail to satisfy one or both of the 75% and 95% gross income tests for any taxable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relief provisions apply, we would incur a 100% tax on gross income to the extent we fail the 75% or 95% gross income test (whichever amount is greater), multiplied by a fraction intended to reflect our profitability.</w:t>
      </w:r>
    </w:p>
    <w:p>
      <w:pPr>
        <w:spacing w:after="0" w:line="126"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b w:val="1"/>
          <w:bCs w:val="1"/>
          <w:i w:val="1"/>
          <w:iCs w:val="1"/>
          <w:color w:val="auto"/>
        </w:rPr>
        <w:t>Asset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To maintain our qualification as a REIT, we also must satisfy the following asset tests at the close of each quarter of each taxable year:</w:t>
      </w:r>
    </w:p>
    <w:p>
      <w:pPr>
        <w:spacing w:after="0" w:line="218" w:lineRule="exact"/>
        <w:rPr>
          <w:sz w:val="20"/>
          <w:szCs w:val="20"/>
          <w:color w:val="auto"/>
        </w:rPr>
      </w:pPr>
    </w:p>
    <w:p>
      <w:pPr>
        <w:ind w:left="900" w:right="44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172" w:lineRule="exact"/>
        <w:rPr>
          <w:rFonts w:ascii="Arial" w:cs="Arial" w:eastAsia="Arial" w:hAnsi="Arial"/>
          <w:sz w:val="18"/>
          <w:szCs w:val="18"/>
          <w:color w:val="auto"/>
        </w:rPr>
      </w:pPr>
    </w:p>
    <w:p>
      <w:pPr>
        <w:ind w:left="1460" w:right="260" w:hanging="547"/>
        <w:spacing w:after="0" w:line="268" w:lineRule="auto"/>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172" w:lineRule="exact"/>
        <w:rPr>
          <w:rFonts w:ascii="Arial" w:cs="Arial" w:eastAsia="Arial" w:hAnsi="Arial"/>
          <w:sz w:val="18"/>
          <w:szCs w:val="18"/>
          <w:color w:val="auto"/>
        </w:rPr>
      </w:pPr>
    </w:p>
    <w:p>
      <w:pPr>
        <w:jc w:val="both"/>
        <w:ind w:left="1460" w:right="340" w:hanging="547"/>
        <w:spacing w:after="0" w:line="259" w:lineRule="auto"/>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180" w:lineRule="exact"/>
        <w:rPr>
          <w:rFonts w:ascii="Arial" w:cs="Arial" w:eastAsia="Arial" w:hAnsi="Arial"/>
          <w:sz w:val="18"/>
          <w:szCs w:val="18"/>
          <w:color w:val="auto"/>
        </w:rPr>
      </w:pPr>
    </w:p>
    <w:p>
      <w:pPr>
        <w:ind w:left="1460" w:right="440" w:hanging="547"/>
        <w:spacing w:after="0" w:line="268" w:lineRule="auto"/>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72"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qualified REIT subsidiary, may not exceed 5% of the value of our total assets (the “5% asset test”), (B) we may not own more than 10% of the voting power or value of any one issuer’s outstanding securities, which does not include our equity ownership in other REITs, any qualified REIT subsidiary, or any taxable REIT subsidiary (the “10% asset test”), (C) the value of our securities in one or more taxable REIT subsidiaries may not exceed 25% of the value of our total assets (20% for taxable years ending on or before December 31, 2008),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3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61" w:lineRule="auto"/>
        <w:tabs>
          <w:tab w:leader="none" w:pos="2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 to raise the cash necessary to make required distributions.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7"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2010. Different rules may apply for years beginning after 2010. See “— Taxation of Taxable U.S. Shareholders — Current Tax Rates.” Furthermore, subject to certain limitations of the Code, corporate shareholders might be eligible for the dividends received deduction. Unless we qualified for relief granted by the IRS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172"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11"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2010) for “qualified dividend income.”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Capital Gains and Losses. </w:t>
      </w:r>
      <w:r>
        <w:rPr>
          <w:rFonts w:ascii="Arial" w:cs="Arial" w:eastAsia="Arial" w:hAnsi="Arial"/>
          <w:sz w:val="18"/>
          <w:szCs w:val="18"/>
          <w:color w:val="auto"/>
        </w:rPr>
        <w:t>A taxpayer generally must hold a capital asset for more than one year for gain or loss derived from its sale or exchange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long-term capital gain or loss. The highest marginal individual income tax rate on ordinary income significantly exceeds the maximum tax rate on long-term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characterization of income as capital gain or ordinary income may also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0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8"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Treasury is considering other methods for basis recovery, and new regulations addressing this treatment recently were proposed. There can be no assurance, however, that the proposed regulations will be adopted or that they will be adopted in the form currently proposed, and the existing methods for recovering adjusted tax basis continue to apply. We urge you to consult your tax advisor concerning the treatment of a cash redemption of our preferred shares.</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211"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211"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2011, and qualified dividend income will no longer be taxed at a preferential rate compared to ordinary income.</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(other than an exempt recipient) may be subject to backup withholding (currently at the rate of 28%) with respect to dividends unless such holder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69"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172"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shareholders. Thus, such entities will, after satisfying filing requirements, be allowed a credit or refund of the tax deemed paid by such entities in respect of such includible gains.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beneficial owner of our shares (other than a partnership or entity that is treated as a partnership for U.S. federal income tax purposes) that is not a taxable U.S. shareholder or exempt organization.</w:t>
      </w:r>
    </w:p>
    <w:p>
      <w:pPr>
        <w:spacing w:after="0" w:line="107" w:lineRule="exact"/>
        <w:rPr>
          <w:sz w:val="20"/>
          <w:szCs w:val="20"/>
          <w:color w:val="auto"/>
        </w:rPr>
      </w:pPr>
    </w:p>
    <w:p>
      <w:pPr>
        <w:ind w:right="140" w:firstLine="456"/>
        <w:spacing w:after="0" w:line="307" w:lineRule="auto"/>
        <w:rPr>
          <w:sz w:val="20"/>
          <w:szCs w:val="20"/>
          <w:color w:val="auto"/>
        </w:rPr>
      </w:pPr>
      <w:r>
        <w:rPr>
          <w:rFonts w:ascii="Arial" w:cs="Arial" w:eastAsia="Arial" w:hAnsi="Arial"/>
          <w:sz w:val="15"/>
          <w:szCs w:val="15"/>
          <w:b w:val="1"/>
          <w:bCs w:val="1"/>
          <w:i w:val="1"/>
          <w:iCs w:val="1"/>
          <w:color w:val="auto"/>
        </w:rPr>
        <w:t>Ordinary Dividends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non-U.S. shareholder that receives a distribution that is not attributable to gain from our sale or exchange of “U.S. real property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If a distribution is treated as effectively connected with the non-U.S. shareholder’s conduct of a U.S. trade or business, however,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(ii) the non-U.S. shareholder timely provides an IRS Form W-8ECI to us claiming that the distribution is effectively connected income, or (iii) the non-U.S. shareholder holds shares through a “qualified intermediary” that has elected to perform any necessary withholding itself.</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an ordinary dividend. However, a non-U.S. shareholder may obtain a refund of amounts that we withhold if we later determine that a distribution in fact exceeded our current and accumulated earnings and profits.</w:t>
      </w:r>
    </w:p>
    <w:p>
      <w:pPr>
        <w:spacing w:after="0" w:line="112" w:lineRule="exact"/>
        <w:rPr>
          <w:sz w:val="20"/>
          <w:szCs w:val="20"/>
          <w:color w:val="auto"/>
        </w:rPr>
      </w:pPr>
    </w:p>
    <w:p>
      <w:pPr>
        <w:jc w:val="both"/>
        <w:ind w:right="120" w:firstLine="456"/>
        <w:spacing w:after="0" w:line="301"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that a particular class of our shares is “regularly traded” on an established securities market in the United States,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0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3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(i)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(ii)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Wash Sales. </w:t>
      </w:r>
      <w:r>
        <w:rPr>
          <w:rFonts w:ascii="Arial" w:cs="Arial" w:eastAsia="Arial" w:hAnsi="Arial"/>
          <w:sz w:val="16"/>
          <w:szCs w:val="16"/>
          <w:color w:val="auto"/>
        </w:rPr>
        <w:t>In general, special wash sale rules apply if a shareholder owning more than 5% of our common or preferred shares avoids a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26" w:lineRule="exact"/>
        <w:rPr>
          <w:sz w:val="20"/>
          <w:szCs w:val="20"/>
          <w:color w:val="auto"/>
        </w:rPr>
      </w:pPr>
    </w:p>
    <w:p>
      <w:pPr>
        <w:jc w:val="both"/>
        <w:ind w:right="20" w:firstLine="456"/>
        <w:spacing w:after="0" w:line="258"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report annually to the IRS and to each non-U.S. shareholder the amount of distributions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183"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211"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172"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71" w:lineRule="exact"/>
        <w:rPr>
          <w:sz w:val="20"/>
          <w:szCs w:val="20"/>
          <w:color w:val="auto"/>
        </w:rPr>
      </w:pPr>
    </w:p>
    <w:p>
      <w:pPr>
        <w:ind w:right="160" w:firstLine="456"/>
        <w:spacing w:after="0" w:line="339" w:lineRule="auto"/>
        <w:rPr>
          <w:sz w:val="20"/>
          <w:szCs w:val="20"/>
          <w:color w:val="auto"/>
        </w:rPr>
      </w:pPr>
      <w:r>
        <w:rPr>
          <w:rFonts w:ascii="Arial" w:cs="Arial" w:eastAsia="Arial" w:hAnsi="Arial"/>
          <w:sz w:val="15"/>
          <w:szCs w:val="15"/>
          <w:b w:val="1"/>
          <w:bCs w:val="1"/>
          <w:i w:val="1"/>
          <w:iCs w:val="1"/>
          <w:color w:val="auto"/>
        </w:rPr>
        <w:t>State and Local Taxes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and/or you may be subject to state and local tax in various states and localities, including those states and localities in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212" w:lineRule="exact"/>
        <w:rPr>
          <w:sz w:val="20"/>
          <w:szCs w:val="20"/>
          <w:color w:val="auto"/>
        </w:rPr>
      </w:pPr>
    </w:p>
    <w:p>
      <w:pPr>
        <w:ind w:left="900" w:right="32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2008, filed with the SEC on February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Shareholders, filed with the SEC on March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2009, filed with the SEC on May 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Current Report on Form 8-K dated January 1, 2009, filed with the SEC on January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Current Report on Form 8-K date February 17, 2009, filed with the SEC on February 20,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Current Report on Form 8-K dated March 16, 2009, filed with the SEC on March 19, 2009;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Current Report on Form 8-K dated May 6, 2009, filed with the SEC on May 11,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Current Report on Form 8-K dated May 26, 2009, filed with the SEC on May 27,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Current Report on Form 8-K dated June 4, 2009, filed with the SEC on June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 and</w:t>
      </w:r>
    </w:p>
    <w:p>
      <w:pPr>
        <w:spacing w:after="0" w:line="211"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Description of our Common Share Purchase Rights included in the Registration Statement on Form 8-A/A, filed March 11, 1999, in the First Amendment to Amended and Restated Rights Agreement, dated as of November 23, 2003 and filed as an exhibit to the Annual Report on Form 10-K for the year ended December 31, 2003, and in the Second Amendment to Amended and Restated Rights Agreement, dated as of March 16, 2009 and filed as an exhibit to our Current Report on Form 8-K filed on March 19, 2009, each between us and American Stock Transfer &amp; Trust Company.</w:t>
      </w:r>
    </w:p>
    <w:p>
      <w:pPr>
        <w:spacing w:after="0" w:line="9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19"/>
        <w:spacing w:after="0"/>
        <w:rPr>
          <w:sz w:val="20"/>
          <w:szCs w:val="20"/>
          <w:color w:val="auto"/>
        </w:rPr>
      </w:pPr>
      <w:r>
        <w:rPr>
          <w:rFonts w:ascii="Arial" w:cs="Arial" w:eastAsia="Arial" w:hAnsi="Arial"/>
          <w:sz w:val="32"/>
          <w:szCs w:val="3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780"/>
        <w:spacing w:after="0"/>
        <w:rPr>
          <w:sz w:val="20"/>
          <w:szCs w:val="20"/>
          <w:color w:val="auto"/>
        </w:rPr>
      </w:pPr>
      <w:r>
        <w:rPr>
          <w:rFonts w:ascii="Arial" w:cs="Arial" w:eastAsia="Arial" w:hAnsi="Arial"/>
          <w:sz w:val="24"/>
          <w:szCs w:val="24"/>
          <w:b w:val="1"/>
          <w:bCs w:val="1"/>
          <w:color w:val="auto"/>
        </w:rPr>
        <w:t>%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666115</wp:posOffset>
            </wp:positionV>
            <wp:extent cx="30441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40"/>
        <w:spacing w:after="0"/>
        <w:tabs>
          <w:tab w:leader="none" w:pos="5760" w:val="left"/>
        </w:tabs>
        <w:rPr>
          <w:sz w:val="20"/>
          <w:szCs w:val="20"/>
          <w:color w:val="auto"/>
        </w:rPr>
      </w:pPr>
      <w:r>
        <w:rPr>
          <w:rFonts w:ascii="Arial" w:cs="Arial" w:eastAsia="Arial" w:hAnsi="Arial"/>
          <w:sz w:val="18"/>
          <w:szCs w:val="18"/>
          <w:b w:val="1"/>
          <w:bCs w:val="1"/>
          <w:color w:val="auto"/>
        </w:rPr>
        <w:t>PROSPECTUS</w:t>
      </w:r>
      <w:r>
        <w:rPr>
          <w:sz w:val="20"/>
          <w:szCs w:val="20"/>
          <w:color w:val="auto"/>
        </w:rPr>
        <w:tab/>
      </w:r>
      <w:r>
        <w:rPr>
          <w:rFonts w:ascii="Arial" w:cs="Arial" w:eastAsia="Arial" w:hAnsi="Arial"/>
          <w:sz w:val="16"/>
          <w:szCs w:val="16"/>
          <w:b w:val="1"/>
          <w:bCs w:val="1"/>
          <w:color w:val="auto"/>
        </w:rPr>
        <w:t>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66040</wp:posOffset>
            </wp:positionV>
            <wp:extent cx="30441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BofA Merrill Lynch</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28"/>
          <w:szCs w:val="28"/>
          <w:b w:val="1"/>
          <w:bCs w:val="1"/>
          <w:color w:val="auto"/>
        </w:rPr>
        <w:t>Wells Fargo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20"/>
        <w:spacing w:after="0"/>
        <w:tabs>
          <w:tab w:leader="none" w:pos="5940" w:val="left"/>
        </w:tabs>
        <w:rPr>
          <w:sz w:val="20"/>
          <w:szCs w:val="20"/>
          <w:color w:val="auto"/>
        </w:rPr>
      </w:pPr>
      <w:r>
        <w:rPr>
          <w:rFonts w:ascii="Arial" w:cs="Arial" w:eastAsia="Arial" w:hAnsi="Arial"/>
          <w:sz w:val="18"/>
          <w:szCs w:val="18"/>
          <w:b w:val="1"/>
          <w:bCs w:val="1"/>
          <w:color w:val="auto"/>
        </w:rPr>
        <w:t>February</w:t>
        <w:tab/>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lvl w:ilvl="1">
      <w:lvlJc w:val="left"/>
      <w:lvlText w:val="•"/>
      <w:numFmt w:val="bullet"/>
      <w:start w:val="1"/>
    </w:lvl>
  </w:abstractNum>
  <w:abstractNum w:abstractNumId="1">
    <w:nsid w:val="6A2342EC"/>
    <w:multiLevelType w:val="hybridMultilevel"/>
    <w:lvl w:ilvl="0">
      <w:lvlJc w:val="left"/>
      <w:lvlText w:val="(%1)"/>
      <w:numFmt w:val="decimal"/>
      <w:start w:val="800"/>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2"/>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1)"/>
      <w:numFmt w:val="lowerLetter"/>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1)"/>
      <w:numFmt w:val="decimal"/>
      <w:start w:val="30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lvl w:ilvl="1">
      <w:lvlJc w:val="left"/>
      <w:lvlText w:val="•"/>
      <w:numFmt w:val="bullet"/>
      <w:start w:val="1"/>
    </w:lvl>
  </w:abstractNum>
  <w:abstractNum w:abstractNumId="26">
    <w:nsid w:val="23F9C13C"/>
    <w:multiLevelType w:val="hybridMultilevel"/>
    <w:lvl w:ilvl="0">
      <w:lvlJc w:val="left"/>
      <w:lvlText w:val="•"/>
      <w:numFmt w:val="bullet"/>
      <w:start w:val="1"/>
    </w:lvl>
    <w:lvl w:ilvl="1">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1."/>
      <w:numFmt w:val="decimal"/>
      <w:start w:val="1"/>
    </w:lvl>
  </w:abstractNum>
  <w:abstractNum w:abstractNumId="32">
    <w:nsid w:val="235BA861"/>
    <w:multiLevelType w:val="hybridMultilevel"/>
    <w:lvl w:ilvl="0">
      <w:lvlJc w:val="left"/>
      <w:lvlText w:val="%1."/>
      <w:numFmt w:val="decimal"/>
      <w:start w:val="2"/>
    </w:lvl>
    <w:lvl w:ilvl="1">
      <w:lvlJc w:val="left"/>
      <w:lvlText w:val="(%2)"/>
      <w:numFmt w:val="lowerLetter"/>
      <w:start w:val="1"/>
    </w:lvl>
  </w:abstractNum>
  <w:abstractNum w:abstractNumId="33">
    <w:nsid w:val="47398C89"/>
    <w:multiLevelType w:val="hybridMultilevel"/>
    <w:lvl w:ilvl="0">
      <w:lvlJc w:val="left"/>
      <w:lvlText w:val="%1."/>
      <w:numFmt w:val="decimal"/>
      <w:start w:val="7"/>
    </w:lvl>
    <w:lvl w:ilvl="1">
      <w:lvlJc w:val="left"/>
      <w:lvlText w:val="(%2)"/>
      <w:numFmt w:val="lowerLetter"/>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lvl w:ilvl="1">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lvl w:ilvl="1">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lvl w:ilvl="1">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1)"/>
      <w:numFmt w:val="lowerRoman"/>
      <w:start w:val="3"/>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
      <w:numFmt w:val="bullet"/>
      <w:start w:val="1"/>
    </w:lvl>
    <w:lvl w:ilvl="1">
      <w:lvlJc w:val="left"/>
      <w:lvlText w:val="•"/>
      <w:numFmt w:val="bullet"/>
      <w:start w:val="1"/>
    </w:lvl>
  </w:abstractNum>
  <w:abstractNum w:abstractNumId="74">
    <w:nsid w:val="1A32234B"/>
    <w:multiLevelType w:val="hybridMultilevel"/>
    <w:lvl w:ilvl="0">
      <w:lvlJc w:val="left"/>
      <w:lvlText w:val="(%1)"/>
      <w:numFmt w:val="lowerRoman"/>
      <w:start w:val="2"/>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1)"/>
      <w:numFmt w:val="decimal"/>
      <w:start w:val="4"/>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2019-12-10T00:42:21Z</dcterms:created>
  <dcterms:modified xsi:type="dcterms:W3CDTF">2019-12-10T00:42:21Z</dcterms:modified>
</cp:coreProperties>
</file>