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819"/>
        <w:spacing w:after="0"/>
        <w:tabs>
          <w:tab w:leader="none" w:pos="180"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20549</w:t>
      </w:r>
    </w:p>
    <w:p>
      <w:pPr>
        <w:jc w:val="center"/>
        <w:ind w:right="2819"/>
        <w:spacing w:after="0" w:line="237" w:lineRule="auto"/>
        <w:rPr>
          <w:sz w:val="20"/>
          <w:szCs w:val="20"/>
          <w:color w:val="auto"/>
        </w:rPr>
      </w:pPr>
      <w:r>
        <w:rPr>
          <w:rFonts w:ascii="Courier New" w:cs="Courier New" w:eastAsia="Courier New" w:hAnsi="Courier New"/>
          <w:sz w:val="16"/>
          <w:szCs w:val="16"/>
          <w:color w:val="auto"/>
        </w:rPr>
        <w:t>Form 10-Q</w:t>
      </w:r>
    </w:p>
    <w:p>
      <w:pPr>
        <w:spacing w:after="0" w:line="360"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6"/>
          <w:szCs w:val="16"/>
          <w:color w:val="auto"/>
        </w:rPr>
        <w:t>QUARTERLY REPORT UNDER SECTION 13 OR 15(d)</w:t>
      </w:r>
    </w:p>
    <w:p>
      <w:pPr>
        <w:jc w:val="center"/>
        <w:ind w:right="289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59" w:lineRule="exact"/>
        <w:rPr>
          <w:sz w:val="24"/>
          <w:szCs w:val="24"/>
          <w:color w:val="auto"/>
        </w:rPr>
      </w:pPr>
    </w:p>
    <w:p>
      <w:pPr>
        <w:ind w:left="1960"/>
        <w:spacing w:after="0"/>
        <w:tabs>
          <w:tab w:leader="none" w:pos="4200" w:val="left"/>
        </w:tabs>
        <w:rPr>
          <w:sz w:val="20"/>
          <w:szCs w:val="20"/>
          <w:color w:val="auto"/>
        </w:rPr>
      </w:pPr>
      <w:r>
        <w:rPr>
          <w:rFonts w:ascii="Courier New" w:cs="Courier New" w:eastAsia="Courier New" w:hAnsi="Courier New"/>
          <w:sz w:val="16"/>
          <w:szCs w:val="16"/>
          <w:color w:val="auto"/>
        </w:rPr>
        <w:t>For the Quarter Ended:</w:t>
      </w:r>
      <w:r>
        <w:rPr>
          <w:sz w:val="20"/>
          <w:szCs w:val="20"/>
          <w:color w:val="auto"/>
        </w:rPr>
        <w:tab/>
      </w:r>
      <w:r>
        <w:rPr>
          <w:rFonts w:ascii="Courier New" w:cs="Courier New" w:eastAsia="Courier New" w:hAnsi="Courier New"/>
          <w:sz w:val="15"/>
          <w:szCs w:val="15"/>
          <w:color w:val="auto"/>
        </w:rPr>
        <w:t>March 31, 2000</w:t>
      </w:r>
    </w:p>
    <w:p>
      <w:pPr>
        <w:ind w:left="1960"/>
        <w:spacing w:after="0"/>
        <w:rPr>
          <w:sz w:val="20"/>
          <w:szCs w:val="20"/>
          <w:color w:val="auto"/>
        </w:rPr>
      </w:pPr>
      <w:r>
        <w:rPr>
          <w:rFonts w:ascii="Courier New" w:cs="Courier New" w:eastAsia="Courier New" w:hAnsi="Courier New"/>
          <w:sz w:val="16"/>
          <w:szCs w:val="16"/>
          <w:color w:val="auto"/>
        </w:rPr>
        <w:t>--------------------------------------</w:t>
      </w:r>
    </w:p>
    <w:p>
      <w:pPr>
        <w:ind w:left="2520"/>
        <w:spacing w:after="0" w:line="237" w:lineRule="auto"/>
        <w:rPr>
          <w:sz w:val="20"/>
          <w:szCs w:val="20"/>
          <w:color w:val="auto"/>
        </w:rPr>
      </w:pPr>
      <w:r>
        <w:rPr>
          <w:rFonts w:ascii="Courier New" w:cs="Courier New" w:eastAsia="Courier New" w:hAnsi="Courier New"/>
          <w:sz w:val="16"/>
          <w:szCs w:val="16"/>
          <w:color w:val="auto"/>
        </w:rPr>
        <w:t>Commission File No. 17533</w:t>
      </w:r>
    </w:p>
    <w:p>
      <w:pPr>
        <w:ind w:left="252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FEDERAL REALTY INVESTMENT TRUST</w:t>
      </w:r>
    </w:p>
    <w:p>
      <w:pPr>
        <w:ind w:left="2240"/>
        <w:spacing w:after="0"/>
        <w:rPr>
          <w:sz w:val="20"/>
          <w:szCs w:val="20"/>
          <w:color w:val="auto"/>
        </w:rPr>
      </w:pPr>
      <w:r>
        <w:rPr>
          <w:rFonts w:ascii="Courier New" w:cs="Courier New" w:eastAsia="Courier New" w:hAnsi="Courier New"/>
          <w:sz w:val="16"/>
          <w:szCs w:val="16"/>
          <w:color w:val="auto"/>
        </w:rPr>
        <w:t>-------------------------------</w:t>
      </w:r>
    </w:p>
    <w:p>
      <w:pPr>
        <w:ind w:left="1120"/>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1" w:lineRule="exact"/>
        <w:rPr>
          <w:sz w:val="24"/>
          <w:szCs w:val="24"/>
          <w:color w:val="auto"/>
        </w:rPr>
      </w:pPr>
    </w:p>
    <w:p>
      <w:pPr>
        <w:ind w:left="1680"/>
        <w:spacing w:after="0"/>
        <w:tabs>
          <w:tab w:leader="none" w:pos="5140" w:val="left"/>
        </w:tabs>
        <w:rPr>
          <w:sz w:val="20"/>
          <w:szCs w:val="20"/>
          <w:color w:val="auto"/>
        </w:rPr>
      </w:pPr>
      <w:r>
        <w:rPr>
          <w:rFonts w:ascii="Courier New" w:cs="Courier New" w:eastAsia="Courier New" w:hAnsi="Courier New"/>
          <w:sz w:val="16"/>
          <w:szCs w:val="16"/>
          <w:color w:val="auto"/>
        </w:rPr>
        <w:t>Maryland</w:t>
      </w:r>
      <w:r>
        <w:rPr>
          <w:sz w:val="20"/>
          <w:szCs w:val="20"/>
          <w:color w:val="auto"/>
        </w:rPr>
        <w:tab/>
      </w:r>
      <w:r>
        <w:rPr>
          <w:rFonts w:ascii="Courier New" w:cs="Courier New" w:eastAsia="Courier New" w:hAnsi="Courier New"/>
          <w:sz w:val="16"/>
          <w:szCs w:val="16"/>
          <w:color w:val="auto"/>
        </w:rPr>
        <w:t>52-0782497</w:t>
      </w:r>
    </w:p>
    <w:p>
      <w:pPr>
        <w:ind w:left="660"/>
        <w:spacing w:after="0" w:line="233" w:lineRule="auto"/>
        <w:rPr>
          <w:sz w:val="20"/>
          <w:szCs w:val="20"/>
          <w:color w:val="auto"/>
        </w:rPr>
      </w:pPr>
      <w:r>
        <w:rPr>
          <w:rFonts w:ascii="Courier New" w:cs="Courier New" w:eastAsia="Courier New" w:hAnsi="Courier New"/>
          <w:sz w:val="16"/>
          <w:szCs w:val="16"/>
          <w:color w:val="auto"/>
        </w:rPr>
        <w:t>-----------------------------------------------------------------</w:t>
      </w:r>
    </w:p>
    <w:p>
      <w:pPr>
        <w:spacing w:after="0" w:line="360" w:lineRule="exact"/>
        <w:rPr>
          <w:sz w:val="24"/>
          <w:szCs w:val="24"/>
          <w:color w:val="auto"/>
        </w:rPr>
      </w:pPr>
    </w:p>
    <w:p>
      <w:pPr>
        <w:ind w:left="840" w:right="3659"/>
        <w:spacing w:after="0" w:line="236"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360"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1626 East Jefferson Street, Rockville, Maryland 20852-4041</w:t>
      </w:r>
    </w:p>
    <w:p>
      <w:pPr>
        <w:ind w:left="940"/>
        <w:spacing w:after="0"/>
        <w:rPr>
          <w:sz w:val="20"/>
          <w:szCs w:val="20"/>
          <w:color w:val="auto"/>
        </w:rPr>
      </w:pPr>
      <w:r>
        <w:rPr>
          <w:rFonts w:ascii="Courier New" w:cs="Courier New" w:eastAsia="Courier New" w:hAnsi="Courier New"/>
          <w:sz w:val="16"/>
          <w:szCs w:val="16"/>
          <w:color w:val="auto"/>
        </w:rPr>
        <w:t>----------------------------------------------------------</w:t>
      </w:r>
    </w:p>
    <w:p>
      <w:pPr>
        <w:ind w:left="1020"/>
        <w:spacing w:after="0"/>
        <w:tabs>
          <w:tab w:leader="none" w:pos="542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60" w:lineRule="exact"/>
        <w:rPr>
          <w:sz w:val="24"/>
          <w:szCs w:val="24"/>
          <w:color w:val="auto"/>
        </w:rPr>
      </w:pPr>
    </w:p>
    <w:p>
      <w:pPr>
        <w:ind w:left="3560" w:hanging="562"/>
        <w:spacing w:after="0"/>
        <w:tabs>
          <w:tab w:leader="none" w:pos="35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998-8100</w:t>
      </w:r>
    </w:p>
    <w:p>
      <w:pPr>
        <w:ind w:left="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184" w:lineRule="exact"/>
        <w:rPr>
          <w:sz w:val="24"/>
          <w:szCs w:val="24"/>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2" w:lineRule="exact"/>
        <w:rPr>
          <w:sz w:val="24"/>
          <w:szCs w:val="24"/>
          <w:color w:val="auto"/>
        </w:rPr>
      </w:pPr>
    </w:p>
    <w:p>
      <w:pPr>
        <w:ind w:left="460"/>
        <w:spacing w:after="0"/>
        <w:tabs>
          <w:tab w:leader="none" w:pos="1000" w:val="left"/>
          <w:tab w:leader="none" w:pos="1580"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5"/>
          <w:szCs w:val="15"/>
          <w:color w:val="auto"/>
        </w:rPr>
        <w:t>No_____.</w:t>
      </w:r>
    </w:p>
    <w:p>
      <w:pPr>
        <w:ind w:left="84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4"/>
          <w:szCs w:val="24"/>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593" w:right="1440" w:bottom="1440" w:gutter="0" w:footer="0" w:header="0"/>
        </w:sectPr>
      </w:pPr>
    </w:p>
    <w:p>
      <w:pPr>
        <w:spacing w:after="0" w:line="360"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Class</w:t>
      </w: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Shares of Beneficial Interest</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April 30, 2000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39,341,740</w:t>
      </w:r>
    </w:p>
    <w:p>
      <w:pPr>
        <w:spacing w:after="0" w:line="185" w:lineRule="exact"/>
        <w:rPr>
          <w:sz w:val="24"/>
          <w:szCs w:val="24"/>
          <w:color w:val="auto"/>
        </w:rPr>
      </w:pPr>
    </w:p>
    <w:p>
      <w:pPr>
        <w:sectPr>
          <w:pgSz w:w="11900" w:h="16838" w:orient="portrait"/>
          <w:cols w:equalWidth="0" w:num="2">
            <w:col w:w="3380" w:space="80"/>
            <w:col w:w="6759"/>
          </w:cols>
          <w:pgMar w:left="240" w:top="5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This report, including exhibits, contains 26 pages.</w:t>
      </w:r>
    </w:p>
    <w:p>
      <w:pPr>
        <w:sectPr>
          <w:pgSz w:w="11900" w:h="16838" w:orient="portrait"/>
          <w:cols w:equalWidth="0" w:num="1">
            <w:col w:w="10219"/>
          </w:cols>
          <w:pgMar w:left="240" w:top="593" w:right="1440" w:bottom="1440" w:gutter="0" w:footer="0" w:header="0"/>
          <w:type w:val="continuous"/>
        </w:sectPr>
      </w:pPr>
    </w:p>
    <w:bookmarkStart w:id="1" w:name="page2"/>
    <w:bookmarkEnd w:id="1"/>
    <w:p>
      <w:pPr>
        <w:ind w:left="224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S.E.C. FORM 10-Q</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March 31, 2000</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 N D 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2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2900" w:type="dxa"/>
            <w:vAlign w:val="bottom"/>
          </w:tcPr>
          <w:p>
            <w:pPr>
              <w:spacing w:after="0"/>
              <w:rPr>
                <w:sz w:val="15"/>
                <w:szCs w:val="15"/>
                <w:color w:val="auto"/>
              </w:rPr>
            </w:pPr>
          </w:p>
        </w:tc>
        <w:tc>
          <w:tcPr>
            <w:tcW w:w="1280" w:type="dxa"/>
            <w:vAlign w:val="bottom"/>
          </w:tcPr>
          <w:p>
            <w:pPr>
              <w:ind w:left="520"/>
              <w:spacing w:after="0"/>
              <w:rPr>
                <w:sz w:val="20"/>
                <w:szCs w:val="20"/>
                <w:color w:val="auto"/>
              </w:rPr>
            </w:pPr>
            <w:r>
              <w:rPr>
                <w:rFonts w:ascii="Courier New" w:cs="Courier New" w:eastAsia="Courier New" w:hAnsi="Courier New"/>
                <w:sz w:val="16"/>
                <w:szCs w:val="16"/>
                <w:color w:val="auto"/>
                <w:w w:val="96"/>
              </w:rPr>
              <w:t>PAGE NO.</w:t>
            </w:r>
          </w:p>
        </w:tc>
      </w:tr>
      <w:tr>
        <w:trPr>
          <w:trHeight w:val="361"/>
        </w:trPr>
        <w:tc>
          <w:tcPr>
            <w:tcW w:w="84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Consolidated</w:t>
            </w:r>
          </w:p>
        </w:tc>
        <w:tc>
          <w:tcPr>
            <w:tcW w:w="3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Balance Sheets</w:t>
            </w:r>
          </w:p>
        </w:tc>
        <w:tc>
          <w:tcPr>
            <w:tcW w:w="1280" w:type="dxa"/>
            <w:vAlign w:val="bottom"/>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52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March 31, 2000 (unaudited) and</w:t>
            </w:r>
          </w:p>
        </w:tc>
        <w:tc>
          <w:tcPr>
            <w:tcW w:w="1280" w:type="dxa"/>
            <w:vAlign w:val="bottom"/>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December 31,</w:t>
            </w:r>
          </w:p>
        </w:tc>
        <w:tc>
          <w:tcPr>
            <w:tcW w:w="3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1999 (audited)</w:t>
            </w:r>
          </w:p>
        </w:tc>
        <w:tc>
          <w:tcPr>
            <w:tcW w:w="1280" w:type="dxa"/>
            <w:vAlign w:val="bottom"/>
          </w:tcPr>
          <w:p>
            <w:pPr>
              <w:ind w:left="1080"/>
              <w:spacing w:after="0"/>
              <w:rPr>
                <w:sz w:val="20"/>
                <w:szCs w:val="20"/>
                <w:color w:val="auto"/>
              </w:rPr>
            </w:pPr>
            <w:r>
              <w:rPr>
                <w:rFonts w:ascii="Courier New" w:cs="Courier New" w:eastAsia="Courier New" w:hAnsi="Courier New"/>
                <w:sz w:val="16"/>
                <w:szCs w:val="16"/>
                <w:color w:val="auto"/>
              </w:rPr>
              <w:t>4</w:t>
            </w:r>
          </w:p>
        </w:tc>
      </w:tr>
      <w:tr>
        <w:trPr>
          <w:trHeight w:val="361"/>
        </w:trPr>
        <w:tc>
          <w:tcPr>
            <w:tcW w:w="84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Consolidated</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Statements</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Operations (unaudited)</w:t>
            </w:r>
          </w:p>
        </w:tc>
        <w:tc>
          <w:tcPr>
            <w:tcW w:w="1280" w:type="dxa"/>
            <w:vAlign w:val="bottom"/>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Three months</w:t>
            </w:r>
          </w:p>
        </w:tc>
        <w:tc>
          <w:tcPr>
            <w:tcW w:w="3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ended March 31, 2000 and 1999</w:t>
            </w:r>
          </w:p>
        </w:tc>
        <w:tc>
          <w:tcPr>
            <w:tcW w:w="1280" w:type="dxa"/>
            <w:vAlign w:val="bottom"/>
          </w:tcPr>
          <w:p>
            <w:pPr>
              <w:ind w:left="1080"/>
              <w:spacing w:after="0"/>
              <w:rPr>
                <w:sz w:val="20"/>
                <w:szCs w:val="20"/>
                <w:color w:val="auto"/>
              </w:rPr>
            </w:pPr>
            <w:r>
              <w:rPr>
                <w:rFonts w:ascii="Courier New" w:cs="Courier New" w:eastAsia="Courier New" w:hAnsi="Courier New"/>
                <w:sz w:val="16"/>
                <w:szCs w:val="16"/>
                <w:color w:val="auto"/>
              </w:rPr>
              <w:t>5</w:t>
            </w:r>
          </w:p>
        </w:tc>
      </w:tr>
      <w:tr>
        <w:trPr>
          <w:trHeight w:val="361"/>
        </w:trPr>
        <w:tc>
          <w:tcPr>
            <w:tcW w:w="84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Consolidated</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Statements</w:t>
            </w:r>
          </w:p>
        </w:tc>
        <w:tc>
          <w:tcPr>
            <w:tcW w:w="2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of Shareholders' Equity</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(unaudited)</w:t>
            </w:r>
          </w:p>
        </w:tc>
        <w:tc>
          <w:tcPr>
            <w:tcW w:w="1280" w:type="dxa"/>
            <w:vAlign w:val="bottom"/>
          </w:tcPr>
          <w:p>
            <w:pPr>
              <w:spacing w:after="0"/>
              <w:rPr>
                <w:sz w:val="15"/>
                <w:szCs w:val="15"/>
                <w:color w:val="auto"/>
              </w:rPr>
            </w:pPr>
          </w:p>
        </w:tc>
      </w:tr>
      <w:tr>
        <w:trPr>
          <w:trHeight w:val="180"/>
        </w:trPr>
        <w:tc>
          <w:tcPr>
            <w:tcW w:w="84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Three months</w:t>
            </w:r>
          </w:p>
        </w:tc>
        <w:tc>
          <w:tcPr>
            <w:tcW w:w="3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ended March 31, 2000 and 1999</w:t>
            </w:r>
          </w:p>
        </w:tc>
        <w:tc>
          <w:tcPr>
            <w:tcW w:w="1280" w:type="dxa"/>
            <w:vAlign w:val="bottom"/>
          </w:tcPr>
          <w:p>
            <w:pPr>
              <w:ind w:left="1080"/>
              <w:spacing w:after="0"/>
              <w:rPr>
                <w:sz w:val="20"/>
                <w:szCs w:val="20"/>
                <w:color w:val="auto"/>
              </w:rPr>
            </w:pPr>
            <w:r>
              <w:rPr>
                <w:rFonts w:ascii="Courier New" w:cs="Courier New" w:eastAsia="Courier New" w:hAnsi="Courier New"/>
                <w:sz w:val="16"/>
                <w:szCs w:val="16"/>
                <w:color w:val="auto"/>
              </w:rPr>
              <w:t>6</w:t>
            </w:r>
          </w:p>
        </w:tc>
      </w:tr>
      <w:tr>
        <w:trPr>
          <w:trHeight w:val="361"/>
        </w:trPr>
        <w:tc>
          <w:tcPr>
            <w:tcW w:w="84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Consolidated</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Statements</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of Cash Flows (unaudited)</w:t>
            </w:r>
          </w:p>
        </w:tc>
        <w:tc>
          <w:tcPr>
            <w:tcW w:w="1280" w:type="dxa"/>
            <w:vAlign w:val="bottom"/>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Three months</w:t>
            </w:r>
          </w:p>
        </w:tc>
        <w:tc>
          <w:tcPr>
            <w:tcW w:w="3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ended March 31, 2000 and 1999</w:t>
            </w:r>
          </w:p>
        </w:tc>
        <w:tc>
          <w:tcPr>
            <w:tcW w:w="1280" w:type="dxa"/>
            <w:vAlign w:val="bottom"/>
          </w:tcPr>
          <w:p>
            <w:pPr>
              <w:ind w:left="1080"/>
              <w:spacing w:after="0"/>
              <w:rPr>
                <w:sz w:val="20"/>
                <w:szCs w:val="20"/>
                <w:color w:val="auto"/>
              </w:rPr>
            </w:pPr>
            <w:r>
              <w:rPr>
                <w:rFonts w:ascii="Courier New" w:cs="Courier New" w:eastAsia="Courier New" w:hAnsi="Courier New"/>
                <w:sz w:val="16"/>
                <w:szCs w:val="16"/>
                <w:color w:val="auto"/>
              </w:rPr>
              <w:t>7</w:t>
            </w:r>
          </w:p>
        </w:tc>
      </w:tr>
      <w:tr>
        <w:trPr>
          <w:trHeight w:val="541"/>
        </w:trPr>
        <w:tc>
          <w:tcPr>
            <w:tcW w:w="840" w:type="dxa"/>
            <w:vAlign w:val="bottom"/>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Notes to Financial Statements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8-12</w:t>
            </w:r>
          </w:p>
        </w:tc>
      </w:tr>
      <w:tr>
        <w:trPr>
          <w:trHeight w:val="361"/>
        </w:trPr>
        <w:tc>
          <w:tcPr>
            <w:tcW w:w="84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Management's</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w w:val="99"/>
              </w:rPr>
              <w:t>Discussion</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and Analysis of</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13-20</w:t>
            </w:r>
          </w:p>
        </w:tc>
      </w:tr>
      <w:tr>
        <w:trPr>
          <w:trHeight w:val="180"/>
        </w:trPr>
        <w:tc>
          <w:tcPr>
            <w:tcW w:w="840" w:type="dxa"/>
            <w:vAlign w:val="bottom"/>
          </w:tcPr>
          <w:p>
            <w:pPr>
              <w:spacing w:after="0"/>
              <w:rPr>
                <w:sz w:val="15"/>
                <w:szCs w:val="15"/>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Financial Condition and</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Results of Operations</w:t>
            </w:r>
          </w:p>
        </w:tc>
        <w:tc>
          <w:tcPr>
            <w:tcW w:w="1280" w:type="dxa"/>
            <w:vAlign w:val="bottom"/>
          </w:tcPr>
          <w:p>
            <w:pPr>
              <w:spacing w:after="0"/>
              <w:rPr>
                <w:sz w:val="15"/>
                <w:szCs w:val="15"/>
                <w:color w:val="auto"/>
              </w:rPr>
            </w:pPr>
          </w:p>
        </w:tc>
      </w:tr>
      <w:tr>
        <w:trPr>
          <w:trHeight w:val="361"/>
        </w:trPr>
        <w:tc>
          <w:tcPr>
            <w:tcW w:w="84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2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 INFORMATION</w:t>
            </w:r>
          </w:p>
        </w:tc>
        <w:tc>
          <w:tcPr>
            <w:tcW w:w="2900" w:type="dxa"/>
            <w:vAlign w:val="bottom"/>
          </w:tcPr>
          <w:p>
            <w:pPr>
              <w:spacing w:after="0"/>
              <w:rPr>
                <w:sz w:val="24"/>
                <w:szCs w:val="24"/>
                <w:color w:val="auto"/>
              </w:rPr>
            </w:pPr>
          </w:p>
        </w:tc>
        <w:tc>
          <w:tcPr>
            <w:tcW w:w="1280" w:type="dxa"/>
            <w:vAlign w:val="bottom"/>
          </w:tcPr>
          <w:p>
            <w:pPr>
              <w:ind w:left="1080"/>
              <w:spacing w:after="0"/>
              <w:rPr>
                <w:sz w:val="20"/>
                <w:szCs w:val="20"/>
                <w:color w:val="auto"/>
              </w:rPr>
            </w:pPr>
            <w:r>
              <w:rPr>
                <w:rFonts w:ascii="Courier New" w:cs="Courier New" w:eastAsia="Courier New" w:hAnsi="Courier New"/>
                <w:sz w:val="16"/>
                <w:szCs w:val="16"/>
                <w:color w:val="auto"/>
                <w:w w:val="93"/>
              </w:rPr>
              <w:t>21</w:t>
            </w:r>
          </w:p>
        </w:tc>
      </w:tr>
      <w:tr>
        <w:trPr>
          <w:trHeight w:val="541"/>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ind w:left="520"/>
              <w:spacing w:after="0"/>
              <w:rPr>
                <w:sz w:val="20"/>
                <w:szCs w:val="20"/>
                <w:color w:val="auto"/>
              </w:rPr>
            </w:pPr>
            <w:r>
              <w:rPr>
                <w:rFonts w:ascii="Courier New" w:cs="Courier New" w:eastAsia="Courier New" w:hAnsi="Courier New"/>
                <w:sz w:val="16"/>
                <w:szCs w:val="16"/>
                <w:color w:val="auto"/>
              </w:rPr>
              <w:t>2</w:t>
            </w:r>
          </w:p>
        </w:tc>
        <w:tc>
          <w:tcPr>
            <w:tcW w:w="128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2" w:name="page3"/>
    <w:bookmarkEnd w:id="2"/>
    <w:p>
      <w:pPr>
        <w:ind w:left="224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S.E.C. FORM 10-Q</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March 31, 2000</w:t>
      </w:r>
    </w:p>
    <w:p>
      <w:pPr>
        <w:spacing w:after="0" w:line="200" w:lineRule="exact"/>
        <w:rPr>
          <w:sz w:val="20"/>
          <w:szCs w:val="20"/>
          <w:color w:val="auto"/>
        </w:rPr>
      </w:pPr>
    </w:p>
    <w:p>
      <w:pPr>
        <w:spacing w:after="0" w:line="34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5" w:lineRule="exact"/>
        <w:rPr>
          <w:sz w:val="20"/>
          <w:szCs w:val="20"/>
          <w:color w:val="auto"/>
        </w:rPr>
      </w:pPr>
    </w:p>
    <w:p>
      <w:pPr>
        <w:ind w:left="940" w:right="2899" w:firstLine="469"/>
        <w:spacing w:after="0" w:line="238" w:lineRule="auto"/>
        <w:rPr>
          <w:sz w:val="20"/>
          <w:szCs w:val="20"/>
          <w:color w:val="auto"/>
        </w:rPr>
      </w:pPr>
      <w:r>
        <w:rPr>
          <w:rFonts w:ascii="Courier New" w:cs="Courier New" w:eastAsia="Courier New" w:hAnsi="Courier New"/>
          <w:sz w:val="16"/>
          <w:szCs w:val="16"/>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0" w:type="dxa"/>
            <w:vAlign w:val="bottom"/>
          </w:tcPr>
          <w:p>
            <w:pPr>
              <w:spacing w:after="0"/>
              <w:rPr>
                <w:sz w:val="15"/>
                <w:szCs w:val="15"/>
                <w:color w:val="auto"/>
              </w:rPr>
            </w:pP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2000</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(unaudited)</w:t>
            </w:r>
          </w:p>
        </w:tc>
        <w:tc>
          <w:tcPr>
            <w:tcW w:w="1420" w:type="dxa"/>
            <w:vAlign w:val="bottom"/>
          </w:tcPr>
          <w:p>
            <w:pPr>
              <w:spacing w:after="0"/>
              <w:rPr>
                <w:sz w:val="15"/>
                <w:szCs w:val="15"/>
                <w:color w:val="auto"/>
              </w:rPr>
            </w:pP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7600" w:type="dxa"/>
            <w:vAlign w:val="bottom"/>
          </w:tcPr>
          <w:p>
            <w:pPr>
              <w:jc w:val="right"/>
              <w:ind w:right="3782"/>
              <w:spacing w:after="0"/>
              <w:rPr>
                <w:sz w:val="20"/>
                <w:szCs w:val="20"/>
                <w:color w:val="auto"/>
              </w:rPr>
            </w:pPr>
            <w:r>
              <w:rPr>
                <w:rFonts w:ascii="Courier New" w:cs="Courier New" w:eastAsia="Courier New" w:hAnsi="Courier New"/>
                <w:sz w:val="16"/>
                <w:szCs w:val="16"/>
                <w:color w:val="auto"/>
              </w:rPr>
              <w:t>ASSETS</w:t>
            </w:r>
          </w:p>
        </w:tc>
        <w:tc>
          <w:tcPr>
            <w:tcW w:w="3380" w:type="dxa"/>
            <w:vAlign w:val="bottom"/>
            <w:gridSpan w:val="2"/>
          </w:tcPr>
          <w:p>
            <w:pPr>
              <w:jc w:val="right"/>
              <w:ind w:right="682"/>
              <w:spacing w:after="0"/>
              <w:rPr>
                <w:sz w:val="20"/>
                <w:szCs w:val="20"/>
                <w:color w:val="auto"/>
              </w:rPr>
            </w:pPr>
            <w:r>
              <w:rPr>
                <w:rFonts w:ascii="Courier New" w:cs="Courier New" w:eastAsia="Courier New" w:hAnsi="Courier New"/>
                <w:sz w:val="16"/>
                <w:szCs w:val="16"/>
                <w:color w:val="auto"/>
              </w:rPr>
              <w:t>(in thousands)</w:t>
            </w:r>
          </w:p>
        </w:tc>
      </w:tr>
      <w:tr>
        <w:trPr>
          <w:trHeight w:val="180"/>
        </w:trPr>
        <w:tc>
          <w:tcPr>
            <w:tcW w:w="760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9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Real estate, at cost</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$1,760,541</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$1,721,459</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(327,847)</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(317,921)</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1,432,694</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1,403,538</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Mortgage notes receivable</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56,943</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53,495</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1,489,637</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1,457,033</w:t>
            </w:r>
          </w:p>
        </w:tc>
      </w:tr>
      <w:tr>
        <w:trPr>
          <w:trHeight w:val="180"/>
        </w:trPr>
        <w:tc>
          <w:tcPr>
            <w:tcW w:w="76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9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13,711</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11,738</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Accounts and notes receivable</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19,961</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23,130</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Prepaid expenses and other assets, principally</w:t>
            </w:r>
          </w:p>
        </w:tc>
        <w:tc>
          <w:tcPr>
            <w:tcW w:w="19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600" w:type="dxa"/>
            <w:vAlign w:val="bottom"/>
          </w:tcPr>
          <w:p>
            <w:pPr>
              <w:jc w:val="right"/>
              <w:ind w:right="3782"/>
              <w:spacing w:after="0"/>
              <w:rPr>
                <w:sz w:val="20"/>
                <w:szCs w:val="20"/>
                <w:color w:val="auto"/>
              </w:rPr>
            </w:pPr>
            <w:r>
              <w:rPr>
                <w:rFonts w:ascii="Courier New" w:cs="Courier New" w:eastAsia="Courier New" w:hAnsi="Courier New"/>
                <w:sz w:val="16"/>
                <w:szCs w:val="16"/>
                <w:color w:val="auto"/>
              </w:rPr>
              <w:t>property taxes and lease commissions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33,643</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36,807</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Debt issue costs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5,150</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5,340</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$1,562,102</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$1,534,048</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7600" w:type="dxa"/>
            <w:vAlign w:val="bottom"/>
          </w:tcPr>
          <w:p>
            <w:pPr>
              <w:ind w:left="1780"/>
              <w:spacing w:after="0"/>
              <w:rPr>
                <w:sz w:val="20"/>
                <w:szCs w:val="20"/>
                <w:color w:val="auto"/>
              </w:rPr>
            </w:pPr>
            <w:r>
              <w:rPr>
                <w:rFonts w:ascii="Courier New" w:cs="Courier New" w:eastAsia="Courier New" w:hAnsi="Courier New"/>
                <w:sz w:val="16"/>
                <w:szCs w:val="16"/>
                <w:color w:val="auto"/>
              </w:rPr>
              <w:t>LIABILITIES AND SHAREHOLDERS' EQUITY</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1"/>
        </w:trPr>
        <w:tc>
          <w:tcPr>
            <w:tcW w:w="760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Obligations under capital leases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121,927</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122,026</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Mortgages payable</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50,406</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50,547</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Notes payable</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316,121</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162,768</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 and accrued expenses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31,470</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34,974</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Dividends payable</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19,021</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19,431</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Security deposits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5,282</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5,068</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Prepaid rents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8,679</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6,788</w:t>
            </w:r>
          </w:p>
        </w:tc>
      </w:tr>
      <w:tr>
        <w:trPr>
          <w:trHeight w:val="180"/>
        </w:trPr>
        <w:tc>
          <w:tcPr>
            <w:tcW w:w="7600" w:type="dxa"/>
            <w:vAlign w:val="bottom"/>
          </w:tcPr>
          <w:p>
            <w:pPr>
              <w:spacing w:after="0"/>
              <w:rPr>
                <w:sz w:val="20"/>
                <w:szCs w:val="20"/>
                <w:color w:val="auto"/>
              </w:rPr>
            </w:pPr>
            <w:r>
              <w:rPr>
                <w:rFonts w:ascii="Courier New" w:cs="Courier New" w:eastAsia="Courier New" w:hAnsi="Courier New"/>
                <w:sz w:val="16"/>
                <w:szCs w:val="16"/>
                <w:color w:val="auto"/>
              </w:rPr>
              <w:t>Senior notes and debentures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410,000</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510,000</w:t>
            </w:r>
          </w:p>
        </w:tc>
      </w:tr>
      <w:tr>
        <w:trPr>
          <w:trHeight w:val="180"/>
        </w:trPr>
        <w:tc>
          <w:tcPr>
            <w:tcW w:w="7600" w:type="dxa"/>
            <w:vAlign w:val="bottom"/>
          </w:tcPr>
          <w:p>
            <w:pPr>
              <w:spacing w:after="0"/>
              <w:rPr>
                <w:sz w:val="20"/>
                <w:szCs w:val="20"/>
                <w:color w:val="auto"/>
              </w:rPr>
            </w:pPr>
            <w:r>
              <w:rPr>
                <w:rFonts w:ascii="Courier New" w:cs="Courier New" w:eastAsia="Courier New" w:hAnsi="Courier New"/>
                <w:sz w:val="16"/>
                <w:szCs w:val="16"/>
                <w:color w:val="auto"/>
              </w:rPr>
              <w:t>5 1/4% Convertible subordinated debentures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75,289</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75,289</w:t>
            </w:r>
          </w:p>
        </w:tc>
      </w:tr>
      <w:tr>
        <w:trPr>
          <w:trHeight w:val="180"/>
        </w:trPr>
        <w:tc>
          <w:tcPr>
            <w:tcW w:w="7600" w:type="dxa"/>
            <w:vAlign w:val="bottom"/>
          </w:tcPr>
          <w:p>
            <w:pPr>
              <w:spacing w:after="0"/>
              <w:rPr>
                <w:sz w:val="20"/>
                <w:szCs w:val="20"/>
                <w:color w:val="auto"/>
              </w:rPr>
            </w:pPr>
            <w:r>
              <w:rPr>
                <w:rFonts w:ascii="Courier New" w:cs="Courier New" w:eastAsia="Courier New" w:hAnsi="Courier New"/>
                <w:sz w:val="16"/>
                <w:szCs w:val="16"/>
                <w:color w:val="auto"/>
              </w:rPr>
              <w:t>Investors' interest in consolidated assets</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45,910</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45,330</w:t>
            </w:r>
          </w:p>
        </w:tc>
      </w:tr>
      <w:tr>
        <w:trPr>
          <w:trHeight w:val="361"/>
        </w:trPr>
        <w:tc>
          <w:tcPr>
            <w:tcW w:w="76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1"/>
        </w:trPr>
        <w:tc>
          <w:tcPr>
            <w:tcW w:w="76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1"/>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authorized 15,000,000 shares, $.01 par 7.95% Series A</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0"/>
        </w:trPr>
        <w:tc>
          <w:tcPr>
            <w:tcW w:w="7600" w:type="dxa"/>
            <w:vAlign w:val="bottom"/>
          </w:tcPr>
          <w:p>
            <w:pPr>
              <w:ind w:left="460"/>
              <w:spacing w:after="0"/>
              <w:rPr>
                <w:sz w:val="20"/>
                <w:szCs w:val="20"/>
                <w:color w:val="auto"/>
              </w:rPr>
            </w:pPr>
            <w:r>
              <w:rPr>
                <w:rFonts w:ascii="Courier New" w:cs="Courier New" w:eastAsia="Courier New" w:hAnsi="Courier New"/>
                <w:sz w:val="16"/>
                <w:szCs w:val="16"/>
                <w:color w:val="auto"/>
              </w:rPr>
              <w:t>Cumulative Redeemable Preferred Shares, (stated at</w:t>
            </w:r>
          </w:p>
        </w:tc>
        <w:tc>
          <w:tcPr>
            <w:tcW w:w="19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600" w:type="dxa"/>
            <w:vAlign w:val="bottom"/>
          </w:tcPr>
          <w:p>
            <w:pPr>
              <w:ind w:left="460"/>
              <w:spacing w:after="0"/>
              <w:rPr>
                <w:sz w:val="20"/>
                <w:szCs w:val="20"/>
                <w:color w:val="auto"/>
              </w:rPr>
            </w:pPr>
            <w:r>
              <w:rPr>
                <w:rFonts w:ascii="Courier New" w:cs="Courier New" w:eastAsia="Courier New" w:hAnsi="Courier New"/>
                <w:sz w:val="16"/>
                <w:szCs w:val="16"/>
                <w:color w:val="auto"/>
              </w:rPr>
              <w:t>liquidation preference $25 per share), 4,000,000 shares issued in 1997</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100,000</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100,000</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Common shares of beneficial interest, $.01 par, 100,000,000 shares</w:t>
            </w:r>
          </w:p>
        </w:tc>
        <w:tc>
          <w:tcPr>
            <w:tcW w:w="19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7600" w:type="dxa"/>
            <w:vAlign w:val="bottom"/>
          </w:tcPr>
          <w:p>
            <w:pPr>
              <w:ind w:left="460"/>
              <w:spacing w:after="0"/>
              <w:rPr>
                <w:sz w:val="20"/>
                <w:szCs w:val="20"/>
                <w:color w:val="auto"/>
              </w:rPr>
            </w:pPr>
            <w:r>
              <w:rPr>
                <w:rFonts w:ascii="Courier New" w:cs="Courier New" w:eastAsia="Courier New" w:hAnsi="Courier New"/>
                <w:sz w:val="16"/>
                <w:szCs w:val="16"/>
                <w:color w:val="auto"/>
              </w:rPr>
              <w:t>authorized, 40,685,871 and 40,418,766 issued, respectively</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407</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404</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Additional paid in capital</w:t>
            </w: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718,450</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713,354</w:t>
            </w:r>
          </w:p>
        </w:tc>
      </w:tr>
      <w:tr>
        <w:trPr>
          <w:trHeight w:val="180"/>
        </w:trPr>
        <w:tc>
          <w:tcPr>
            <w:tcW w:w="7600" w:type="dxa"/>
            <w:vAlign w:val="bottom"/>
          </w:tcPr>
          <w:p>
            <w:pPr>
              <w:ind w:left="180"/>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(291,892)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(286,348)</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526,965</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527,410</w:t>
            </w:r>
          </w:p>
        </w:tc>
      </w:tr>
      <w:tr>
        <w:trPr>
          <w:trHeight w:val="361"/>
        </w:trPr>
        <w:tc>
          <w:tcPr>
            <w:tcW w:w="7600" w:type="dxa"/>
            <w:vAlign w:val="bottom"/>
          </w:tcPr>
          <w:p>
            <w:pPr>
              <w:spacing w:after="0"/>
              <w:rPr>
                <w:sz w:val="20"/>
                <w:szCs w:val="20"/>
                <w:color w:val="auto"/>
              </w:rPr>
            </w:pPr>
            <w:r>
              <w:rPr>
                <w:rFonts w:ascii="Courier New" w:cs="Courier New" w:eastAsia="Courier New" w:hAnsi="Courier New"/>
                <w:sz w:val="16"/>
                <w:szCs w:val="16"/>
                <w:color w:val="auto"/>
              </w:rPr>
              <w:t>Less:1,374,544 and 217,644 common shares in treasury - at cost, respectively</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(26,421)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(4,334)</w:t>
            </w:r>
          </w:p>
        </w:tc>
      </w:tr>
      <w:tr>
        <w:trPr>
          <w:trHeight w:val="180"/>
        </w:trPr>
        <w:tc>
          <w:tcPr>
            <w:tcW w:w="7600" w:type="dxa"/>
            <w:vAlign w:val="bottom"/>
          </w:tcPr>
          <w:p>
            <w:pPr>
              <w:ind w:left="840"/>
              <w:spacing w:after="0"/>
              <w:rPr>
                <w:sz w:val="20"/>
                <w:szCs w:val="20"/>
                <w:color w:val="auto"/>
              </w:rPr>
            </w:pPr>
            <w:r>
              <w:rPr>
                <w:rFonts w:ascii="Courier New" w:cs="Courier New" w:eastAsia="Courier New" w:hAnsi="Courier New"/>
                <w:sz w:val="16"/>
                <w:szCs w:val="16"/>
                <w:color w:val="auto"/>
              </w:rPr>
              <w:t>Deferred compensation on restricted shares</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(16,936)</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(15,219)</w:t>
            </w:r>
          </w:p>
        </w:tc>
      </w:tr>
      <w:tr>
        <w:trPr>
          <w:trHeight w:val="180"/>
        </w:trPr>
        <w:tc>
          <w:tcPr>
            <w:tcW w:w="7600" w:type="dxa"/>
            <w:vAlign w:val="bottom"/>
          </w:tcPr>
          <w:p>
            <w:pPr>
              <w:ind w:left="840"/>
              <w:spacing w:after="0"/>
              <w:rPr>
                <w:sz w:val="20"/>
                <w:szCs w:val="20"/>
                <w:color w:val="auto"/>
              </w:rPr>
            </w:pPr>
            <w:r>
              <w:rPr>
                <w:rFonts w:ascii="Courier New" w:cs="Courier New" w:eastAsia="Courier New" w:hAnsi="Courier New"/>
                <w:sz w:val="16"/>
                <w:szCs w:val="16"/>
                <w:color w:val="auto"/>
              </w:rPr>
              <w:t>Notes receivable from employee stock  plans</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(5,611)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(6,030)</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477,997</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501,827</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$1,562,102</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$1,534,048</w:t>
            </w:r>
          </w:p>
        </w:tc>
      </w:tr>
      <w:tr>
        <w:trPr>
          <w:trHeight w:val="180"/>
        </w:trPr>
        <w:tc>
          <w:tcPr>
            <w:tcW w:w="7600" w:type="dxa"/>
            <w:vAlign w:val="bottom"/>
          </w:tcPr>
          <w:p>
            <w:pPr>
              <w:spacing w:after="0"/>
              <w:rPr>
                <w:sz w:val="15"/>
                <w:szCs w:val="15"/>
                <w:color w:val="auto"/>
              </w:rPr>
            </w:pPr>
          </w:p>
        </w:tc>
        <w:tc>
          <w:tcPr>
            <w:tcW w:w="19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980"/>
          </w:cols>
          <w:pgMar w:left="240" w:top="654" w:right="67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tcPr>
          <w:p>
            <w:pPr>
              <w:ind w:left="2520"/>
              <w:spacing w:after="0"/>
              <w:rPr>
                <w:sz w:val="20"/>
                <w:szCs w:val="20"/>
                <w:color w:val="auto"/>
              </w:rPr>
            </w:pPr>
            <w:r>
              <w:rPr>
                <w:rFonts w:ascii="Courier New" w:cs="Courier New" w:eastAsia="Courier New" w:hAnsi="Courier New"/>
                <w:sz w:val="16"/>
                <w:szCs w:val="16"/>
                <w:color w:val="auto"/>
              </w:rPr>
              <w:t>(unaudited)</w:t>
            </w:r>
          </w:p>
        </w:tc>
        <w:tc>
          <w:tcPr>
            <w:tcW w:w="23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680" w:type="dxa"/>
            <w:vAlign w:val="bottom"/>
          </w:tcPr>
          <w:p>
            <w:pPr>
              <w:spacing w:after="0"/>
              <w:rPr>
                <w:sz w:val="15"/>
                <w:szCs w:val="15"/>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March 31,</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2000</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Rental income</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$64,232</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$59,433</w:t>
            </w: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Other property income</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2,765</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2,272</w:t>
            </w: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2,107</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1,878</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69,104</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63,583</w:t>
            </w:r>
          </w:p>
        </w:tc>
      </w:tr>
      <w:tr>
        <w:trPr>
          <w:trHeight w:val="721"/>
        </w:trPr>
        <w:tc>
          <w:tcPr>
            <w:tcW w:w="56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Rental</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14,620</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13,648</w:t>
            </w: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Real estate taxes</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6,457</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6,012</w:t>
            </w: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16,493</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15,133</w:t>
            </w: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Administrative</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2,922</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2,254</w:t>
            </w: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12,655</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12,281</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53,147</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49,328</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spacing w:after="0"/>
              <w:rPr>
                <w:sz w:val="20"/>
                <w:szCs w:val="20"/>
                <w:color w:val="auto"/>
              </w:rPr>
            </w:pPr>
            <w:r>
              <w:rPr>
                <w:rFonts w:ascii="Courier New" w:cs="Courier New" w:eastAsia="Courier New" w:hAnsi="Courier New"/>
                <w:sz w:val="16"/>
                <w:szCs w:val="16"/>
                <w:color w:val="auto"/>
              </w:rPr>
              <w:t>Operating income before investors' share</w:t>
            </w:r>
          </w:p>
        </w:tc>
        <w:tc>
          <w:tcPr>
            <w:tcW w:w="23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of operations</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15,957</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14,255</w:t>
            </w:r>
          </w:p>
        </w:tc>
      </w:tr>
      <w:tr>
        <w:trPr>
          <w:trHeight w:val="361"/>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Investors' share of operations</w:t>
            </w:r>
          </w:p>
        </w:tc>
        <w:tc>
          <w:tcPr>
            <w:tcW w:w="23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(1,818)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(701)</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14,139</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13,554</w:t>
            </w:r>
          </w:p>
        </w:tc>
      </w:tr>
      <w:tr>
        <w:trPr>
          <w:trHeight w:val="180"/>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Dividends on preferred stock</w:t>
            </w:r>
          </w:p>
        </w:tc>
        <w:tc>
          <w:tcPr>
            <w:tcW w:w="23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(1,988)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(1,988)</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 shareholders</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$12,151</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$11,566</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Earnings per common share, basic</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$0.31</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$0.29</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ind w:left="100"/>
              <w:spacing w:after="0"/>
              <w:rPr>
                <w:sz w:val="20"/>
                <w:szCs w:val="20"/>
                <w:color w:val="auto"/>
              </w:rPr>
            </w:pPr>
            <w:r>
              <w:rPr>
                <w:rFonts w:ascii="Courier New" w:cs="Courier New" w:eastAsia="Courier New" w:hAnsi="Courier New"/>
                <w:sz w:val="16"/>
                <w:szCs w:val="16"/>
                <w:color w:val="auto"/>
              </w:rPr>
              <w:t>Weighted average number of common shares, basic</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39,444</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39,435</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680" w:type="dxa"/>
            <w:vAlign w:val="bottom"/>
          </w:tcPr>
          <w:p>
            <w:pPr>
              <w:spacing w:after="0"/>
              <w:rPr>
                <w:sz w:val="20"/>
                <w:szCs w:val="20"/>
                <w:color w:val="auto"/>
              </w:rPr>
            </w:pPr>
            <w:r>
              <w:rPr>
                <w:rFonts w:ascii="Courier New" w:cs="Courier New" w:eastAsia="Courier New" w:hAnsi="Courier New"/>
                <w:sz w:val="16"/>
                <w:szCs w:val="16"/>
                <w:color w:val="auto"/>
              </w:rPr>
              <w:t>Earnings per common share, diluted</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$0.31</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$0.29</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680" w:type="dxa"/>
            <w:vAlign w:val="bottom"/>
          </w:tcPr>
          <w:p>
            <w:pPr>
              <w:ind w:left="100"/>
              <w:spacing w:after="0"/>
              <w:rPr>
                <w:sz w:val="20"/>
                <w:szCs w:val="20"/>
                <w:color w:val="auto"/>
              </w:rPr>
            </w:pPr>
            <w:r>
              <w:rPr>
                <w:rFonts w:ascii="Courier New" w:cs="Courier New" w:eastAsia="Courier New" w:hAnsi="Courier New"/>
                <w:sz w:val="16"/>
                <w:szCs w:val="16"/>
                <w:color w:val="auto"/>
              </w:rPr>
              <w:t>Weighted average number of common shares, diluted</w:t>
            </w: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40,595</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40,545</w:t>
            </w:r>
          </w:p>
        </w:tc>
      </w:tr>
      <w:tr>
        <w:trPr>
          <w:trHeight w:val="180"/>
        </w:trPr>
        <w:tc>
          <w:tcPr>
            <w:tcW w:w="5680" w:type="dxa"/>
            <w:vAlign w:val="bottom"/>
          </w:tcPr>
          <w:p>
            <w:pPr>
              <w:spacing w:after="0"/>
              <w:rPr>
                <w:sz w:val="15"/>
                <w:szCs w:val="15"/>
                <w:color w:val="auto"/>
              </w:rPr>
            </w:pPr>
          </w:p>
        </w:tc>
        <w:tc>
          <w:tcPr>
            <w:tcW w:w="23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4" w:right="1440" w:bottom="1440" w:gutter="0" w:footer="0" w:header="0"/>
        </w:sectPr>
      </w:pPr>
    </w:p>
    <w:bookmarkStart w:id="5" w:name="page6"/>
    <w:bookmarkEnd w:id="5"/>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COMMON SHAREHOLDERS'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ind w:left="2620"/>
              <w:spacing w:after="0"/>
              <w:rPr>
                <w:sz w:val="20"/>
                <w:szCs w:val="20"/>
                <w:color w:val="auto"/>
              </w:rPr>
            </w:pPr>
            <w:r>
              <w:rPr>
                <w:rFonts w:ascii="Courier New" w:cs="Courier New" w:eastAsia="Courier New" w:hAnsi="Courier New"/>
                <w:sz w:val="16"/>
                <w:szCs w:val="16"/>
                <w:color w:val="auto"/>
              </w:rPr>
              <w:t>(unaudited)</w:t>
            </w:r>
          </w:p>
        </w:tc>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721"/>
        </w:trPr>
        <w:tc>
          <w:tcPr>
            <w:tcW w:w="5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Three months ended March 31,</w:t>
            </w:r>
          </w:p>
        </w:tc>
        <w:tc>
          <w:tcPr>
            <w:tcW w:w="1220" w:type="dxa"/>
            <w:vAlign w:val="bottom"/>
          </w:tcPr>
          <w:p>
            <w:pPr>
              <w:spacing w:after="0"/>
              <w:rPr>
                <w:sz w:val="24"/>
                <w:szCs w:val="24"/>
                <w:color w:val="auto"/>
              </w:rPr>
            </w:pPr>
          </w:p>
        </w:tc>
      </w:tr>
      <w:tr>
        <w:trPr>
          <w:trHeight w:val="361"/>
        </w:trPr>
        <w:tc>
          <w:tcPr>
            <w:tcW w:w="5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2000</w:t>
            </w: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17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Shares</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Amount</w:t>
            </w: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Additional</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Paid-in-Capital</w:t>
            </w:r>
          </w:p>
        </w:tc>
        <w:tc>
          <w:tcPr>
            <w:tcW w:w="1220" w:type="dxa"/>
            <w:vAlign w:val="bottom"/>
          </w:tcPr>
          <w:p>
            <w:pPr>
              <w:spacing w:after="0"/>
              <w:rPr>
                <w:sz w:val="15"/>
                <w:szCs w:val="15"/>
                <w:color w:val="auto"/>
              </w:rPr>
            </w:pP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40,418,766</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$404</w:t>
            </w:r>
          </w:p>
        </w:tc>
        <w:tc>
          <w:tcPr>
            <w:tcW w:w="18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$713,354</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40,139,675</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Shares issued under dividend reinvestment plan</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40,796</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w:t>
            </w:r>
          </w:p>
        </w:tc>
        <w:tc>
          <w:tcPr>
            <w:tcW w:w="18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806</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37,362</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Performance and Restricted Shares granted, net</w:t>
            </w:r>
          </w:p>
        </w:tc>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740"/>
              <w:spacing w:after="0"/>
              <w:rPr>
                <w:sz w:val="20"/>
                <w:szCs w:val="20"/>
                <w:color w:val="auto"/>
              </w:rPr>
            </w:pPr>
            <w:r>
              <w:rPr>
                <w:rFonts w:ascii="Courier New" w:cs="Courier New" w:eastAsia="Courier New" w:hAnsi="Courier New"/>
                <w:sz w:val="16"/>
                <w:szCs w:val="16"/>
                <w:color w:val="auto"/>
              </w:rPr>
              <w:t>of Restricted Shares retired</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226,309</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w:t>
            </w:r>
          </w:p>
        </w:tc>
        <w:tc>
          <w:tcPr>
            <w:tcW w:w="18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4,290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50,654</w:t>
            </w: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40,685,871</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$407</w:t>
            </w:r>
          </w:p>
        </w:tc>
        <w:tc>
          <w:tcPr>
            <w:tcW w:w="18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$718,450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40,227,691</w:t>
            </w: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1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($286,348)</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7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14,139</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Dividends declared to common shareholders</w:t>
            </w:r>
          </w:p>
        </w:tc>
        <w:tc>
          <w:tcPr>
            <w:tcW w:w="1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(17,695)</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Dividends declared to preferred shareholders</w:t>
            </w:r>
          </w:p>
        </w:tc>
        <w:tc>
          <w:tcPr>
            <w:tcW w:w="1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(1,988)</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($291,892)</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 in Treasury</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Balance, beginning of period</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(217,644)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($4,334)</w:t>
            </w:r>
          </w:p>
        </w:tc>
        <w:tc>
          <w:tcPr>
            <w:tcW w:w="1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(59,425)</w:t>
            </w: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Performance and Restricted Shares forfeited</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1,006</w:t>
            </w: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Purchase of treasury shares</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(1,156,900)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(22,087)</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(1,374,544)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($26,421)</w:t>
            </w:r>
          </w:p>
        </w:tc>
        <w:tc>
          <w:tcPr>
            <w:tcW w:w="1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(58,419)</w:t>
            </w: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Deferred Compensation on Restricted Shares</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Balance, beginning of period</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(599,427)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($15,219)</w:t>
            </w:r>
          </w:p>
        </w:tc>
        <w:tc>
          <w:tcPr>
            <w:tcW w:w="1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(582,910)</w:t>
            </w: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Performance and Restricted Shares issued,</w:t>
            </w:r>
          </w:p>
        </w:tc>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net of Forfeitures</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(202,271)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(3,833)</w:t>
            </w:r>
          </w:p>
        </w:tc>
        <w:tc>
          <w:tcPr>
            <w:tcW w:w="1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(41,327)</w:t>
            </w: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Vesting in Performance and Restricted Shares</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82,323</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2,116</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(719,375)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($16,936)</w:t>
            </w:r>
          </w:p>
        </w:tc>
        <w:tc>
          <w:tcPr>
            <w:tcW w:w="1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(624,237)</w:t>
            </w: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Subscriptions receivable from employee stock plans</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Balance, beginning of period</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(317,606)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($6,030)</w:t>
            </w:r>
          </w:p>
        </w:tc>
        <w:tc>
          <w:tcPr>
            <w:tcW w:w="1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(337,111)</w:t>
            </w: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Subscription loans paid</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25,514</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419</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19,588</w:t>
            </w: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(292,092)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($5,611)</w:t>
            </w:r>
          </w:p>
        </w:tc>
        <w:tc>
          <w:tcPr>
            <w:tcW w:w="18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(317,523)</w:t>
            </w:r>
          </w:p>
        </w:tc>
      </w:tr>
      <w:tr>
        <w:trPr>
          <w:trHeight w:val="180"/>
        </w:trPr>
        <w:tc>
          <w:tcPr>
            <w:tcW w:w="5340" w:type="dxa"/>
            <w:vAlign w:val="bottom"/>
          </w:tcPr>
          <w:p>
            <w:pPr>
              <w:spacing w:after="0"/>
              <w:rPr>
                <w:sz w:val="15"/>
                <w:szCs w:val="15"/>
                <w:color w:val="auto"/>
              </w:rPr>
            </w:pP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902"/>
        </w:trPr>
        <w:tc>
          <w:tcPr>
            <w:tcW w:w="53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spacing w:after="0"/>
              <w:rPr>
                <w:sz w:val="15"/>
                <w:szCs w:val="15"/>
                <w:color w:val="auto"/>
              </w:rPr>
            </w:pPr>
          </w:p>
        </w:tc>
        <w:tc>
          <w:tcPr>
            <w:tcW w:w="2860" w:type="dxa"/>
            <w:vAlign w:val="bottom"/>
            <w:gridSpan w:val="2"/>
          </w:tcPr>
          <w:p>
            <w:pPr>
              <w:jc w:val="right"/>
              <w:ind w:right="90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9"/>
              </w:rPr>
              <w:t>---------------</w:t>
            </w: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 thousands, except share data)</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1080" w:type="dxa"/>
            <w:vAlign w:val="bottom"/>
          </w:tcPr>
          <w:p>
            <w:pPr>
              <w:spacing w:after="0"/>
              <w:rPr>
                <w:sz w:val="15"/>
                <w:szCs w:val="15"/>
                <w:color w:val="auto"/>
              </w:rPr>
            </w:pPr>
          </w:p>
        </w:tc>
        <w:tc>
          <w:tcPr>
            <w:tcW w:w="184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Additional</w:t>
            </w: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tcPr>
          <w:p>
            <w:pPr>
              <w:ind w:left="140"/>
              <w:spacing w:after="0"/>
              <w:rPr>
                <w:sz w:val="20"/>
                <w:szCs w:val="20"/>
                <w:color w:val="auto"/>
              </w:rPr>
            </w:pPr>
            <w:r>
              <w:rPr>
                <w:rFonts w:ascii="Courier New" w:cs="Courier New" w:eastAsia="Courier New" w:hAnsi="Courier New"/>
                <w:sz w:val="16"/>
                <w:szCs w:val="16"/>
                <w:color w:val="auto"/>
              </w:rPr>
              <w:t>Paid-in-Capital</w:t>
            </w:r>
          </w:p>
        </w:tc>
        <w:tc>
          <w:tcPr>
            <w:tcW w:w="1220" w:type="dxa"/>
            <w:vAlign w:val="bottom"/>
          </w:tcPr>
          <w:p>
            <w:pPr>
              <w:spacing w:after="0"/>
              <w:rPr>
                <w:sz w:val="15"/>
                <w:szCs w:val="15"/>
                <w:color w:val="auto"/>
              </w:rPr>
            </w:pP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$707,724</w:t>
            </w:r>
          </w:p>
        </w:tc>
        <w:tc>
          <w:tcPr>
            <w:tcW w:w="184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Shares issued under dividend reinvestment plan</w:t>
            </w: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873</w:t>
            </w:r>
          </w:p>
        </w:tc>
        <w:tc>
          <w:tcPr>
            <w:tcW w:w="184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Performance and Restricted Shares granted, net</w:t>
            </w:r>
          </w:p>
        </w:tc>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740"/>
              <w:spacing w:after="0"/>
              <w:rPr>
                <w:sz w:val="20"/>
                <w:szCs w:val="20"/>
                <w:color w:val="auto"/>
              </w:rPr>
            </w:pPr>
            <w:r>
              <w:rPr>
                <w:rFonts w:ascii="Courier New" w:cs="Courier New" w:eastAsia="Courier New" w:hAnsi="Courier New"/>
                <w:sz w:val="16"/>
                <w:szCs w:val="16"/>
                <w:color w:val="auto"/>
              </w:rPr>
              <w:t>of Restricted Shares retired</w:t>
            </w: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1,145</w:t>
            </w:r>
          </w:p>
        </w:tc>
        <w:tc>
          <w:tcPr>
            <w:tcW w:w="184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$709,742</w:t>
            </w:r>
          </w:p>
        </w:tc>
        <w:tc>
          <w:tcPr>
            <w:tcW w:w="184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   0</w:t>
            </w: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beginning of period</w:t>
            </w:r>
          </w:p>
        </w:tc>
        <w:tc>
          <w:tcPr>
            <w:tcW w:w="286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($255,211)</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13,554</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Dividends declared to common shareholders</w:t>
            </w:r>
          </w:p>
        </w:tc>
        <w:tc>
          <w:tcPr>
            <w:tcW w:w="286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(17,672)</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Dividends declared to preferred shareholders</w:t>
            </w:r>
          </w:p>
        </w:tc>
        <w:tc>
          <w:tcPr>
            <w:tcW w:w="286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(1,988)</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286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($261,317)</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 in Treasury</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Balance, beginning of period</w:t>
            </w:r>
          </w:p>
        </w:tc>
        <w:tc>
          <w:tcPr>
            <w:tcW w:w="286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($1,376)</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Performance and Restricted Shares forfeited</w:t>
            </w:r>
          </w:p>
        </w:tc>
        <w:tc>
          <w:tcPr>
            <w:tcW w:w="1780" w:type="dxa"/>
            <w:vAlign w:val="bottom"/>
          </w:tcPr>
          <w:p>
            <w:pPr>
              <w:spacing w:after="0"/>
              <w:rPr>
                <w:sz w:val="15"/>
                <w:szCs w:val="15"/>
                <w:color w:val="auto"/>
              </w:rPr>
            </w:pPr>
          </w:p>
        </w:tc>
        <w:tc>
          <w:tcPr>
            <w:tcW w:w="1080" w:type="dxa"/>
            <w:vAlign w:val="bottom"/>
          </w:tcPr>
          <w:p>
            <w:pPr>
              <w:jc w:val="right"/>
              <w:ind w:right="802"/>
              <w:spacing w:after="0"/>
              <w:rPr>
                <w:sz w:val="20"/>
                <w:szCs w:val="20"/>
                <w:color w:val="auto"/>
              </w:rPr>
            </w:pPr>
            <w:r>
              <w:rPr>
                <w:rFonts w:ascii="Courier New" w:cs="Courier New" w:eastAsia="Courier New" w:hAnsi="Courier New"/>
                <w:sz w:val="16"/>
                <w:szCs w:val="16"/>
                <w:color w:val="auto"/>
                <w:w w:val="93"/>
              </w:rPr>
              <w:t>21</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00"/>
              <w:spacing w:after="0"/>
              <w:rPr>
                <w:sz w:val="20"/>
                <w:szCs w:val="20"/>
                <w:color w:val="auto"/>
              </w:rPr>
            </w:pPr>
            <w:r>
              <w:rPr>
                <w:rFonts w:ascii="Courier New" w:cs="Courier New" w:eastAsia="Courier New" w:hAnsi="Courier New"/>
                <w:sz w:val="16"/>
                <w:szCs w:val="16"/>
                <w:color w:val="auto"/>
              </w:rPr>
              <w:t>Purchase of treasury shares</w:t>
            </w:r>
          </w:p>
        </w:tc>
        <w:tc>
          <w:tcPr>
            <w:tcW w:w="1780" w:type="dxa"/>
            <w:vAlign w:val="bottom"/>
          </w:tcPr>
          <w:p>
            <w:pPr>
              <w:spacing w:after="0"/>
              <w:rPr>
                <w:sz w:val="15"/>
                <w:szCs w:val="15"/>
                <w:color w:val="auto"/>
              </w:rPr>
            </w:pPr>
          </w:p>
        </w:tc>
        <w:tc>
          <w:tcPr>
            <w:tcW w:w="108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spacing w:after="0"/>
              <w:rPr>
                <w:sz w:val="15"/>
                <w:szCs w:val="15"/>
                <w:color w:val="auto"/>
              </w:rPr>
            </w:pP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Balance, end of period</w:t>
            </w:r>
          </w:p>
        </w:tc>
        <w:tc>
          <w:tcPr>
            <w:tcW w:w="286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($1,355)</w:t>
            </w: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ectPr>
          <w:pgSz w:w="11900" w:h="16908" w:orient="portrait"/>
          <w:cols w:equalWidth="0" w:num="1">
            <w:col w:w="11260"/>
          </w:cols>
          <w:pgMar w:left="240" w:top="654" w:right="399" w:bottom="0" w:gutter="0" w:footer="0" w:header="0"/>
        </w:sectPr>
      </w:pPr>
    </w:p>
    <w:bookmarkStart w:id="6" w:name="page7"/>
    <w:bookmarkEnd w:id="6"/>
    <w:p>
      <w:pPr>
        <w:ind w:left="65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Compensation on Restricted Shares</w:t>
      </w:r>
    </w:p>
    <w:p>
      <w:pPr>
        <w:sectPr>
          <w:pgSz w:w="11900" w:h="16838" w:orient="portrait"/>
          <w:cols w:equalWidth="0" w:num="1">
            <w:col w:w="10219"/>
          </w:cols>
          <w:pgMar w:left="240" w:top="142" w:right="1440" w:bottom="1440" w:gutter="0" w:footer="0" w:header="0"/>
        </w:sectPr>
      </w:pP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Balance, beginning of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($14,892)</w:t>
      </w:r>
    </w:p>
    <w:p>
      <w:pPr>
        <w:spacing w:after="0" w:line="10" w:lineRule="exact"/>
        <w:rPr>
          <w:sz w:val="20"/>
          <w:szCs w:val="20"/>
          <w:color w:val="auto"/>
        </w:rPr>
      </w:pPr>
    </w:p>
    <w:p>
      <w:pPr>
        <w:sectPr>
          <w:pgSz w:w="11900" w:h="16838" w:orient="portrait"/>
          <w:cols w:equalWidth="0" w:num="2">
            <w:col w:w="5840" w:space="720"/>
            <w:col w:w="3659"/>
          </w:cols>
          <w:pgMar w:left="240" w:top="142"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Performance and Restricted Shares issued,</w:t>
      </w:r>
    </w:p>
    <w:p>
      <w:pPr>
        <w:sectPr>
          <w:pgSz w:w="11900" w:h="16838" w:orient="portrait"/>
          <w:cols w:equalWidth="0" w:num="1">
            <w:col w:w="10219"/>
          </w:cols>
          <w:pgMar w:left="240" w:top="142" w:right="1440" w:bottom="1440" w:gutter="0" w:footer="0" w:header="0"/>
          <w:type w:val="continuous"/>
        </w:sectPr>
      </w:pP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net of Forfeitures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Vesting in Performance and Restricted Shares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Balance, end of period</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($910)</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($15,802)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sectPr>
          <w:pgSz w:w="11900" w:h="16838" w:orient="portrait"/>
          <w:cols w:equalWidth="0" w:num="2">
            <w:col w:w="5840" w:space="720"/>
            <w:col w:w="36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Subscriptions receivable from employee stock plans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Balance, beginning of period</w:t>
      </w:r>
    </w:p>
    <w:p>
      <w:pPr>
        <w:ind w:left="100"/>
        <w:spacing w:after="0"/>
        <w:rPr>
          <w:sz w:val="20"/>
          <w:szCs w:val="20"/>
          <w:color w:val="auto"/>
        </w:rPr>
      </w:pPr>
      <w:r>
        <w:rPr>
          <w:rFonts w:ascii="Courier New" w:cs="Courier New" w:eastAsia="Courier New" w:hAnsi="Courier New"/>
          <w:sz w:val="16"/>
          <w:szCs w:val="16"/>
          <w:color w:val="auto"/>
        </w:rPr>
        <w:t>Subscription loans paid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($6,298)</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322</w:t>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($5,976)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840" w:space="720"/>
            <w:col w:w="3659"/>
          </w:cols>
          <w:pgMar w:left="240" w:top="142" w:right="1440" w:bottom="1440" w:gutter="0" w:footer="0" w:header="0"/>
          <w:type w:val="continuous"/>
        </w:sectPr>
      </w:pPr>
    </w:p>
    <w:p>
      <w:pPr>
        <w:spacing w:after="0" w:line="34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42"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7540" w:type="dxa"/>
            <w:vAlign w:val="bottom"/>
          </w:tcPr>
          <w:p>
            <w:pPr>
              <w:spacing w:after="0"/>
              <w:rPr>
                <w:sz w:val="20"/>
                <w:szCs w:val="20"/>
                <w:color w:val="auto"/>
              </w:rPr>
            </w:pPr>
            <w:r>
              <w:rPr>
                <w:rFonts w:ascii="Courier New" w:cs="Courier New" w:eastAsia="Courier New" w:hAnsi="Courier New"/>
                <w:sz w:val="16"/>
                <w:szCs w:val="16"/>
                <w:color w:val="auto"/>
              </w:rPr>
              <w:t>Federal Realty Investment Trust</w:t>
            </w: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21"/>
        </w:trPr>
        <w:tc>
          <w:tcPr>
            <w:tcW w:w="754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w:t>
            </w: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1"/>
        </w:trPr>
        <w:tc>
          <w:tcPr>
            <w:tcW w:w="7540" w:type="dxa"/>
            <w:vAlign w:val="bottom"/>
          </w:tcPr>
          <w:p>
            <w:pPr>
              <w:ind w:left="3100"/>
              <w:spacing w:after="0"/>
              <w:rPr>
                <w:sz w:val="20"/>
                <w:szCs w:val="20"/>
                <w:color w:val="auto"/>
              </w:rPr>
            </w:pPr>
            <w:r>
              <w:rPr>
                <w:rFonts w:ascii="Courier New" w:cs="Courier New" w:eastAsia="Courier New" w:hAnsi="Courier New"/>
                <w:sz w:val="16"/>
                <w:szCs w:val="16"/>
                <w:color w:val="auto"/>
              </w:rPr>
              <w:t>(unaudited)</w:t>
            </w: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1"/>
        </w:trPr>
        <w:tc>
          <w:tcPr>
            <w:tcW w:w="7540" w:type="dxa"/>
            <w:vAlign w:val="bottom"/>
          </w:tcPr>
          <w:p>
            <w:pPr>
              <w:spacing w:after="0"/>
              <w:rPr>
                <w:sz w:val="24"/>
                <w:szCs w:val="24"/>
                <w:color w:val="auto"/>
              </w:rPr>
            </w:pPr>
          </w:p>
        </w:tc>
        <w:tc>
          <w:tcPr>
            <w:tcW w:w="3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Three months ended March 31,</w:t>
            </w:r>
          </w:p>
        </w:tc>
      </w:tr>
      <w:tr>
        <w:trPr>
          <w:trHeight w:val="361"/>
        </w:trPr>
        <w:tc>
          <w:tcPr>
            <w:tcW w:w="7540" w:type="dxa"/>
            <w:vAlign w:val="bottom"/>
          </w:tcPr>
          <w:p>
            <w:pPr>
              <w:spacing w:after="0"/>
              <w:rPr>
                <w:sz w:val="24"/>
                <w:szCs w:val="24"/>
                <w:color w:val="auto"/>
              </w:rPr>
            </w:pPr>
          </w:p>
        </w:tc>
        <w:tc>
          <w:tcPr>
            <w:tcW w:w="32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7540" w:type="dxa"/>
            <w:vAlign w:val="bottom"/>
          </w:tcPr>
          <w:p>
            <w:pPr>
              <w:spacing w:after="0"/>
              <w:rPr>
                <w:sz w:val="15"/>
                <w:szCs w:val="15"/>
                <w:color w:val="auto"/>
              </w:rPr>
            </w:pP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754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rPr>
              <w:t>(In thousands)</w:t>
            </w:r>
          </w:p>
        </w:tc>
        <w:tc>
          <w:tcPr>
            <w:tcW w:w="740" w:type="dxa"/>
            <w:vAlign w:val="bottom"/>
          </w:tcPr>
          <w:p>
            <w:pPr>
              <w:spacing w:after="0"/>
              <w:rPr>
                <w:sz w:val="24"/>
                <w:szCs w:val="24"/>
                <w:color w:val="auto"/>
              </w:rPr>
            </w:pPr>
          </w:p>
        </w:tc>
      </w:tr>
      <w:tr>
        <w:trPr>
          <w:trHeight w:val="180"/>
        </w:trPr>
        <w:tc>
          <w:tcPr>
            <w:tcW w:w="75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$14,139</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$13,554</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Items not requiring cash outlays</w:t>
            </w: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540" w:type="dxa"/>
            <w:vAlign w:val="bottom"/>
          </w:tcPr>
          <w:p>
            <w:pPr>
              <w:ind w:left="460"/>
              <w:spacing w:after="0"/>
              <w:rPr>
                <w:sz w:val="20"/>
                <w:szCs w:val="20"/>
                <w:color w:val="auto"/>
              </w:rPr>
            </w:pPr>
            <w:r>
              <w:rPr>
                <w:rFonts w:ascii="Courier New" w:cs="Courier New" w:eastAsia="Courier New" w:hAnsi="Courier New"/>
                <w:sz w:val="16"/>
                <w:szCs w:val="16"/>
                <w:color w:val="auto"/>
              </w:rPr>
              <w:t>Depreciation and amortization</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12,655</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12,281</w:t>
            </w:r>
          </w:p>
        </w:tc>
      </w:tr>
      <w:tr>
        <w:trPr>
          <w:trHeight w:val="180"/>
        </w:trPr>
        <w:tc>
          <w:tcPr>
            <w:tcW w:w="7540" w:type="dxa"/>
            <w:vAlign w:val="bottom"/>
          </w:tcPr>
          <w:p>
            <w:pPr>
              <w:ind w:left="380"/>
              <w:spacing w:after="0"/>
              <w:rPr>
                <w:sz w:val="20"/>
                <w:szCs w:val="20"/>
                <w:color w:val="auto"/>
              </w:rPr>
            </w:pPr>
            <w:r>
              <w:rPr>
                <w:rFonts w:ascii="Courier New" w:cs="Courier New" w:eastAsia="Courier New" w:hAnsi="Courier New"/>
                <w:sz w:val="16"/>
                <w:szCs w:val="16"/>
                <w:color w:val="auto"/>
              </w:rPr>
              <w:t>Other, net</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208</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497</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Changes in assets and liabilities</w:t>
            </w: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540" w:type="dxa"/>
            <w:vAlign w:val="bottom"/>
          </w:tcPr>
          <w:p>
            <w:pPr>
              <w:ind w:left="460"/>
              <w:spacing w:after="0"/>
              <w:rPr>
                <w:sz w:val="20"/>
                <w:szCs w:val="20"/>
                <w:color w:val="auto"/>
              </w:rPr>
            </w:pPr>
            <w:r>
              <w:rPr>
                <w:rFonts w:ascii="Courier New" w:cs="Courier New" w:eastAsia="Courier New" w:hAnsi="Courier New"/>
                <w:sz w:val="16"/>
                <w:szCs w:val="16"/>
                <w:color w:val="auto"/>
              </w:rPr>
              <w:t>Decrease in accounts receivable</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3,169</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381</w:t>
            </w:r>
          </w:p>
        </w:tc>
      </w:tr>
      <w:tr>
        <w:trPr>
          <w:trHeight w:val="180"/>
        </w:trPr>
        <w:tc>
          <w:tcPr>
            <w:tcW w:w="7540" w:type="dxa"/>
            <w:vAlign w:val="bottom"/>
          </w:tcPr>
          <w:p>
            <w:pPr>
              <w:ind w:left="460"/>
              <w:spacing w:after="0"/>
              <w:rPr>
                <w:sz w:val="20"/>
                <w:szCs w:val="20"/>
                <w:color w:val="auto"/>
              </w:rPr>
            </w:pPr>
            <w:r>
              <w:rPr>
                <w:rFonts w:ascii="Courier New" w:cs="Courier New" w:eastAsia="Courier New" w:hAnsi="Courier New"/>
                <w:sz w:val="16"/>
                <w:szCs w:val="16"/>
                <w:color w:val="auto"/>
              </w:rPr>
              <w:t>Decrease in prepaid expenses and other</w:t>
            </w: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540" w:type="dxa"/>
            <w:vAlign w:val="bottom"/>
          </w:tcPr>
          <w:p>
            <w:pPr>
              <w:ind w:left="560"/>
              <w:spacing w:after="0"/>
              <w:rPr>
                <w:sz w:val="20"/>
                <w:szCs w:val="20"/>
                <w:color w:val="auto"/>
              </w:rPr>
            </w:pPr>
            <w:r>
              <w:rPr>
                <w:rFonts w:ascii="Courier New" w:cs="Courier New" w:eastAsia="Courier New" w:hAnsi="Courier New"/>
                <w:sz w:val="16"/>
                <w:szCs w:val="16"/>
                <w:color w:val="auto"/>
              </w:rPr>
              <w:t>assets before depreciation and amortization</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2,115</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2,325</w:t>
            </w:r>
          </w:p>
        </w:tc>
      </w:tr>
      <w:tr>
        <w:trPr>
          <w:trHeight w:val="180"/>
        </w:trPr>
        <w:tc>
          <w:tcPr>
            <w:tcW w:w="7540" w:type="dxa"/>
            <w:vAlign w:val="bottom"/>
          </w:tcPr>
          <w:p>
            <w:pPr>
              <w:ind w:left="460"/>
              <w:spacing w:after="0"/>
              <w:rPr>
                <w:sz w:val="20"/>
                <w:szCs w:val="20"/>
                <w:color w:val="auto"/>
              </w:rPr>
            </w:pPr>
            <w:r>
              <w:rPr>
                <w:rFonts w:ascii="Courier New" w:cs="Courier New" w:eastAsia="Courier New" w:hAnsi="Courier New"/>
                <w:sz w:val="16"/>
                <w:szCs w:val="16"/>
                <w:color w:val="auto"/>
              </w:rPr>
              <w:t>Increase (decrease) in operating accounts payable,</w:t>
            </w: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540" w:type="dxa"/>
            <w:vAlign w:val="bottom"/>
          </w:tcPr>
          <w:p>
            <w:pPr>
              <w:ind w:left="560"/>
              <w:spacing w:after="0"/>
              <w:rPr>
                <w:sz w:val="20"/>
                <w:szCs w:val="20"/>
                <w:color w:val="auto"/>
              </w:rPr>
            </w:pPr>
            <w:r>
              <w:rPr>
                <w:rFonts w:ascii="Courier New" w:cs="Courier New" w:eastAsia="Courier New" w:hAnsi="Courier New"/>
                <w:sz w:val="16"/>
                <w:szCs w:val="16"/>
                <w:color w:val="auto"/>
              </w:rPr>
              <w:t>security deposits and prepaid rent</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2,186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(1,016)</w:t>
            </w:r>
          </w:p>
        </w:tc>
      </w:tr>
      <w:tr>
        <w:trPr>
          <w:trHeight w:val="180"/>
        </w:trPr>
        <w:tc>
          <w:tcPr>
            <w:tcW w:w="7540" w:type="dxa"/>
            <w:vAlign w:val="bottom"/>
          </w:tcPr>
          <w:p>
            <w:pPr>
              <w:ind w:left="460"/>
              <w:spacing w:after="0"/>
              <w:rPr>
                <w:sz w:val="20"/>
                <w:szCs w:val="20"/>
                <w:color w:val="auto"/>
              </w:rPr>
            </w:pPr>
            <w:r>
              <w:rPr>
                <w:rFonts w:ascii="Courier New" w:cs="Courier New" w:eastAsia="Courier New" w:hAnsi="Courier New"/>
                <w:sz w:val="16"/>
                <w:szCs w:val="16"/>
                <w:color w:val="auto"/>
              </w:rPr>
              <w:t>Decrease in accrued expenses</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(2,030)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(5,719)</w:t>
            </w:r>
          </w:p>
        </w:tc>
      </w:tr>
      <w:tr>
        <w:trPr>
          <w:trHeight w:val="180"/>
        </w:trPr>
        <w:tc>
          <w:tcPr>
            <w:tcW w:w="7540" w:type="dxa"/>
            <w:vAlign w:val="bottom"/>
          </w:tcPr>
          <w:p>
            <w:pPr>
              <w:spacing w:after="0"/>
              <w:rPr>
                <w:sz w:val="15"/>
                <w:szCs w:val="15"/>
                <w:color w:val="auto"/>
              </w:rPr>
            </w:pP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32,442</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22,303</w:t>
            </w:r>
          </w:p>
        </w:tc>
      </w:tr>
      <w:tr>
        <w:trPr>
          <w:trHeight w:val="541"/>
        </w:trPr>
        <w:tc>
          <w:tcPr>
            <w:tcW w:w="75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Acquisition of real estate</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(17,879)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(15,260)</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Capital expenditures</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(21,941)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(16,366)</w:t>
            </w:r>
          </w:p>
        </w:tc>
      </w:tr>
      <w:tr>
        <w:trPr>
          <w:trHeight w:val="180"/>
        </w:trPr>
        <w:tc>
          <w:tcPr>
            <w:tcW w:w="7540" w:type="dxa"/>
            <w:vAlign w:val="bottom"/>
          </w:tcPr>
          <w:p>
            <w:pPr>
              <w:ind w:left="280"/>
              <w:spacing w:after="0"/>
              <w:rPr>
                <w:sz w:val="20"/>
                <w:szCs w:val="20"/>
                <w:color w:val="auto"/>
              </w:rPr>
            </w:pPr>
            <w:r>
              <w:rPr>
                <w:rFonts w:ascii="Courier New" w:cs="Courier New" w:eastAsia="Courier New" w:hAnsi="Courier New"/>
                <w:sz w:val="16"/>
                <w:szCs w:val="16"/>
                <w:color w:val="auto"/>
              </w:rPr>
              <w:t>Issuance of mortgage notes receivable, net</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(3,448)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(4,397)</w:t>
            </w:r>
          </w:p>
        </w:tc>
      </w:tr>
      <w:tr>
        <w:trPr>
          <w:trHeight w:val="180"/>
        </w:trPr>
        <w:tc>
          <w:tcPr>
            <w:tcW w:w="7540" w:type="dxa"/>
            <w:vAlign w:val="bottom"/>
          </w:tcPr>
          <w:p>
            <w:pPr>
              <w:spacing w:after="0"/>
              <w:rPr>
                <w:sz w:val="15"/>
                <w:szCs w:val="15"/>
                <w:color w:val="auto"/>
              </w:rPr>
            </w:pP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Net cash used in investing activities</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(43,268)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(36,023)</w:t>
            </w:r>
          </w:p>
        </w:tc>
      </w:tr>
      <w:tr>
        <w:trPr>
          <w:trHeight w:val="541"/>
        </w:trPr>
        <w:tc>
          <w:tcPr>
            <w:tcW w:w="75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Borrowing of short-term debt, net</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153,500</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28,852</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Repayment of senior notes, net of costs</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(100,000)</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Issuance of common shares</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697</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343</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Common shares repurchased</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(22,087)</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Payments on mortgages, capital leases and notes payable, including</w:t>
            </w:r>
          </w:p>
        </w:tc>
        <w:tc>
          <w:tcPr>
            <w:tcW w:w="3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540" w:type="dxa"/>
            <w:vAlign w:val="bottom"/>
          </w:tcPr>
          <w:p>
            <w:pPr>
              <w:ind w:left="380"/>
              <w:spacing w:after="0"/>
              <w:rPr>
                <w:sz w:val="20"/>
                <w:szCs w:val="20"/>
                <w:color w:val="auto"/>
              </w:rPr>
            </w:pPr>
            <w:r>
              <w:rPr>
                <w:rFonts w:ascii="Courier New" w:cs="Courier New" w:eastAsia="Courier New" w:hAnsi="Courier New"/>
                <w:sz w:val="16"/>
                <w:szCs w:val="16"/>
                <w:color w:val="auto"/>
              </w:rPr>
              <w:t>prepayment fees</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(387)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(354)</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Dividends paid</w:t>
            </w:r>
          </w:p>
        </w:tc>
        <w:tc>
          <w:tcPr>
            <w:tcW w:w="32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(19,425)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(18,995)</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Increase (decrease) in minority interest, net</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501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(809)</w:t>
            </w:r>
          </w:p>
        </w:tc>
      </w:tr>
      <w:tr>
        <w:trPr>
          <w:trHeight w:val="180"/>
        </w:trPr>
        <w:tc>
          <w:tcPr>
            <w:tcW w:w="7540" w:type="dxa"/>
            <w:vAlign w:val="bottom"/>
          </w:tcPr>
          <w:p>
            <w:pPr>
              <w:spacing w:after="0"/>
              <w:rPr>
                <w:sz w:val="15"/>
                <w:szCs w:val="15"/>
                <w:color w:val="auto"/>
              </w:rPr>
            </w:pP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754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12,799</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9,037</w:t>
            </w:r>
          </w:p>
        </w:tc>
      </w:tr>
      <w:tr>
        <w:trPr>
          <w:trHeight w:val="180"/>
        </w:trPr>
        <w:tc>
          <w:tcPr>
            <w:tcW w:w="7540" w:type="dxa"/>
            <w:vAlign w:val="bottom"/>
          </w:tcPr>
          <w:p>
            <w:pPr>
              <w:spacing w:after="0"/>
              <w:rPr>
                <w:sz w:val="15"/>
                <w:szCs w:val="15"/>
                <w:color w:val="auto"/>
              </w:rPr>
            </w:pP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7540" w:type="dxa"/>
            <w:vAlign w:val="bottom"/>
          </w:tcPr>
          <w:p>
            <w:pPr>
              <w:spacing w:after="0"/>
              <w:rPr>
                <w:sz w:val="20"/>
                <w:szCs w:val="20"/>
                <w:color w:val="auto"/>
              </w:rPr>
            </w:pPr>
            <w:r>
              <w:rPr>
                <w:rFonts w:ascii="Courier New" w:cs="Courier New" w:eastAsia="Courier New" w:hAnsi="Courier New"/>
                <w:sz w:val="16"/>
                <w:szCs w:val="16"/>
                <w:color w:val="auto"/>
              </w:rPr>
              <w:t>Increase (decrease) in cash</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1,973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(4,683)</w:t>
            </w:r>
          </w:p>
        </w:tc>
      </w:tr>
      <w:tr>
        <w:trPr>
          <w:trHeight w:val="361"/>
        </w:trPr>
        <w:tc>
          <w:tcPr>
            <w:tcW w:w="754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11,738</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17,230</w:t>
            </w:r>
          </w:p>
        </w:tc>
      </w:tr>
      <w:tr>
        <w:trPr>
          <w:trHeight w:val="180"/>
        </w:trPr>
        <w:tc>
          <w:tcPr>
            <w:tcW w:w="7540" w:type="dxa"/>
            <w:vAlign w:val="bottom"/>
          </w:tcPr>
          <w:p>
            <w:pPr>
              <w:spacing w:after="0"/>
              <w:rPr>
                <w:sz w:val="15"/>
                <w:szCs w:val="15"/>
                <w:color w:val="auto"/>
              </w:rPr>
            </w:pP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r>
        <w:trPr>
          <w:trHeight w:val="180"/>
        </w:trPr>
        <w:tc>
          <w:tcPr>
            <w:tcW w:w="754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$13,711</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$12,547</w:t>
            </w:r>
          </w:p>
        </w:tc>
      </w:tr>
      <w:tr>
        <w:trPr>
          <w:trHeight w:val="180"/>
        </w:trPr>
        <w:tc>
          <w:tcPr>
            <w:tcW w:w="7540" w:type="dxa"/>
            <w:vAlign w:val="bottom"/>
          </w:tcPr>
          <w:p>
            <w:pPr>
              <w:spacing w:after="0"/>
              <w:rPr>
                <w:sz w:val="15"/>
                <w:szCs w:val="15"/>
                <w:color w:val="auto"/>
              </w:rPr>
            </w:pPr>
          </w:p>
        </w:tc>
        <w:tc>
          <w:tcPr>
            <w:tcW w:w="32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r>
    </w:tbl>
    <w:p>
      <w:pPr>
        <w:spacing w:after="0" w:line="200" w:lineRule="exact"/>
        <w:rPr>
          <w:sz w:val="20"/>
          <w:szCs w:val="20"/>
          <w:color w:val="auto"/>
        </w:rPr>
      </w:pPr>
    </w:p>
    <w:p>
      <w:pPr>
        <w:spacing w:after="0" w:line="345"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6"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520"/>
          </w:cols>
          <w:pgMar w:left="240" w:top="654" w:right="139" w:bottom="1440" w:gutter="0" w:footer="0" w:header="0"/>
        </w:sectPr>
      </w:pPr>
    </w:p>
    <w:bookmarkStart w:id="8" w:name="page9"/>
    <w:bookmarkEnd w:id="8"/>
    <w:p>
      <w:pPr>
        <w:ind w:left="216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March 31, 2000</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(unaudited)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ACCOUNTING POLICIES AND OTHER DATA</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Reference should be made to the notes to financial statements included in the Annual Report to shareholders for the year ended December 31, 1999 which contain the accounting policies and other data of Federal Realty Investment Trust (the "Trust").</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table sets forth the reconciliation between basic and diluted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Three months ending</w:t>
            </w:r>
          </w:p>
        </w:tc>
      </w:tr>
      <w:tr>
        <w:trPr>
          <w:trHeight w:val="180"/>
        </w:trPr>
        <w:tc>
          <w:tcPr>
            <w:tcW w:w="3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March 31,</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w:t>
            </w:r>
          </w:p>
        </w:tc>
        <w:tc>
          <w:tcPr>
            <w:tcW w:w="20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shareholders - basic</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$12,151</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$11,566</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Income attributable to operating</w:t>
            </w: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partnership units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613</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ind w:left="280"/>
              <w:spacing w:after="0"/>
              <w:rPr>
                <w:sz w:val="20"/>
                <w:szCs w:val="20"/>
                <w:color w:val="auto"/>
              </w:rPr>
            </w:pPr>
            <w:r>
              <w:rPr>
                <w:rFonts w:ascii="Courier New" w:cs="Courier New" w:eastAsia="Courier New" w:hAnsi="Courier New"/>
                <w:sz w:val="16"/>
                <w:szCs w:val="16"/>
                <w:color w:val="auto"/>
              </w:rPr>
              <w:t>shareholders - diluted</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$12,764</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$11,830</w:t>
            </w:r>
          </w:p>
        </w:tc>
      </w:tr>
      <w:tr>
        <w:trPr>
          <w:trHeight w:val="180"/>
        </w:trPr>
        <w:tc>
          <w:tcPr>
            <w:tcW w:w="3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46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Denominator for basic EPS-</w:t>
            </w: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shares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39,444</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39,435</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Stock options and awards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230</w:t>
            </w:r>
          </w:p>
        </w:tc>
      </w:tr>
      <w:tr>
        <w:trPr>
          <w:trHeight w:val="180"/>
        </w:trPr>
        <w:tc>
          <w:tcPr>
            <w:tcW w:w="3460" w:type="dxa"/>
            <w:vAlign w:val="bottom"/>
          </w:tcPr>
          <w:p>
            <w:pPr>
              <w:ind w:left="180"/>
              <w:spacing w:after="0"/>
              <w:rPr>
                <w:sz w:val="20"/>
                <w:szCs w:val="20"/>
                <w:color w:val="auto"/>
              </w:rPr>
            </w:pPr>
            <w:r>
              <w:rPr>
                <w:rFonts w:ascii="Courier New" w:cs="Courier New" w:eastAsia="Courier New" w:hAnsi="Courier New"/>
                <w:sz w:val="16"/>
                <w:szCs w:val="16"/>
                <w:color w:val="auto"/>
              </w:rPr>
              <w:t>Operating partnership units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1,005</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880</w:t>
            </w:r>
          </w:p>
        </w:tc>
      </w:tr>
      <w:tr>
        <w:trPr>
          <w:trHeight w:val="180"/>
        </w:trPr>
        <w:tc>
          <w:tcPr>
            <w:tcW w:w="3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rPr>
              <w:t>Denominator for diluted EPS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40,595</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40,545</w:t>
            </w:r>
          </w:p>
        </w:tc>
      </w:tr>
      <w:tr>
        <w:trPr>
          <w:trHeight w:val="180"/>
        </w:trPr>
        <w:tc>
          <w:tcPr>
            <w:tcW w:w="3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REAL ESTATE ASSETS AND ENCUMBRANCES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January 5, 2000 the Trust purchased the 75,000 square foot Greenlawn Plaza in Greenlawn, New York for $6.2 million, with plans to renovate and expand the center by 35,000 square feet. On February 16, 2000 control of a parcel of land for future development in Hillsboro, Oregon was acquired for $11.7 million. An additional $1.6 million will be owed if certain cash flow criteria are met during the first ten years of operations.</w:t>
      </w:r>
    </w:p>
    <w:p>
      <w:pPr>
        <w:spacing w:after="0" w:line="189"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On January 1, 2000 the Trust issued 190,000 partnership units valued at $3.6 million in exchange for the minority partner's interest in Loehmann's Plaza.</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In addition, the Trust invested $3.4 million in mortgage notes receivable with an average weighted interest rate of 9.7% during the first quarter of 2000.</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NOTE C - NOTES PAYABLE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 March 31, 2000 there was $184.1 million borrowed under the Trust's syndicated credit facility, which also represents the maximum drawn during the quarter. The weighted average interest rate on borrowings for the three months ended March 31, 2000 was 6.6%. The facility requires fees and has various covenants including the maintenance of a minimum shareholders' equity and a maximum ratio of debt to net worth.</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January 17, 2000 the Trust's $100 million of 8.875% Notes matured and were paid with borrowings on the Trust's revolving credit facilities. Also in January 2000 the Trust obtained a construction loan commitment for up to $24.5 million in connection with the Trust's Woodmont East development in Bethesda, Maryland. The loan, which has a floating interest rate of LIBOR plus 1.5% has an initial term of 24 months with two, one-year extension options. There have been no draws to date under this construction loan. The property secures the construction loan facility. In connection with the land for future development in Hillsboro, Oregon the Trust issued a $3.4 million note due on August 14, 2000. The loan bears interest at LIBOR plus 1.25%. The property secures the loan facility.</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SHAREHOLDERS' EQUITY</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In February 2000, options for 280,000 shares at prices ranging from $18 to $19 1/8 per share, fair value at the dates of award, were awarded to certain employees of the Trust. The options vest over three and four year terms.</w:t>
      </w:r>
    </w:p>
    <w:p>
      <w:pPr>
        <w:spacing w:after="0" w:line="171"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December 1999 the Trustees authorized a share repurchase program of up to an aggregate of four million of the Trust's common shares. The repurchase program will end upon the earlier of December 31, 2000 or the date when the repurchase limit has been met. During the first quarter of 2000, 1,156,900 common shares at a cost of $22.1 million were repurchased bringing the total purchased under the program as of March 31, 2000, to 1,297,400 common shares at a cost of $24.7 million. An additional 28,500 shares were repurchased in April 2000 at a cost of $544,000.</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INTEREST EXPENSE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Trust incurred interest expense totaling $18.7 million during the first three months of 2000 and $16.3 million during the first three months of 1999 of which $2.2 million and $1.2 million, respectively, was capitalized in connection with development projects.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10" w:name="page11"/>
    <w:bookmarkEnd w:id="10"/>
    <w:p>
      <w:pPr>
        <w:ind w:right="3179"/>
        <w:spacing w:after="0" w:line="236" w:lineRule="auto"/>
        <w:rPr>
          <w:sz w:val="20"/>
          <w:szCs w:val="20"/>
          <w:color w:val="auto"/>
        </w:rPr>
      </w:pPr>
      <w:r>
        <w:rPr>
          <w:rFonts w:ascii="Courier New" w:cs="Courier New" w:eastAsia="Courier New" w:hAnsi="Courier New"/>
          <w:sz w:val="16"/>
          <w:szCs w:val="16"/>
          <w:color w:val="auto"/>
        </w:rPr>
        <w:t>Interest paid was $19.9 million in the first three months of 2000 and $18.8 million in the first three months of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COMMITMENTS AND CONTINGENCIES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Pursuant to the provisions of the partnership agreement, in the event of the exercise of put options by another partner, the Trust would be required to purchase a 37.5% interest of Congressional Plaza at its then fair market value. Based on management's current estimate of fair market value, the Trust's estimated liability upon exercise of the put option is approximately $27 million.</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In certain of the partnerships, if the limited partners do not redeem their interest, the Trust may choose to purchase the limited partnership interests upon the same terms.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Under the terms of other partnerships, the partners may exchange their 1,004,589 operating units into cash or the same number of common shares of the Trust, at the option of the Trust.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1999 the Trust focused on ways to minimize the risk of disruption from the "Year 2000 Issue" which generally refers to the inability of systems hardware and software to correctly identify two-digit references to specific calendar years, beginning with 2000. The Year 2000 Issue could have effected the Trust directly by impairing its internal data-based operations or processing and indirectly by impairing its suppliers and tenants data-based operations or processing. The Trust identified all accounting systems and other internal systems of high priority. In addition the Trust requested information concerning and reviewed the equipment at its properties, including the use of embedded chips in machinery. The Trust also communicated with its major banks, tenants and suppliers to determine their Year 2000 compliance. To date the operations and financial condition of the Trust had not been impacted by any Year 2000 failures and the Trust does not believe that there is any material risk to the Trust in these areas in the future.</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NOTE G - COMPONENTS OF RENTAL INCOME</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The components of rental income for the periods ended March 31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234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Retail properties</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Minimum rents</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$51,723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$48,134</w:t>
            </w: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Cost reimbursements</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10,258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9,199</w:t>
            </w: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Percentage rents</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1,556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1,426</w:t>
            </w:r>
          </w:p>
        </w:tc>
      </w:tr>
      <w:tr>
        <w:trPr>
          <w:trHeight w:val="180"/>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Apartments</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695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674</w:t>
            </w:r>
          </w:p>
        </w:tc>
      </w:tr>
      <w:tr>
        <w:trPr>
          <w:trHeight w:val="180"/>
        </w:trPr>
        <w:tc>
          <w:tcPr>
            <w:tcW w:w="234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$64,232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$59,433</w:t>
            </w:r>
          </w:p>
        </w:tc>
      </w:tr>
      <w:tr>
        <w:trPr>
          <w:trHeight w:val="180"/>
        </w:trPr>
        <w:tc>
          <w:tcPr>
            <w:tcW w:w="234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SEGMENT INFORMATION</w:t>
      </w:r>
    </w:p>
    <w:p>
      <w:pPr>
        <w:spacing w:after="0" w:line="185"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The Trust operates its portfolio of properties in three geographic operating regions: Northeast, Mid-Atlantic and West.</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A summary of the Trust's operations by geographic region is presented below (in thousands):</w:t>
      </w:r>
    </w:p>
    <w:p>
      <w:pPr>
        <w:spacing w:after="0" w:line="360" w:lineRule="exact"/>
        <w:rPr>
          <w:sz w:val="20"/>
          <w:szCs w:val="20"/>
          <w:color w:val="auto"/>
        </w:rPr>
      </w:pPr>
    </w:p>
    <w:p>
      <w:pPr>
        <w:spacing w:after="0"/>
        <w:tabs>
          <w:tab w:leader="none" w:pos="2800" w:val="left"/>
          <w:tab w:leader="none" w:pos="3720" w:val="left"/>
        </w:tabs>
        <w:rPr>
          <w:sz w:val="20"/>
          <w:szCs w:val="20"/>
          <w:color w:val="auto"/>
        </w:rPr>
      </w:pPr>
      <w:r>
        <w:rPr>
          <w:rFonts w:ascii="Courier New" w:cs="Courier New" w:eastAsia="Courier New" w:hAnsi="Courier New"/>
          <w:sz w:val="16"/>
          <w:szCs w:val="16"/>
          <w:color w:val="auto"/>
        </w:rPr>
        <w:t>Three months ended</w:t>
      </w:r>
      <w:r>
        <w:rPr>
          <w:sz w:val="20"/>
          <w:szCs w:val="20"/>
          <w:color w:val="auto"/>
        </w:rPr>
        <w:tab/>
      </w:r>
      <w:r>
        <w:rPr>
          <w:rFonts w:ascii="Courier New" w:cs="Courier New" w:eastAsia="Courier New" w:hAnsi="Courier New"/>
          <w:sz w:val="16"/>
          <w:szCs w:val="16"/>
          <w:color w:val="auto"/>
        </w:rPr>
        <w:t>North</w:t>
      </w:r>
      <w:r>
        <w:rPr>
          <w:sz w:val="20"/>
          <w:szCs w:val="20"/>
          <w:color w:val="auto"/>
        </w:rPr>
        <w:tab/>
      </w:r>
      <w:r>
        <w:rPr>
          <w:rFonts w:ascii="Courier New" w:cs="Courier New" w:eastAsia="Courier New" w:hAnsi="Courier New"/>
          <w:sz w:val="15"/>
          <w:szCs w:val="15"/>
          <w:color w:val="auto"/>
        </w:rPr>
        <w:t>Mid</w:t>
      </w:r>
    </w:p>
    <w:p>
      <w:pPr>
        <w:ind w:left="180"/>
        <w:spacing w:after="0"/>
        <w:tabs>
          <w:tab w:leader="none" w:pos="2880" w:val="left"/>
          <w:tab w:leader="none" w:pos="3720" w:val="left"/>
          <w:tab w:leader="none" w:pos="4860" w:val="left"/>
          <w:tab w:leader="none" w:pos="5700" w:val="left"/>
          <w:tab w:leader="none" w:pos="6820" w:val="left"/>
        </w:tabs>
        <w:rPr>
          <w:sz w:val="20"/>
          <w:szCs w:val="20"/>
          <w:color w:val="auto"/>
        </w:rPr>
      </w:pPr>
      <w:r>
        <w:rPr>
          <w:rFonts w:ascii="Courier New" w:cs="Courier New" w:eastAsia="Courier New" w:hAnsi="Courier New"/>
          <w:sz w:val="16"/>
          <w:szCs w:val="16"/>
          <w:color w:val="auto"/>
        </w:rPr>
        <w:t>March 31, 2000</w:t>
      </w:r>
      <w:r>
        <w:rPr>
          <w:sz w:val="20"/>
          <w:szCs w:val="20"/>
          <w:color w:val="auto"/>
        </w:rPr>
        <w:tab/>
      </w:r>
      <w:r>
        <w:rPr>
          <w:rFonts w:ascii="Courier New" w:cs="Courier New" w:eastAsia="Courier New" w:hAnsi="Courier New"/>
          <w:sz w:val="16"/>
          <w:szCs w:val="16"/>
          <w:color w:val="auto"/>
        </w:rPr>
        <w:t>East</w:t>
      </w:r>
      <w:r>
        <w:rPr>
          <w:sz w:val="20"/>
          <w:szCs w:val="20"/>
          <w:color w:val="auto"/>
        </w:rPr>
        <w:tab/>
      </w:r>
      <w:r>
        <w:rPr>
          <w:rFonts w:ascii="Courier New" w:cs="Courier New" w:eastAsia="Courier New" w:hAnsi="Courier New"/>
          <w:sz w:val="16"/>
          <w:szCs w:val="16"/>
          <w:color w:val="auto"/>
        </w:rPr>
        <w:t>Atlantic</w:t>
      </w:r>
      <w:r>
        <w:rPr>
          <w:sz w:val="20"/>
          <w:szCs w:val="20"/>
          <w:color w:val="auto"/>
        </w:rPr>
        <w:tab/>
      </w:r>
      <w:r>
        <w:rPr>
          <w:rFonts w:ascii="Courier New" w:cs="Courier New" w:eastAsia="Courier New" w:hAnsi="Courier New"/>
          <w:sz w:val="16"/>
          <w:szCs w:val="16"/>
          <w:color w:val="auto"/>
        </w:rPr>
        <w:t>West</w:t>
      </w:r>
      <w:r>
        <w:rPr>
          <w:sz w:val="20"/>
          <w:szCs w:val="20"/>
          <w:color w:val="auto"/>
        </w:rPr>
        <w:tab/>
      </w:r>
      <w:r>
        <w:rPr>
          <w:rFonts w:ascii="Courier New" w:cs="Courier New" w:eastAsia="Courier New" w:hAnsi="Courier New"/>
          <w:sz w:val="16"/>
          <w:szCs w:val="16"/>
          <w:color w:val="auto"/>
        </w:rPr>
        <w:t>Other</w:t>
      </w:r>
      <w:r>
        <w:rPr>
          <w:sz w:val="20"/>
          <w:szCs w:val="20"/>
          <w:color w:val="auto"/>
        </w:rPr>
        <w:tab/>
      </w:r>
      <w:r>
        <w:rPr>
          <w:rFonts w:ascii="Courier New" w:cs="Courier New" w:eastAsia="Courier New" w:hAnsi="Courier New"/>
          <w:sz w:val="16"/>
          <w:szCs w:val="16"/>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$ 27,286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28,122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8,824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64,232</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1,048</w:t>
            </w:r>
          </w:p>
        </w:tc>
        <w:tc>
          <w:tcPr>
            <w:tcW w:w="32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931</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786</w:t>
            </w:r>
          </w:p>
        </w:tc>
        <w:tc>
          <w:tcPr>
            <w:tcW w:w="9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2,765</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(6,346)</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(6,284)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(1,990)</w:t>
            </w:r>
          </w:p>
        </w:tc>
        <w:tc>
          <w:tcPr>
            <w:tcW w:w="9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(14,620)</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Real estate tax</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(3,517)</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(2,104)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(836)</w:t>
            </w:r>
          </w:p>
        </w:tc>
        <w:tc>
          <w:tcPr>
            <w:tcW w:w="9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(6,457)</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Net operating income</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18,471</w:t>
            </w:r>
          </w:p>
        </w:tc>
        <w:tc>
          <w:tcPr>
            <w:tcW w:w="320" w:type="dxa"/>
            <w:vAlign w:val="bottom"/>
          </w:tcPr>
          <w:p>
            <w:pPr>
              <w:spacing w:after="0"/>
              <w:rPr>
                <w:sz w:val="15"/>
                <w:szCs w:val="15"/>
                <w:color w:val="auto"/>
              </w:rPr>
            </w:pP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20,665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6,784</w:t>
            </w:r>
          </w:p>
        </w:tc>
        <w:tc>
          <w:tcPr>
            <w:tcW w:w="9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45,920</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2,107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2,107</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(16,493)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(16,493)</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Administrative expense</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(2,922)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(2,922)</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(5,873)</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(5,263)</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(1,273)</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246)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(12,655)</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$ 12,598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15,402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5,511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$(17,554)$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15,957</w:t>
            </w:r>
          </w:p>
        </w:tc>
      </w:tr>
      <w:tr>
        <w:trPr>
          <w:trHeight w:val="180"/>
        </w:trPr>
        <w:tc>
          <w:tcPr>
            <w:tcW w:w="2440" w:type="dxa"/>
            <w:vAlign w:val="bottom"/>
          </w:tcPr>
          <w:p>
            <w:pPr>
              <w:spacing w:after="0"/>
              <w:rPr>
                <w:sz w:val="15"/>
                <w:szCs w:val="15"/>
                <w:color w:val="auto"/>
              </w:rPr>
            </w:pPr>
          </w:p>
        </w:tc>
        <w:tc>
          <w:tcPr>
            <w:tcW w:w="5060" w:type="dxa"/>
            <w:vAlign w:val="bottom"/>
            <w:gridSpan w:val="7"/>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$ 14,333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7,771</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$ 18,909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41,013</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Real estate assets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$730,070</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$668,894</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$361,577</w:t>
            </w:r>
          </w:p>
        </w:tc>
        <w:tc>
          <w:tcPr>
            <w:tcW w:w="19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$1,760,541</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654" w:right="1440" w:bottom="1440" w:gutter="0" w:footer="0" w:header="0"/>
        </w:sectPr>
      </w:pPr>
    </w:p>
    <w:bookmarkStart w:id="12" w:name="page13"/>
    <w:bookmarkEnd w:id="12"/>
    <w:p>
      <w:pPr>
        <w:spacing w:after="0"/>
        <w:tabs>
          <w:tab w:leader="none" w:pos="2800" w:val="left"/>
          <w:tab w:leader="none" w:pos="3720" w:val="left"/>
        </w:tabs>
        <w:rPr>
          <w:sz w:val="20"/>
          <w:szCs w:val="20"/>
          <w:color w:val="auto"/>
        </w:rPr>
      </w:pPr>
      <w:r>
        <w:rPr>
          <w:rFonts w:ascii="Courier New" w:cs="Courier New" w:eastAsia="Courier New" w:hAnsi="Courier New"/>
          <w:sz w:val="16"/>
          <w:szCs w:val="16"/>
          <w:color w:val="auto"/>
        </w:rPr>
        <w:t>Three months ended</w:t>
      </w:r>
      <w:r>
        <w:rPr>
          <w:sz w:val="20"/>
          <w:szCs w:val="20"/>
          <w:color w:val="auto"/>
        </w:rPr>
        <w:tab/>
      </w:r>
      <w:r>
        <w:rPr>
          <w:rFonts w:ascii="Courier New" w:cs="Courier New" w:eastAsia="Courier New" w:hAnsi="Courier New"/>
          <w:sz w:val="16"/>
          <w:szCs w:val="16"/>
          <w:color w:val="auto"/>
        </w:rPr>
        <w:t>North</w:t>
      </w:r>
      <w:r>
        <w:rPr>
          <w:sz w:val="20"/>
          <w:szCs w:val="20"/>
          <w:color w:val="auto"/>
        </w:rPr>
        <w:tab/>
      </w:r>
      <w:r>
        <w:rPr>
          <w:rFonts w:ascii="Courier New" w:cs="Courier New" w:eastAsia="Courier New" w:hAnsi="Courier New"/>
          <w:sz w:val="15"/>
          <w:szCs w:val="15"/>
          <w:color w:val="auto"/>
        </w:rPr>
        <w:t>Mid</w:t>
      </w:r>
    </w:p>
    <w:p>
      <w:pPr>
        <w:ind w:left="180"/>
        <w:spacing w:after="0"/>
        <w:tabs>
          <w:tab w:leader="none" w:pos="2800" w:val="left"/>
          <w:tab w:leader="none" w:pos="3640" w:val="left"/>
          <w:tab w:leader="none" w:pos="4860" w:val="left"/>
          <w:tab w:leader="none" w:pos="5700" w:val="left"/>
          <w:tab w:leader="none" w:pos="6720" w:val="left"/>
        </w:tabs>
        <w:rPr>
          <w:sz w:val="20"/>
          <w:szCs w:val="20"/>
          <w:color w:val="auto"/>
        </w:rPr>
      </w:pPr>
      <w:r>
        <w:rPr>
          <w:rFonts w:ascii="Courier New" w:cs="Courier New" w:eastAsia="Courier New" w:hAnsi="Courier New"/>
          <w:sz w:val="16"/>
          <w:szCs w:val="16"/>
          <w:color w:val="auto"/>
        </w:rPr>
        <w:t>March 31, 1999</w:t>
      </w:r>
      <w:r>
        <w:rPr>
          <w:sz w:val="20"/>
          <w:szCs w:val="20"/>
          <w:color w:val="auto"/>
        </w:rPr>
        <w:tab/>
      </w:r>
      <w:r>
        <w:rPr>
          <w:rFonts w:ascii="Courier New" w:cs="Courier New" w:eastAsia="Courier New" w:hAnsi="Courier New"/>
          <w:sz w:val="16"/>
          <w:szCs w:val="16"/>
          <w:color w:val="auto"/>
        </w:rPr>
        <w:t>East</w:t>
      </w:r>
      <w:r>
        <w:rPr>
          <w:sz w:val="20"/>
          <w:szCs w:val="20"/>
          <w:color w:val="auto"/>
        </w:rPr>
        <w:tab/>
      </w:r>
      <w:r>
        <w:rPr>
          <w:rFonts w:ascii="Courier New" w:cs="Courier New" w:eastAsia="Courier New" w:hAnsi="Courier New"/>
          <w:sz w:val="16"/>
          <w:szCs w:val="16"/>
          <w:color w:val="auto"/>
        </w:rPr>
        <w:t>Atlantic</w:t>
      </w:r>
      <w:r>
        <w:rPr>
          <w:sz w:val="20"/>
          <w:szCs w:val="20"/>
          <w:color w:val="auto"/>
        </w:rPr>
        <w:tab/>
      </w:r>
      <w:r>
        <w:rPr>
          <w:rFonts w:ascii="Courier New" w:cs="Courier New" w:eastAsia="Courier New" w:hAnsi="Courier New"/>
          <w:sz w:val="16"/>
          <w:szCs w:val="16"/>
          <w:color w:val="auto"/>
        </w:rPr>
        <w:t>West</w:t>
      </w:r>
      <w:r>
        <w:rPr>
          <w:sz w:val="20"/>
          <w:szCs w:val="20"/>
          <w:color w:val="auto"/>
        </w:rPr>
        <w:tab/>
      </w:r>
      <w:r>
        <w:rPr>
          <w:rFonts w:ascii="Courier New" w:cs="Courier New" w:eastAsia="Courier New" w:hAnsi="Courier New"/>
          <w:sz w:val="16"/>
          <w:szCs w:val="16"/>
          <w:color w:val="auto"/>
        </w:rPr>
        <w:t>Other</w:t>
      </w:r>
      <w:r>
        <w:rPr>
          <w:sz w:val="20"/>
          <w:szCs w:val="20"/>
          <w:color w:val="auto"/>
        </w:rPr>
        <w:tab/>
      </w:r>
      <w:r>
        <w:rPr>
          <w:rFonts w:ascii="Courier New" w:cs="Courier New" w:eastAsia="Courier New" w:hAnsi="Courier New"/>
          <w:sz w:val="16"/>
          <w:szCs w:val="16"/>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$ 24,858</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$ 27,462</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7,113</w:t>
            </w:r>
          </w:p>
        </w:tc>
        <w:tc>
          <w:tcPr>
            <w:tcW w:w="880" w:type="dxa"/>
            <w:vAlign w:val="bottom"/>
          </w:tcPr>
          <w:p>
            <w:pPr>
              <w:spacing w:after="0"/>
              <w:rPr>
                <w:sz w:val="15"/>
                <w:szCs w:val="15"/>
                <w:color w:val="auto"/>
              </w:rPr>
            </w:pP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59,433</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1,169</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811</w:t>
            </w:r>
          </w:p>
        </w:tc>
        <w:tc>
          <w:tcPr>
            <w:tcW w:w="22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292</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2,272</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Rental expense</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(5,813)</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(5,934)</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(1,901)</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(13,648)</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Real estate tax</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(3,087)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(2,169)</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(756)</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(6,012)</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Net operating income</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17,127</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20,170</w:t>
            </w:r>
          </w:p>
        </w:tc>
        <w:tc>
          <w:tcPr>
            <w:tcW w:w="22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4,748</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42,045</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1,878</w:t>
            </w:r>
          </w:p>
        </w:tc>
        <w:tc>
          <w:tcPr>
            <w:tcW w:w="2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1,878</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(15,133)</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(15,133)</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Administrative expense</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(2,254)</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(2,254)</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(5,438)</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(5,694)</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(918)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(12,281)</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$ 11,689</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$ 14,476</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3,830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$(15,740)</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14,255</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2,095</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7,437</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$ 25,020</w:t>
            </w:r>
          </w:p>
        </w:tc>
        <w:tc>
          <w:tcPr>
            <w:tcW w:w="880" w:type="dxa"/>
            <w:vAlign w:val="bottom"/>
          </w:tcPr>
          <w:p>
            <w:pPr>
              <w:spacing w:after="0"/>
              <w:rPr>
                <w:sz w:val="15"/>
                <w:szCs w:val="15"/>
                <w:color w:val="auto"/>
              </w:rPr>
            </w:pP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34,552</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Real estate assets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$686,177</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$684,154</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$305,939</w:t>
            </w:r>
          </w:p>
        </w:tc>
        <w:tc>
          <w:tcPr>
            <w:tcW w:w="880" w:type="dxa"/>
            <w:vAlign w:val="bottom"/>
          </w:tcPr>
          <w:p>
            <w:pPr>
              <w:spacing w:after="0"/>
              <w:rPr>
                <w:sz w:val="15"/>
                <w:szCs w:val="15"/>
                <w:color w:val="auto"/>
              </w:rPr>
            </w:pP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$1,676,270</w:t>
            </w:r>
          </w:p>
        </w:tc>
      </w:tr>
      <w:tr>
        <w:trPr>
          <w:trHeight w:val="180"/>
        </w:trPr>
        <w:tc>
          <w:tcPr>
            <w:tcW w:w="24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10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no transactions between geographic areas.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13" w:name="page14"/>
    <w:bookmarkEnd w:id="13"/>
    <w:p>
      <w:pPr>
        <w:jc w:val="center"/>
        <w:ind w:right="2819"/>
        <w:spacing w:after="0"/>
        <w:rPr>
          <w:sz w:val="20"/>
          <w:szCs w:val="20"/>
          <w:color w:val="auto"/>
        </w:rPr>
      </w:pPr>
      <w:r>
        <w:rPr>
          <w:rFonts w:ascii="Courier New" w:cs="Courier New" w:eastAsia="Courier New" w:hAnsi="Courier New"/>
          <w:sz w:val="16"/>
          <w:szCs w:val="16"/>
          <w:color w:val="auto"/>
        </w:rPr>
        <w:t>FEDERAL REALTY INVESTMENT TRUST</w:t>
      </w:r>
    </w:p>
    <w:p>
      <w:pPr>
        <w:jc w:val="center"/>
        <w:ind w:right="2819"/>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March 31, 2000</w:t>
      </w:r>
    </w:p>
    <w:p>
      <w:pPr>
        <w:spacing w:after="0" w:line="3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MANAGEMENT'S DISCUSSION AND ANALYSIS OF</w:t>
      </w:r>
    </w:p>
    <w:p>
      <w:pPr>
        <w:jc w:val="center"/>
        <w:ind w:right="281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6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and Notes thereto. Certain statements made in this report contain forward-looking statements,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 Portions of this discussion include certain forward-looking statements about the Trust's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The Trust also expects proceeds from the sale of selected assets to provide an additional source of capital in 2000 and 2001.</w:t>
      </w:r>
    </w:p>
    <w:p>
      <w:pPr>
        <w:spacing w:after="0" w:line="173" w:lineRule="exact"/>
        <w:rPr>
          <w:sz w:val="20"/>
          <w:szCs w:val="20"/>
          <w:color w:val="auto"/>
        </w:rPr>
      </w:pPr>
    </w:p>
    <w:p>
      <w:pPr>
        <w:jc w:val="both"/>
        <w:ind w:right="2999" w:firstLine="469"/>
        <w:spacing w:after="0" w:line="254" w:lineRule="auto"/>
        <w:rPr>
          <w:sz w:val="20"/>
          <w:szCs w:val="20"/>
          <w:color w:val="auto"/>
        </w:rPr>
      </w:pPr>
      <w:r>
        <w:rPr>
          <w:rFonts w:ascii="Courier New" w:cs="Courier New" w:eastAsia="Courier New" w:hAnsi="Courier New"/>
          <w:sz w:val="15"/>
          <w:szCs w:val="15"/>
          <w:color w:val="auto"/>
        </w:rPr>
        <w:t>Net cash provided by operating activities was $32.4 million in the first quarter of 2000 and $22.3 million in the first quarter of 1999 of which $19.4 million and $19.0 million, respectively, was distributed to shareholders.</w:t>
      </w:r>
    </w:p>
    <w:p>
      <w:pPr>
        <w:spacing w:after="0" w:line="2"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Contributions from retenanted and redeveloped properties, as more fully described below, as well as, cash provided from changes in operating assets and liabilities were the primary sources of these increases.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14" w:name="page15"/>
    <w:bookmarkEnd w:id="14"/>
    <w:p>
      <w:pPr>
        <w:ind w:right="2719" w:firstLine="469"/>
        <w:spacing w:after="0" w:line="238" w:lineRule="auto"/>
        <w:rPr>
          <w:sz w:val="20"/>
          <w:szCs w:val="20"/>
          <w:color w:val="auto"/>
        </w:rPr>
      </w:pPr>
      <w:r>
        <w:rPr>
          <w:rFonts w:ascii="Courier New" w:cs="Courier New" w:eastAsia="Courier New" w:hAnsi="Courier New"/>
          <w:sz w:val="16"/>
          <w:szCs w:val="16"/>
          <w:color w:val="auto"/>
        </w:rPr>
        <w:t>Net cash used in investing activities was $43.3 million during the first quarter of 2000 and $36.0 million during the first quarter of 1999. The Trust purchased real estate totaling $17.9 million in the first quarter of 2000 and $16.9 million in the first quarter of 1999, requiring cash outlays of $17.9 million and $15.3 million, respectively. During these two periods, the Trust expended an additional $21.9 million and $16.4 million, respectively, in capital improvements to its properties. The Trust invested $3.4 million during the first quarter of 2000 and $4.4 million during the first quarter of 1999 in mortgage notes receivable with an average weighted interest rate of 9.7% and 10%, respectively.</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January 5, 2000 the Trust purchased the 75,000 square foot Greenlawn Plaza in Greenlawn, New York for $6.2 million, with plans to renovate and expand the center by 35,000 square feet. On February 16, 2000 control of a parcel of land for future development in Hillsboro, Oregon was acquired for $11.7 million. An additional $1.6 million will be owed if certain cash flow criteria are met during the first ten years of operations.</w:t>
      </w:r>
    </w:p>
    <w:p>
      <w:pPr>
        <w:spacing w:after="0" w:line="189"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On January 1, 2000 the Trust issued 190,000 partnership units valued at $3.6 million in exchange for the minority partner's interest in Loehmann's Plaza.</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Of the $21.9 million spent in the first quarter of 2000 on the Trust's existing real estate portfolio, approximately $11.0 million was invested in predevelopment and development projects in Bethesda, Maryland; San Jose, California; San Antonio, Texas; and Arlington, Virginia. The remaining $10.9 million of capital expenditures relates to improvements to common areas, tenant work and various redevelopments, including the renovation of Greenlawn Plaza.</w:t>
      </w:r>
    </w:p>
    <w:p>
      <w:pPr>
        <w:spacing w:after="0" w:line="17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Net cash provided by financing activities, before dividend payments, was $32.2 million in the first quarter of 2000 and $28.0 million in the first quarter of 1999. The Trust utilizes its unsecured line of credit to fund acquisitions and capital expenditures. In addition during the first quarter of 2000, the Trust used its unsecured line of credit to repay $100 million of senior notes which matured in January 2000 and to repurchase 1,156,900 treasury shares at a cost of $22.1 million. At March 31, 2000 there was $184.1 million borrowed under this syndicated credit facility, which also represents the maximum drawn during the quarter. The weighted average interest rate on borrowings for the three months ended March 31, 2000 was 6.6%. The facility requires fees and has various covenants including the maintenance of a minimum shareholders' equity and a maximum ratio of debt to net worth.</w:t>
      </w:r>
    </w:p>
    <w:p>
      <w:pPr>
        <w:spacing w:after="0" w:line="178"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Capital requirements for the remainder of 2000 will depend on new development efforts, acquisition opportunities, the level of improvements and redevelopments on existing properties and the level of common shares that the Trust can repurchase.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15" w:name="page16"/>
    <w:bookmarkEnd w:id="15"/>
    <w:p>
      <w:pPr>
        <w:ind w:right="2719" w:firstLine="469"/>
        <w:spacing w:after="0" w:line="238" w:lineRule="auto"/>
        <w:rPr>
          <w:sz w:val="20"/>
          <w:szCs w:val="20"/>
          <w:color w:val="auto"/>
        </w:rPr>
      </w:pPr>
      <w:r>
        <w:rPr>
          <w:rFonts w:ascii="Courier New" w:cs="Courier New" w:eastAsia="Courier New" w:hAnsi="Courier New"/>
          <w:sz w:val="16"/>
          <w:szCs w:val="16"/>
          <w:color w:val="auto"/>
        </w:rPr>
        <w:t>The Trust will need additional capital in order to fund these acquisitions, expansions, developments, refinancings and its share repurchase program. Sources of this funding may be additional debt, both secured and unsecured; additional equity; proceeds from the sale of properties; and joint venture relationships. The Trust has obtained a construction loan commitment for up to $24.5 million in connection with the Trust's Woodmont East development in Bethesda, Maryland. There have been no draws to date under this construction loan. The timing and choice of capital sources will depend on the cost and availability of that capital, among other things. The Trust believes, based on past experience, that access to the capital needed to execute its business plan will be available to it.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Pursuant to the provisions of the partnership agreement, in the event of the exercise of put options by another partner, the Trust would be required to purchase a 37.5% interest of Congressional Plaza at its then fair market value. Based on management's current estimate of fair market value, the Trust's estimated liability upon exercise of the put option is approximately $27 million.</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Under the terms of certain other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In certain of the partnerships, if the limited partners do not redeem their interest, the Trust may choose to purchase the limited partnership interests upon the same terms.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Under the terms of other partnerships, the partners may exchange their 1,004,589 operating units into cash or the same number of common shares of the Trust, at the option of the Trust.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1999 the Trust focused on ways to minimize the risk of disruption from the "Year 2000 Issue" which generally refers to the inability of systems hardware and software to correctly identify two-digit references to specific calendar years, beginning with 2000. The Year 2000 Issue could have effected the Trust directly by impairing its internal data-based operations or processing and indirectly by impairing its suppliers and tenants data-based operations or processing. The Trust identified all accounting systems and other internal systems of high priority. In addition the Trust requested information concerning and reviewed the equipment at its properties, including the use of embedded chips in machinery. The Trust also communicated with its major banks, tenants and suppliers to determine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16" w:name="page17"/>
    <w:bookmarkEnd w:id="16"/>
    <w:p>
      <w:pPr>
        <w:ind w:right="2719"/>
        <w:spacing w:after="0" w:line="237" w:lineRule="auto"/>
        <w:rPr>
          <w:sz w:val="20"/>
          <w:szCs w:val="20"/>
          <w:color w:val="auto"/>
        </w:rPr>
      </w:pPr>
      <w:r>
        <w:rPr>
          <w:rFonts w:ascii="Courier New" w:cs="Courier New" w:eastAsia="Courier New" w:hAnsi="Courier New"/>
          <w:sz w:val="16"/>
          <w:szCs w:val="16"/>
          <w:color w:val="auto"/>
        </w:rPr>
        <w:t>their Year 2000 compliance. To date the operations and financial condition of the Trust had not been impacted by any Year 2000 failures and the Trust does not believe that there is any material risk to the Trust in these areas in the future.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 THREE MONTHS ENDED MARCH 31, 2000 AND 1999</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As of January 1, 2000 the National Association of Real Estate Investment Trusts ("NAREIT") defines funds from operations as follows: income available for common shareholders before depreciation and amortization of real estate assets and before extraordinary items less gains on sale of real estate. Prior to January 1, 2000 funds from operations also excluded significant nonrecurring events.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91"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 reconciliation of net income to funds from operations for the three months ended March 31 is as follows: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r>
      <w:tr>
        <w:trPr>
          <w:trHeight w:val="180"/>
        </w:trPr>
        <w:tc>
          <w:tcPr>
            <w:tcW w:w="35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3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60" w:type="dxa"/>
            <w:vAlign w:val="bottom"/>
          </w:tcPr>
          <w:p>
            <w:pPr>
              <w:jc w:val="right"/>
              <w:ind w:right="562"/>
              <w:spacing w:after="0"/>
              <w:rPr>
                <w:sz w:val="20"/>
                <w:szCs w:val="20"/>
                <w:color w:val="auto"/>
              </w:rPr>
            </w:pPr>
            <w:r>
              <w:rPr>
                <w:rFonts w:ascii="Courier New" w:cs="Courier New" w:eastAsia="Courier New" w:hAnsi="Courier New"/>
                <w:sz w:val="16"/>
                <w:szCs w:val="16"/>
                <w:color w:val="auto"/>
                <w:w w:val="96"/>
              </w:rPr>
              <w:t>(in thousands)</w:t>
            </w:r>
          </w:p>
        </w:tc>
      </w:tr>
      <w:tr>
        <w:trPr>
          <w:trHeight w:val="541"/>
        </w:trPr>
        <w:tc>
          <w:tcPr>
            <w:tcW w:w="356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shareholders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$12,151</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$11,566</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of real estate assets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11,487</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11,128</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Amortization of initial direct</w:t>
            </w:r>
          </w:p>
        </w:tc>
        <w:tc>
          <w:tcPr>
            <w:tcW w:w="12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costs of leases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830</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718</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Income attributable to operating</w:t>
            </w:r>
          </w:p>
        </w:tc>
        <w:tc>
          <w:tcPr>
            <w:tcW w:w="12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partnership units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613</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r>
      <w:tr>
        <w:trPr>
          <w:trHeight w:val="180"/>
        </w:trPr>
        <w:tc>
          <w:tcPr>
            <w:tcW w:w="3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Funds from operations for common</w:t>
            </w:r>
          </w:p>
        </w:tc>
        <w:tc>
          <w:tcPr>
            <w:tcW w:w="12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3560" w:type="dxa"/>
            <w:vAlign w:val="bottom"/>
          </w:tcPr>
          <w:p>
            <w:pPr>
              <w:ind w:left="100"/>
              <w:spacing w:after="0"/>
              <w:rPr>
                <w:sz w:val="20"/>
                <w:szCs w:val="20"/>
                <w:color w:val="auto"/>
              </w:rPr>
            </w:pPr>
            <w:r>
              <w:rPr>
                <w:rFonts w:ascii="Courier New" w:cs="Courier New" w:eastAsia="Courier New" w:hAnsi="Courier New"/>
                <w:sz w:val="16"/>
                <w:szCs w:val="16"/>
                <w:color w:val="auto"/>
              </w:rPr>
              <w:t>shareholders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$25,081</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$23,676</w:t>
            </w:r>
          </w:p>
        </w:tc>
      </w:tr>
      <w:tr>
        <w:trPr>
          <w:trHeight w:val="180"/>
        </w:trPr>
        <w:tc>
          <w:tcPr>
            <w:tcW w:w="35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Results</w:t>
      </w: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Rental income, which consists of minimum rent, percentage rent and cost</w:t>
      </w:r>
    </w:p>
    <w:p>
      <w:pPr>
        <w:spacing w:after="0"/>
        <w:rPr>
          <w:sz w:val="20"/>
          <w:szCs w:val="20"/>
          <w:color w:val="auto"/>
        </w:rPr>
      </w:pPr>
      <w:r>
        <w:rPr>
          <w:rFonts w:ascii="Courier New" w:cs="Courier New" w:eastAsia="Courier New" w:hAnsi="Courier New"/>
          <w:sz w:val="16"/>
          <w:szCs w:val="16"/>
          <w:color w:val="auto"/>
        </w:rPr>
        <w:t>recoveries, increased 8% from $59.4 million in the first quarter of 1999 to</w:t>
      </w:r>
    </w:p>
    <w:p>
      <w:pPr>
        <w:spacing w:after="0"/>
        <w:tabs>
          <w:tab w:leader="none" w:pos="4200" w:val="left"/>
        </w:tabs>
        <w:rPr>
          <w:sz w:val="20"/>
          <w:szCs w:val="20"/>
          <w:color w:val="auto"/>
        </w:rPr>
      </w:pPr>
      <w:r>
        <w:rPr>
          <w:rFonts w:ascii="Courier New" w:cs="Courier New" w:eastAsia="Courier New" w:hAnsi="Courier New"/>
          <w:sz w:val="16"/>
          <w:szCs w:val="16"/>
          <w:color w:val="auto"/>
        </w:rPr>
        <w:t>$64.2 million in the first quarter of 2000.</w:t>
      </w:r>
      <w:r>
        <w:rPr>
          <w:sz w:val="20"/>
          <w:szCs w:val="20"/>
          <w:color w:val="auto"/>
        </w:rPr>
        <w:tab/>
      </w:r>
      <w:r>
        <w:rPr>
          <w:rFonts w:ascii="Courier New" w:cs="Courier New" w:eastAsia="Courier New" w:hAnsi="Courier New"/>
          <w:sz w:val="15"/>
          <w:szCs w:val="15"/>
          <w:color w:val="auto"/>
        </w:rPr>
        <w:t>If properties acquired, sold and</w:t>
      </w:r>
    </w:p>
    <w:p>
      <w:pPr>
        <w:spacing w:after="0"/>
        <w:rPr>
          <w:sz w:val="20"/>
          <w:szCs w:val="20"/>
          <w:color w:val="auto"/>
        </w:rPr>
      </w:pPr>
      <w:r>
        <w:rPr>
          <w:rFonts w:ascii="Courier New" w:cs="Courier New" w:eastAsia="Courier New" w:hAnsi="Courier New"/>
          <w:sz w:val="16"/>
          <w:szCs w:val="16"/>
          <w:color w:val="auto"/>
        </w:rPr>
        <w:t>developed in 2000 and 1999 are excluded, rental income increased 7%, due</w:t>
      </w:r>
    </w:p>
    <w:p>
      <w:pPr>
        <w:spacing w:after="0" w:line="238" w:lineRule="auto"/>
        <w:rPr>
          <w:sz w:val="20"/>
          <w:szCs w:val="20"/>
          <w:color w:val="auto"/>
        </w:rPr>
      </w:pPr>
      <w:r>
        <w:rPr>
          <w:rFonts w:ascii="Courier New" w:cs="Courier New" w:eastAsia="Courier New" w:hAnsi="Courier New"/>
          <w:sz w:val="16"/>
          <w:szCs w:val="16"/>
          <w:color w:val="auto"/>
        </w:rPr>
        <w:t>primarily to the favorable impact of redeveloped and retenanted centers.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17" w:name="page18"/>
    <w:bookmarkEnd w:id="17"/>
    <w:p>
      <w:pPr>
        <w:ind w:right="2819" w:firstLine="469"/>
        <w:spacing w:after="0" w:line="237" w:lineRule="auto"/>
        <w:rPr>
          <w:sz w:val="20"/>
          <w:szCs w:val="20"/>
          <w:color w:val="auto"/>
        </w:rPr>
      </w:pPr>
      <w:r>
        <w:rPr>
          <w:rFonts w:ascii="Courier New" w:cs="Courier New" w:eastAsia="Courier New" w:hAnsi="Courier New"/>
          <w:sz w:val="16"/>
          <w:szCs w:val="16"/>
          <w:color w:val="auto"/>
        </w:rPr>
        <w:t>Other property income includes items such as utility reimbursements, telephone income, merchant association dues, late fees and temporary tenant income. Other property income increased 22% from $2.3 million in 1999 to $2.8 million in 2000 due primarily to an increase in lease termination fees and temporary tenant income, an area identified by the Trust as one with additional growth opportunity.</w:t>
      </w:r>
    </w:p>
    <w:p>
      <w:pPr>
        <w:spacing w:after="0" w:line="18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Rental expenses increased 7% from $13.6 million in the first quarter of 1999 to $14.6 million in the first quarter of 2000. If rental expenses are adjusted for properties acquired, sold and developed in 2000 and 1999, rental expenses increased 6% from $13.3 million in 1999 to $14.1 million in 2000, primarily due to increased snow removal costs in 2000.</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Real estate taxes increased 7% from $6.0 million in the first quarter of</w:t>
      </w:r>
    </w:p>
    <w:p>
      <w:pPr>
        <w:spacing w:after="0" w:line="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1999 to $6.5 million in the first quarter of 2000. If real estate taxes are adjusted for properties acquired, sold and developed in 2000 and 1999, real estate taxes increased 8% due primarily to increased taxes on recently redeveloped properties.</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Depreciation and amortization expenses increased 3% from $12.3 million in the first quarter of 1999 to $12.7 million in the first quarter of 2000. If depreciation and amortization are adjusted for properties acquired, sold and developed in 2000 and 1999, depreciation and amortization also increased 3% reflecting the impact of recent tenant work and property improvements.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During the first quarter of 2000 the Trust incurred interest expense of</w:t>
      </w:r>
    </w:p>
    <w:p>
      <w:pPr>
        <w:spacing w:after="0"/>
        <w:rPr>
          <w:sz w:val="20"/>
          <w:szCs w:val="20"/>
          <w:color w:val="auto"/>
        </w:rPr>
      </w:pPr>
      <w:r>
        <w:rPr>
          <w:rFonts w:ascii="Courier New" w:cs="Courier New" w:eastAsia="Courier New" w:hAnsi="Courier New"/>
          <w:sz w:val="16"/>
          <w:szCs w:val="16"/>
          <w:color w:val="auto"/>
        </w:rPr>
        <w:t>$18.7 million, of which $2.2 million was capitalized, as compared to 1999's</w:t>
      </w:r>
    </w:p>
    <w:p>
      <w:pPr>
        <w:spacing w:after="0" w:line="237" w:lineRule="auto"/>
        <w:rPr>
          <w:sz w:val="20"/>
          <w:szCs w:val="20"/>
          <w:color w:val="auto"/>
        </w:rPr>
      </w:pPr>
      <w:r>
        <w:rPr>
          <w:rFonts w:ascii="Courier New" w:cs="Courier New" w:eastAsia="Courier New" w:hAnsi="Courier New"/>
          <w:sz w:val="16"/>
          <w:szCs w:val="16"/>
          <w:color w:val="auto"/>
        </w:rPr>
        <w:t>$16.3 million of which $1.2 million was capitalized. The increase in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reflects the additional debt issued to fund the Trust's share repurchase</w:t>
      </w:r>
    </w:p>
    <w:p>
      <w:pPr>
        <w:spacing w:after="0" w:line="5"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6"/>
          <w:szCs w:val="16"/>
          <w:color w:val="auto"/>
        </w:rPr>
        <w:t>and capital improvement programs.</w:t>
      </w:r>
      <w:r>
        <w:rPr>
          <w:sz w:val="20"/>
          <w:szCs w:val="20"/>
          <w:color w:val="auto"/>
        </w:rPr>
        <w:tab/>
      </w:r>
      <w:r>
        <w:rPr>
          <w:rFonts w:ascii="Courier New" w:cs="Courier New" w:eastAsia="Courier New" w:hAnsi="Courier New"/>
          <w:sz w:val="15"/>
          <w:szCs w:val="15"/>
          <w:color w:val="auto"/>
        </w:rPr>
        <w:t>The ratio of earnings to combined fixed</w:t>
      </w:r>
    </w:p>
    <w:p>
      <w:pPr>
        <w:spacing w:after="0"/>
        <w:rPr>
          <w:sz w:val="20"/>
          <w:szCs w:val="20"/>
          <w:color w:val="auto"/>
        </w:rPr>
      </w:pPr>
      <w:r>
        <w:rPr>
          <w:rFonts w:ascii="Courier New" w:cs="Courier New" w:eastAsia="Courier New" w:hAnsi="Courier New"/>
          <w:sz w:val="16"/>
          <w:szCs w:val="16"/>
          <w:color w:val="auto"/>
        </w:rPr>
        <w:t>charges and preferred dividends was 1.43x and 1.53x for the first quarter of</w:t>
      </w:r>
    </w:p>
    <w:p>
      <w:pPr>
        <w:spacing w:after="0"/>
        <w:tabs>
          <w:tab w:leader="none" w:pos="2800" w:val="left"/>
        </w:tabs>
        <w:rPr>
          <w:sz w:val="20"/>
          <w:szCs w:val="20"/>
          <w:color w:val="auto"/>
        </w:rPr>
      </w:pPr>
      <w:r>
        <w:rPr>
          <w:rFonts w:ascii="Courier New" w:cs="Courier New" w:eastAsia="Courier New" w:hAnsi="Courier New"/>
          <w:sz w:val="16"/>
          <w:szCs w:val="16"/>
          <w:color w:val="auto"/>
        </w:rPr>
        <w:t>2000 and 1999, respectively.</w:t>
      </w:r>
      <w:r>
        <w:rPr>
          <w:sz w:val="20"/>
          <w:szCs w:val="20"/>
          <w:color w:val="auto"/>
        </w:rPr>
        <w:tab/>
      </w:r>
      <w:r>
        <w:rPr>
          <w:rFonts w:ascii="Courier New" w:cs="Courier New" w:eastAsia="Courier New" w:hAnsi="Courier New"/>
          <w:sz w:val="15"/>
          <w:szCs w:val="15"/>
          <w:color w:val="auto"/>
        </w:rPr>
        <w:t>The ratio of earnings to fixed charges was 1.56x</w:t>
      </w:r>
    </w:p>
    <w:p>
      <w:pPr>
        <w:spacing w:after="0"/>
        <w:tabs>
          <w:tab w:leader="none" w:pos="6260" w:val="left"/>
        </w:tabs>
        <w:rPr>
          <w:sz w:val="20"/>
          <w:szCs w:val="20"/>
          <w:color w:val="auto"/>
        </w:rPr>
      </w:pPr>
      <w:r>
        <w:rPr>
          <w:rFonts w:ascii="Courier New" w:cs="Courier New" w:eastAsia="Courier New" w:hAnsi="Courier New"/>
          <w:sz w:val="16"/>
          <w:szCs w:val="16"/>
          <w:color w:val="auto"/>
        </w:rPr>
        <w:t>and 1.7x during the first quarter of 2000 and 1999, respectively.</w:t>
      </w:r>
      <w:r>
        <w:rPr>
          <w:sz w:val="20"/>
          <w:szCs w:val="20"/>
          <w:color w:val="auto"/>
        </w:rPr>
        <w:tab/>
      </w:r>
      <w:r>
        <w:rPr>
          <w:rFonts w:ascii="Courier New" w:cs="Courier New" w:eastAsia="Courier New" w:hAnsi="Courier New"/>
          <w:sz w:val="15"/>
          <w:szCs w:val="15"/>
          <w:color w:val="auto"/>
        </w:rPr>
        <w:t>The ratio of</w:t>
      </w:r>
    </w:p>
    <w:p>
      <w:pPr>
        <w:spacing w:after="0"/>
        <w:tabs>
          <w:tab w:leader="none" w:pos="6820" w:val="left"/>
        </w:tabs>
        <w:rPr>
          <w:sz w:val="20"/>
          <w:szCs w:val="20"/>
          <w:color w:val="auto"/>
        </w:rPr>
      </w:pPr>
      <w:r>
        <w:rPr>
          <w:rFonts w:ascii="Courier New" w:cs="Courier New" w:eastAsia="Courier New" w:hAnsi="Courier New"/>
          <w:sz w:val="16"/>
          <w:szCs w:val="16"/>
          <w:color w:val="auto"/>
        </w:rPr>
        <w:t>funds from operations to combined fixed charges and preferred dividends</w:t>
      </w:r>
      <w:r>
        <w:rPr>
          <w:sz w:val="20"/>
          <w:szCs w:val="20"/>
          <w:color w:val="auto"/>
        </w:rPr>
        <w:tab/>
      </w:r>
      <w:r>
        <w:rPr>
          <w:rFonts w:ascii="Courier New" w:cs="Courier New" w:eastAsia="Courier New" w:hAnsi="Courier New"/>
          <w:sz w:val="15"/>
          <w:szCs w:val="15"/>
          <w:color w:val="auto"/>
        </w:rPr>
        <w:t>was</w:t>
      </w:r>
    </w:p>
    <w:p>
      <w:pPr>
        <w:spacing w:after="0"/>
        <w:rPr>
          <w:sz w:val="20"/>
          <w:szCs w:val="20"/>
          <w:color w:val="auto"/>
        </w:rPr>
      </w:pPr>
      <w:r>
        <w:rPr>
          <w:rFonts w:ascii="Courier New" w:cs="Courier New" w:eastAsia="Courier New" w:hAnsi="Courier New"/>
          <w:sz w:val="16"/>
          <w:szCs w:val="16"/>
          <w:color w:val="auto"/>
        </w:rPr>
        <w:t>1.9x for the first quarter of 2000 and 2.0x for the first quarter of 1999.</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Administrative expenses increased from $2.3 million, or 3.5% of revenue in the first quarter of 1999 to $2.9 million, or 4.2% of revenue in the first quarter of 2000 primarily due to increased personnel costs. The tight labor market in the Trust's operating regions resulted in higher salaries both to existing and new employees.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a result of the foregoing items, net income increased from</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18" w:name="page19"/>
    <w:bookmarkEnd w:id="18"/>
    <w:p>
      <w:pPr>
        <w:ind w:right="2719"/>
        <w:spacing w:after="0" w:line="237" w:lineRule="auto"/>
        <w:rPr>
          <w:sz w:val="20"/>
          <w:szCs w:val="20"/>
          <w:color w:val="auto"/>
        </w:rPr>
      </w:pPr>
      <w:r>
        <w:rPr>
          <w:rFonts w:ascii="Courier New" w:cs="Courier New" w:eastAsia="Courier New" w:hAnsi="Courier New"/>
          <w:sz w:val="16"/>
          <w:szCs w:val="16"/>
          <w:color w:val="auto"/>
        </w:rPr>
        <w:t>$13.6 million during the first quarter of 1999 to $14.1 million during the first quarter of 2000 and net income available for common shareholders increased from $11.6 million to $12.2 million.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While the Trust expects growth in net income and funds from operations during the remainder of 2000, the growth rate will be less than in 1999. Growth in 1999 was fueled by contributions from 1998 acquisitions, by higher leverage combined with low interest rates, by savings from the 1998 restructuring and by growth from the core portfolio. There are no significant income producing acquisitions in 1999 to fuel 2000 growth; there will be no significant contribution in 2000 from the Trust's development projects and the savings from the 1998 restructuring have already been realized. Consequently, the growth in 2000 is primarily dependent on contributions from the core portfolio. Growth of net income from the core portfolio is, in part, dependent on controlling expenses, some of which are beyond the complete control of the Trust, such as snow removal and trends in the retailing environment, such as the evolution of the Internet and demand for retail space. The Trust currently expects that demand for its retail space should remain at levels similar to those in 1999.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w:t>
      </w:r>
    </w:p>
    <w:p>
      <w:pPr>
        <w:spacing w:after="0" w:line="358"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Growth in net income is also dependent on the amount of leverage and interest rates. The Trust is currently exploring various options for financing its development pipeline and other capital needs. This recapitalization will result in interest rates higher than the Trust's current rates. In addition, the Trust will continue to have exposure to changes in market interest rates. As interest rates increase, net income and funds from operations, as well as the ultimate cost of the Trust's development projects will be negatively impacted due to the variable interest rates on the Trust's revolving credit facilities.</w:t>
      </w:r>
    </w:p>
    <w:p>
      <w:pPr>
        <w:spacing w:after="0" w:line="1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Segment Results</w:t>
      </w:r>
    </w:p>
    <w:p>
      <w:pPr>
        <w:spacing w:after="0"/>
        <w:rPr>
          <w:sz w:val="20"/>
          <w:szCs w:val="20"/>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The Trust operates its portfolio of properties in three geographic operating regions: Northeast, Mid-Atlantic and West.</w:t>
      </w:r>
    </w:p>
    <w:p>
      <w:pPr>
        <w:spacing w:after="0" w:line="185"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6"/>
          <w:szCs w:val="16"/>
          <w:color w:val="auto"/>
        </w:rPr>
        <w:t>Historical operating results for the three regions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For the three months ended March 31,</w:t>
      </w:r>
    </w:p>
    <w:p>
      <w:pPr>
        <w:ind w:left="4500"/>
        <w:spacing w:after="0"/>
        <w:tabs>
          <w:tab w:leader="none" w:pos="598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Rental income</w:t>
            </w:r>
          </w:p>
        </w:tc>
        <w:tc>
          <w:tcPr>
            <w:tcW w:w="2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Northeast</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$27,286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$24,858</w:t>
            </w:r>
          </w:p>
        </w:tc>
      </w:tr>
      <w:tr>
        <w:trPr>
          <w:trHeight w:val="180"/>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Mid-Atlantic</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28,122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27,462</w:t>
            </w:r>
          </w:p>
        </w:tc>
      </w:tr>
      <w:tr>
        <w:trPr>
          <w:trHeight w:val="180"/>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West</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8,824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7,113</w:t>
            </w:r>
          </w:p>
        </w:tc>
      </w:tr>
      <w:tr>
        <w:trPr>
          <w:trHeight w:val="180"/>
        </w:trPr>
        <w:tc>
          <w:tcPr>
            <w:tcW w:w="2900" w:type="dxa"/>
            <w:vAlign w:val="bottom"/>
          </w:tcPr>
          <w:p>
            <w:pPr>
              <w:spacing w:after="0"/>
              <w:rPr>
                <w:sz w:val="15"/>
                <w:szCs w:val="15"/>
                <w:color w:val="auto"/>
              </w:rPr>
            </w:pP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900" w:type="dxa"/>
            <w:vAlign w:val="bottom"/>
          </w:tcPr>
          <w:p>
            <w:pPr>
              <w:ind w:left="940"/>
              <w:spacing w:after="0"/>
              <w:rPr>
                <w:sz w:val="20"/>
                <w:szCs w:val="20"/>
                <w:color w:val="auto"/>
              </w:rPr>
            </w:pPr>
            <w:r>
              <w:rPr>
                <w:rFonts w:ascii="Courier New" w:cs="Courier New" w:eastAsia="Courier New" w:hAnsi="Courier New"/>
                <w:sz w:val="16"/>
                <w:szCs w:val="16"/>
                <w:color w:val="auto"/>
              </w:rPr>
              <w:t>Total</w:t>
            </w: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$64,232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$59,433</w:t>
            </w:r>
          </w:p>
        </w:tc>
      </w:tr>
      <w:tr>
        <w:trPr>
          <w:trHeight w:val="180"/>
        </w:trPr>
        <w:tc>
          <w:tcPr>
            <w:tcW w:w="2900" w:type="dxa"/>
            <w:vAlign w:val="bottom"/>
          </w:tcPr>
          <w:p>
            <w:pPr>
              <w:spacing w:after="0"/>
              <w:rPr>
                <w:sz w:val="15"/>
                <w:szCs w:val="15"/>
                <w:color w:val="auto"/>
              </w:rPr>
            </w:pPr>
          </w:p>
        </w:tc>
        <w:tc>
          <w:tcPr>
            <w:tcW w:w="2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For the three months ended March 31,</w:t>
      </w:r>
    </w:p>
    <w:p>
      <w:pPr>
        <w:ind w:left="4680"/>
        <w:spacing w:after="0"/>
        <w:tabs>
          <w:tab w:leader="none" w:pos="626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spacing w:after="0"/>
              <w:rPr>
                <w:sz w:val="20"/>
                <w:szCs w:val="20"/>
                <w:color w:val="auto"/>
              </w:rPr>
            </w:pPr>
            <w:r>
              <w:rPr>
                <w:rFonts w:ascii="Courier New" w:cs="Courier New" w:eastAsia="Courier New" w:hAnsi="Courier New"/>
                <w:sz w:val="16"/>
                <w:szCs w:val="16"/>
                <w:color w:val="auto"/>
              </w:rPr>
              <w:t>Net operating income</w:t>
            </w:r>
          </w:p>
        </w:tc>
        <w:tc>
          <w:tcPr>
            <w:tcW w:w="25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3140" w:type="dxa"/>
            <w:vAlign w:val="bottom"/>
          </w:tcPr>
          <w:p>
            <w:pPr>
              <w:ind w:left="460"/>
              <w:spacing w:after="0"/>
              <w:rPr>
                <w:sz w:val="20"/>
                <w:szCs w:val="20"/>
                <w:color w:val="auto"/>
              </w:rPr>
            </w:pPr>
            <w:r>
              <w:rPr>
                <w:rFonts w:ascii="Courier New" w:cs="Courier New" w:eastAsia="Courier New" w:hAnsi="Courier New"/>
                <w:sz w:val="16"/>
                <w:szCs w:val="16"/>
                <w:color w:val="auto"/>
              </w:rPr>
              <w:t>Northeast</w:t>
            </w:r>
          </w:p>
        </w:tc>
        <w:tc>
          <w:tcPr>
            <w:tcW w:w="2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$18,471</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$17,127</w:t>
            </w:r>
          </w:p>
        </w:tc>
      </w:tr>
      <w:tr>
        <w:trPr>
          <w:trHeight w:val="180"/>
        </w:trPr>
        <w:tc>
          <w:tcPr>
            <w:tcW w:w="3140" w:type="dxa"/>
            <w:vAlign w:val="bottom"/>
          </w:tcPr>
          <w:p>
            <w:pPr>
              <w:ind w:left="460"/>
              <w:spacing w:after="0"/>
              <w:rPr>
                <w:sz w:val="20"/>
                <w:szCs w:val="20"/>
                <w:color w:val="auto"/>
              </w:rPr>
            </w:pPr>
            <w:r>
              <w:rPr>
                <w:rFonts w:ascii="Courier New" w:cs="Courier New" w:eastAsia="Courier New" w:hAnsi="Courier New"/>
                <w:sz w:val="16"/>
                <w:szCs w:val="16"/>
                <w:color w:val="auto"/>
              </w:rPr>
              <w:t>Mid-Atlantic</w:t>
            </w:r>
          </w:p>
        </w:tc>
        <w:tc>
          <w:tcPr>
            <w:tcW w:w="2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20,665</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20,170</w:t>
            </w:r>
          </w:p>
        </w:tc>
      </w:tr>
      <w:tr>
        <w:trPr>
          <w:trHeight w:val="180"/>
        </w:trPr>
        <w:tc>
          <w:tcPr>
            <w:tcW w:w="3140" w:type="dxa"/>
            <w:vAlign w:val="bottom"/>
          </w:tcPr>
          <w:p>
            <w:pPr>
              <w:ind w:left="460"/>
              <w:spacing w:after="0"/>
              <w:rPr>
                <w:sz w:val="20"/>
                <w:szCs w:val="20"/>
                <w:color w:val="auto"/>
              </w:rPr>
            </w:pPr>
            <w:r>
              <w:rPr>
                <w:rFonts w:ascii="Courier New" w:cs="Courier New" w:eastAsia="Courier New" w:hAnsi="Courier New"/>
                <w:sz w:val="16"/>
                <w:szCs w:val="16"/>
                <w:color w:val="auto"/>
              </w:rPr>
              <w:t>West</w:t>
            </w:r>
          </w:p>
        </w:tc>
        <w:tc>
          <w:tcPr>
            <w:tcW w:w="2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6,784</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4,748</w:t>
            </w:r>
          </w:p>
        </w:tc>
      </w:tr>
      <w:tr>
        <w:trPr>
          <w:trHeight w:val="180"/>
        </w:trPr>
        <w:tc>
          <w:tcPr>
            <w:tcW w:w="3140" w:type="dxa"/>
            <w:vAlign w:val="bottom"/>
          </w:tcPr>
          <w:p>
            <w:pPr>
              <w:spacing w:after="0"/>
              <w:rPr>
                <w:sz w:val="15"/>
                <w:szCs w:val="15"/>
                <w:color w:val="auto"/>
              </w:rPr>
            </w:pPr>
          </w:p>
        </w:tc>
        <w:tc>
          <w:tcPr>
            <w:tcW w:w="2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140" w:type="dxa"/>
            <w:vAlign w:val="bottom"/>
          </w:tcPr>
          <w:p>
            <w:pPr>
              <w:spacing w:after="0"/>
              <w:rPr>
                <w:sz w:val="15"/>
                <w:szCs w:val="15"/>
                <w:color w:val="auto"/>
              </w:rPr>
            </w:pPr>
          </w:p>
        </w:tc>
        <w:tc>
          <w:tcPr>
            <w:tcW w:w="2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$45,920</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$42,045</w:t>
            </w:r>
          </w:p>
        </w:tc>
      </w:tr>
      <w:tr>
        <w:trPr>
          <w:trHeight w:val="180"/>
        </w:trPr>
        <w:tc>
          <w:tcPr>
            <w:tcW w:w="3140" w:type="dxa"/>
            <w:vAlign w:val="bottom"/>
          </w:tcPr>
          <w:p>
            <w:pPr>
              <w:spacing w:after="0"/>
              <w:rPr>
                <w:sz w:val="15"/>
                <w:szCs w:val="15"/>
                <w:color w:val="auto"/>
              </w:rPr>
            </w:pPr>
          </w:p>
        </w:tc>
        <w:tc>
          <w:tcPr>
            <w:tcW w:w="25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541"/>
        </w:trPr>
        <w:tc>
          <w:tcPr>
            <w:tcW w:w="3140" w:type="dxa"/>
            <w:vAlign w:val="bottom"/>
          </w:tcPr>
          <w:p>
            <w:pPr>
              <w:spacing w:after="0"/>
              <w:rPr>
                <w:sz w:val="20"/>
                <w:szCs w:val="20"/>
                <w:color w:val="auto"/>
              </w:rPr>
            </w:pPr>
            <w:r>
              <w:rPr>
                <w:rFonts w:ascii="Courier New" w:cs="Courier New" w:eastAsia="Courier New" w:hAnsi="Courier New"/>
                <w:sz w:val="16"/>
                <w:szCs w:val="16"/>
                <w:color w:val="auto"/>
              </w:rPr>
              <w:t>The Northeast</w:t>
            </w:r>
          </w:p>
        </w:tc>
        <w:tc>
          <w:tcPr>
            <w:tcW w:w="2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0"/>
        </w:trPr>
        <w:tc>
          <w:tcPr>
            <w:tcW w:w="3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61"/>
        </w:trPr>
        <w:tc>
          <w:tcPr>
            <w:tcW w:w="57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The Northeast region is comprised of fifty-four assets,</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extending from</w:t>
            </w:r>
          </w:p>
        </w:tc>
      </w:tr>
    </w:tbl>
    <w:p>
      <w:pPr>
        <w:spacing w:after="0" w:line="4"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suburban Philadelphia north through New York and its suburbs into New England and west to Illinois and Michigan.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When comparing the first quarter of 2000 with 1999, rental income increased 10% from $24.9 million in 1999 to $27.3 million in 2000, primarily due to increases at recently redeveloped and retenanted shopping centers, such as Bala Cynwyd, Lawrence Park, Gratiot, Feasterville, and Wynnewood.</w:t>
      </w:r>
    </w:p>
    <w:p>
      <w:pPr>
        <w:spacing w:after="0" w:line="186"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Net operating income increased 8% from $17.1 million in 1999 to $18.5 million in 2000, primarily due to increases at the recently redeveloped and retenanted shopping centers.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Mid-Atlantic</w:t>
      </w:r>
    </w:p>
    <w:p>
      <w:pPr>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Mid-Atlantic region is comprised of thirty-one assets, located from Baltimore south to metropolitan Washington, D.C. and further south through Virginia, North Carolina, and Florida.</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4" w:right="1440" w:bottom="1440" w:gutter="0" w:footer="0" w:header="0"/>
        </w:sectPr>
      </w:pPr>
    </w:p>
    <w:bookmarkStart w:id="20" w:name="page21"/>
    <w:bookmarkEnd w:id="20"/>
    <w:p>
      <w:pPr>
        <w:ind w:right="2719" w:firstLine="469"/>
        <w:spacing w:after="0" w:line="256" w:lineRule="auto"/>
        <w:rPr>
          <w:sz w:val="20"/>
          <w:szCs w:val="20"/>
          <w:color w:val="auto"/>
        </w:rPr>
      </w:pPr>
      <w:r>
        <w:rPr>
          <w:rFonts w:ascii="Courier New" w:cs="Courier New" w:eastAsia="Courier New" w:hAnsi="Courier New"/>
          <w:sz w:val="15"/>
          <w:szCs w:val="15"/>
          <w:color w:val="auto"/>
        </w:rPr>
        <w:t>When comparing the first quarter of 2000 with 1999, rental income increased 2% from $27.5 million in 1999 to $28.1 million in 2000. On a same center basis, excluding Northeast Plaza in Atlanta, GA which was sold in 1999 and the recently developed Phase 4 of the Bethesda Row project in Bethesda, Maryland, rental income increased 4%, due in part to new anchor leases at several centers.</w:t>
      </w:r>
    </w:p>
    <w:p>
      <w:pPr>
        <w:spacing w:after="0" w:line="176"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When comparing the first quarter of 2000 with 1999, net operating income increased 3% from $20.2 million in 1999 to $20.7 million in 2000. On the same center basis as above net operating income increased 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West</w:t>
      </w:r>
    </w:p>
    <w:p>
      <w:pPr>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Western region is comprised of forty assets, located from Texas to the West Coast.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When comparing the first quarter of 2000 with 1999, rental income increased 24% from $7.1 million in 1999 to $8.8 million in 2000. Excluding newly developed properties and properties acquired since January 1, 1999, rental income increased 11%, primarily due to increases from recently redeveloped and retenanted properties.</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When comparing the first quarter of 2000 with 1999, net operating income increased 43% from $4.7 million in 1999 to $6.8 million in 2000. Excluding newly developed properties and properties acquired since January 1, 1999, net operating income increased 28%, primarily due to increases from the recently redeveloped and retenanted properties.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20"/>
                <w:szCs w:val="20"/>
                <w:color w:val="auto"/>
              </w:rPr>
            </w:pPr>
            <w:r>
              <w:rPr>
                <w:rFonts w:ascii="Courier New" w:cs="Courier New" w:eastAsia="Courier New" w:hAnsi="Courier New"/>
                <w:sz w:val="16"/>
                <w:szCs w:val="16"/>
                <w:color w:val="auto"/>
              </w:rPr>
              <w:t>(A)  Exhibits</w:t>
            </w:r>
          </w:p>
        </w:tc>
        <w:tc>
          <w:tcPr>
            <w:tcW w:w="2900" w:type="dxa"/>
            <w:vAlign w:val="bottom"/>
          </w:tcPr>
          <w:p>
            <w:pPr>
              <w:ind w:left="2060"/>
              <w:spacing w:after="0"/>
              <w:rPr>
                <w:sz w:val="20"/>
                <w:szCs w:val="20"/>
                <w:color w:val="auto"/>
              </w:rPr>
            </w:pPr>
            <w:r>
              <w:rPr>
                <w:rFonts w:ascii="Courier New" w:cs="Courier New" w:eastAsia="Courier New" w:hAnsi="Courier New"/>
                <w:sz w:val="16"/>
                <w:szCs w:val="16"/>
                <w:color w:val="auto"/>
                <w:w w:val="94"/>
              </w:rPr>
              <w:t>pp. 22-26</w:t>
            </w:r>
          </w:p>
        </w:tc>
      </w:tr>
    </w:tbl>
    <w:p>
      <w:pPr>
        <w:spacing w:after="0" w:line="185" w:lineRule="exact"/>
        <w:rPr>
          <w:sz w:val="20"/>
          <w:szCs w:val="20"/>
          <w:color w:val="auto"/>
        </w:rPr>
      </w:pPr>
    </w:p>
    <w:p>
      <w:pPr>
        <w:ind w:left="1220" w:right="2719" w:hanging="749"/>
        <w:spacing w:after="0" w:line="237" w:lineRule="auto"/>
        <w:rPr>
          <w:sz w:val="20"/>
          <w:szCs w:val="20"/>
          <w:color w:val="auto"/>
        </w:rPr>
      </w:pPr>
      <w:r>
        <w:rPr>
          <w:rFonts w:ascii="Courier New" w:cs="Courier New" w:eastAsia="Courier New" w:hAnsi="Courier New"/>
          <w:sz w:val="16"/>
          <w:szCs w:val="16"/>
          <w:color w:val="auto"/>
        </w:rPr>
        <w:t>(10)(i) Form of Restricted Share Award Agreement between Federal Realty Investment Trust and certain of its officers dated February 9, 2000 as described in its 2000 Proxy Statement.</w:t>
      </w:r>
    </w:p>
    <w:p>
      <w:pPr>
        <w:spacing w:after="0" w:line="360" w:lineRule="exact"/>
        <w:rPr>
          <w:sz w:val="20"/>
          <w:szCs w:val="20"/>
          <w:color w:val="auto"/>
        </w:rPr>
      </w:pPr>
    </w:p>
    <w:p>
      <w:pPr>
        <w:ind w:left="460"/>
        <w:spacing w:after="0"/>
        <w:tabs>
          <w:tab w:leader="none" w:pos="5320" w:val="left"/>
        </w:tabs>
        <w:rPr>
          <w:sz w:val="20"/>
          <w:szCs w:val="20"/>
          <w:color w:val="auto"/>
        </w:rPr>
      </w:pPr>
      <w:r>
        <w:rPr>
          <w:rFonts w:ascii="Courier New" w:cs="Courier New" w:eastAsia="Courier New" w:hAnsi="Courier New"/>
          <w:sz w:val="16"/>
          <w:szCs w:val="16"/>
          <w:color w:val="auto"/>
        </w:rPr>
        <w:t>(27) Financial Data Schedules</w:t>
      </w:r>
      <w:r>
        <w:rPr>
          <w:sz w:val="20"/>
          <w:szCs w:val="20"/>
          <w:color w:val="auto"/>
        </w:rPr>
        <w:tab/>
      </w:r>
      <w:r>
        <w:rPr>
          <w:rFonts w:ascii="Courier New" w:cs="Courier New" w:eastAsia="Courier New" w:hAnsi="Courier New"/>
          <w:sz w:val="15"/>
          <w:szCs w:val="15"/>
          <w:color w:val="auto"/>
        </w:rPr>
        <w:t>Edgar filing only</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Reports on Form 8-K</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A Form 8-K, dated December 31, 1999, was filed on February 15, 2000 in response to Item 5.</w:t>
      </w:r>
    </w:p>
    <w:p>
      <w:pPr>
        <w:spacing w:after="0" w:line="200" w:lineRule="exact"/>
        <w:rPr>
          <w:sz w:val="20"/>
          <w:szCs w:val="20"/>
          <w:color w:val="auto"/>
        </w:rPr>
      </w:pPr>
    </w:p>
    <w:p>
      <w:pPr>
        <w:spacing w:after="0" w:line="34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w w:val="96"/>
              </w:rPr>
              <w:t>FEDERAL REALTY INVESTMENT TRUST</w:t>
            </w:r>
          </w:p>
        </w:tc>
      </w:tr>
      <w:tr>
        <w:trPr>
          <w:trHeight w:val="180"/>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2340" w:type="dxa"/>
            <w:vAlign w:val="bottom"/>
          </w:tcPr>
          <w:p>
            <w:pPr>
              <w:spacing w:after="0"/>
              <w:rPr>
                <w:sz w:val="15"/>
                <w:szCs w:val="15"/>
                <w:color w:val="auto"/>
              </w:rPr>
            </w:pPr>
          </w:p>
        </w:tc>
        <w:tc>
          <w:tcPr>
            <w:tcW w:w="4880" w:type="dxa"/>
            <w:vAlign w:val="bottom"/>
          </w:tcPr>
          <w:p>
            <w:pPr>
              <w:ind w:left="3760"/>
              <w:spacing w:after="0"/>
              <w:rPr>
                <w:sz w:val="20"/>
                <w:szCs w:val="20"/>
                <w:color w:val="auto"/>
              </w:rPr>
            </w:pPr>
            <w:r>
              <w:rPr>
                <w:rFonts w:ascii="Courier New" w:cs="Courier New" w:eastAsia="Courier New" w:hAnsi="Courier New"/>
                <w:sz w:val="16"/>
                <w:szCs w:val="16"/>
                <w:color w:val="auto"/>
                <w:w w:val="95"/>
              </w:rPr>
              <w:t>(Registrant)</w:t>
            </w:r>
          </w:p>
        </w:tc>
      </w:tr>
      <w:tr>
        <w:trPr>
          <w:trHeight w:val="721"/>
        </w:trPr>
        <w:tc>
          <w:tcPr>
            <w:tcW w:w="2340" w:type="dxa"/>
            <w:vAlign w:val="bottom"/>
          </w:tcPr>
          <w:p>
            <w:pPr>
              <w:spacing w:after="0"/>
              <w:rPr>
                <w:sz w:val="20"/>
                <w:szCs w:val="20"/>
                <w:color w:val="auto"/>
              </w:rPr>
            </w:pPr>
            <w:r>
              <w:rPr>
                <w:rFonts w:ascii="Courier New" w:cs="Courier New" w:eastAsia="Courier New" w:hAnsi="Courier New"/>
                <w:sz w:val="16"/>
                <w:szCs w:val="16"/>
                <w:color w:val="auto"/>
              </w:rPr>
              <w:t>May 4, 2000</w:t>
            </w: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rPr>
              <w:t>Steven J. Guttman</w:t>
            </w:r>
          </w:p>
        </w:tc>
      </w:tr>
      <w:tr>
        <w:trPr>
          <w:trHeight w:val="180"/>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rPr>
              <w:t>Steven J. Guttman, President</w:t>
            </w:r>
          </w:p>
        </w:tc>
      </w:tr>
      <w:tr>
        <w:trPr>
          <w:trHeight w:val="180"/>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rPr>
              <w:t>(Chief Executive Officer)</w:t>
            </w:r>
          </w:p>
        </w:tc>
      </w:tr>
      <w:tr>
        <w:trPr>
          <w:trHeight w:val="541"/>
        </w:trPr>
        <w:tc>
          <w:tcPr>
            <w:tcW w:w="2340" w:type="dxa"/>
            <w:vAlign w:val="bottom"/>
          </w:tcPr>
          <w:p>
            <w:pPr>
              <w:spacing w:after="0"/>
              <w:rPr>
                <w:sz w:val="20"/>
                <w:szCs w:val="20"/>
                <w:color w:val="auto"/>
              </w:rPr>
            </w:pPr>
            <w:r>
              <w:rPr>
                <w:rFonts w:ascii="Courier New" w:cs="Courier New" w:eastAsia="Courier New" w:hAnsi="Courier New"/>
                <w:sz w:val="16"/>
                <w:szCs w:val="16"/>
                <w:color w:val="auto"/>
              </w:rPr>
              <w:t>May 4, 2000</w:t>
            </w: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rPr>
              <w:t>Cecily A. Ward</w:t>
            </w:r>
          </w:p>
        </w:tc>
      </w:tr>
      <w:tr>
        <w:trPr>
          <w:trHeight w:val="180"/>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rPr>
              <w:t>--------------</w:t>
            </w:r>
          </w:p>
        </w:tc>
      </w:tr>
      <w:tr>
        <w:trPr>
          <w:trHeight w:val="180"/>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w w:val="96"/>
              </w:rPr>
              <w:t>Cecily A. Ward, Chief Financial</w:t>
            </w:r>
          </w:p>
        </w:tc>
      </w:tr>
      <w:tr>
        <w:trPr>
          <w:trHeight w:val="180"/>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rPr>
              <w:t>Officer</w:t>
            </w:r>
          </w:p>
        </w:tc>
      </w:tr>
      <w:tr>
        <w:trPr>
          <w:trHeight w:val="180"/>
        </w:trPr>
        <w:tc>
          <w:tcPr>
            <w:tcW w:w="2340" w:type="dxa"/>
            <w:vAlign w:val="bottom"/>
          </w:tcPr>
          <w:p>
            <w:pPr>
              <w:spacing w:after="0"/>
              <w:rPr>
                <w:sz w:val="15"/>
                <w:szCs w:val="15"/>
                <w:color w:val="auto"/>
              </w:rPr>
            </w:pPr>
          </w:p>
        </w:tc>
        <w:tc>
          <w:tcPr>
            <w:tcW w:w="4880" w:type="dxa"/>
            <w:vAlign w:val="bottom"/>
          </w:tcPr>
          <w:p>
            <w:pPr>
              <w:ind w:left="1980"/>
              <w:spacing w:after="0"/>
              <w:rPr>
                <w:sz w:val="20"/>
                <w:szCs w:val="20"/>
                <w:color w:val="auto"/>
              </w:rPr>
            </w:pPr>
            <w:r>
              <w:rPr>
                <w:rFonts w:ascii="Courier New" w:cs="Courier New" w:eastAsia="Courier New" w:hAnsi="Courier New"/>
                <w:sz w:val="16"/>
                <w:szCs w:val="16"/>
                <w:color w:val="auto"/>
                <w:w w:val="99"/>
              </w:rPr>
              <w:t>(Principal Accounting Officer)</w:t>
            </w:r>
          </w:p>
        </w:tc>
      </w:tr>
      <w:tr>
        <w:trPr>
          <w:trHeight w:val="361"/>
        </w:trPr>
        <w:tc>
          <w:tcPr>
            <w:tcW w:w="2340" w:type="dxa"/>
            <w:vAlign w:val="bottom"/>
          </w:tcPr>
          <w:p>
            <w:pPr>
              <w:spacing w:after="0"/>
              <w:rPr>
                <w:sz w:val="24"/>
                <w:szCs w:val="24"/>
                <w:color w:val="auto"/>
              </w:rPr>
            </w:pPr>
          </w:p>
        </w:tc>
        <w:tc>
          <w:tcPr>
            <w:tcW w:w="4880" w:type="dxa"/>
            <w:vAlign w:val="bottom"/>
          </w:tcPr>
          <w:p>
            <w:pPr>
              <w:ind w:left="1320"/>
              <w:spacing w:after="0"/>
              <w:rPr>
                <w:sz w:val="20"/>
                <w:szCs w:val="20"/>
                <w:color w:val="auto"/>
              </w:rPr>
            </w:pPr>
            <w:r>
              <w:rPr>
                <w:rFonts w:ascii="Courier New" w:cs="Courier New" w:eastAsia="Courier New" w:hAnsi="Courier New"/>
                <w:sz w:val="16"/>
                <w:szCs w:val="16"/>
                <w:color w:val="auto"/>
              </w:rPr>
              <w:t>21</w:t>
            </w:r>
          </w:p>
        </w:tc>
      </w:tr>
    </w:tbl>
    <w:p>
      <w:pPr>
        <w:sectPr>
          <w:pgSz w:w="11900" w:h="16838" w:orient="portrait"/>
          <w:cols w:equalWidth="0" w:num="1">
            <w:col w:w="10219"/>
          </w:cols>
          <w:pgMar w:left="240" w:top="654" w:right="1440" w:bottom="1440" w:gutter="0" w:footer="0" w:header="0"/>
        </w:sectPr>
      </w:pPr>
    </w:p>
    <w:bookmarkStart w:id="22" w:name="page23"/>
    <w:bookmarkEnd w:id="22"/>
    <w:p>
      <w:pPr>
        <w:jc w:val="right"/>
        <w:ind w:right="2719"/>
        <w:spacing w:after="0"/>
        <w:rPr>
          <w:sz w:val="20"/>
          <w:szCs w:val="20"/>
          <w:color w:val="auto"/>
        </w:rPr>
      </w:pPr>
      <w:r>
        <w:rPr>
          <w:rFonts w:ascii="Courier New" w:cs="Courier New" w:eastAsia="Courier New" w:hAnsi="Courier New"/>
          <w:sz w:val="16"/>
          <w:szCs w:val="16"/>
          <w:color w:val="auto"/>
        </w:rPr>
        <w:t>Exhibit (10)(i)</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FEDERAL REALTY INVESTMENT TRUST</w:t>
      </w:r>
    </w:p>
    <w:p>
      <w:pPr>
        <w:ind w:left="2160"/>
        <w:spacing w:after="0"/>
        <w:rPr>
          <w:sz w:val="20"/>
          <w:szCs w:val="20"/>
          <w:color w:val="auto"/>
        </w:rPr>
      </w:pPr>
      <w:r>
        <w:rPr>
          <w:rFonts w:ascii="Courier New" w:cs="Courier New" w:eastAsia="Courier New" w:hAnsi="Courier New"/>
          <w:sz w:val="16"/>
          <w:szCs w:val="16"/>
          <w:color w:val="auto"/>
        </w:rPr>
        <w:t>RESTRICTED SHARE AWARD AGREEMENT</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February 9, 2000</w:t>
      </w:r>
    </w:p>
    <w:p>
      <w:pPr>
        <w:spacing w:after="0" w:line="36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parties to this Restricted Share Award Agreement (this "Agreement") are Federal Realty Investment Trust, a Maryland real estate investment trust (the "Trust"), and __________________________, an individual employee of the Trust</w:t>
      </w:r>
    </w:p>
    <w:p>
      <w:pPr>
        <w:spacing w:after="0" w:line="235" w:lineRule="auto"/>
        <w:rPr>
          <w:sz w:val="20"/>
          <w:szCs w:val="20"/>
          <w:color w:val="auto"/>
        </w:rPr>
      </w:pPr>
      <w:r>
        <w:rPr>
          <w:rFonts w:ascii="Courier New" w:cs="Courier New" w:eastAsia="Courier New" w:hAnsi="Courier New"/>
          <w:sz w:val="16"/>
          <w:szCs w:val="16"/>
          <w:color w:val="auto"/>
        </w:rPr>
        <w:t>(the "Key Employee").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Board of Trustees of the Trust (the "Board of Trustees") has authorized the award by the Trust to the Key Employee, under the Trust's Amended and Restated 1993 Long-Term Incentive Plan (the "Amended Plan") of a Restricted Share Award for a certain number of shares of beneficial interest of the Trust (the "Shares"), subject to certain restrictions and covenants on the part of Key Employee. The parties hereto desire to set forth in this Agreement their respective rights and obligations with respect to such Shares.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Capitalized terms used in this Agreement, unless otherwise defined herein, have the respective meanings given to such terms in the Amended Plan. The terms of the Amended Plan are incorporated by reference as if set forth herein in their entirety. To the extent this Restricted Share Award Agreement is in any way inconsistent with the Amended Plan, the terms and provisions of the Amended Plan shall prevail.</w:t>
      </w:r>
    </w:p>
    <w:p>
      <w:pPr>
        <w:spacing w:after="0" w:line="189" w:lineRule="exact"/>
        <w:rPr>
          <w:sz w:val="20"/>
          <w:szCs w:val="20"/>
          <w:color w:val="auto"/>
        </w:rPr>
      </w:pPr>
    </w:p>
    <w:p>
      <w:pPr>
        <w:ind w:right="3279" w:firstLine="469"/>
        <w:spacing w:after="0" w:line="263" w:lineRule="auto"/>
        <w:rPr>
          <w:sz w:val="20"/>
          <w:szCs w:val="20"/>
          <w:color w:val="auto"/>
        </w:rPr>
      </w:pPr>
      <w:r>
        <w:rPr>
          <w:rFonts w:ascii="Courier New" w:cs="Courier New" w:eastAsia="Courier New" w:hAnsi="Courier New"/>
          <w:sz w:val="15"/>
          <w:szCs w:val="15"/>
          <w:color w:val="auto"/>
        </w:rPr>
        <w:t>In consideration of the covenants set forth in this Agreement, and intending to be legally bound hereby, the parties hereto agree as follows:</w:t>
      </w:r>
    </w:p>
    <w:p>
      <w:pPr>
        <w:spacing w:after="0" w:line="164" w:lineRule="exact"/>
        <w:rPr>
          <w:sz w:val="20"/>
          <w:szCs w:val="20"/>
          <w:color w:val="auto"/>
        </w:rPr>
      </w:pPr>
    </w:p>
    <w:p>
      <w:pPr>
        <w:ind w:left="940" w:hanging="475"/>
        <w:spacing w:after="0"/>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of Restricted Shares.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819" w:firstLine="934"/>
        <w:spacing w:after="0" w:line="237" w:lineRule="auto"/>
        <w:tabs>
          <w:tab w:leader="none" w:pos="1313"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hereby confirms the grant to the Key Employee, as of February 9, 2000 (the "Award Date"), of _______________________ (______) Shares (the "Restricted Shares"), subject to the restrictions and other terms and conditions set forth herein and in the Amended Plan.</w:t>
      </w:r>
    </w:p>
    <w:p>
      <w:pPr>
        <w:spacing w:after="0" w:line="185" w:lineRule="exact"/>
        <w:rPr>
          <w:rFonts w:ascii="Courier New" w:cs="Courier New" w:eastAsia="Courier New" w:hAnsi="Courier New"/>
          <w:sz w:val="16"/>
          <w:szCs w:val="16"/>
          <w:color w:val="auto"/>
        </w:rPr>
      </w:pPr>
    </w:p>
    <w:p>
      <w:pPr>
        <w:ind w:right="2719" w:firstLine="934"/>
        <w:spacing w:after="0" w:line="256" w:lineRule="auto"/>
        <w:tabs>
          <w:tab w:leader="none" w:pos="1313"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as soon as practicable after the Award Date, the Trust shall cause one or more stock certificates representing the Restricted Shares to be registered in the name of the Key Employee. Such stock certificate or certificates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97" w:right="1440" w:bottom="1440" w:gutter="0" w:footer="0" w:header="0"/>
        </w:sectPr>
      </w:pPr>
    </w:p>
    <w:bookmarkStart w:id="23" w:name="page24"/>
    <w:bookmarkEnd w:id="23"/>
    <w:p>
      <w:pPr>
        <w:ind w:right="2819"/>
        <w:spacing w:after="0" w:line="236" w:lineRule="auto"/>
        <w:rPr>
          <w:sz w:val="20"/>
          <w:szCs w:val="20"/>
          <w:color w:val="auto"/>
        </w:rPr>
      </w:pPr>
      <w:r>
        <w:rPr>
          <w:rFonts w:ascii="Courier New" w:cs="Courier New" w:eastAsia="Courier New" w:hAnsi="Courier New"/>
          <w:sz w:val="16"/>
          <w:szCs w:val="16"/>
          <w:color w:val="auto"/>
        </w:rPr>
        <w:t>or legends to be placed on such certificate or certificates to make appropriate reference to such restrictions.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certificate or certificates representing the Restricted Shares shall be held in custody by the Chief Financial Officer of the Trust until the Restriction Period (as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shall have expired. Upon forfeiture, in accordance with Paragraph 4, of all or any portion of the Restricted Shares, the certificate or certificates representing the forfeited Restricted Shares shall be canceled.</w:t>
      </w:r>
    </w:p>
    <w:p>
      <w:pPr>
        <w:spacing w:after="0" w:line="184" w:lineRule="exact"/>
        <w:rPr>
          <w:sz w:val="20"/>
          <w:szCs w:val="20"/>
          <w:color w:val="auto"/>
        </w:rPr>
      </w:pPr>
    </w:p>
    <w:p>
      <w:pPr>
        <w:ind w:left="940" w:hanging="475"/>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Restricted Shares.</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2999" w:firstLine="934"/>
        <w:spacing w:after="0" w:line="237" w:lineRule="auto"/>
        <w:tabs>
          <w:tab w:leader="none" w:pos="1407"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Beginning on the Award Date, the Key Employee shall have all rights and privileges of a stockholder with respect to the Restricted Shares, except that the following restrictions shall apply:</w:t>
      </w:r>
    </w:p>
    <w:p>
      <w:pPr>
        <w:spacing w:after="0" w:line="184" w:lineRule="exact"/>
        <w:rPr>
          <w:rFonts w:ascii="Courier New" w:cs="Courier New" w:eastAsia="Courier New" w:hAnsi="Courier New"/>
          <w:sz w:val="16"/>
          <w:szCs w:val="16"/>
          <w:color w:val="auto"/>
        </w:rPr>
      </w:pPr>
    </w:p>
    <w:p>
      <w:pPr>
        <w:ind w:right="2899" w:firstLine="1403"/>
        <w:spacing w:after="0" w:line="237" w:lineRule="auto"/>
        <w:tabs>
          <w:tab w:leader="none" w:pos="2063"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pledged or sold, during the Restriction Period (as hereinafter defined in Paragraph 3);</w:t>
      </w:r>
    </w:p>
    <w:p>
      <w:pPr>
        <w:spacing w:after="0" w:line="188" w:lineRule="exact"/>
        <w:rPr>
          <w:rFonts w:ascii="Courier New" w:cs="Courier New" w:eastAsia="Courier New" w:hAnsi="Courier New"/>
          <w:sz w:val="16"/>
          <w:szCs w:val="16"/>
          <w:color w:val="auto"/>
        </w:rPr>
      </w:pPr>
    </w:p>
    <w:p>
      <w:pPr>
        <w:ind w:right="2719" w:firstLine="1403"/>
        <w:spacing w:after="0" w:line="236" w:lineRule="auto"/>
        <w:tabs>
          <w:tab w:leader="none" w:pos="2063"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or a portion of the Restricted Shares may be forfeited in accordance with Paragraph 4; and</w:t>
      </w:r>
    </w:p>
    <w:p>
      <w:pPr>
        <w:spacing w:after="0" w:line="184" w:lineRule="exact"/>
        <w:rPr>
          <w:rFonts w:ascii="Courier New" w:cs="Courier New" w:eastAsia="Courier New" w:hAnsi="Courier New"/>
          <w:sz w:val="16"/>
          <w:szCs w:val="16"/>
          <w:color w:val="auto"/>
        </w:rPr>
      </w:pPr>
    </w:p>
    <w:p>
      <w:pPr>
        <w:ind w:right="2719" w:firstLine="1403"/>
        <w:spacing w:after="0" w:line="237" w:lineRule="auto"/>
        <w:tabs>
          <w:tab w:leader="none" w:pos="2063"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87" w:lineRule="exact"/>
        <w:rPr>
          <w:rFonts w:ascii="Courier New" w:cs="Courier New" w:eastAsia="Courier New" w:hAnsi="Courier New"/>
          <w:sz w:val="16"/>
          <w:szCs w:val="16"/>
          <w:color w:val="auto"/>
        </w:rPr>
      </w:pPr>
    </w:p>
    <w:p>
      <w:pPr>
        <w:ind w:right="2819" w:firstLine="934"/>
        <w:spacing w:after="0" w:line="237" w:lineRule="auto"/>
        <w:tabs>
          <w:tab w:leader="none" w:pos="1407"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9" w:right="1440" w:bottom="1440" w:gutter="0" w:footer="0" w:header="0"/>
        </w:sectPr>
      </w:pPr>
    </w:p>
    <w:bookmarkStart w:id="24" w:name="page25"/>
    <w:bookmarkEnd w:id="24"/>
    <w:p>
      <w:pPr>
        <w:ind w:left="940" w:hanging="475"/>
        <w:spacing w:after="0"/>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Period.</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rFonts w:ascii="Courier New" w:cs="Courier New" w:eastAsia="Courier New" w:hAnsi="Courier New"/>
          <w:sz w:val="16"/>
          <w:szCs w:val="16"/>
          <w:color w:val="auto"/>
        </w:rPr>
      </w:pPr>
    </w:p>
    <w:p>
      <w:pPr>
        <w:ind w:right="3099" w:firstLine="934"/>
        <w:spacing w:after="0" w:line="237" w:lineRule="auto"/>
        <w:tabs>
          <w:tab w:leader="none" w:pos="1407"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restrictions set forth in Paragraph 2 shall apply for a period (the "Restriction Period") from the Award Date until such Restriction Period lapses as follows:</w:t>
      </w:r>
    </w:p>
    <w:p>
      <w:pPr>
        <w:spacing w:after="0" w:line="184" w:lineRule="exact"/>
        <w:rPr>
          <w:rFonts w:ascii="Courier New" w:cs="Courier New" w:eastAsia="Courier New" w:hAnsi="Courier New"/>
          <w:sz w:val="16"/>
          <w:szCs w:val="16"/>
          <w:color w:val="auto"/>
        </w:rPr>
      </w:pPr>
    </w:p>
    <w:p>
      <w:pPr>
        <w:ind w:right="3179" w:firstLine="1403"/>
        <w:spacing w:after="0" w:line="263" w:lineRule="auto"/>
        <w:tabs>
          <w:tab w:leader="none" w:pos="2063" w:val="left"/>
        </w:tabs>
        <w:numPr>
          <w:ilvl w:val="2"/>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____________________________ (______) Restricted Shares, the Restriction Period shall lapse on February 9, 2001;</w:t>
      </w:r>
    </w:p>
    <w:p>
      <w:pPr>
        <w:spacing w:after="0" w:line="163" w:lineRule="exact"/>
        <w:rPr>
          <w:rFonts w:ascii="Courier New" w:cs="Courier New" w:eastAsia="Courier New" w:hAnsi="Courier New"/>
          <w:sz w:val="15"/>
          <w:szCs w:val="15"/>
          <w:color w:val="auto"/>
        </w:rPr>
      </w:pPr>
    </w:p>
    <w:p>
      <w:pPr>
        <w:ind w:left="2060" w:hanging="657"/>
        <w:spacing w:after="0"/>
        <w:tabs>
          <w:tab w:leader="none" w:pos="206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additional __________________________</w:t>
      </w:r>
    </w:p>
    <w:p>
      <w:pPr>
        <w:spacing w:after="0" w:line="4" w:lineRule="exact"/>
        <w:rPr>
          <w:rFonts w:ascii="Courier New" w:cs="Courier New" w:eastAsia="Courier New" w:hAnsi="Courier New"/>
          <w:sz w:val="16"/>
          <w:szCs w:val="16"/>
          <w:color w:val="auto"/>
        </w:rPr>
      </w:pPr>
    </w:p>
    <w:p>
      <w:pPr>
        <w:ind w:right="30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 Restricted Shares, the Restriction Period shall lapse on February 9, 2002;</w:t>
      </w:r>
    </w:p>
    <w:p>
      <w:pPr>
        <w:spacing w:after="0" w:line="179" w:lineRule="exact"/>
        <w:rPr>
          <w:rFonts w:ascii="Courier New" w:cs="Courier New" w:eastAsia="Courier New" w:hAnsi="Courier New"/>
          <w:sz w:val="16"/>
          <w:szCs w:val="16"/>
          <w:color w:val="auto"/>
        </w:rPr>
      </w:pPr>
    </w:p>
    <w:p>
      <w:pPr>
        <w:ind w:left="2060" w:hanging="657"/>
        <w:spacing w:after="0"/>
        <w:tabs>
          <w:tab w:leader="none" w:pos="206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additional __________________________</w:t>
      </w:r>
    </w:p>
    <w:p>
      <w:pPr>
        <w:spacing w:after="0" w:line="4" w:lineRule="exact"/>
        <w:rPr>
          <w:rFonts w:ascii="Courier New" w:cs="Courier New" w:eastAsia="Courier New" w:hAnsi="Courier New"/>
          <w:sz w:val="16"/>
          <w:szCs w:val="16"/>
          <w:color w:val="auto"/>
        </w:rPr>
      </w:pPr>
    </w:p>
    <w:p>
      <w:pPr>
        <w:ind w:right="30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 Restricted Shares, the Restriction Period shall lapse on February 9, 2003;</w:t>
      </w:r>
    </w:p>
    <w:p>
      <w:pPr>
        <w:spacing w:after="0" w:line="179" w:lineRule="exact"/>
        <w:rPr>
          <w:rFonts w:ascii="Courier New" w:cs="Courier New" w:eastAsia="Courier New" w:hAnsi="Courier New"/>
          <w:sz w:val="16"/>
          <w:szCs w:val="16"/>
          <w:color w:val="auto"/>
        </w:rPr>
      </w:pPr>
    </w:p>
    <w:p>
      <w:pPr>
        <w:ind w:left="2060" w:hanging="657"/>
        <w:spacing w:after="0"/>
        <w:tabs>
          <w:tab w:leader="none" w:pos="206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additional __________________________</w:t>
      </w:r>
    </w:p>
    <w:p>
      <w:pPr>
        <w:spacing w:after="0" w:line="4" w:lineRule="exact"/>
        <w:rPr>
          <w:rFonts w:ascii="Courier New" w:cs="Courier New" w:eastAsia="Courier New" w:hAnsi="Courier New"/>
          <w:sz w:val="16"/>
          <w:szCs w:val="16"/>
          <w:color w:val="auto"/>
        </w:rPr>
      </w:pPr>
    </w:p>
    <w:p>
      <w:pPr>
        <w:ind w:right="30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 Restricted Shares, the Restriction Period shall lapse on February 9, 2004; and</w:t>
      </w:r>
    </w:p>
    <w:p>
      <w:pPr>
        <w:spacing w:after="0" w:line="180" w:lineRule="exact"/>
        <w:rPr>
          <w:sz w:val="20"/>
          <w:szCs w:val="20"/>
          <w:color w:val="auto"/>
        </w:rPr>
      </w:pPr>
    </w:p>
    <w:p>
      <w:pPr>
        <w:ind w:left="2060" w:hanging="657"/>
        <w:spacing w:after="0"/>
        <w:tabs>
          <w:tab w:leader="none" w:pos="2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remaining _______________________</w:t>
      </w:r>
    </w:p>
    <w:p>
      <w:pPr>
        <w:spacing w:after="0" w:line="4" w:lineRule="exact"/>
        <w:rPr>
          <w:rFonts w:ascii="Courier New" w:cs="Courier New" w:eastAsia="Courier New" w:hAnsi="Courier New"/>
          <w:sz w:val="16"/>
          <w:szCs w:val="16"/>
          <w:color w:val="auto"/>
        </w:rPr>
      </w:pPr>
    </w:p>
    <w:p>
      <w:pPr>
        <w:ind w:right="31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 Restricted Shares, the Restriction Period shall lapse on February 9, 2005;</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provided, however, that the Restriction Period for any particular Restricted Shares shall not lapse on the date set forth above unless the Key Employee has tendered to the Trust, on or before that date, the amount of any state and federal withholding tax obligation which will be imposed on the Trust by reason of the lapsing of the Restriction Period for such Restricted Shares on that date.</w:t>
      </w:r>
    </w:p>
    <w:p>
      <w:pPr>
        <w:spacing w:after="0" w:line="189" w:lineRule="exact"/>
        <w:rPr>
          <w:sz w:val="20"/>
          <w:szCs w:val="20"/>
          <w:color w:val="auto"/>
        </w:rPr>
      </w:pPr>
    </w:p>
    <w:p>
      <w:pPr>
        <w:ind w:right="2719" w:firstLine="934"/>
        <w:spacing w:after="0" w:line="238" w:lineRule="auto"/>
        <w:tabs>
          <w:tab w:leader="none" w:pos="140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the Restriction Period shall lapse as to all Restricted Shares (i) in the event of the death or Disability of the Key Employee, or (ii) in the event that the Key Employee is discharged by the Trust without Cause as defined in the Amended Plan, provided in any case that the Key Employee shall have completed at least one year of employment after the Award Date, and provided further that the Key Employee or his legal representative shall first tender, within ninety (90) days after the death, Disability or discharge without Cause, the amount of any state and federal withholding tax obligation which will be imposed on the Trust by reason of the lapsing of the Restriction Period for such Restricted Shares.</w:t>
      </w:r>
    </w:p>
    <w:p>
      <w:pPr>
        <w:spacing w:after="0" w:line="186" w:lineRule="exact"/>
        <w:rPr>
          <w:rFonts w:ascii="Courier New" w:cs="Courier New" w:eastAsia="Courier New" w:hAnsi="Courier New"/>
          <w:sz w:val="16"/>
          <w:szCs w:val="16"/>
          <w:color w:val="auto"/>
        </w:rPr>
      </w:pPr>
    </w:p>
    <w:p>
      <w:pPr>
        <w:ind w:right="2719" w:firstLine="934"/>
        <w:spacing w:after="0" w:line="256" w:lineRule="auto"/>
        <w:tabs>
          <w:tab w:leader="none" w:pos="140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notwithstanding the foregoing, the Restriction Period shall lapse as to all Restricted Shares upon the occurrence of a Change in Control, and in such event, the Trust shall deliver or cause to be delivered to the Key Employee within ten (10) business days after the Change in Control one or more stock certificates representing those Shares as to which the Restriction Period shall have lapsed, provided that the Key Employee shall first tender the amount of any state and federal withholding tax obligation which will be imposed on the Trust by reason of the lapsing of the Restriction Period for</w:t>
      </w:r>
    </w:p>
    <w:p>
      <w:pPr>
        <w:spacing w:after="0" w:line="16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such Restricted Shares.</w:t>
      </w:r>
    </w:p>
    <w:p>
      <w:pPr>
        <w:spacing w:after="0" w:line="179" w:lineRule="exact"/>
        <w:rPr>
          <w:sz w:val="20"/>
          <w:szCs w:val="20"/>
          <w:color w:val="auto"/>
        </w:rPr>
      </w:pPr>
    </w:p>
    <w:p>
      <w:pPr>
        <w:ind w:left="940" w:hanging="475"/>
        <w:spacing w:after="0"/>
        <w:tabs>
          <w:tab w:leader="none" w:pos="9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Forfeiture.  Subject to Paragraph 3(c), if during the Restriction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Period (i) the Key Employee is discharged by the Trust for Cause, (ii) the Key Employee resigns from employment with the Trust, or (iii) any of the events described in Paragraph 3(b) above occur prior to the completion by the Key Employee of one year of employment after the Award Date, then all rights of the Key Employee to any and all then-remaining Restricted Shares shall terminate and be forfeited. In addition, in the event the Key Employee or his legal representative fails to tender to the Trust any required tax withholding amount in accordance with Paragraphs 3(a), 3(b), or 3(c) above by the date specified therein, then the Trust shall retain a portion of the Restricted Shares sufficient to meet its tax withholding obligation.</w:t>
      </w:r>
    </w:p>
    <w:p>
      <w:pPr>
        <w:spacing w:after="0" w:line="182" w:lineRule="exact"/>
        <w:rPr>
          <w:sz w:val="20"/>
          <w:szCs w:val="20"/>
          <w:color w:val="auto"/>
        </w:rPr>
      </w:pPr>
    </w:p>
    <w:p>
      <w:pPr>
        <w:ind w:left="940" w:hanging="475"/>
        <w:spacing w:after="0"/>
        <w:tabs>
          <w:tab w:leader="none" w:pos="9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This Agreement shall be binding upon and inure to the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benefit of the heirs and representatives of the Key Employee and the assigns and successors of the Trust, but neither this Agreement nor any rights hereunder shall be assignable or otherwise subject to hypothecation by the Key Employee.</w:t>
      </w:r>
    </w:p>
    <w:p>
      <w:pPr>
        <w:spacing w:after="0" w:line="166" w:lineRule="exact"/>
        <w:rPr>
          <w:sz w:val="20"/>
          <w:szCs w:val="20"/>
          <w:color w:val="auto"/>
        </w:rPr>
      </w:pPr>
    </w:p>
    <w:p>
      <w:pPr>
        <w:ind w:left="940" w:hanging="475"/>
        <w:spacing w:after="0"/>
        <w:tabs>
          <w:tab w:leader="none" w:pos="9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  This Agreement constitutes the entire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agreement of the parties with respect to the subject matter hereof and shall supersede all prior agreements and understandings, oral or written, between the parties with respect thereto. This Agreement may be amended at any time by written agreement of the parties hereto.</w:t>
      </w:r>
    </w:p>
    <w:p>
      <w:pPr>
        <w:spacing w:after="0" w:line="181" w:lineRule="exact"/>
        <w:rPr>
          <w:sz w:val="20"/>
          <w:szCs w:val="20"/>
          <w:color w:val="auto"/>
        </w:rPr>
      </w:pPr>
    </w:p>
    <w:p>
      <w:pPr>
        <w:ind w:left="940" w:hanging="475"/>
        <w:spacing w:after="0"/>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and its validity, interpretation,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performance and enforcement shall be governed by the laws of the State of Maryland other than the conflict of laws provisions of such laws, and shall be construed in accordance therewith.</w:t>
      </w:r>
    </w:p>
    <w:p>
      <w:pPr>
        <w:spacing w:after="0" w:line="185" w:lineRule="exact"/>
        <w:rPr>
          <w:sz w:val="20"/>
          <w:szCs w:val="20"/>
          <w:color w:val="auto"/>
        </w:rPr>
      </w:pPr>
    </w:p>
    <w:p>
      <w:pPr>
        <w:ind w:left="940" w:hanging="475"/>
        <w:spacing w:after="0"/>
        <w:tabs>
          <w:tab w:leader="none" w:pos="9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for any reason, any provision of this Agreement is</w:t>
      </w:r>
    </w:p>
    <w:p>
      <w:pPr>
        <w:spacing w:after="0" w:line="6"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80" w:lineRule="exact"/>
        <w:rPr>
          <w:sz w:val="20"/>
          <w:szCs w:val="20"/>
          <w:color w:val="auto"/>
        </w:rPr>
      </w:pPr>
    </w:p>
    <w:p>
      <w:pPr>
        <w:ind w:left="940" w:hanging="475"/>
        <w:spacing w:after="0"/>
        <w:tabs>
          <w:tab w:leader="none" w:pos="9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Employment.  This Agreement shall not confer upon the Key</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Employee any right with respect to continuance of employment by the Trust.</w:t>
      </w:r>
    </w:p>
    <w:p>
      <w:pPr>
        <w:spacing w:after="0" w:line="180" w:lineRule="exact"/>
        <w:rPr>
          <w:sz w:val="20"/>
          <w:szCs w:val="20"/>
          <w:color w:val="auto"/>
        </w:rPr>
      </w:pPr>
    </w:p>
    <w:p>
      <w:pPr>
        <w:ind w:left="940" w:hanging="475"/>
        <w:spacing w:after="0"/>
        <w:tabs>
          <w:tab w:leader="none" w:pos="9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References.  References to the Key Employee in any provision</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 this Agreement under circumstances where the provision should logically be construed to apply to the Key Employee's executors or the administrators, or the person or persons to</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4" w:right="1440" w:bottom="1440" w:gutter="0" w:footer="0" w:header="0"/>
        </w:sectPr>
      </w:pPr>
    </w:p>
    <w:bookmarkStart w:id="26" w:name="page27"/>
    <w:bookmarkEnd w:id="26"/>
    <w:p>
      <w:pPr>
        <w:ind w:right="2819"/>
        <w:spacing w:after="0" w:line="237" w:lineRule="auto"/>
        <w:rPr>
          <w:sz w:val="20"/>
          <w:szCs w:val="20"/>
          <w:color w:val="auto"/>
        </w:rPr>
      </w:pPr>
      <w:r>
        <w:rPr>
          <w:rFonts w:ascii="Courier New" w:cs="Courier New" w:eastAsia="Courier New" w:hAnsi="Courier New"/>
          <w:sz w:val="16"/>
          <w:szCs w:val="16"/>
          <w:color w:val="auto"/>
        </w:rPr>
        <w:t>whom all or any portion of the Restricted Shares may be transferred by will or the laws of descent and distribution, shall be deemed to include such person or persons.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WITNESS WHEREOF, the Trust has caused this Agreement to be duly executed and the Key Employee has hereunto set his hand effective as of the day and year first above written.</w:t>
      </w:r>
    </w:p>
    <w:p>
      <w:pPr>
        <w:spacing w:after="0" w:line="200" w:lineRule="exact"/>
        <w:rPr>
          <w:sz w:val="20"/>
          <w:szCs w:val="20"/>
          <w:color w:val="auto"/>
        </w:rPr>
      </w:pPr>
    </w:p>
    <w:p>
      <w:pPr>
        <w:spacing w:after="0" w:line="34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By:__________________________________</w:t>
      </w:r>
    </w:p>
    <w:p>
      <w:pPr>
        <w:ind w:left="2820"/>
        <w:spacing w:after="0"/>
        <w:rPr>
          <w:sz w:val="20"/>
          <w:szCs w:val="20"/>
          <w:color w:val="auto"/>
        </w:rPr>
      </w:pPr>
      <w:r>
        <w:rPr>
          <w:rFonts w:ascii="Courier New" w:cs="Courier New" w:eastAsia="Courier New" w:hAnsi="Courier New"/>
          <w:sz w:val="16"/>
          <w:szCs w:val="16"/>
          <w:color w:val="auto"/>
        </w:rPr>
        <w:t>Name:</w:t>
      </w:r>
    </w:p>
    <w:p>
      <w:pPr>
        <w:ind w:left="2820"/>
        <w:spacing w:after="0" w:line="237" w:lineRule="auto"/>
        <w:tabs>
          <w:tab w:leader="none" w:pos="3540" w:val="left"/>
        </w:tabs>
        <w:rPr>
          <w:sz w:val="20"/>
          <w:szCs w:val="20"/>
          <w:color w:val="auto"/>
        </w:rPr>
      </w:pPr>
      <w:r>
        <w:rPr>
          <w:rFonts w:ascii="Courier New" w:cs="Courier New" w:eastAsia="Courier New" w:hAnsi="Courier New"/>
          <w:sz w:val="16"/>
          <w:szCs w:val="16"/>
          <w:color w:val="auto"/>
        </w:rPr>
        <w:t>Title:</w:t>
        <w:tab/>
        <w:t>Chair, Compensation Committee</w:t>
      </w:r>
    </w:p>
    <w:p>
      <w:pPr>
        <w:sectPr>
          <w:pgSz w:w="11900" w:h="16838" w:orient="portrait"/>
          <w:cols w:equalWidth="0" w:num="1">
            <w:col w:w="10219"/>
          </w:cols>
          <w:pgMar w:left="240" w:top="659"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EMPLOYEE</w:t>
      </w:r>
    </w:p>
    <w:p>
      <w:pPr>
        <w:spacing w:after="0" w:line="200" w:lineRule="exact"/>
        <w:rPr>
          <w:sz w:val="20"/>
          <w:szCs w:val="20"/>
          <w:color w:val="auto"/>
        </w:rPr>
      </w:pPr>
    </w:p>
    <w:p>
      <w:pPr>
        <w:sectPr>
          <w:pgSz w:w="11900" w:h="16838" w:orient="portrait"/>
          <w:cols w:equalWidth="0" w:num="2">
            <w:col w:w="2100" w:space="720"/>
            <w:col w:w="7399"/>
          </w:cols>
          <w:pgMar w:left="240" w:top="659"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85" w:lineRule="exact"/>
        <w:rPr>
          <w:sz w:val="20"/>
          <w:szCs w:val="20"/>
          <w:color w:val="auto"/>
        </w:rPr>
      </w:pPr>
    </w:p>
    <w:p>
      <w:pPr>
        <w:sectPr>
          <w:pgSz w:w="11900" w:h="16838" w:orient="portrait"/>
          <w:cols w:equalWidth="0" w:num="2">
            <w:col w:w="2440" w:space="380"/>
            <w:col w:w="7399"/>
          </w:cols>
          <w:pgMar w:left="240" w:top="659"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9" w:right="1440" w:bottom="1440" w:gutter="0" w:footer="0" w:header="0"/>
          <w:type w:val="continuous"/>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left="20" w:right="2779"/>
        <w:spacing w:after="0" w:line="257" w:lineRule="auto"/>
        <w:rPr>
          <w:sz w:val="20"/>
          <w:szCs w:val="20"/>
          <w:color w:val="auto"/>
        </w:rPr>
      </w:pPr>
      <w:r>
        <w:rPr>
          <w:rFonts w:ascii="Courier New" w:cs="Courier New" w:eastAsia="Courier New" w:hAnsi="Courier New"/>
          <w:sz w:val="15"/>
          <w:szCs w:val="15"/>
          <w:color w:val="auto"/>
        </w:rPr>
        <w:t>This schedule contains summary financial information extracted from the Balance Sheet of Federal Realty Investment Trust as of March 31, 2000 and the related consolidated statement of operations for the three months ended March 31, 2000 and is qualified in its entirety by reference to such financial statements.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6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3-MOS</w:t>
      </w:r>
    </w:p>
    <w:p>
      <w:pPr>
        <w:ind w:left="2440"/>
        <w:spacing w:after="0"/>
        <w:rPr>
          <w:sz w:val="20"/>
          <w:szCs w:val="20"/>
          <w:color w:val="auto"/>
        </w:rPr>
      </w:pPr>
      <w:r>
        <w:rPr>
          <w:rFonts w:ascii="Courier New" w:cs="Courier New" w:eastAsia="Courier New" w:hAnsi="Courier New"/>
          <w:sz w:val="16"/>
          <w:szCs w:val="16"/>
          <w:color w:val="auto"/>
        </w:rPr>
        <w:t>DEC-31-2000</w:t>
      </w:r>
    </w:p>
    <w:p>
      <w:pPr>
        <w:ind w:left="2900"/>
        <w:spacing w:after="0" w:line="237" w:lineRule="auto"/>
        <w:rPr>
          <w:sz w:val="20"/>
          <w:szCs w:val="20"/>
          <w:color w:val="auto"/>
        </w:rPr>
      </w:pPr>
      <w:r>
        <w:rPr>
          <w:rFonts w:ascii="Courier New" w:cs="Courier New" w:eastAsia="Courier New" w:hAnsi="Courier New"/>
          <w:sz w:val="16"/>
          <w:szCs w:val="16"/>
          <w:color w:val="auto"/>
        </w:rPr>
        <w:t>MAR-31-2000</w:t>
      </w:r>
    </w:p>
    <w:p>
      <w:pPr>
        <w:ind w:left="3940"/>
        <w:spacing w:after="0"/>
        <w:rPr>
          <w:sz w:val="20"/>
          <w:szCs w:val="20"/>
          <w:color w:val="auto"/>
        </w:rPr>
      </w:pPr>
      <w:r>
        <w:rPr>
          <w:rFonts w:ascii="Courier New" w:cs="Courier New" w:eastAsia="Courier New" w:hAnsi="Courier New"/>
          <w:sz w:val="16"/>
          <w:szCs w:val="16"/>
          <w:color w:val="auto"/>
        </w:rPr>
        <w:t>13,711</w:t>
      </w:r>
    </w:p>
    <w:p>
      <w:pPr>
        <w:ind w:left="3840"/>
        <w:spacing w:after="0" w:line="238" w:lineRule="auto"/>
        <w:rPr>
          <w:sz w:val="20"/>
          <w:szCs w:val="20"/>
          <w:color w:val="auto"/>
        </w:rPr>
      </w:pPr>
      <w:r>
        <w:rPr>
          <w:rFonts w:ascii="Courier New" w:cs="Courier New" w:eastAsia="Courier New" w:hAnsi="Courier New"/>
          <w:sz w:val="16"/>
          <w:szCs w:val="16"/>
          <w:color w:val="auto"/>
        </w:rPr>
        <w:t>0</w:t>
      </w:r>
    </w:p>
    <w:p>
      <w:pPr>
        <w:ind w:left="3280"/>
        <w:spacing w:after="0"/>
        <w:rPr>
          <w:sz w:val="20"/>
          <w:szCs w:val="20"/>
          <w:color w:val="auto"/>
        </w:rPr>
      </w:pPr>
      <w:r>
        <w:rPr>
          <w:rFonts w:ascii="Courier New" w:cs="Courier New" w:eastAsia="Courier New" w:hAnsi="Courier New"/>
          <w:sz w:val="16"/>
          <w:szCs w:val="16"/>
          <w:color w:val="auto"/>
        </w:rPr>
        <w:t>19,961</w:t>
      </w:r>
    </w:p>
    <w:p>
      <w:pPr>
        <w:ind w:left="3840"/>
        <w:spacing w:after="0" w:line="238" w:lineRule="auto"/>
        <w:rPr>
          <w:sz w:val="20"/>
          <w:szCs w:val="20"/>
          <w:color w:val="auto"/>
        </w:rPr>
      </w:pPr>
      <w:r>
        <w:rPr>
          <w:rFonts w:ascii="Courier New" w:cs="Courier New" w:eastAsia="Courier New" w:hAnsi="Courier New"/>
          <w:sz w:val="16"/>
          <w:szCs w:val="16"/>
          <w:color w:val="auto"/>
        </w:rPr>
        <w:t>0</w:t>
      </w:r>
    </w:p>
    <w:p>
      <w:pPr>
        <w:ind w:left="3940"/>
        <w:spacing w:after="0"/>
        <w:rPr>
          <w:sz w:val="20"/>
          <w:szCs w:val="20"/>
          <w:color w:val="auto"/>
        </w:rPr>
      </w:pPr>
      <w:r>
        <w:rPr>
          <w:rFonts w:ascii="Courier New" w:cs="Courier New" w:eastAsia="Courier New" w:hAnsi="Courier New"/>
          <w:sz w:val="16"/>
          <w:szCs w:val="16"/>
          <w:color w:val="auto"/>
        </w:rPr>
        <w:t>0</w:t>
      </w:r>
    </w:p>
    <w:p>
      <w:pPr>
        <w:ind w:left="3460"/>
        <w:spacing w:after="0" w:line="237" w:lineRule="auto"/>
        <w:rPr>
          <w:sz w:val="20"/>
          <w:szCs w:val="20"/>
          <w:color w:val="auto"/>
        </w:rPr>
      </w:pPr>
      <w:r>
        <w:rPr>
          <w:rFonts w:ascii="Courier New" w:cs="Courier New" w:eastAsia="Courier New" w:hAnsi="Courier New"/>
          <w:sz w:val="16"/>
          <w:szCs w:val="16"/>
          <w:color w:val="auto"/>
        </w:rPr>
        <w:t>0</w:t>
      </w:r>
    </w:p>
    <w:p>
      <w:pPr>
        <w:ind w:left="3660"/>
        <w:spacing w:after="0"/>
        <w:rPr>
          <w:sz w:val="20"/>
          <w:szCs w:val="20"/>
          <w:color w:val="auto"/>
        </w:rPr>
      </w:pPr>
      <w:r>
        <w:rPr>
          <w:rFonts w:ascii="Courier New" w:cs="Courier New" w:eastAsia="Courier New" w:hAnsi="Courier New"/>
          <w:sz w:val="16"/>
          <w:szCs w:val="16"/>
          <w:color w:val="auto"/>
        </w:rPr>
        <w:t>1,760,541</w:t>
      </w:r>
    </w:p>
    <w:p>
      <w:pPr>
        <w:ind w:left="2900"/>
        <w:spacing w:after="0" w:line="238" w:lineRule="auto"/>
        <w:rPr>
          <w:sz w:val="20"/>
          <w:szCs w:val="20"/>
          <w:color w:val="auto"/>
        </w:rPr>
      </w:pPr>
      <w:r>
        <w:rPr>
          <w:rFonts w:ascii="Courier New" w:cs="Courier New" w:eastAsia="Courier New" w:hAnsi="Courier New"/>
          <w:sz w:val="16"/>
          <w:szCs w:val="16"/>
          <w:color w:val="auto"/>
        </w:rPr>
        <w:t>(327,847)</w:t>
      </w:r>
    </w:p>
    <w:p>
      <w:pPr>
        <w:ind w:left="2900"/>
        <w:spacing w:after="0"/>
        <w:rPr>
          <w:sz w:val="20"/>
          <w:szCs w:val="20"/>
          <w:color w:val="auto"/>
        </w:rPr>
      </w:pPr>
      <w:r>
        <w:rPr>
          <w:rFonts w:ascii="Courier New" w:cs="Courier New" w:eastAsia="Courier New" w:hAnsi="Courier New"/>
          <w:sz w:val="16"/>
          <w:szCs w:val="16"/>
          <w:color w:val="auto"/>
        </w:rPr>
        <w:t>1,562,102</w:t>
      </w:r>
    </w:p>
    <w:p>
      <w:pPr>
        <w:ind w:left="3000"/>
        <w:spacing w:after="0" w:line="238" w:lineRule="auto"/>
        <w:rPr>
          <w:sz w:val="20"/>
          <w:szCs w:val="20"/>
          <w:color w:val="auto"/>
        </w:rPr>
      </w:pPr>
      <w:r>
        <w:rPr>
          <w:rFonts w:ascii="Courier New" w:cs="Courier New" w:eastAsia="Courier New" w:hAnsi="Courier New"/>
          <w:sz w:val="16"/>
          <w:szCs w:val="16"/>
          <w:color w:val="auto"/>
        </w:rPr>
        <w:t>0</w:t>
      </w:r>
    </w:p>
    <w:p>
      <w:pPr>
        <w:ind w:left="3740"/>
        <w:spacing w:after="0"/>
        <w:rPr>
          <w:sz w:val="20"/>
          <w:szCs w:val="20"/>
          <w:color w:val="auto"/>
        </w:rPr>
      </w:pPr>
      <w:r>
        <w:rPr>
          <w:rFonts w:ascii="Courier New" w:cs="Courier New" w:eastAsia="Courier New" w:hAnsi="Courier New"/>
          <w:sz w:val="16"/>
          <w:szCs w:val="16"/>
          <w:color w:val="auto"/>
        </w:rPr>
        <w:t>973,743</w:t>
      </w:r>
    </w:p>
    <w:p>
      <w:pPr>
        <w:ind w:left="3000"/>
        <w:spacing w:after="0" w:line="237" w:lineRule="auto"/>
        <w:rPr>
          <w:sz w:val="20"/>
          <w:szCs w:val="20"/>
          <w:color w:val="auto"/>
        </w:rPr>
      </w:pPr>
      <w:r>
        <w:rPr>
          <w:rFonts w:ascii="Courier New" w:cs="Courier New" w:eastAsia="Courier New" w:hAnsi="Courier New"/>
          <w:sz w:val="16"/>
          <w:szCs w:val="16"/>
          <w:color w:val="auto"/>
        </w:rPr>
        <w:t>0</w:t>
      </w:r>
    </w:p>
    <w:p>
      <w:pPr>
        <w:ind w:left="3380"/>
        <w:spacing w:after="0"/>
        <w:rPr>
          <w:sz w:val="20"/>
          <w:szCs w:val="20"/>
          <w:color w:val="auto"/>
        </w:rPr>
      </w:pPr>
      <w:r>
        <w:rPr>
          <w:rFonts w:ascii="Courier New" w:cs="Courier New" w:eastAsia="Courier New" w:hAnsi="Courier New"/>
          <w:sz w:val="16"/>
          <w:szCs w:val="16"/>
          <w:color w:val="auto"/>
        </w:rPr>
        <w:t>100,000</w:t>
      </w:r>
    </w:p>
    <w:p>
      <w:pPr>
        <w:ind w:left="3660"/>
        <w:spacing w:after="0" w:line="238" w:lineRule="auto"/>
        <w:rPr>
          <w:sz w:val="20"/>
          <w:szCs w:val="20"/>
          <w:color w:val="auto"/>
        </w:rPr>
      </w:pPr>
      <w:r>
        <w:rPr>
          <w:rFonts w:ascii="Courier New" w:cs="Courier New" w:eastAsia="Courier New" w:hAnsi="Courier New"/>
          <w:sz w:val="16"/>
          <w:szCs w:val="16"/>
          <w:color w:val="auto"/>
        </w:rPr>
        <w:t>718,857</w:t>
      </w:r>
    </w:p>
    <w:p>
      <w:pPr>
        <w:ind w:left="3280"/>
        <w:spacing w:after="0"/>
        <w:rPr>
          <w:sz w:val="20"/>
          <w:szCs w:val="20"/>
          <w:color w:val="auto"/>
        </w:rPr>
      </w:pPr>
      <w:r>
        <w:rPr>
          <w:rFonts w:ascii="Courier New" w:cs="Courier New" w:eastAsia="Courier New" w:hAnsi="Courier New"/>
          <w:sz w:val="16"/>
          <w:szCs w:val="16"/>
          <w:color w:val="auto"/>
        </w:rPr>
        <w:t>(340,860)</w:t>
      </w:r>
    </w:p>
    <w:p>
      <w:pPr>
        <w:ind w:left="1600"/>
        <w:spacing w:after="0" w:line="238" w:lineRule="auto"/>
        <w:rPr>
          <w:sz w:val="20"/>
          <w:szCs w:val="20"/>
          <w:color w:val="auto"/>
        </w:rPr>
      </w:pPr>
      <w:r>
        <w:rPr>
          <w:rFonts w:ascii="Courier New" w:cs="Courier New" w:eastAsia="Courier New" w:hAnsi="Courier New"/>
          <w:sz w:val="16"/>
          <w:szCs w:val="16"/>
          <w:color w:val="auto"/>
        </w:rPr>
        <w:t>1,562,102</w:t>
      </w:r>
    </w:p>
    <w:p>
      <w:pPr>
        <w:ind w:left="4320"/>
        <w:spacing w:after="0"/>
        <w:rPr>
          <w:sz w:val="20"/>
          <w:szCs w:val="20"/>
          <w:color w:val="auto"/>
        </w:rPr>
      </w:pPr>
      <w:r>
        <w:rPr>
          <w:rFonts w:ascii="Courier New" w:cs="Courier New" w:eastAsia="Courier New" w:hAnsi="Courier New"/>
          <w:sz w:val="16"/>
          <w:szCs w:val="16"/>
          <w:color w:val="auto"/>
        </w:rPr>
        <w:t>0</w:t>
      </w:r>
    </w:p>
    <w:p>
      <w:pPr>
        <w:ind w:left="3000"/>
        <w:spacing w:after="0" w:line="237" w:lineRule="auto"/>
        <w:rPr>
          <w:sz w:val="20"/>
          <w:szCs w:val="20"/>
          <w:color w:val="auto"/>
        </w:rPr>
      </w:pPr>
      <w:r>
        <w:rPr>
          <w:rFonts w:ascii="Courier New" w:cs="Courier New" w:eastAsia="Courier New" w:hAnsi="Courier New"/>
          <w:sz w:val="16"/>
          <w:szCs w:val="16"/>
          <w:color w:val="auto"/>
        </w:rPr>
        <w:t>66,997</w:t>
      </w:r>
    </w:p>
    <w:p>
      <w:pPr>
        <w:ind w:left="4500"/>
        <w:spacing w:after="0"/>
        <w:rPr>
          <w:sz w:val="20"/>
          <w:szCs w:val="20"/>
          <w:color w:val="auto"/>
        </w:rPr>
      </w:pPr>
      <w:r>
        <w:rPr>
          <w:rFonts w:ascii="Courier New" w:cs="Courier New" w:eastAsia="Courier New" w:hAnsi="Courier New"/>
          <w:sz w:val="16"/>
          <w:szCs w:val="16"/>
          <w:color w:val="auto"/>
        </w:rPr>
        <w:t>0</w:t>
      </w:r>
    </w:p>
    <w:p>
      <w:pPr>
        <w:ind w:left="3280"/>
        <w:spacing w:after="0" w:line="238" w:lineRule="auto"/>
        <w:rPr>
          <w:sz w:val="20"/>
          <w:szCs w:val="20"/>
          <w:color w:val="auto"/>
        </w:rPr>
      </w:pPr>
      <w:r>
        <w:rPr>
          <w:rFonts w:ascii="Courier New" w:cs="Courier New" w:eastAsia="Courier New" w:hAnsi="Courier New"/>
          <w:sz w:val="16"/>
          <w:szCs w:val="16"/>
          <w:color w:val="auto"/>
        </w:rPr>
        <w:t>21,077</w:t>
      </w:r>
    </w:p>
    <w:p>
      <w:pPr>
        <w:ind w:left="3460"/>
        <w:spacing w:after="0"/>
        <w:rPr>
          <w:sz w:val="20"/>
          <w:szCs w:val="20"/>
          <w:color w:val="auto"/>
        </w:rPr>
      </w:pPr>
      <w:r>
        <w:rPr>
          <w:rFonts w:ascii="Courier New" w:cs="Courier New" w:eastAsia="Courier New" w:hAnsi="Courier New"/>
          <w:sz w:val="16"/>
          <w:szCs w:val="16"/>
          <w:color w:val="auto"/>
        </w:rPr>
        <w:t>0</w:t>
      </w:r>
    </w:p>
    <w:p>
      <w:pPr>
        <w:ind w:left="3460"/>
        <w:spacing w:after="0" w:line="238" w:lineRule="auto"/>
        <w:rPr>
          <w:sz w:val="20"/>
          <w:szCs w:val="20"/>
          <w:color w:val="auto"/>
        </w:rPr>
      </w:pPr>
      <w:r>
        <w:rPr>
          <w:rFonts w:ascii="Courier New" w:cs="Courier New" w:eastAsia="Courier New" w:hAnsi="Courier New"/>
          <w:sz w:val="16"/>
          <w:szCs w:val="16"/>
          <w:color w:val="auto"/>
        </w:rPr>
        <w:t>0</w:t>
      </w:r>
    </w:p>
    <w:p>
      <w:pPr>
        <w:ind w:left="2820"/>
        <w:spacing w:after="0"/>
        <w:rPr>
          <w:sz w:val="20"/>
          <w:szCs w:val="20"/>
          <w:color w:val="auto"/>
        </w:rPr>
      </w:pPr>
      <w:r>
        <w:rPr>
          <w:rFonts w:ascii="Courier New" w:cs="Courier New" w:eastAsia="Courier New" w:hAnsi="Courier New"/>
          <w:sz w:val="16"/>
          <w:szCs w:val="16"/>
          <w:color w:val="auto"/>
        </w:rPr>
        <w:t>16,493</w:t>
      </w:r>
    </w:p>
    <w:p>
      <w:pPr>
        <w:ind w:left="3100"/>
        <w:spacing w:after="0" w:line="237" w:lineRule="auto"/>
        <w:rPr>
          <w:sz w:val="20"/>
          <w:szCs w:val="20"/>
          <w:color w:val="auto"/>
        </w:rPr>
      </w:pPr>
      <w:r>
        <w:rPr>
          <w:rFonts w:ascii="Courier New" w:cs="Courier New" w:eastAsia="Courier New" w:hAnsi="Courier New"/>
          <w:sz w:val="16"/>
          <w:szCs w:val="16"/>
          <w:color w:val="auto"/>
        </w:rPr>
        <w:t>12,151</w:t>
      </w:r>
    </w:p>
    <w:p>
      <w:pPr>
        <w:ind w:left="3840"/>
        <w:spacing w:after="0"/>
        <w:rPr>
          <w:sz w:val="20"/>
          <w:szCs w:val="20"/>
          <w:color w:val="auto"/>
        </w:rPr>
      </w:pPr>
      <w:r>
        <w:rPr>
          <w:rFonts w:ascii="Courier New" w:cs="Courier New" w:eastAsia="Courier New" w:hAnsi="Courier New"/>
          <w:sz w:val="16"/>
          <w:szCs w:val="16"/>
          <w:color w:val="auto"/>
        </w:rPr>
        <w:t>0</w:t>
      </w:r>
    </w:p>
    <w:p>
      <w:pPr>
        <w:ind w:left="3180"/>
        <w:spacing w:after="0" w:line="238" w:lineRule="auto"/>
        <w:rPr>
          <w:sz w:val="20"/>
          <w:szCs w:val="20"/>
          <w:color w:val="auto"/>
        </w:rPr>
      </w:pPr>
      <w:r>
        <w:rPr>
          <w:rFonts w:ascii="Courier New" w:cs="Courier New" w:eastAsia="Courier New" w:hAnsi="Courier New"/>
          <w:sz w:val="16"/>
          <w:szCs w:val="16"/>
          <w:color w:val="auto"/>
        </w:rPr>
        <w:t>0</w:t>
      </w:r>
    </w:p>
    <w:p>
      <w:pPr>
        <w:ind w:left="3660"/>
        <w:spacing w:after="0"/>
        <w:rPr>
          <w:sz w:val="20"/>
          <w:szCs w:val="20"/>
          <w:color w:val="auto"/>
        </w:rPr>
      </w:pPr>
      <w:r>
        <w:rPr>
          <w:rFonts w:ascii="Courier New" w:cs="Courier New" w:eastAsia="Courier New" w:hAnsi="Courier New"/>
          <w:sz w:val="16"/>
          <w:szCs w:val="16"/>
          <w:color w:val="auto"/>
        </w:rPr>
        <w:t>0</w:t>
      </w:r>
    </w:p>
    <w:p>
      <w:pPr>
        <w:ind w:left="3560"/>
        <w:spacing w:after="0" w:line="238" w:lineRule="auto"/>
        <w:rPr>
          <w:sz w:val="20"/>
          <w:szCs w:val="20"/>
          <w:color w:val="auto"/>
        </w:rPr>
      </w:pPr>
      <w:r>
        <w:rPr>
          <w:rFonts w:ascii="Courier New" w:cs="Courier New" w:eastAsia="Courier New" w:hAnsi="Courier New"/>
          <w:sz w:val="16"/>
          <w:szCs w:val="16"/>
          <w:color w:val="auto"/>
        </w:rPr>
        <w:t>0</w:t>
      </w:r>
    </w:p>
    <w:p>
      <w:pPr>
        <w:ind w:left="4120"/>
        <w:spacing w:after="0"/>
        <w:rPr>
          <w:sz w:val="20"/>
          <w:szCs w:val="20"/>
          <w:color w:val="auto"/>
        </w:rPr>
      </w:pPr>
      <w:r>
        <w:rPr>
          <w:rFonts w:ascii="Courier New" w:cs="Courier New" w:eastAsia="Courier New" w:hAnsi="Courier New"/>
          <w:sz w:val="16"/>
          <w:szCs w:val="16"/>
          <w:color w:val="auto"/>
        </w:rPr>
        <w:t>0</w:t>
      </w:r>
    </w:p>
    <w:p>
      <w:pPr>
        <w:ind w:left="3380"/>
        <w:spacing w:after="0" w:line="237" w:lineRule="auto"/>
        <w:rPr>
          <w:sz w:val="20"/>
          <w:szCs w:val="20"/>
          <w:color w:val="auto"/>
        </w:rPr>
      </w:pPr>
      <w:r>
        <w:rPr>
          <w:rFonts w:ascii="Courier New" w:cs="Courier New" w:eastAsia="Courier New" w:hAnsi="Courier New"/>
          <w:sz w:val="16"/>
          <w:szCs w:val="16"/>
          <w:color w:val="auto"/>
        </w:rPr>
        <w:t>11,566</w:t>
      </w:r>
    </w:p>
    <w:p>
      <w:pPr>
        <w:ind w:left="3740"/>
        <w:spacing w:after="0"/>
        <w:rPr>
          <w:sz w:val="20"/>
          <w:szCs w:val="20"/>
          <w:color w:val="auto"/>
        </w:rPr>
      </w:pPr>
      <w:r>
        <w:rPr>
          <w:rFonts w:ascii="Courier New" w:cs="Courier New" w:eastAsia="Courier New" w:hAnsi="Courier New"/>
          <w:sz w:val="16"/>
          <w:szCs w:val="16"/>
          <w:color w:val="auto"/>
        </w:rPr>
        <w:t>.31</w:t>
      </w:r>
    </w:p>
    <w:p>
      <w:pPr>
        <w:ind w:left="3560"/>
        <w:spacing w:after="0" w:line="238" w:lineRule="auto"/>
        <w:rPr>
          <w:sz w:val="20"/>
          <w:szCs w:val="20"/>
          <w:color w:val="auto"/>
        </w:rPr>
      </w:pPr>
      <w:r>
        <w:rPr>
          <w:rFonts w:ascii="Courier New" w:cs="Courier New" w:eastAsia="Courier New" w:hAnsi="Courier New"/>
          <w:sz w:val="16"/>
          <w:szCs w:val="16"/>
          <w:color w:val="auto"/>
        </w:rPr>
        <w:t>.31</w:t>
      </w:r>
    </w:p>
    <w:p>
      <w:pPr>
        <w:spacing w:after="0" w:line="185" w:lineRule="exact"/>
        <w:rPr>
          <w:sz w:val="20"/>
          <w:szCs w:val="20"/>
          <w:color w:val="auto"/>
        </w:rPr>
      </w:pPr>
    </w:p>
    <w:p>
      <w:pPr>
        <w:ind w:right="3179" w:firstLine="94"/>
        <w:spacing w:after="0" w:line="236" w:lineRule="auto"/>
        <w:rPr>
          <w:sz w:val="20"/>
          <w:szCs w:val="20"/>
          <w:color w:val="auto"/>
        </w:rPr>
      </w:pPr>
      <w:r>
        <w:rPr>
          <w:rFonts w:ascii="Courier New" w:cs="Courier New" w:eastAsia="Courier New" w:hAnsi="Courier New"/>
          <w:sz w:val="16"/>
          <w:szCs w:val="16"/>
          <w:color w:val="auto"/>
        </w:rPr>
        <w:t>Current assets and current liabilities are not listed since Federal Realty does not prepare a classified balance sheet.</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30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
    <w:nsid w:val="515F007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5BD062C2"/>
    <w:multiLevelType w:val="hybridMultilevel"/>
    <w:lvl w:ilvl="0">
      <w:lvlJc w:val="left"/>
      <w:lvlText w:val="(%1)"/>
      <w:numFmt w:val="lowerRoman"/>
      <w:start w:val="3"/>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2019-12-13T01:01:13Z</dcterms:created>
  <dcterms:modified xsi:type="dcterms:W3CDTF">2019-12-13T01:01:13Z</dcterms:modified>
</cp:coreProperties>
</file>