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2,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Federal Realty Investment Trust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Maryland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1-07533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52-0782497</w:t>
            </w:r>
          </w:p>
        </w:tc>
      </w:tr>
      <w:tr>
        <w:trPr>
          <w:trHeight w:val="149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right="2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10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20"/>
        </w:trPr>
        <w:tc>
          <w:tcPr>
            <w:tcW w:w="6460" w:type="dxa"/>
            <w:vAlign w:val="bottom"/>
            <w:gridSpan w:val="2"/>
          </w:tcPr>
          <w:p>
            <w:pPr>
              <w:jc w:val="center"/>
              <w:ind w:right="10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1626 East Jefferson Street, Rockville, Maryland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20852-4041</w:t>
            </w:r>
          </w:p>
        </w:tc>
      </w:tr>
      <w:tr>
        <w:trPr>
          <w:trHeight w:val="174"/>
        </w:trPr>
        <w:tc>
          <w:tcPr>
            <w:tcW w:w="4020" w:type="dxa"/>
            <w:vAlign w:val="bottom"/>
          </w:tcPr>
          <w:p>
            <w:pPr>
              <w:jc w:val="center"/>
              <w:ind w:left="1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(Address of principal executive offices)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jc w:val="center"/>
              <w:ind w:left="1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including area code: 301/998-8100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118110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Submission of Matters to a Vote of Security Holders.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annual meeting of shareholders of the Trust was held on May 2, 2012 in Bethesda, Maryland. The following table sets forth the matters presented for a vote by the shareholders and the voting results with respect to such matters: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8"/>
              </w:rPr>
              <w:t>Votes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Matter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Withheld/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Broker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Against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Abstentions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2"/>
              </w:rPr>
              <w:t>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CCEEFF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40" w:type="dxa"/>
            <w:vAlign w:val="bottom"/>
            <w:tcBorders>
              <w:bottom w:val="single" w:sz="8" w:color="CCEE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CEE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CEE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CCEE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CEEFF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40" w:type="dxa"/>
            <w:vAlign w:val="bottom"/>
            <w:gridSpan w:val="2"/>
            <w:shd w:val="clear" w:color="auto" w:fill="CCEEFF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Proposal 1: Election of Trustees</w:t>
            </w:r>
          </w:p>
        </w:tc>
        <w:tc>
          <w:tcPr>
            <w:tcW w:w="86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Jon E. Bortz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53,937,657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251,075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David W. Faeder</w:t>
            </w:r>
          </w:p>
        </w:tc>
        <w:tc>
          <w:tcPr>
            <w:tcW w:w="11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50,637,993</w:t>
            </w:r>
          </w:p>
        </w:tc>
        <w:tc>
          <w:tcPr>
            <w:tcW w:w="10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3,550,739</w:t>
            </w: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Kristin Gamble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52,872,056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1,316,676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Gail P. Steinel</w:t>
            </w:r>
          </w:p>
        </w:tc>
        <w:tc>
          <w:tcPr>
            <w:tcW w:w="11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53,150,922</w:t>
            </w:r>
          </w:p>
        </w:tc>
        <w:tc>
          <w:tcPr>
            <w:tcW w:w="10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1,037,810</w:t>
            </w: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Warren M. Thompson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53,840,428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348,303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Joseph S. Vassalluzzo</w:t>
            </w:r>
          </w:p>
        </w:tc>
        <w:tc>
          <w:tcPr>
            <w:tcW w:w="11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53,196,433</w:t>
            </w:r>
          </w:p>
        </w:tc>
        <w:tc>
          <w:tcPr>
            <w:tcW w:w="10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992,299</w:t>
            </w: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Donald C. Wood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54,136,523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52,209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40" w:type="dxa"/>
            <w:vAlign w:val="bottom"/>
            <w:gridSpan w:val="2"/>
            <w:shd w:val="clear" w:color="auto" w:fill="CCEEFF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Proposal 2: Ratification of the appointment of Grant Thornton LLP as the Trust’s</w:t>
            </w:r>
          </w:p>
        </w:tc>
        <w:tc>
          <w:tcPr>
            <w:tcW w:w="86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40" w:type="dxa"/>
            <w:vAlign w:val="bottom"/>
            <w:gridSpan w:val="2"/>
            <w:shd w:val="clear" w:color="auto" w:fill="CCEEFF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independent registered public accounting firm for the year ending December 31,</w:t>
            </w:r>
          </w:p>
        </w:tc>
        <w:tc>
          <w:tcPr>
            <w:tcW w:w="8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40" w:type="dxa"/>
            <w:vAlign w:val="bottom"/>
            <w:gridSpan w:val="2"/>
            <w:shd w:val="clear" w:color="auto" w:fill="CCEEFF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2012</w:t>
            </w:r>
          </w:p>
        </w:tc>
        <w:tc>
          <w:tcPr>
            <w:tcW w:w="11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57,211,307</w:t>
            </w:r>
          </w:p>
        </w:tc>
        <w:tc>
          <w:tcPr>
            <w:tcW w:w="10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743,465</w:t>
            </w:r>
          </w:p>
        </w:tc>
        <w:tc>
          <w:tcPr>
            <w:tcW w:w="7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29,459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6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Proposal 3: Advisory vote on compensation of our named executive officers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52,296,957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1,781,748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110,025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3,795,503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60"/>
          </w:cols>
          <w:pgMar w:left="240" w:top="274" w:right="3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FEDERAL REALTY INVESTMENT TRUST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4,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Dawn M. Becker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Dawn M. Becker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President-General Counsel and Secretary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2019-12-09T06:39:37Z</dcterms:created>
  <dcterms:modified xsi:type="dcterms:W3CDTF">2019-12-09T06:39:37Z</dcterms:modified>
</cp:coreProperties>
</file>