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353695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396875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(Rule 14a-101)</w:t>
      </w:r>
    </w:p>
    <w:p>
      <w:pPr>
        <w:jc w:val="center"/>
        <w:ind w:right="-1120"/>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SCHEDULE 14A INFORMATION</w:t>
      </w:r>
    </w:p>
    <w:p>
      <w:pPr>
        <w:spacing w:after="0" w:line="7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120"/>
        <w:spacing w:after="0" w:line="161" w:lineRule="exact"/>
        <w:tabs>
          <w:tab w:leader="none" w:pos="286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8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50"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63" w:lineRule="exact"/>
        <w:rPr>
          <w:rFonts w:ascii="MS PGothic" w:cs="MS PGothic" w:eastAsia="MS PGothic" w:hAnsi="MS PGothic"/>
          <w:sz w:val="14"/>
          <w:szCs w:val="1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6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63"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63" w:lineRule="exact"/>
        <w:rPr>
          <w:rFonts w:ascii="MS PGothic" w:cs="MS PGothic" w:eastAsia="MS PGothic" w:hAnsi="MS PGothic"/>
          <w:sz w:val="14"/>
          <w:szCs w:val="1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22" w:lineRule="exact"/>
        <w:rPr>
          <w:sz w:val="24"/>
          <w:szCs w:val="24"/>
          <w:color w:val="auto"/>
        </w:rPr>
      </w:pPr>
    </w:p>
    <w:p>
      <w:pPr>
        <w:jc w:val="center"/>
        <w:ind w:right="-1120"/>
        <w:spacing w:after="0"/>
        <w:rPr>
          <w:sz w:val="20"/>
          <w:szCs w:val="20"/>
          <w:color w:val="auto"/>
        </w:rPr>
      </w:pPr>
      <w:r>
        <w:rPr>
          <w:rFonts w:ascii="Arial" w:cs="Arial" w:eastAsia="Arial" w:hAnsi="Arial"/>
          <w:sz w:val="39"/>
          <w:szCs w:val="39"/>
          <w:b w:val="1"/>
          <w:bCs w:val="1"/>
          <w:color w:val="auto"/>
        </w:rPr>
        <w:t>FEDERAL REALTY INVESTMENT TRUST</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8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all boxes that apply):</w:t>
      </w:r>
    </w:p>
    <w:p>
      <w:pPr>
        <w:spacing w:after="0" w:line="109"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452120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495300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215265</wp:posOffset>
            </wp:positionV>
            <wp:extent cx="6995160" cy="905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1879600</wp:posOffset>
            </wp:positionV>
            <wp:extent cx="699516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Letter to Our Shareholders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24, 2023</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Shareholders: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On behalf of the Board of Trustees and the entire Federal team, you are invited to join us at our 2023 Annual Meeting of Shareholders to be held virtually beginning at 9:00 a.m. eastern time on May 3, 2023. This proxy statement includes important information about how you can join and ask questions at the meeting and about the matters that will be voted on at the meeting.</w:t>
      </w:r>
    </w:p>
    <w:p>
      <w:pPr>
        <w:spacing w:after="0" w:line="169"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Federal’s operating performance in 2022 was marked by continued strong demand for our real estate assets as evidenced by record levels of new and renewal leases for comparable spaces and significant occupancy improvements. Shoppers and diners returned to our real estate after the enforced isolation of COVID-19 lockdowns reinforcing our belief that well-located real estate that is truly part of the local community and more than just a place to transact business will succeed over the long-term. The return of the consumer and overall strong demand for our assets resulted in us delivering a record level of top line revenue and strong bottom line earnings despite the inflationary pressures that started hitting in the second half of the year. We also made significant progress during 2022 in our efforts to reduce our Scope 1 and Scope 2 greenhouse gas emissions and to improve the resilience of our assets to the physical and transition risks associated with climate change. All parts of our business are working together to position us to be able to deliver strong results for years to come.</w:t>
      </w:r>
    </w:p>
    <w:p>
      <w:pPr>
        <w:spacing w:after="0" w:line="18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Our strong performance would not have been possible without the extraordinary efforts of our Board and each and every one of our employees. We are extremely proud of the work this team has accomplished.</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continued support of Federal and we look forward to your participation in this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172085</wp:posOffset>
            </wp:positionV>
            <wp:extent cx="66865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655" cy="4629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163195</wp:posOffset>
            </wp:positionV>
            <wp:extent cx="104584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5845" cy="55753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 Faeder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Executive Officer</w:t>
      </w:r>
    </w:p>
    <w:p>
      <w:pPr>
        <w:sectPr>
          <w:pgSz w:w="11900" w:h="16838" w:orient="portrait"/>
          <w:cols w:equalWidth="0" w:num="2">
            <w:col w:w="5140" w:space="720"/>
            <w:col w:w="5280"/>
          </w:cols>
          <w:pgMar w:left="320" w:top="482"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Notice of Annual Meeting of Shareholders</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wp:posOffset>
            </wp:positionV>
            <wp:extent cx="699516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Election of 7 trustees for 1 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-358775</wp:posOffset>
            </wp:positionV>
            <wp:extent cx="622363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23635"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7"/>
          <w:szCs w:val="17"/>
          <w:color w:val="auto"/>
        </w:rPr>
        <w:t>Non-binding advisory vote on 2022 executive compensation</w:t>
      </w:r>
    </w:p>
    <w:p>
      <w:pPr>
        <w:spacing w:after="0" w:line="200" w:lineRule="exact"/>
        <w:rPr>
          <w:sz w:val="20"/>
          <w:szCs w:val="20"/>
          <w:color w:val="auto"/>
        </w:rPr>
      </w:pPr>
    </w:p>
    <w:p>
      <w:pPr>
        <w:spacing w:after="0" w:line="228" w:lineRule="exact"/>
        <w:rPr>
          <w:sz w:val="20"/>
          <w:szCs w:val="20"/>
          <w:color w:val="auto"/>
        </w:rPr>
      </w:pPr>
    </w:p>
    <w:p>
      <w:pPr>
        <w:ind w:left="1540" w:right="560" w:hanging="1430"/>
        <w:spacing w:after="0" w:line="271" w:lineRule="auto"/>
        <w:tabs>
          <w:tab w:leader="none" w:pos="152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8"/>
          <w:szCs w:val="18"/>
          <w:color w:val="auto"/>
        </w:rPr>
        <w:t>Non-binding advisory vote on frequency of future votes on executive compensation</w:t>
      </w:r>
    </w:p>
    <w:p>
      <w:pPr>
        <w:spacing w:after="0" w:line="167" w:lineRule="exact"/>
        <w:rPr>
          <w:sz w:val="20"/>
          <w:szCs w:val="20"/>
          <w:color w:val="auto"/>
        </w:rPr>
      </w:pPr>
    </w:p>
    <w:p>
      <w:pPr>
        <w:ind w:left="1540" w:right="260" w:hanging="1430"/>
        <w:spacing w:after="0" w:line="271" w:lineRule="auto"/>
        <w:tabs>
          <w:tab w:leader="none" w:pos="1520" w:val="left"/>
        </w:tabs>
        <w:rPr>
          <w:sz w:val="20"/>
          <w:szCs w:val="20"/>
          <w:color w:val="auto"/>
        </w:rPr>
      </w:pPr>
      <w:r>
        <w:rPr>
          <w:rFonts w:ascii="Arial" w:cs="Arial" w:eastAsia="Arial" w:hAnsi="Arial"/>
          <w:sz w:val="18"/>
          <w:szCs w:val="18"/>
          <w:color w:val="auto"/>
        </w:rPr>
        <w:t>Proposal 4</w:t>
      </w:r>
      <w:r>
        <w:rPr>
          <w:sz w:val="20"/>
          <w:szCs w:val="20"/>
          <w:color w:val="auto"/>
        </w:rPr>
        <w:tab/>
      </w:r>
      <w:r>
        <w:rPr>
          <w:rFonts w:ascii="Arial" w:cs="Arial" w:eastAsia="Arial" w:hAnsi="Arial"/>
          <w:sz w:val="18"/>
          <w:szCs w:val="18"/>
          <w:color w:val="auto"/>
        </w:rPr>
        <w:t>Non-binding advisory vote to amend our declaration of trust to increase number of authorized common shares</w:t>
      </w:r>
    </w:p>
    <w:p>
      <w:pPr>
        <w:spacing w:after="0" w:line="167" w:lineRule="exact"/>
        <w:rPr>
          <w:sz w:val="20"/>
          <w:szCs w:val="20"/>
          <w:color w:val="auto"/>
        </w:rPr>
      </w:pPr>
    </w:p>
    <w:p>
      <w:pPr>
        <w:ind w:left="1540" w:right="800" w:hanging="1430"/>
        <w:spacing w:after="0" w:line="271" w:lineRule="auto"/>
        <w:tabs>
          <w:tab w:leader="none" w:pos="1520" w:val="left"/>
        </w:tabs>
        <w:rPr>
          <w:sz w:val="20"/>
          <w:szCs w:val="20"/>
          <w:color w:val="auto"/>
        </w:rPr>
      </w:pPr>
      <w:r>
        <w:rPr>
          <w:rFonts w:ascii="Arial" w:cs="Arial" w:eastAsia="Arial" w:hAnsi="Arial"/>
          <w:sz w:val="18"/>
          <w:szCs w:val="18"/>
          <w:color w:val="auto"/>
        </w:rPr>
        <w:t>Proposal 5</w:t>
      </w:r>
      <w:r>
        <w:rPr>
          <w:sz w:val="20"/>
          <w:szCs w:val="20"/>
          <w:color w:val="auto"/>
        </w:rPr>
        <w:tab/>
      </w:r>
      <w:r>
        <w:rPr>
          <w:rFonts w:ascii="Arial" w:cs="Arial" w:eastAsia="Arial" w:hAnsi="Arial"/>
          <w:sz w:val="18"/>
          <w:szCs w:val="18"/>
          <w:color w:val="auto"/>
        </w:rPr>
        <w:t>Ratification of Grant Thornton, LLC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Pr>
          <w:p>
            <w:pPr>
              <w:ind w:left="220"/>
              <w:spacing w:after="0"/>
              <w:rPr>
                <w:sz w:val="20"/>
                <w:szCs w:val="20"/>
                <w:color w:val="auto"/>
              </w:rPr>
            </w:pPr>
            <w:r>
              <w:rPr>
                <w:rFonts w:ascii="Arial" w:cs="Arial" w:eastAsia="Arial" w:hAnsi="Arial"/>
                <w:sz w:val="16"/>
                <w:szCs w:val="16"/>
                <w:color w:val="FFFFFF"/>
              </w:rPr>
              <w:t>Board Voting</w:t>
            </w:r>
          </w:p>
        </w:tc>
        <w:tc>
          <w:tcPr>
            <w:tcW w:w="1680" w:type="dxa"/>
            <w:vAlign w:val="bottom"/>
          </w:tcPr>
          <w:p>
            <w:pPr>
              <w:jc w:val="center"/>
              <w:ind w:left="213"/>
              <w:spacing w:after="0"/>
              <w:rPr>
                <w:sz w:val="20"/>
                <w:szCs w:val="20"/>
                <w:color w:val="auto"/>
              </w:rPr>
            </w:pPr>
            <w:r>
              <w:rPr>
                <w:rFonts w:ascii="Arial" w:cs="Arial" w:eastAsia="Arial" w:hAnsi="Arial"/>
                <w:sz w:val="16"/>
                <w:szCs w:val="16"/>
                <w:color w:val="FFFFFF"/>
              </w:rPr>
              <w:t>Where to find more</w:t>
            </w:r>
          </w:p>
        </w:tc>
      </w:tr>
      <w:tr>
        <w:trPr>
          <w:trHeight w:val="215"/>
        </w:trPr>
        <w:tc>
          <w:tcPr>
            <w:tcW w:w="1860" w:type="dxa"/>
            <w:vAlign w:val="bottom"/>
          </w:tcPr>
          <w:p>
            <w:pPr>
              <w:ind w:left="40"/>
              <w:spacing w:after="0"/>
              <w:rPr>
                <w:sz w:val="20"/>
                <w:szCs w:val="20"/>
                <w:color w:val="auto"/>
              </w:rPr>
            </w:pPr>
            <w:r>
              <w:rPr>
                <w:rFonts w:ascii="Arial" w:cs="Arial" w:eastAsia="Arial" w:hAnsi="Arial"/>
                <w:sz w:val="16"/>
                <w:szCs w:val="16"/>
                <w:color w:val="FFFFFF"/>
              </w:rPr>
              <w:t>Recommendation</w:t>
            </w:r>
          </w:p>
        </w:tc>
        <w:tc>
          <w:tcPr>
            <w:tcW w:w="1680" w:type="dxa"/>
            <w:vAlign w:val="bottom"/>
          </w:tcPr>
          <w:p>
            <w:pPr>
              <w:jc w:val="center"/>
              <w:ind w:left="193"/>
              <w:spacing w:after="0"/>
              <w:rPr>
                <w:sz w:val="20"/>
                <w:szCs w:val="20"/>
                <w:color w:val="auto"/>
              </w:rPr>
            </w:pPr>
            <w:r>
              <w:rPr>
                <w:rFonts w:ascii="Arial" w:cs="Arial" w:eastAsia="Arial" w:hAnsi="Arial"/>
                <w:sz w:val="16"/>
                <w:szCs w:val="16"/>
                <w:color w:val="FFFFFF"/>
              </w:rPr>
              <w:t>information</w:t>
            </w:r>
          </w:p>
        </w:tc>
      </w:tr>
      <w:tr>
        <w:trPr>
          <w:trHeight w:val="303"/>
        </w:trPr>
        <w:tc>
          <w:tcPr>
            <w:tcW w:w="1860" w:type="dxa"/>
            <w:vAlign w:val="bottom"/>
          </w:tcPr>
          <w:p>
            <w:pPr>
              <w:spacing w:after="0"/>
              <w:rPr>
                <w:sz w:val="20"/>
                <w:szCs w:val="20"/>
                <w:color w:val="auto"/>
              </w:rPr>
            </w:pPr>
            <w:r>
              <w:rPr>
                <w:rFonts w:ascii="Arial" w:cs="Arial" w:eastAsia="Arial" w:hAnsi="Arial"/>
                <w:sz w:val="18"/>
                <w:szCs w:val="18"/>
                <w:color w:val="FF160F"/>
              </w:rPr>
              <w:t xml:space="preserve">FOR </w:t>
            </w:r>
            <w:r>
              <w:rPr>
                <w:rFonts w:ascii="Arial" w:cs="Arial" w:eastAsia="Arial" w:hAnsi="Arial"/>
                <w:sz w:val="18"/>
                <w:szCs w:val="18"/>
                <w:color w:val="000000"/>
              </w:rPr>
              <w:t>each nominee</w:t>
            </w:r>
          </w:p>
        </w:tc>
        <w:tc>
          <w:tcPr>
            <w:tcW w:w="1680" w:type="dxa"/>
            <w:vAlign w:val="bottom"/>
          </w:tcPr>
          <w:p>
            <w:pPr>
              <w:jc w:val="center"/>
              <w:ind w:left="213"/>
              <w:spacing w:after="0"/>
              <w:rPr>
                <w:sz w:val="20"/>
                <w:szCs w:val="20"/>
                <w:color w:val="auto"/>
              </w:rPr>
            </w:pPr>
            <w:r>
              <w:rPr>
                <w:rFonts w:ascii="Arial" w:cs="Arial" w:eastAsia="Arial" w:hAnsi="Arial"/>
                <w:sz w:val="18"/>
                <w:szCs w:val="18"/>
                <w:color w:val="auto"/>
                <w:w w:val="98"/>
              </w:rPr>
              <w:t>Page 10</w:t>
            </w:r>
          </w:p>
        </w:tc>
      </w:tr>
      <w:tr>
        <w:trPr>
          <w:trHeight w:val="634"/>
        </w:trPr>
        <w:tc>
          <w:tcPr>
            <w:tcW w:w="1860" w:type="dxa"/>
            <w:vAlign w:val="bottom"/>
          </w:tcPr>
          <w:p>
            <w:pPr>
              <w:spacing w:after="0"/>
              <w:rPr>
                <w:sz w:val="20"/>
                <w:szCs w:val="20"/>
                <w:color w:val="auto"/>
              </w:rPr>
            </w:pPr>
            <w:r>
              <w:rPr>
                <w:rFonts w:ascii="Arial" w:cs="Arial" w:eastAsia="Arial" w:hAnsi="Arial"/>
                <w:sz w:val="18"/>
                <w:szCs w:val="18"/>
                <w:color w:val="FF160F"/>
              </w:rPr>
              <w:t>FOR</w:t>
            </w:r>
          </w:p>
        </w:tc>
        <w:tc>
          <w:tcPr>
            <w:tcW w:w="1680" w:type="dxa"/>
            <w:vAlign w:val="bottom"/>
          </w:tcPr>
          <w:p>
            <w:pPr>
              <w:jc w:val="center"/>
              <w:ind w:left="213"/>
              <w:spacing w:after="0"/>
              <w:rPr>
                <w:sz w:val="20"/>
                <w:szCs w:val="20"/>
                <w:color w:val="auto"/>
              </w:rPr>
            </w:pPr>
            <w:r>
              <w:rPr>
                <w:rFonts w:ascii="Arial" w:cs="Arial" w:eastAsia="Arial" w:hAnsi="Arial"/>
                <w:sz w:val="18"/>
                <w:szCs w:val="18"/>
                <w:color w:val="auto"/>
                <w:w w:val="98"/>
              </w:rPr>
              <w:t>Page 18</w:t>
            </w:r>
          </w:p>
        </w:tc>
      </w:tr>
      <w:tr>
        <w:trPr>
          <w:trHeight w:val="635"/>
        </w:trPr>
        <w:tc>
          <w:tcPr>
            <w:tcW w:w="1860" w:type="dxa"/>
            <w:vAlign w:val="bottom"/>
          </w:tcPr>
          <w:p>
            <w:pPr>
              <w:spacing w:after="0"/>
              <w:rPr>
                <w:sz w:val="20"/>
                <w:szCs w:val="20"/>
                <w:color w:val="auto"/>
              </w:rPr>
            </w:pPr>
            <w:r>
              <w:rPr>
                <w:rFonts w:ascii="Arial" w:cs="Arial" w:eastAsia="Arial" w:hAnsi="Arial"/>
                <w:sz w:val="18"/>
                <w:szCs w:val="18"/>
                <w:color w:val="FF160F"/>
              </w:rPr>
              <w:t>FOR</w:t>
            </w:r>
          </w:p>
        </w:tc>
        <w:tc>
          <w:tcPr>
            <w:tcW w:w="1680" w:type="dxa"/>
            <w:vAlign w:val="bottom"/>
          </w:tcPr>
          <w:p>
            <w:pPr>
              <w:jc w:val="center"/>
              <w:ind w:left="213"/>
              <w:spacing w:after="0"/>
              <w:rPr>
                <w:sz w:val="20"/>
                <w:szCs w:val="20"/>
                <w:color w:val="auto"/>
              </w:rPr>
            </w:pPr>
            <w:r>
              <w:rPr>
                <w:rFonts w:ascii="Arial" w:cs="Arial" w:eastAsia="Arial" w:hAnsi="Arial"/>
                <w:sz w:val="18"/>
                <w:szCs w:val="18"/>
                <w:color w:val="auto"/>
                <w:w w:val="98"/>
              </w:rPr>
              <w:t>Page 40</w:t>
            </w:r>
          </w:p>
        </w:tc>
      </w:tr>
      <w:tr>
        <w:trPr>
          <w:trHeight w:val="634"/>
        </w:trPr>
        <w:tc>
          <w:tcPr>
            <w:tcW w:w="1860" w:type="dxa"/>
            <w:vAlign w:val="bottom"/>
          </w:tcPr>
          <w:p>
            <w:pPr>
              <w:spacing w:after="0"/>
              <w:rPr>
                <w:sz w:val="20"/>
                <w:szCs w:val="20"/>
                <w:color w:val="auto"/>
              </w:rPr>
            </w:pPr>
            <w:r>
              <w:rPr>
                <w:rFonts w:ascii="Arial" w:cs="Arial" w:eastAsia="Arial" w:hAnsi="Arial"/>
                <w:sz w:val="18"/>
                <w:szCs w:val="18"/>
                <w:color w:val="FF160F"/>
              </w:rPr>
              <w:t>FOR</w:t>
            </w:r>
          </w:p>
        </w:tc>
        <w:tc>
          <w:tcPr>
            <w:tcW w:w="1680" w:type="dxa"/>
            <w:vAlign w:val="bottom"/>
          </w:tcPr>
          <w:p>
            <w:pPr>
              <w:jc w:val="center"/>
              <w:ind w:left="213"/>
              <w:spacing w:after="0"/>
              <w:rPr>
                <w:sz w:val="20"/>
                <w:szCs w:val="20"/>
                <w:color w:val="auto"/>
              </w:rPr>
            </w:pPr>
            <w:r>
              <w:rPr>
                <w:rFonts w:ascii="Arial" w:cs="Arial" w:eastAsia="Arial" w:hAnsi="Arial"/>
                <w:sz w:val="18"/>
                <w:szCs w:val="18"/>
                <w:color w:val="auto"/>
                <w:w w:val="98"/>
              </w:rPr>
              <w:t>Page 40</w:t>
            </w:r>
          </w:p>
        </w:tc>
      </w:tr>
      <w:tr>
        <w:trPr>
          <w:trHeight w:val="634"/>
        </w:trPr>
        <w:tc>
          <w:tcPr>
            <w:tcW w:w="1860" w:type="dxa"/>
            <w:vAlign w:val="bottom"/>
          </w:tcPr>
          <w:p>
            <w:pPr>
              <w:spacing w:after="0"/>
              <w:rPr>
                <w:sz w:val="20"/>
                <w:szCs w:val="20"/>
                <w:color w:val="auto"/>
              </w:rPr>
            </w:pPr>
            <w:r>
              <w:rPr>
                <w:rFonts w:ascii="Arial" w:cs="Arial" w:eastAsia="Arial" w:hAnsi="Arial"/>
                <w:sz w:val="18"/>
                <w:szCs w:val="18"/>
                <w:color w:val="FF160F"/>
              </w:rPr>
              <w:t>FOR</w:t>
            </w:r>
          </w:p>
        </w:tc>
        <w:tc>
          <w:tcPr>
            <w:tcW w:w="1680" w:type="dxa"/>
            <w:vAlign w:val="bottom"/>
          </w:tcPr>
          <w:p>
            <w:pPr>
              <w:jc w:val="center"/>
              <w:ind w:left="213"/>
              <w:spacing w:after="0"/>
              <w:rPr>
                <w:sz w:val="20"/>
                <w:szCs w:val="20"/>
                <w:color w:val="auto"/>
              </w:rPr>
            </w:pPr>
            <w:r>
              <w:rPr>
                <w:rFonts w:ascii="Arial" w:cs="Arial" w:eastAsia="Arial" w:hAnsi="Arial"/>
                <w:sz w:val="18"/>
                <w:szCs w:val="18"/>
                <w:color w:val="auto"/>
                <w:w w:val="98"/>
              </w:rPr>
              <w:t>Page 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-1750695</wp:posOffset>
            </wp:positionV>
            <wp:extent cx="19685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-1348105</wp:posOffset>
            </wp:positionV>
            <wp:extent cx="19685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-944880</wp:posOffset>
            </wp:positionV>
            <wp:extent cx="19685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-542290</wp:posOffset>
            </wp:positionV>
            <wp:extent cx="19685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-139065</wp:posOffset>
            </wp:positionV>
            <wp:extent cx="19685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850" cy="197485"/>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6720" w:space="720"/>
            <w:col w:w="3700"/>
          </w:cols>
          <w:pgMar w:left="320" w:top="482" w:right="439" w:bottom="1440" w:gutter="0" w:footer="0" w:header="0"/>
          <w:type w:val="continuous"/>
        </w:sect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business will be transacted as may properly come before the 2023 annual meeting of shareholders (“Annual Meeting”).</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2023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180340</wp:posOffset>
            </wp:positionV>
            <wp:extent cx="265430" cy="266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430" cy="26606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163195</wp:posOffset>
            </wp:positionV>
            <wp:extent cx="196850"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6850" cy="28321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197485</wp:posOffset>
            </wp:positionV>
            <wp:extent cx="257175" cy="248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600" w:type="dxa"/>
            <w:vAlign w:val="bottom"/>
          </w:tcPr>
          <w:p>
            <w:pPr>
              <w:jc w:val="center"/>
              <w:ind w:left="170"/>
              <w:spacing w:after="0"/>
              <w:rPr>
                <w:sz w:val="20"/>
                <w:szCs w:val="20"/>
                <w:color w:val="auto"/>
              </w:rPr>
            </w:pPr>
            <w:r>
              <w:rPr>
                <w:rFonts w:ascii="Arial" w:cs="Arial" w:eastAsia="Arial" w:hAnsi="Arial"/>
                <w:sz w:val="18"/>
                <w:szCs w:val="18"/>
                <w:color w:val="FF160F"/>
                <w:w w:val="99"/>
              </w:rPr>
              <w:t>Date and Time</w:t>
            </w:r>
          </w:p>
        </w:tc>
        <w:tc>
          <w:tcPr>
            <w:tcW w:w="4340" w:type="dxa"/>
            <w:vAlign w:val="bottom"/>
          </w:tcPr>
          <w:p>
            <w:pPr>
              <w:jc w:val="center"/>
              <w:spacing w:after="0"/>
              <w:rPr>
                <w:sz w:val="20"/>
                <w:szCs w:val="20"/>
                <w:color w:val="auto"/>
              </w:rPr>
            </w:pPr>
            <w:r>
              <w:rPr>
                <w:rFonts w:ascii="Arial" w:cs="Arial" w:eastAsia="Arial" w:hAnsi="Arial"/>
                <w:sz w:val="18"/>
                <w:szCs w:val="18"/>
                <w:color w:val="FF160F"/>
                <w:w w:val="99"/>
              </w:rPr>
              <w:t>Location</w:t>
            </w:r>
          </w:p>
        </w:tc>
        <w:tc>
          <w:tcPr>
            <w:tcW w:w="3080" w:type="dxa"/>
            <w:vAlign w:val="bottom"/>
          </w:tcPr>
          <w:p>
            <w:pPr>
              <w:jc w:val="center"/>
              <w:ind w:right="250"/>
              <w:spacing w:after="0"/>
              <w:rPr>
                <w:sz w:val="20"/>
                <w:szCs w:val="20"/>
                <w:color w:val="auto"/>
              </w:rPr>
            </w:pPr>
            <w:r>
              <w:rPr>
                <w:rFonts w:ascii="Arial" w:cs="Arial" w:eastAsia="Arial" w:hAnsi="Arial"/>
                <w:sz w:val="18"/>
                <w:szCs w:val="18"/>
                <w:color w:val="FF160F"/>
              </w:rPr>
              <w:t>Record Date</w:t>
            </w:r>
          </w:p>
        </w:tc>
      </w:tr>
      <w:tr>
        <w:trPr>
          <w:trHeight w:val="77"/>
        </w:trPr>
        <w:tc>
          <w:tcPr>
            <w:tcW w:w="3600" w:type="dxa"/>
            <w:vAlign w:val="bottom"/>
            <w:tcBorders>
              <w:bottom w:val="single" w:sz="8" w:color="auto"/>
            </w:tcBorders>
          </w:tcPr>
          <w:p>
            <w:pPr>
              <w:spacing w:after="0"/>
              <w:rPr>
                <w:sz w:val="6"/>
                <w:szCs w:val="6"/>
                <w:color w:val="auto"/>
              </w:rPr>
            </w:pPr>
          </w:p>
        </w:tc>
        <w:tc>
          <w:tcPr>
            <w:tcW w:w="434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r>
      <w:tr>
        <w:trPr>
          <w:trHeight w:val="339"/>
        </w:trPr>
        <w:tc>
          <w:tcPr>
            <w:tcW w:w="3600" w:type="dxa"/>
            <w:vAlign w:val="bottom"/>
          </w:tcPr>
          <w:p>
            <w:pPr>
              <w:jc w:val="center"/>
              <w:ind w:left="170"/>
              <w:spacing w:after="0"/>
              <w:rPr>
                <w:sz w:val="20"/>
                <w:szCs w:val="20"/>
                <w:color w:val="auto"/>
              </w:rPr>
            </w:pPr>
            <w:r>
              <w:rPr>
                <w:rFonts w:ascii="Arial" w:cs="Arial" w:eastAsia="Arial" w:hAnsi="Arial"/>
                <w:sz w:val="18"/>
                <w:szCs w:val="18"/>
                <w:color w:val="auto"/>
                <w:w w:val="98"/>
              </w:rPr>
              <w:t>Wednesday, May 3, 2023</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Virtual Meeting</w:t>
            </w:r>
          </w:p>
        </w:tc>
        <w:tc>
          <w:tcPr>
            <w:tcW w:w="3080" w:type="dxa"/>
            <w:vAlign w:val="bottom"/>
          </w:tcPr>
          <w:p>
            <w:pPr>
              <w:jc w:val="center"/>
              <w:ind w:right="250"/>
              <w:spacing w:after="0"/>
              <w:rPr>
                <w:sz w:val="20"/>
                <w:szCs w:val="20"/>
                <w:color w:val="auto"/>
              </w:rPr>
            </w:pPr>
            <w:r>
              <w:rPr>
                <w:rFonts w:ascii="Arial" w:cs="Arial" w:eastAsia="Arial" w:hAnsi="Arial"/>
                <w:sz w:val="18"/>
                <w:szCs w:val="18"/>
                <w:color w:val="auto"/>
              </w:rPr>
              <w:t>March 13, 2023</w:t>
            </w:r>
          </w:p>
        </w:tc>
      </w:tr>
      <w:tr>
        <w:trPr>
          <w:trHeight w:val="239"/>
        </w:trPr>
        <w:tc>
          <w:tcPr>
            <w:tcW w:w="3600" w:type="dxa"/>
            <w:vAlign w:val="bottom"/>
          </w:tcPr>
          <w:p>
            <w:pPr>
              <w:jc w:val="center"/>
              <w:ind w:left="150"/>
              <w:spacing w:after="0"/>
              <w:rPr>
                <w:sz w:val="20"/>
                <w:szCs w:val="20"/>
                <w:color w:val="auto"/>
              </w:rPr>
            </w:pPr>
            <w:r>
              <w:rPr>
                <w:rFonts w:ascii="Arial" w:cs="Arial" w:eastAsia="Arial" w:hAnsi="Arial"/>
                <w:sz w:val="18"/>
                <w:szCs w:val="18"/>
                <w:color w:val="auto"/>
                <w:w w:val="99"/>
              </w:rPr>
              <w:t>9:00 a.m., Eastern Time</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https://web.lumiagm.com/202329683</w:t>
            </w:r>
          </w:p>
        </w:tc>
        <w:tc>
          <w:tcPr>
            <w:tcW w:w="3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Only holders of record of our common shares of beneficial interest, $.01 par value per share at the close of business on the record date are entitled to receive notice of, and to vote at, the annual meeting. References to “Common Shares”, “Shares”, “common shares” and “shares” in this proxy statement refer to our common shares of beneficial interest, $.01 par value per share.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Voting:</w:t>
      </w:r>
    </w:p>
    <w:p>
      <w:pPr>
        <w:spacing w:after="0" w:line="212"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7"/>
          <w:szCs w:val="17"/>
          <w:color w:val="auto"/>
        </w:rPr>
        <w:t>Whether or not you plan to attend the meeting and vote your shares at the meeting, we urge you to vote your shares as instructed in the proxy statement. If you received a copy of the proxy card by mail, you may sign, date and mail the proxy card in the postage-paid envelope provided. If your shares are held by a broker, bank or other nominee, please follow the instructions you receive from your broker, bank or other nominee to have your shares voted. Any proxy may be revoked at any time prior to its exercise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130175</wp:posOffset>
            </wp:positionV>
            <wp:extent cx="4080510" cy="960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80510" cy="9601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Trustees,</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Dawn M. Becker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Executive Vice President-General Counsel And Secretary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24, 2023</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FF160F"/>
        </w:rPr>
        <w:t>Important Notice Regarding Internet Availability of Proxy Materials</w:t>
      </w:r>
    </w:p>
    <w:p>
      <w:pPr>
        <w:spacing w:after="0" w:line="208" w:lineRule="exact"/>
        <w:rPr>
          <w:sz w:val="20"/>
          <w:szCs w:val="20"/>
          <w:color w:val="auto"/>
        </w:rPr>
      </w:pPr>
    </w:p>
    <w:p>
      <w:pPr>
        <w:jc w:val="both"/>
        <w:ind w:right="40"/>
        <w:spacing w:after="0" w:line="256" w:lineRule="auto"/>
        <w:rPr>
          <w:sz w:val="20"/>
          <w:szCs w:val="20"/>
          <w:color w:val="auto"/>
        </w:rPr>
      </w:pPr>
      <w:r>
        <w:rPr>
          <w:rFonts w:ascii="Arial" w:cs="Arial" w:eastAsia="Arial" w:hAnsi="Arial"/>
          <w:sz w:val="16"/>
          <w:szCs w:val="16"/>
          <w:color w:val="auto"/>
        </w:rPr>
        <w:t xml:space="preserve">The proxy statement and annual report to shareholders, including our annual report on Form 10-K for the year ended December 31, 2022, are available at </w:t>
      </w:r>
      <w:r>
        <w:rPr>
          <w:rFonts w:ascii="Arial" w:cs="Arial" w:eastAsia="Arial" w:hAnsi="Arial"/>
          <w:sz w:val="16"/>
          <w:szCs w:val="16"/>
          <w:i w:val="1"/>
          <w:iCs w:val="1"/>
          <w:color w:val="auto"/>
        </w:rPr>
        <w:t xml:space="preserve">www.federalrealty.com. </w:t>
      </w:r>
      <w:r>
        <w:rPr>
          <w:rFonts w:ascii="Arial" w:cs="Arial" w:eastAsia="Arial" w:hAnsi="Arial"/>
          <w:sz w:val="16"/>
          <w:szCs w:val="16"/>
          <w:color w:val="auto"/>
        </w:rPr>
        <w:t>References in this proxy statement to our website are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for your convenience only and the content on our website does not constitute part of this proxy statement.</w:t>
      </w:r>
    </w:p>
    <w:p>
      <w:pPr>
        <w:sectPr>
          <w:pgSz w:w="11900" w:h="16838" w:orient="portrait"/>
          <w:cols w:equalWidth="0" w:num="2">
            <w:col w:w="4700" w:space="120"/>
            <w:col w:w="6320"/>
          </w:cols>
          <w:pgMar w:left="320" w:top="482"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Table of Contents</w:t>
      </w:r>
    </w:p>
    <w:p>
      <w:pPr>
        <w:spacing w:after="0" w:line="200" w:lineRule="exact"/>
        <w:rPr>
          <w:sz w:val="20"/>
          <w:szCs w:val="20"/>
          <w:color w:val="auto"/>
        </w:rPr>
      </w:pP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3380" w:type="dxa"/>
            <w:vAlign w:val="bottom"/>
            <w:gridSpan w:val="6"/>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OMPANY</w:t>
            </w:r>
            <w:r>
              <w:rPr>
                <w:rFonts w:ascii="Arial" w:cs="Arial" w:eastAsia="Arial" w:hAnsi="Arial"/>
                <w:sz w:val="22"/>
                <w:szCs w:val="22"/>
                <w:b w:val="1"/>
                <w:bCs w:val="1"/>
                <w:color w:val="0000EE"/>
              </w:rPr>
              <w:t xml:space="preserve"> I</w:t>
            </w:r>
            <w:r>
              <w:rPr>
                <w:rFonts w:ascii="Arial" w:cs="Arial" w:eastAsia="Arial" w:hAnsi="Arial"/>
                <w:sz w:val="17"/>
                <w:szCs w:val="17"/>
                <w:b w:val="1"/>
                <w:bCs w:val="1"/>
                <w:color w:val="0000EE"/>
              </w:rPr>
              <w:t>NFORMATION</w:t>
            </w:r>
          </w:p>
        </w:tc>
        <w:tc>
          <w:tcPr>
            <w:tcW w:w="1800" w:type="dxa"/>
            <w:vAlign w:val="bottom"/>
          </w:tcPr>
          <w:p>
            <w:pPr>
              <w:jc w:val="right"/>
              <w:ind w:right="23"/>
              <w:spacing w:after="0"/>
              <w:rPr>
                <w:sz w:val="20"/>
                <w:szCs w:val="20"/>
                <w:color w:val="auto"/>
              </w:rPr>
            </w:pPr>
            <w:r>
              <w:rPr>
                <w:rFonts w:ascii="Arial" w:cs="Arial" w:eastAsia="Arial" w:hAnsi="Arial"/>
                <w:sz w:val="22"/>
                <w:szCs w:val="22"/>
                <w:b w:val="1"/>
                <w:bCs w:val="1"/>
                <w:color w:val="FF160F"/>
              </w:rPr>
              <w:t>1</w:t>
            </w: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6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880" w:type="dxa"/>
            <w:vAlign w:val="bottom"/>
            <w:tcBorders>
              <w:top w:val="single" w:sz="8" w:color="0000EE"/>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Borders>
              <w:bottom w:val="single" w:sz="8" w:color="0000EE"/>
            </w:tcBorders>
            <w:gridSpan w:val="4"/>
          </w:tcPr>
          <w:p>
            <w:pPr>
              <w:spacing w:after="0" w:line="149" w:lineRule="exact"/>
              <w:rPr>
                <w:sz w:val="20"/>
                <w:szCs w:val="20"/>
                <w:color w:val="auto"/>
              </w:rPr>
            </w:pPr>
            <w:r>
              <w:rPr>
                <w:rFonts w:ascii="Arial" w:cs="Arial" w:eastAsia="Arial" w:hAnsi="Arial"/>
                <w:sz w:val="14"/>
                <w:szCs w:val="14"/>
                <w:color w:val="0000EE"/>
              </w:rPr>
              <w:t>Highlights of 2022 Company Performance</w:t>
            </w:r>
          </w:p>
        </w:tc>
        <w:tc>
          <w:tcPr>
            <w:tcW w:w="460" w:type="dxa"/>
            <w:vAlign w:val="bottom"/>
          </w:tcPr>
          <w:p>
            <w:pPr>
              <w:spacing w:after="0"/>
              <w:rPr>
                <w:sz w:val="12"/>
                <w:szCs w:val="12"/>
                <w:color w:val="auto"/>
              </w:rPr>
            </w:pPr>
          </w:p>
        </w:tc>
        <w:tc>
          <w:tcPr>
            <w:tcW w:w="1800" w:type="dxa"/>
            <w:vAlign w:val="bottom"/>
          </w:tcPr>
          <w:p>
            <w:pPr>
              <w:jc w:val="right"/>
              <w:ind w:right="23"/>
              <w:spacing w:after="0"/>
              <w:rPr>
                <w:sz w:val="20"/>
                <w:szCs w:val="20"/>
                <w:color w:val="auto"/>
              </w:rPr>
            </w:pPr>
            <w:r>
              <w:rPr>
                <w:rFonts w:ascii="Arial" w:cs="Arial" w:eastAsia="Arial" w:hAnsi="Arial"/>
                <w:sz w:val="13"/>
                <w:szCs w:val="13"/>
                <w:color w:val="auto"/>
              </w:rPr>
              <w:t>1</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rPr>
              <w:t>Corporate Values</w:t>
            </w:r>
          </w:p>
        </w:tc>
        <w:tc>
          <w:tcPr>
            <w:tcW w:w="2020" w:type="dxa"/>
            <w:vAlign w:val="bottom"/>
            <w:gridSpan w:val="3"/>
          </w:tcPr>
          <w:p>
            <w:pPr>
              <w:spacing w:after="0"/>
              <w:rPr>
                <w:sz w:val="14"/>
                <w:szCs w:val="14"/>
                <w:color w:val="auto"/>
              </w:rPr>
            </w:pPr>
          </w:p>
        </w:tc>
        <w:tc>
          <w:tcPr>
            <w:tcW w:w="1800" w:type="dxa"/>
            <w:vAlign w:val="bottom"/>
          </w:tcPr>
          <w:p>
            <w:pPr>
              <w:jc w:val="right"/>
              <w:ind w:right="23"/>
              <w:spacing w:after="0"/>
              <w:rPr>
                <w:sz w:val="20"/>
                <w:szCs w:val="20"/>
                <w:color w:val="auto"/>
              </w:rPr>
            </w:pPr>
            <w:r>
              <w:rPr>
                <w:rFonts w:ascii="Arial" w:cs="Arial" w:eastAsia="Arial" w:hAnsi="Arial"/>
                <w:sz w:val="14"/>
                <w:szCs w:val="14"/>
                <w:color w:val="auto"/>
              </w:rPr>
              <w:t>2</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40" w:type="dxa"/>
            <w:vAlign w:val="bottom"/>
            <w:gridSpan w:val="5"/>
          </w:tcPr>
          <w:p>
            <w:pPr>
              <w:spacing w:after="0"/>
              <w:rPr>
                <w:sz w:val="20"/>
                <w:szCs w:val="20"/>
                <w:color w:val="auto"/>
              </w:rPr>
            </w:pPr>
            <w:r>
              <w:rPr>
                <w:rFonts w:ascii="Arial" w:cs="Arial" w:eastAsia="Arial" w:hAnsi="Arial"/>
                <w:sz w:val="14"/>
                <w:szCs w:val="14"/>
                <w:color w:val="0000EE"/>
              </w:rPr>
              <w:t>Our Board</w:t>
            </w:r>
          </w:p>
        </w:tc>
        <w:tc>
          <w:tcPr>
            <w:tcW w:w="1800" w:type="dxa"/>
            <w:vAlign w:val="bottom"/>
          </w:tcPr>
          <w:p>
            <w:pPr>
              <w:jc w:val="right"/>
              <w:ind w:right="23"/>
              <w:spacing w:after="0"/>
              <w:rPr>
                <w:sz w:val="20"/>
                <w:szCs w:val="20"/>
                <w:color w:val="auto"/>
              </w:rPr>
            </w:pPr>
            <w:r>
              <w:rPr>
                <w:rFonts w:ascii="Arial" w:cs="Arial" w:eastAsia="Arial" w:hAnsi="Arial"/>
                <w:sz w:val="14"/>
                <w:szCs w:val="14"/>
                <w:color w:val="auto"/>
              </w:rPr>
              <w:t>2</w:t>
            </w: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4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Environmental, Social and Governance Snapshot</w:t>
            </w:r>
          </w:p>
        </w:tc>
        <w:tc>
          <w:tcPr>
            <w:tcW w:w="1800" w:type="dxa"/>
            <w:vAlign w:val="bottom"/>
          </w:tcPr>
          <w:p>
            <w:pPr>
              <w:jc w:val="right"/>
              <w:ind w:right="23"/>
              <w:spacing w:after="0"/>
              <w:rPr>
                <w:sz w:val="20"/>
                <w:szCs w:val="20"/>
                <w:color w:val="auto"/>
              </w:rPr>
            </w:pPr>
            <w:r>
              <w:rPr>
                <w:rFonts w:ascii="Arial" w:cs="Arial" w:eastAsia="Arial" w:hAnsi="Arial"/>
                <w:sz w:val="14"/>
                <w:szCs w:val="14"/>
                <w:color w:val="auto"/>
              </w:rPr>
              <w:t>3</w:t>
            </w:r>
          </w:p>
        </w:tc>
      </w:tr>
    </w:tbl>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520" w:type="dxa"/>
            <w:vAlign w:val="bottom"/>
            <w:gridSpan w:val="15"/>
          </w:tcPr>
          <w:p>
            <w:pPr>
              <w:spacing w:after="0"/>
              <w:rPr>
                <w:sz w:val="20"/>
                <w:szCs w:val="20"/>
                <w:color w:val="auto"/>
              </w:rPr>
            </w:pPr>
            <w:r>
              <w:rPr>
                <w:rFonts w:ascii="Arial" w:cs="Arial" w:eastAsia="Arial" w:hAnsi="Arial"/>
                <w:sz w:val="22"/>
                <w:szCs w:val="22"/>
                <w:b w:val="1"/>
                <w:bCs w:val="1"/>
                <w:color w:val="0000EE"/>
              </w:rPr>
              <w:t>G</w:t>
            </w:r>
            <w:r>
              <w:rPr>
                <w:rFonts w:ascii="Arial" w:cs="Arial" w:eastAsia="Arial" w:hAnsi="Arial"/>
                <w:sz w:val="17"/>
                <w:szCs w:val="17"/>
                <w:b w:val="1"/>
                <w:bCs w:val="1"/>
                <w:color w:val="0000EE"/>
              </w:rPr>
              <w:t>OVERNING THE</w:t>
            </w:r>
            <w:r>
              <w:rPr>
                <w:rFonts w:ascii="Arial" w:cs="Arial" w:eastAsia="Arial" w:hAnsi="Arial"/>
                <w:sz w:val="22"/>
                <w:szCs w:val="22"/>
                <w:b w:val="1"/>
                <w:bCs w:val="1"/>
                <w:color w:val="0000EE"/>
              </w:rPr>
              <w:t xml:space="preserve"> C</w:t>
            </w:r>
            <w:r>
              <w:rPr>
                <w:rFonts w:ascii="Arial" w:cs="Arial" w:eastAsia="Arial" w:hAnsi="Arial"/>
                <w:sz w:val="17"/>
                <w:szCs w:val="17"/>
                <w:b w:val="1"/>
                <w:bCs w:val="1"/>
                <w:color w:val="0000EE"/>
              </w:rPr>
              <w:t>OMPANY</w:t>
            </w:r>
          </w:p>
        </w:tc>
        <w:tc>
          <w:tcPr>
            <w:tcW w:w="660" w:type="dxa"/>
            <w:vAlign w:val="bottom"/>
          </w:tcPr>
          <w:p>
            <w:pPr>
              <w:jc w:val="right"/>
              <w:ind w:right="25"/>
              <w:spacing w:after="0"/>
              <w:rPr>
                <w:sz w:val="20"/>
                <w:szCs w:val="20"/>
                <w:color w:val="auto"/>
              </w:rPr>
            </w:pPr>
            <w:r>
              <w:rPr>
                <w:rFonts w:ascii="Arial" w:cs="Arial" w:eastAsia="Arial" w:hAnsi="Arial"/>
                <w:sz w:val="22"/>
                <w:szCs w:val="22"/>
                <w:b w:val="1"/>
                <w:bCs w:val="1"/>
                <w:color w:val="FF160F"/>
              </w:rPr>
              <w:t>4</w:t>
            </w: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Borders>
              <w:bottom w:val="single" w:sz="8" w:color="0000EE"/>
            </w:tcBorders>
            <w:gridSpan w:val="5"/>
          </w:tcPr>
          <w:p>
            <w:pPr>
              <w:spacing w:after="0" w:line="149" w:lineRule="exact"/>
              <w:rPr>
                <w:sz w:val="20"/>
                <w:szCs w:val="20"/>
                <w:color w:val="auto"/>
              </w:rPr>
            </w:pPr>
            <w:r>
              <w:rPr>
                <w:rFonts w:ascii="Arial" w:cs="Arial" w:eastAsia="Arial" w:hAnsi="Arial"/>
                <w:sz w:val="14"/>
                <w:szCs w:val="14"/>
                <w:color w:val="0000EE"/>
              </w:rPr>
              <w:t>Governance Documents</w:t>
            </w:r>
          </w:p>
        </w:tc>
        <w:tc>
          <w:tcPr>
            <w:tcW w:w="2720" w:type="dxa"/>
            <w:vAlign w:val="bottom"/>
            <w:gridSpan w:val="9"/>
          </w:tcPr>
          <w:p>
            <w:pPr>
              <w:spacing w:after="0"/>
              <w:rPr>
                <w:sz w:val="12"/>
                <w:szCs w:val="12"/>
                <w:color w:val="auto"/>
              </w:rPr>
            </w:pPr>
          </w:p>
        </w:tc>
        <w:tc>
          <w:tcPr>
            <w:tcW w:w="660" w:type="dxa"/>
            <w:vAlign w:val="bottom"/>
          </w:tcPr>
          <w:p>
            <w:pPr>
              <w:jc w:val="right"/>
              <w:ind w:right="25"/>
              <w:spacing w:after="0" w:line="149" w:lineRule="exact"/>
              <w:rPr>
                <w:sz w:val="20"/>
                <w:szCs w:val="20"/>
                <w:color w:val="auto"/>
              </w:rPr>
            </w:pPr>
            <w:r>
              <w:rPr>
                <w:rFonts w:ascii="Arial" w:cs="Arial" w:eastAsia="Arial" w:hAnsi="Arial"/>
                <w:sz w:val="14"/>
                <w:szCs w:val="14"/>
                <w:color w:val="auto"/>
              </w:rPr>
              <w:t>4</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rPr>
              <w:t>Governance Policies and Procedures</w:t>
            </w:r>
          </w:p>
        </w:tc>
        <w:tc>
          <w:tcPr>
            <w:tcW w:w="1900" w:type="dxa"/>
            <w:vAlign w:val="bottom"/>
            <w:gridSpan w:val="3"/>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rPr>
              <w:t>Board Leadership</w:t>
            </w:r>
          </w:p>
        </w:tc>
        <w:tc>
          <w:tcPr>
            <w:tcW w:w="3140" w:type="dxa"/>
            <w:vAlign w:val="bottom"/>
            <w:gridSpan w:val="13"/>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80" w:type="dxa"/>
            <w:vAlign w:val="bottom"/>
            <w:gridSpan w:val="14"/>
          </w:tcPr>
          <w:p>
            <w:pPr>
              <w:spacing w:after="0"/>
              <w:rPr>
                <w:sz w:val="20"/>
                <w:szCs w:val="20"/>
                <w:color w:val="auto"/>
              </w:rPr>
            </w:pPr>
            <w:r>
              <w:rPr>
                <w:rFonts w:ascii="Arial" w:cs="Arial" w:eastAsia="Arial" w:hAnsi="Arial"/>
                <w:sz w:val="14"/>
                <w:szCs w:val="14"/>
                <w:color w:val="0000EE"/>
              </w:rPr>
              <w:t>Board and Committee Meetings</w:t>
            </w: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color w:val="0000EE"/>
              </w:rPr>
              <w:t>Board Committees</w:t>
            </w:r>
          </w:p>
        </w:tc>
        <w:tc>
          <w:tcPr>
            <w:tcW w:w="820" w:type="dxa"/>
            <w:vAlign w:val="bottom"/>
            <w:tcBorders>
              <w:top w:val="single" w:sz="8" w:color="0000EE"/>
            </w:tcBorders>
            <w:gridSpan w:val="6"/>
          </w:tcPr>
          <w:p>
            <w:pPr>
              <w:spacing w:after="0"/>
              <w:rPr>
                <w:sz w:val="14"/>
                <w:szCs w:val="14"/>
                <w:color w:val="auto"/>
              </w:rPr>
            </w:pPr>
          </w:p>
        </w:tc>
        <w:tc>
          <w:tcPr>
            <w:tcW w:w="2260" w:type="dxa"/>
            <w:vAlign w:val="bottom"/>
            <w:gridSpan w:val="6"/>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rPr>
              <w:t>Board’s Role in Risk Oversight</w:t>
            </w:r>
          </w:p>
        </w:tc>
        <w:tc>
          <w:tcPr>
            <w:tcW w:w="2320" w:type="dxa"/>
            <w:vAlign w:val="bottom"/>
            <w:gridSpan w:val="7"/>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7</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0000EE"/>
              </w:rPr>
              <w:t>Board and Committee Evaluation Process</w:t>
            </w:r>
          </w:p>
        </w:tc>
        <w:tc>
          <w:tcPr>
            <w:tcW w:w="1600" w:type="dxa"/>
            <w:vAlign w:val="bottom"/>
            <w:gridSpan w:val="2"/>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8</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Succession Planning</w:t>
            </w:r>
          </w:p>
        </w:tc>
        <w:tc>
          <w:tcPr>
            <w:tcW w:w="2940" w:type="dxa"/>
            <w:vAlign w:val="bottom"/>
            <w:gridSpan w:val="11"/>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Communications with the Board</w:t>
            </w:r>
          </w:p>
        </w:tc>
        <w:tc>
          <w:tcPr>
            <w:tcW w:w="2240" w:type="dxa"/>
            <w:vAlign w:val="bottom"/>
            <w:gridSpan w:val="5"/>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80" w:type="dxa"/>
            <w:vAlign w:val="bottom"/>
            <w:gridSpan w:val="14"/>
          </w:tcPr>
          <w:p>
            <w:pPr>
              <w:spacing w:after="0"/>
              <w:rPr>
                <w:sz w:val="20"/>
                <w:szCs w:val="20"/>
                <w:color w:val="auto"/>
              </w:rPr>
            </w:pPr>
            <w:r>
              <w:rPr>
                <w:rFonts w:ascii="Arial" w:cs="Arial" w:eastAsia="Arial" w:hAnsi="Arial"/>
                <w:sz w:val="14"/>
                <w:szCs w:val="14"/>
                <w:color w:val="0000EE"/>
              </w:rPr>
              <w:t>Compensation Committee Interlocks and Insider Participation</w:t>
            </w: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0000EE"/>
              </w:rPr>
              <w:t>Related Party Transactions</w:t>
            </w:r>
          </w:p>
        </w:tc>
        <w:tc>
          <w:tcPr>
            <w:tcW w:w="2160" w:type="dxa"/>
            <w:vAlign w:val="bottom"/>
            <w:tcBorders>
              <w:top w:val="single" w:sz="8" w:color="0000EE"/>
            </w:tcBorders>
            <w:gridSpan w:val="7"/>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10</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Trustee Independence</w:t>
            </w:r>
          </w:p>
        </w:tc>
        <w:tc>
          <w:tcPr>
            <w:tcW w:w="2840" w:type="dxa"/>
            <w:vAlign w:val="bottom"/>
            <w:gridSpan w:val="10"/>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10</w:t>
            </w:r>
          </w:p>
        </w:tc>
      </w:tr>
    </w:tbl>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460" w:type="dxa"/>
            <w:vAlign w:val="bottom"/>
            <w:gridSpan w:val="30"/>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1: E</w:t>
            </w:r>
            <w:r>
              <w:rPr>
                <w:rFonts w:ascii="Arial" w:cs="Arial" w:eastAsia="Arial" w:hAnsi="Arial"/>
                <w:sz w:val="17"/>
                <w:szCs w:val="17"/>
                <w:b w:val="1"/>
                <w:bCs w:val="1"/>
                <w:color w:val="0000EE"/>
              </w:rPr>
              <w:t>LECTION OF</w:t>
            </w:r>
            <w:r>
              <w:rPr>
                <w:rFonts w:ascii="Arial" w:cs="Arial" w:eastAsia="Arial" w:hAnsi="Arial"/>
                <w:sz w:val="22"/>
                <w:szCs w:val="22"/>
                <w:b w:val="1"/>
                <w:bCs w:val="1"/>
                <w:color w:val="0000EE"/>
              </w:rPr>
              <w:t xml:space="preserve"> T</w:t>
            </w:r>
            <w:r>
              <w:rPr>
                <w:rFonts w:ascii="Arial" w:cs="Arial" w:eastAsia="Arial" w:hAnsi="Arial"/>
                <w:sz w:val="17"/>
                <w:szCs w:val="17"/>
                <w:b w:val="1"/>
                <w:bCs w:val="1"/>
                <w:color w:val="0000EE"/>
              </w:rPr>
              <w:t>RUSTEES</w:t>
            </w:r>
          </w:p>
        </w:tc>
        <w:tc>
          <w:tcPr>
            <w:tcW w:w="720" w:type="dxa"/>
            <w:vAlign w:val="bottom"/>
          </w:tcPr>
          <w:p>
            <w:pPr>
              <w:jc w:val="right"/>
              <w:ind w:right="24"/>
              <w:spacing w:after="0"/>
              <w:rPr>
                <w:sz w:val="20"/>
                <w:szCs w:val="20"/>
                <w:color w:val="auto"/>
              </w:rPr>
            </w:pPr>
            <w:r>
              <w:rPr>
                <w:rFonts w:ascii="Arial" w:cs="Arial" w:eastAsia="Arial" w:hAnsi="Arial"/>
                <w:sz w:val="22"/>
                <w:szCs w:val="22"/>
                <w:b w:val="1"/>
                <w:bCs w:val="1"/>
                <w:color w:val="FF160F"/>
              </w:rPr>
              <w:t>10</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5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20" w:type="dxa"/>
            <w:vAlign w:val="bottom"/>
            <w:tcBorders>
              <w:bottom w:val="single" w:sz="8" w:color="0000EE"/>
            </w:tcBorders>
            <w:gridSpan w:val="23"/>
          </w:tcPr>
          <w:p>
            <w:pPr>
              <w:spacing w:after="0" w:line="149" w:lineRule="exact"/>
              <w:rPr>
                <w:sz w:val="20"/>
                <w:szCs w:val="20"/>
                <w:color w:val="auto"/>
              </w:rPr>
            </w:pPr>
            <w:r>
              <w:rPr>
                <w:rFonts w:ascii="Arial" w:cs="Arial" w:eastAsia="Arial" w:hAnsi="Arial"/>
                <w:sz w:val="14"/>
                <w:szCs w:val="14"/>
                <w:color w:val="0000EE"/>
              </w:rPr>
              <w:t>Vote Required and Majority Voting Standard</w:t>
            </w:r>
          </w:p>
        </w:tc>
        <w:tc>
          <w:tcPr>
            <w:tcW w:w="1400" w:type="dxa"/>
            <w:vAlign w:val="bottom"/>
            <w:gridSpan w:val="6"/>
          </w:tcPr>
          <w:p>
            <w:pPr>
              <w:spacing w:after="0"/>
              <w:rPr>
                <w:sz w:val="12"/>
                <w:szCs w:val="12"/>
                <w:color w:val="auto"/>
              </w:rPr>
            </w:pPr>
          </w:p>
        </w:tc>
        <w:tc>
          <w:tcPr>
            <w:tcW w:w="720" w:type="dxa"/>
            <w:vAlign w:val="bottom"/>
          </w:tcPr>
          <w:p>
            <w:pPr>
              <w:jc w:val="right"/>
              <w:ind w:right="24"/>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20" w:type="dxa"/>
            <w:vAlign w:val="bottom"/>
            <w:gridSpan w:val="29"/>
          </w:tcPr>
          <w:p>
            <w:pPr>
              <w:spacing w:after="0"/>
              <w:rPr>
                <w:sz w:val="20"/>
                <w:szCs w:val="20"/>
                <w:color w:val="auto"/>
              </w:rPr>
            </w:pPr>
            <w:r>
              <w:rPr>
                <w:rFonts w:ascii="Arial" w:cs="Arial" w:eastAsia="Arial" w:hAnsi="Arial"/>
                <w:sz w:val="14"/>
                <w:szCs w:val="14"/>
                <w:color w:val="0000EE"/>
              </w:rPr>
              <w:t>Nominee Characteristics and Selection</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top w:val="single" w:sz="8" w:color="0000EE"/>
            </w:tcBorders>
            <w:gridSpan w:val="15"/>
          </w:tcPr>
          <w:p>
            <w:pPr>
              <w:spacing w:after="0"/>
              <w:rPr>
                <w:sz w:val="20"/>
                <w:szCs w:val="20"/>
                <w:color w:val="auto"/>
              </w:rPr>
            </w:pPr>
            <w:r>
              <w:rPr>
                <w:rFonts w:ascii="Arial" w:cs="Arial" w:eastAsia="Arial" w:hAnsi="Arial"/>
                <w:sz w:val="14"/>
                <w:szCs w:val="14"/>
                <w:color w:val="0000EE"/>
              </w:rPr>
              <w:t>Nominee Diversity and Tenure</w:t>
            </w:r>
          </w:p>
        </w:tc>
        <w:tc>
          <w:tcPr>
            <w:tcW w:w="1740" w:type="dxa"/>
            <w:vAlign w:val="bottom"/>
            <w:gridSpan w:val="14"/>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Borders>
              <w:top w:val="single" w:sz="8" w:color="0000EE"/>
            </w:tcBorders>
            <w:gridSpan w:val="8"/>
          </w:tcPr>
          <w:p>
            <w:pPr>
              <w:spacing w:after="0"/>
              <w:rPr>
                <w:sz w:val="20"/>
                <w:szCs w:val="20"/>
                <w:color w:val="auto"/>
              </w:rPr>
            </w:pPr>
            <w:r>
              <w:rPr>
                <w:rFonts w:ascii="Arial" w:cs="Arial" w:eastAsia="Arial" w:hAnsi="Arial"/>
                <w:sz w:val="14"/>
                <w:szCs w:val="14"/>
                <w:color w:val="0000EE"/>
              </w:rPr>
              <w:t>Our Nominees</w:t>
            </w:r>
          </w:p>
        </w:tc>
        <w:tc>
          <w:tcPr>
            <w:tcW w:w="2300" w:type="dxa"/>
            <w:vAlign w:val="bottom"/>
            <w:gridSpan w:val="21"/>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rPr>
              <w:t>Trustee Compensation</w:t>
            </w:r>
          </w:p>
        </w:tc>
        <w:tc>
          <w:tcPr>
            <w:tcW w:w="2760" w:type="dxa"/>
            <w:vAlign w:val="bottom"/>
            <w:gridSpan w:val="23"/>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460" w:type="dxa"/>
            <w:vAlign w:val="bottom"/>
            <w:gridSpan w:val="30"/>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2: A</w:t>
            </w:r>
            <w:r>
              <w:rPr>
                <w:rFonts w:ascii="Arial" w:cs="Arial" w:eastAsia="Arial" w:hAnsi="Arial"/>
                <w:sz w:val="17"/>
                <w:szCs w:val="17"/>
                <w:b w:val="1"/>
                <w:bCs w:val="1"/>
                <w:color w:val="0000EE"/>
              </w:rPr>
              <w:t>PPROVING OUR</w:t>
            </w:r>
            <w:r>
              <w:rPr>
                <w:rFonts w:ascii="Arial" w:cs="Arial" w:eastAsia="Arial" w:hAnsi="Arial"/>
                <w:sz w:val="22"/>
                <w:szCs w:val="22"/>
                <w:b w:val="1"/>
                <w:bCs w:val="1"/>
                <w:color w:val="0000EE"/>
              </w:rPr>
              <w:t xml:space="preserve"> E</w:t>
            </w:r>
            <w:r>
              <w:rPr>
                <w:rFonts w:ascii="Arial" w:cs="Arial" w:eastAsia="Arial" w:hAnsi="Arial"/>
                <w:sz w:val="17"/>
                <w:szCs w:val="17"/>
                <w:b w:val="1"/>
                <w:bCs w:val="1"/>
                <w:color w:val="0000EE"/>
              </w:rPr>
              <w:t>XECUTIVE</w:t>
            </w:r>
          </w:p>
        </w:tc>
        <w:tc>
          <w:tcPr>
            <w:tcW w:w="720" w:type="dxa"/>
            <w:vAlign w:val="bottom"/>
            <w:vMerge w:val="restart"/>
          </w:tcPr>
          <w:p>
            <w:pPr>
              <w:jc w:val="right"/>
              <w:ind w:right="24"/>
              <w:spacing w:after="0"/>
              <w:rPr>
                <w:sz w:val="20"/>
                <w:szCs w:val="20"/>
                <w:color w:val="auto"/>
              </w:rPr>
            </w:pPr>
            <w:r>
              <w:rPr>
                <w:rFonts w:ascii="Arial" w:cs="Arial" w:eastAsia="Arial" w:hAnsi="Arial"/>
                <w:sz w:val="22"/>
                <w:szCs w:val="22"/>
                <w:b w:val="1"/>
                <w:bCs w:val="1"/>
                <w:color w:val="FF160F"/>
              </w:rPr>
              <w:t>18</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000" w:type="dxa"/>
            <w:vAlign w:val="bottom"/>
            <w:tcBorders>
              <w:top w:val="single" w:sz="8" w:color="0000EE"/>
            </w:tcBorders>
            <w:gridSpan w:val="28"/>
          </w:tcPr>
          <w:p>
            <w:pPr>
              <w:spacing w:after="0" w:line="223" w:lineRule="exact"/>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4460" w:type="dxa"/>
            <w:vAlign w:val="bottom"/>
            <w:gridSpan w:val="30"/>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r>
              <w:rPr>
                <w:rFonts w:ascii="Arial" w:cs="Arial" w:eastAsia="Arial" w:hAnsi="Arial"/>
                <w:sz w:val="22"/>
                <w:szCs w:val="22"/>
                <w:b w:val="1"/>
                <w:bCs w:val="1"/>
                <w:color w:val="0000EE"/>
              </w:rPr>
              <w:t xml:space="preserve"> D</w:t>
            </w:r>
            <w:r>
              <w:rPr>
                <w:rFonts w:ascii="Arial" w:cs="Arial" w:eastAsia="Arial" w:hAnsi="Arial"/>
                <w:sz w:val="17"/>
                <w:szCs w:val="17"/>
                <w:b w:val="1"/>
                <w:bCs w:val="1"/>
                <w:color w:val="0000EE"/>
              </w:rPr>
              <w:t>ISCUSSION AND</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NALYSIS</w:t>
            </w:r>
          </w:p>
        </w:tc>
        <w:tc>
          <w:tcPr>
            <w:tcW w:w="720" w:type="dxa"/>
            <w:vAlign w:val="bottom"/>
          </w:tcPr>
          <w:p>
            <w:pPr>
              <w:jc w:val="right"/>
              <w:ind w:right="24"/>
              <w:spacing w:after="0"/>
              <w:rPr>
                <w:sz w:val="20"/>
                <w:szCs w:val="20"/>
                <w:color w:val="auto"/>
              </w:rPr>
            </w:pPr>
            <w:r>
              <w:rPr>
                <w:rFonts w:ascii="Arial" w:cs="Arial" w:eastAsia="Arial" w:hAnsi="Arial"/>
                <w:sz w:val="22"/>
                <w:szCs w:val="22"/>
                <w:b w:val="1"/>
                <w:bCs w:val="1"/>
                <w:color w:val="FF160F"/>
              </w:rPr>
              <w:t>19</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5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20" w:type="dxa"/>
            <w:vAlign w:val="bottom"/>
            <w:gridSpan w:val="29"/>
          </w:tcPr>
          <w:p>
            <w:pPr>
              <w:spacing w:after="0"/>
              <w:rPr>
                <w:sz w:val="20"/>
                <w:szCs w:val="20"/>
                <w:color w:val="auto"/>
              </w:rPr>
            </w:pPr>
            <w:r>
              <w:rPr>
                <w:rFonts w:ascii="Arial" w:cs="Arial" w:eastAsia="Arial" w:hAnsi="Arial"/>
                <w:sz w:val="14"/>
                <w:szCs w:val="14"/>
                <w:color w:val="auto"/>
              </w:rPr>
              <w:t>Introduction</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80" w:type="dxa"/>
            <w:vAlign w:val="bottom"/>
            <w:gridSpan w:val="28"/>
          </w:tcPr>
          <w:p>
            <w:pPr>
              <w:spacing w:after="0" w:line="158" w:lineRule="exact"/>
              <w:rPr>
                <w:sz w:val="20"/>
                <w:szCs w:val="20"/>
                <w:color w:val="auto"/>
              </w:rPr>
            </w:pPr>
            <w:r>
              <w:rPr>
                <w:rFonts w:ascii="Arial" w:cs="Arial" w:eastAsia="Arial" w:hAnsi="Arial"/>
                <w:sz w:val="14"/>
                <w:szCs w:val="14"/>
                <w:color w:val="0000EE"/>
              </w:rPr>
              <w:t xml:space="preserve">2022 Business Highlights </w:t>
            </w:r>
            <w:r>
              <w:rPr>
                <w:rFonts w:ascii="Arial" w:cs="Arial" w:eastAsia="Arial" w:hAnsi="Arial"/>
                <w:sz w:val="14"/>
                <w:szCs w:val="14"/>
                <w:color w:val="000000"/>
              </w:rPr>
              <w:t>supporting Compensation</w:t>
            </w:r>
          </w:p>
        </w:tc>
        <w:tc>
          <w:tcPr>
            <w:tcW w:w="720" w:type="dxa"/>
            <w:vAlign w:val="bottom"/>
          </w:tcPr>
          <w:p>
            <w:pPr>
              <w:jc w:val="right"/>
              <w:ind w:right="24"/>
              <w:spacing w:after="0" w:line="158"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top w:val="single" w:sz="8" w:color="0000EE"/>
            </w:tcBorders>
            <w:gridSpan w:val="8"/>
          </w:tcPr>
          <w:p>
            <w:pPr>
              <w:ind w:left="80"/>
              <w:spacing w:after="0"/>
              <w:rPr>
                <w:sz w:val="20"/>
                <w:szCs w:val="20"/>
                <w:color w:val="auto"/>
              </w:rPr>
            </w:pPr>
            <w:r>
              <w:rPr>
                <w:rFonts w:ascii="Arial" w:cs="Arial" w:eastAsia="Arial" w:hAnsi="Arial"/>
                <w:sz w:val="14"/>
                <w:szCs w:val="14"/>
                <w:color w:val="auto"/>
              </w:rPr>
              <w:t>Decisions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20" w:type="dxa"/>
            <w:vAlign w:val="bottom"/>
            <w:gridSpan w:val="2"/>
          </w:tcPr>
          <w:p>
            <w:pPr>
              <w:spacing w:after="0"/>
              <w:rPr>
                <w:sz w:val="15"/>
                <w:szCs w:val="15"/>
                <w:color w:val="auto"/>
              </w:rPr>
            </w:pPr>
          </w:p>
        </w:tc>
        <w:tc>
          <w:tcPr>
            <w:tcW w:w="740" w:type="dxa"/>
            <w:vAlign w:val="bottom"/>
            <w:gridSpan w:val="3"/>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00" w:type="dxa"/>
            <w:vAlign w:val="bottom"/>
            <w:tcBorders>
              <w:bottom w:val="single" w:sz="8" w:color="0000EE"/>
            </w:tcBorders>
            <w:gridSpan w:val="18"/>
          </w:tcPr>
          <w:p>
            <w:pPr>
              <w:spacing w:after="0" w:line="158" w:lineRule="exact"/>
              <w:rPr>
                <w:sz w:val="20"/>
                <w:szCs w:val="20"/>
                <w:color w:val="auto"/>
              </w:rPr>
            </w:pPr>
            <w:r>
              <w:rPr>
                <w:rFonts w:ascii="Arial" w:cs="Arial" w:eastAsia="Arial" w:hAnsi="Arial"/>
                <w:sz w:val="14"/>
                <w:szCs w:val="14"/>
                <w:color w:val="0000EE"/>
              </w:rPr>
              <w:t>Program Philosophy and Objectives</w:t>
            </w:r>
          </w:p>
        </w:tc>
        <w:tc>
          <w:tcPr>
            <w:tcW w:w="1580" w:type="dxa"/>
            <w:vAlign w:val="bottom"/>
            <w:gridSpan w:val="10"/>
          </w:tcPr>
          <w:p>
            <w:pPr>
              <w:spacing w:after="0"/>
              <w:rPr>
                <w:sz w:val="13"/>
                <w:szCs w:val="13"/>
                <w:color w:val="auto"/>
              </w:rPr>
            </w:pPr>
          </w:p>
        </w:tc>
        <w:tc>
          <w:tcPr>
            <w:tcW w:w="720" w:type="dxa"/>
            <w:vAlign w:val="bottom"/>
          </w:tcPr>
          <w:p>
            <w:pPr>
              <w:jc w:val="right"/>
              <w:ind w:right="24"/>
              <w:spacing w:after="0" w:line="158"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bottom w:val="single" w:sz="8" w:color="0000EE"/>
            </w:tcBorders>
            <w:gridSpan w:val="17"/>
          </w:tcPr>
          <w:p>
            <w:pPr>
              <w:spacing w:after="0"/>
              <w:rPr>
                <w:sz w:val="20"/>
                <w:szCs w:val="20"/>
                <w:color w:val="auto"/>
              </w:rPr>
            </w:pPr>
            <w:r>
              <w:rPr>
                <w:rFonts w:ascii="Arial" w:cs="Arial" w:eastAsia="Arial" w:hAnsi="Arial"/>
                <w:sz w:val="14"/>
                <w:szCs w:val="14"/>
                <w:color w:val="0000EE"/>
              </w:rPr>
              <w:t>Executive Compensation Practices</w:t>
            </w:r>
          </w:p>
        </w:tc>
        <w:tc>
          <w:tcPr>
            <w:tcW w:w="1640" w:type="dxa"/>
            <w:vAlign w:val="bottom"/>
            <w:gridSpan w:val="11"/>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80" w:type="dxa"/>
            <w:vAlign w:val="bottom"/>
            <w:gridSpan w:val="28"/>
          </w:tcPr>
          <w:p>
            <w:pPr>
              <w:spacing w:after="0"/>
              <w:rPr>
                <w:sz w:val="20"/>
                <w:szCs w:val="20"/>
                <w:color w:val="auto"/>
              </w:rPr>
            </w:pPr>
            <w:r>
              <w:rPr>
                <w:rFonts w:ascii="Arial" w:cs="Arial" w:eastAsia="Arial" w:hAnsi="Arial"/>
                <w:sz w:val="14"/>
                <w:szCs w:val="14"/>
                <w:color w:val="0000EE"/>
              </w:rPr>
              <w:t>Components of Compensation</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rPr>
              <w:t>Compensation Setting Process</w:t>
            </w:r>
          </w:p>
        </w:tc>
        <w:tc>
          <w:tcPr>
            <w:tcW w:w="2220" w:type="dxa"/>
            <w:vAlign w:val="bottom"/>
            <w:gridSpan w:val="18"/>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tcBorders>
              <w:bottom w:val="single" w:sz="8" w:color="0000EE"/>
            </w:tcBorders>
            <w:gridSpan w:val="23"/>
          </w:tcPr>
          <w:p>
            <w:pPr>
              <w:spacing w:after="0"/>
              <w:rPr>
                <w:sz w:val="20"/>
                <w:szCs w:val="20"/>
                <w:color w:val="auto"/>
              </w:rPr>
            </w:pPr>
            <w:r>
              <w:rPr>
                <w:rFonts w:ascii="Arial" w:cs="Arial" w:eastAsia="Arial" w:hAnsi="Arial"/>
                <w:sz w:val="14"/>
                <w:szCs w:val="14"/>
                <w:color w:val="0000EE"/>
              </w:rPr>
              <w:t>Annual Compensation Decision Making</w:t>
            </w:r>
          </w:p>
        </w:tc>
        <w:tc>
          <w:tcPr>
            <w:tcW w:w="1360" w:type="dxa"/>
            <w:vAlign w:val="bottom"/>
            <w:gridSpan w:val="5"/>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80" w:type="dxa"/>
            <w:vAlign w:val="bottom"/>
            <w:gridSpan w:val="28"/>
          </w:tcPr>
          <w:p>
            <w:pPr>
              <w:spacing w:after="0"/>
              <w:rPr>
                <w:sz w:val="20"/>
                <w:szCs w:val="20"/>
                <w:color w:val="auto"/>
              </w:rPr>
            </w:pPr>
            <w:r>
              <w:rPr>
                <w:rFonts w:ascii="Arial" w:cs="Arial" w:eastAsia="Arial" w:hAnsi="Arial"/>
                <w:sz w:val="14"/>
                <w:szCs w:val="14"/>
                <w:color w:val="0000EE"/>
              </w:rPr>
              <w:t>Role of the Compensation Committee</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0000EE"/>
              </w:rPr>
              <w:t>Role of Management</w:t>
            </w:r>
          </w:p>
        </w:tc>
        <w:tc>
          <w:tcPr>
            <w:tcW w:w="1060" w:type="dxa"/>
            <w:vAlign w:val="bottom"/>
            <w:tcBorders>
              <w:top w:val="single" w:sz="8" w:color="0000EE"/>
            </w:tcBorders>
            <w:gridSpan w:val="13"/>
          </w:tcPr>
          <w:p>
            <w:pPr>
              <w:spacing w:after="0"/>
              <w:rPr>
                <w:sz w:val="14"/>
                <w:szCs w:val="14"/>
                <w:color w:val="auto"/>
              </w:rPr>
            </w:pPr>
          </w:p>
        </w:tc>
        <w:tc>
          <w:tcPr>
            <w:tcW w:w="1480" w:type="dxa"/>
            <w:vAlign w:val="bottom"/>
            <w:gridSpan w:val="9"/>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80" w:type="dxa"/>
            <w:vAlign w:val="bottom"/>
            <w:gridSpan w:val="28"/>
          </w:tcPr>
          <w:p>
            <w:pPr>
              <w:spacing w:after="0"/>
              <w:rPr>
                <w:sz w:val="20"/>
                <w:szCs w:val="20"/>
                <w:color w:val="auto"/>
              </w:rPr>
            </w:pPr>
            <w:r>
              <w:rPr>
                <w:rFonts w:ascii="Arial" w:cs="Arial" w:eastAsia="Arial" w:hAnsi="Arial"/>
                <w:sz w:val="14"/>
                <w:szCs w:val="14"/>
                <w:color w:val="0000EE"/>
              </w:rPr>
              <w:t xml:space="preserve">Role of Independent Compensation </w:t>
            </w:r>
            <w:r>
              <w:rPr>
                <w:rFonts w:ascii="Arial" w:cs="Arial" w:eastAsia="Arial" w:hAnsi="Arial"/>
                <w:sz w:val="14"/>
                <w:szCs w:val="14"/>
                <w:color w:val="000000"/>
              </w:rPr>
              <w:t>Consultant</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2022 Compensation Decisions</w:t>
            </w:r>
          </w:p>
        </w:tc>
        <w:tc>
          <w:tcPr>
            <w:tcW w:w="2260" w:type="dxa"/>
            <w:vAlign w:val="bottom"/>
            <w:gridSpan w:val="20"/>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tcBorders>
              <w:bottom w:val="single" w:sz="8" w:color="0000EE"/>
            </w:tcBorders>
            <w:gridSpan w:val="16"/>
          </w:tcPr>
          <w:p>
            <w:pPr>
              <w:spacing w:after="0"/>
              <w:rPr>
                <w:sz w:val="20"/>
                <w:szCs w:val="20"/>
                <w:color w:val="auto"/>
              </w:rPr>
            </w:pPr>
            <w:r>
              <w:rPr>
                <w:rFonts w:ascii="Arial" w:cs="Arial" w:eastAsia="Arial" w:hAnsi="Arial"/>
                <w:sz w:val="14"/>
                <w:szCs w:val="14"/>
                <w:color w:val="0000EE"/>
              </w:rPr>
              <w:t>Setting 2022 Target Compensation</w:t>
            </w:r>
          </w:p>
        </w:tc>
        <w:tc>
          <w:tcPr>
            <w:tcW w:w="1660" w:type="dxa"/>
            <w:vAlign w:val="bottom"/>
            <w:gridSpan w:val="12"/>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80" w:type="dxa"/>
            <w:vAlign w:val="bottom"/>
            <w:gridSpan w:val="28"/>
          </w:tcPr>
          <w:p>
            <w:pPr>
              <w:spacing w:after="0"/>
              <w:rPr>
                <w:sz w:val="20"/>
                <w:szCs w:val="20"/>
                <w:color w:val="auto"/>
              </w:rPr>
            </w:pPr>
            <w:r>
              <w:rPr>
                <w:rFonts w:ascii="Arial" w:cs="Arial" w:eastAsia="Arial" w:hAnsi="Arial"/>
                <w:sz w:val="14"/>
                <w:szCs w:val="14"/>
                <w:color w:val="0000EE"/>
              </w:rPr>
              <w:t>Individual Elements of 2022 Pay</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0000EE"/>
              </w:rPr>
              <w:t>2022 NEO Performance Summary</w:t>
            </w:r>
          </w:p>
        </w:tc>
        <w:tc>
          <w:tcPr>
            <w:tcW w:w="2020" w:type="dxa"/>
            <w:vAlign w:val="bottom"/>
            <w:gridSpan w:val="17"/>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0000EE"/>
              </w:rPr>
              <w:t>Other Compensation Practices and Policies</w:t>
            </w:r>
          </w:p>
        </w:tc>
        <w:tc>
          <w:tcPr>
            <w:tcW w:w="1420" w:type="dxa"/>
            <w:vAlign w:val="bottom"/>
            <w:gridSpan w:val="7"/>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rPr>
              <w:t>Consideration of Say on Pay Vote</w:t>
            </w:r>
          </w:p>
        </w:tc>
        <w:tc>
          <w:tcPr>
            <w:tcW w:w="1720" w:type="dxa"/>
            <w:vAlign w:val="bottom"/>
            <w:gridSpan w:val="13"/>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0000EE"/>
              </w:rPr>
              <w:t>No Hedging or Pledging of our Shares</w:t>
            </w:r>
          </w:p>
        </w:tc>
        <w:tc>
          <w:tcPr>
            <w:tcW w:w="1440" w:type="dxa"/>
            <w:vAlign w:val="bottom"/>
            <w:gridSpan w:val="8"/>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Borders>
              <w:bottom w:val="single" w:sz="8" w:color="0000EE"/>
            </w:tcBorders>
            <w:gridSpan w:val="25"/>
          </w:tcPr>
          <w:p>
            <w:pPr>
              <w:spacing w:after="0"/>
              <w:rPr>
                <w:sz w:val="20"/>
                <w:szCs w:val="20"/>
                <w:color w:val="auto"/>
              </w:rPr>
            </w:pPr>
            <w:r>
              <w:rPr>
                <w:rFonts w:ascii="Arial" w:cs="Arial" w:eastAsia="Arial" w:hAnsi="Arial"/>
                <w:sz w:val="14"/>
                <w:szCs w:val="14"/>
                <w:color w:val="0000EE"/>
              </w:rPr>
              <w:t>Severance and Change-in-Control Arrangements</w:t>
            </w:r>
          </w:p>
        </w:tc>
        <w:tc>
          <w:tcPr>
            <w:tcW w:w="740" w:type="dxa"/>
            <w:vAlign w:val="bottom"/>
            <w:gridSpan w:val="3"/>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Clawback Policy</w:t>
            </w:r>
          </w:p>
        </w:tc>
        <w:tc>
          <w:tcPr>
            <w:tcW w:w="2820" w:type="dxa"/>
            <w:vAlign w:val="bottom"/>
            <w:gridSpan w:val="24"/>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8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Share Ownership Guidelines</w:t>
            </w:r>
          </w:p>
        </w:tc>
        <w:tc>
          <w:tcPr>
            <w:tcW w:w="1840" w:type="dxa"/>
            <w:vAlign w:val="bottom"/>
            <w:gridSpan w:val="3"/>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290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Risk Assessment of Compensation Programs</w:t>
            </w:r>
          </w:p>
        </w:tc>
        <w:tc>
          <w:tcPr>
            <w:tcW w:w="7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144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rPr>
              <w:t>Equity Grant Practices</w:t>
            </w:r>
          </w:p>
        </w:tc>
        <w:tc>
          <w:tcPr>
            <w:tcW w:w="2240" w:type="dxa"/>
            <w:vAlign w:val="bottom"/>
            <w:gridSpan w:val="5"/>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28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Tax Deductibility of Executive Compensation</w:t>
            </w:r>
          </w:p>
        </w:tc>
        <w:tc>
          <w:tcPr>
            <w:tcW w:w="840" w:type="dxa"/>
            <w:vAlign w:val="bottom"/>
            <w:gridSpan w:val="2"/>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180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rPr>
              <w:t>Health and Welfare Benefits</w:t>
            </w:r>
          </w:p>
        </w:tc>
        <w:tc>
          <w:tcPr>
            <w:tcW w:w="1880" w:type="dxa"/>
            <w:vAlign w:val="bottom"/>
            <w:gridSpan w:val="4"/>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21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Compensation Committee Report</w:t>
            </w:r>
          </w:p>
        </w:tc>
        <w:tc>
          <w:tcPr>
            <w:tcW w:w="1880" w:type="dxa"/>
            <w:vAlign w:val="bottom"/>
            <w:gridSpan w:val="4"/>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-1654175</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620" w:type="dxa"/>
            <w:vAlign w:val="bottom"/>
            <w:gridSpan w:val="37"/>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r>
              <w:rPr>
                <w:rFonts w:ascii="Arial" w:cs="Arial" w:eastAsia="Arial" w:hAnsi="Arial"/>
                <w:sz w:val="22"/>
                <w:szCs w:val="22"/>
                <w:b w:val="1"/>
                <w:bCs w:val="1"/>
                <w:color w:val="0000EE"/>
              </w:rPr>
              <w:t xml:space="preserve"> T</w:t>
            </w:r>
            <w:r>
              <w:rPr>
                <w:rFonts w:ascii="Arial" w:cs="Arial" w:eastAsia="Arial" w:hAnsi="Arial"/>
                <w:sz w:val="17"/>
                <w:szCs w:val="17"/>
                <w:b w:val="1"/>
                <w:bCs w:val="1"/>
                <w:color w:val="0000EE"/>
              </w:rPr>
              <w:t>ABLES AND</w:t>
            </w:r>
            <w:r>
              <w:rPr>
                <w:rFonts w:ascii="Arial" w:cs="Arial" w:eastAsia="Arial" w:hAnsi="Arial"/>
                <w:sz w:val="22"/>
                <w:szCs w:val="22"/>
                <w:b w:val="1"/>
                <w:bCs w:val="1"/>
                <w:color w:val="0000EE"/>
              </w:rPr>
              <w:t xml:space="preserve"> N</w:t>
            </w:r>
            <w:r>
              <w:rPr>
                <w:rFonts w:ascii="Arial" w:cs="Arial" w:eastAsia="Arial" w:hAnsi="Arial"/>
                <w:sz w:val="17"/>
                <w:szCs w:val="17"/>
                <w:b w:val="1"/>
                <w:bCs w:val="1"/>
                <w:color w:val="0000EE"/>
              </w:rPr>
              <w:t>ARRATIVES</w:t>
            </w:r>
          </w:p>
        </w:tc>
        <w:tc>
          <w:tcPr>
            <w:tcW w:w="680" w:type="dxa"/>
            <w:vAlign w:val="bottom"/>
          </w:tcPr>
          <w:p>
            <w:pPr>
              <w:jc w:val="right"/>
              <w:ind w:right="19"/>
              <w:spacing w:after="0"/>
              <w:rPr>
                <w:sz w:val="20"/>
                <w:szCs w:val="20"/>
                <w:color w:val="auto"/>
              </w:rPr>
            </w:pPr>
            <w:r>
              <w:rPr>
                <w:rFonts w:ascii="Arial" w:cs="Arial" w:eastAsia="Arial" w:hAnsi="Arial"/>
                <w:sz w:val="22"/>
                <w:szCs w:val="22"/>
                <w:b w:val="1"/>
                <w:bCs w:val="1"/>
                <w:color w:val="FF160F"/>
              </w:rPr>
              <w:t>31</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gridSpan w:val="35"/>
          </w:tcPr>
          <w:p>
            <w:pPr>
              <w:spacing w:after="0" w:line="149" w:lineRule="exact"/>
              <w:rPr>
                <w:sz w:val="20"/>
                <w:szCs w:val="20"/>
                <w:color w:val="auto"/>
              </w:rPr>
            </w:pPr>
            <w:r>
              <w:rPr>
                <w:rFonts w:ascii="Arial" w:cs="Arial" w:eastAsia="Arial" w:hAnsi="Arial"/>
                <w:sz w:val="14"/>
                <w:szCs w:val="14"/>
                <w:color w:val="0000EE"/>
              </w:rPr>
              <w:t>Summary Compensation Table</w:t>
            </w:r>
          </w:p>
        </w:tc>
        <w:tc>
          <w:tcPr>
            <w:tcW w:w="680" w:type="dxa"/>
            <w:vAlign w:val="bottom"/>
          </w:tcPr>
          <w:p>
            <w:pPr>
              <w:jc w:val="right"/>
              <w:ind w:right="19"/>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gridSpan w:val="36"/>
          </w:tcPr>
          <w:p>
            <w:pPr>
              <w:spacing w:after="0"/>
              <w:rPr>
                <w:sz w:val="20"/>
                <w:szCs w:val="20"/>
                <w:color w:val="auto"/>
              </w:rPr>
            </w:pPr>
            <w:r>
              <w:rPr>
                <w:rFonts w:ascii="Arial" w:cs="Arial" w:eastAsia="Arial" w:hAnsi="Arial"/>
                <w:sz w:val="14"/>
                <w:szCs w:val="14"/>
                <w:color w:val="0000EE"/>
              </w:rPr>
              <w:t>Grants of Plan Based Awards Table</w:t>
            </w: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Borders>
              <w:bottom w:val="single" w:sz="8" w:color="0000EE"/>
            </w:tcBorders>
            <w:gridSpan w:val="26"/>
          </w:tcPr>
          <w:p>
            <w:pPr>
              <w:spacing w:after="0"/>
              <w:rPr>
                <w:sz w:val="20"/>
                <w:szCs w:val="20"/>
                <w:color w:val="auto"/>
              </w:rPr>
            </w:pPr>
            <w:r>
              <w:rPr>
                <w:rFonts w:ascii="Arial" w:cs="Arial" w:eastAsia="Arial" w:hAnsi="Arial"/>
                <w:sz w:val="14"/>
                <w:szCs w:val="14"/>
                <w:color w:val="0000EE"/>
              </w:rPr>
              <w:t>Outstanding Equity Awards at Fiscal Year End Table</w:t>
            </w:r>
          </w:p>
        </w:tc>
        <w:tc>
          <w:tcPr>
            <w:tcW w:w="1040" w:type="dxa"/>
            <w:vAlign w:val="bottom"/>
            <w:gridSpan w:val="10"/>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0000EE"/>
              </w:rPr>
              <w:t>Options Exercised and Stock Vested in 2022</w:t>
            </w:r>
          </w:p>
        </w:tc>
        <w:tc>
          <w:tcPr>
            <w:tcW w:w="1540" w:type="dxa"/>
            <w:vAlign w:val="bottom"/>
            <w:gridSpan w:val="14"/>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gridSpan w:val="36"/>
          </w:tcPr>
          <w:p>
            <w:pPr>
              <w:spacing w:after="0"/>
              <w:rPr>
                <w:sz w:val="20"/>
                <w:szCs w:val="20"/>
                <w:color w:val="auto"/>
              </w:rPr>
            </w:pPr>
            <w:r>
              <w:rPr>
                <w:rFonts w:ascii="Arial" w:cs="Arial" w:eastAsia="Arial" w:hAnsi="Arial"/>
                <w:sz w:val="14"/>
                <w:szCs w:val="14"/>
                <w:color w:val="0000EE"/>
              </w:rPr>
              <w:t>Non-Qualified Deferred Compensation</w:t>
            </w: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gridSpan w:val="36"/>
          </w:tcPr>
          <w:p>
            <w:pPr>
              <w:spacing w:after="0"/>
              <w:rPr>
                <w:sz w:val="20"/>
                <w:szCs w:val="20"/>
                <w:color w:val="auto"/>
              </w:rPr>
            </w:pPr>
            <w:r>
              <w:rPr>
                <w:rFonts w:ascii="Arial" w:cs="Arial" w:eastAsia="Arial" w:hAnsi="Arial"/>
                <w:sz w:val="14"/>
                <w:szCs w:val="14"/>
                <w:color w:val="0000EE"/>
              </w:rPr>
              <w:t>Potential Payments on Termination of Employment and</w:t>
            </w: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3400" w:type="dxa"/>
            <w:vAlign w:val="bottom"/>
            <w:tcBorders>
              <w:top w:val="single" w:sz="8" w:color="0000EE"/>
            </w:tcBorders>
            <w:gridSpan w:val="26"/>
          </w:tcPr>
          <w:p>
            <w:pPr>
              <w:spacing w:after="0" w:line="142" w:lineRule="exact"/>
              <w:rPr>
                <w:sz w:val="20"/>
                <w:szCs w:val="20"/>
                <w:color w:val="auto"/>
              </w:rPr>
            </w:pPr>
            <w:r>
              <w:rPr>
                <w:rFonts w:ascii="Arial" w:cs="Arial" w:eastAsia="Arial" w:hAnsi="Arial"/>
                <w:sz w:val="14"/>
                <w:szCs w:val="14"/>
                <w:color w:val="0000EE"/>
              </w:rPr>
              <w:t>Change-in-Control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CEO Pay Ratio</w:t>
            </w:r>
          </w:p>
        </w:tc>
        <w:tc>
          <w:tcPr>
            <w:tcW w:w="3400" w:type="dxa"/>
            <w:vAlign w:val="bottom"/>
            <w:gridSpan w:val="31"/>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gridSpan w:val="36"/>
          </w:tcPr>
          <w:p>
            <w:pPr>
              <w:spacing w:after="0"/>
              <w:rPr>
                <w:sz w:val="20"/>
                <w:szCs w:val="20"/>
                <w:color w:val="auto"/>
              </w:rPr>
            </w:pPr>
            <w:r>
              <w:rPr>
                <w:rFonts w:ascii="Arial" w:cs="Arial" w:eastAsia="Arial" w:hAnsi="Arial"/>
                <w:sz w:val="14"/>
                <w:szCs w:val="14"/>
                <w:color w:val="0000EE"/>
              </w:rPr>
              <w:t>Pay Versus Performance Disclosure</w:t>
            </w: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0000EE"/>
              </w:rPr>
              <w:t>Equity Compensation Plan Information</w:t>
            </w:r>
          </w:p>
        </w:tc>
        <w:tc>
          <w:tcPr>
            <w:tcW w:w="1920" w:type="dxa"/>
            <w:vAlign w:val="bottom"/>
            <w:gridSpan w:val="18"/>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620" w:type="dxa"/>
            <w:vAlign w:val="bottom"/>
            <w:gridSpan w:val="37"/>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3: A</w:t>
            </w:r>
            <w:r>
              <w:rPr>
                <w:rFonts w:ascii="Arial" w:cs="Arial" w:eastAsia="Arial" w:hAnsi="Arial"/>
                <w:sz w:val="17"/>
                <w:szCs w:val="17"/>
                <w:b w:val="1"/>
                <w:bCs w:val="1"/>
                <w:color w:val="0000EE"/>
              </w:rPr>
              <w:t>PPROVING</w:t>
            </w:r>
            <w:r>
              <w:rPr>
                <w:rFonts w:ascii="Arial" w:cs="Arial" w:eastAsia="Arial" w:hAnsi="Arial"/>
                <w:sz w:val="22"/>
                <w:szCs w:val="22"/>
                <w:b w:val="1"/>
                <w:bCs w:val="1"/>
                <w:color w:val="0000EE"/>
              </w:rPr>
              <w:t xml:space="preserve"> F</w:t>
            </w:r>
            <w:r>
              <w:rPr>
                <w:rFonts w:ascii="Arial" w:cs="Arial" w:eastAsia="Arial" w:hAnsi="Arial"/>
                <w:sz w:val="17"/>
                <w:szCs w:val="17"/>
                <w:b w:val="1"/>
                <w:bCs w:val="1"/>
                <w:color w:val="0000EE"/>
              </w:rPr>
              <w:t>REQUENCY OF</w:t>
            </w:r>
            <w:r>
              <w:rPr>
                <w:rFonts w:ascii="Arial" w:cs="Arial" w:eastAsia="Arial" w:hAnsi="Arial"/>
                <w:sz w:val="22"/>
                <w:szCs w:val="22"/>
                <w:b w:val="1"/>
                <w:bCs w:val="1"/>
                <w:color w:val="0000EE"/>
              </w:rPr>
              <w:t xml:space="preserve"> S</w:t>
            </w:r>
            <w:r>
              <w:rPr>
                <w:rFonts w:ascii="Arial" w:cs="Arial" w:eastAsia="Arial" w:hAnsi="Arial"/>
                <w:sz w:val="17"/>
                <w:szCs w:val="17"/>
                <w:b w:val="1"/>
                <w:bCs w:val="1"/>
                <w:color w:val="0000EE"/>
              </w:rPr>
              <w:t>AY</w:t>
            </w:r>
          </w:p>
        </w:tc>
        <w:tc>
          <w:tcPr>
            <w:tcW w:w="680" w:type="dxa"/>
            <w:vAlign w:val="bottom"/>
            <w:vMerge w:val="restart"/>
          </w:tcPr>
          <w:p>
            <w:pPr>
              <w:jc w:val="right"/>
              <w:ind w:right="19"/>
              <w:spacing w:after="0"/>
              <w:rPr>
                <w:sz w:val="20"/>
                <w:szCs w:val="20"/>
                <w:color w:val="auto"/>
              </w:rPr>
            </w:pPr>
            <w:r>
              <w:rPr>
                <w:rFonts w:ascii="Arial" w:cs="Arial" w:eastAsia="Arial" w:hAnsi="Arial"/>
                <w:sz w:val="22"/>
                <w:szCs w:val="22"/>
                <w:b w:val="1"/>
                <w:bCs w:val="1"/>
                <w:color w:val="FF160F"/>
              </w:rPr>
              <w:t>40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400" w:type="dxa"/>
            <w:vAlign w:val="bottom"/>
            <w:tcBorders>
              <w:top w:val="single" w:sz="8" w:color="0000EE"/>
            </w:tcBorders>
            <w:gridSpan w:val="36"/>
          </w:tcPr>
          <w:p>
            <w:pPr>
              <w:spacing w:after="0" w:line="223" w:lineRule="exact"/>
              <w:rPr>
                <w:sz w:val="20"/>
                <w:szCs w:val="20"/>
                <w:color w:val="auto"/>
              </w:rPr>
            </w:pPr>
            <w:r>
              <w:rPr>
                <w:rFonts w:ascii="Arial" w:cs="Arial" w:eastAsia="Arial" w:hAnsi="Arial"/>
                <w:sz w:val="18"/>
                <w:szCs w:val="18"/>
                <w:b w:val="1"/>
                <w:bCs w:val="1"/>
                <w:color w:val="0000EE"/>
              </w:rPr>
              <w:t xml:space="preserve">ON </w:t>
            </w:r>
            <w:r>
              <w:rPr>
                <w:rFonts w:ascii="Arial" w:cs="Arial" w:eastAsia="Arial" w:hAnsi="Arial"/>
                <w:sz w:val="21"/>
                <w:szCs w:val="21"/>
                <w:b w:val="1"/>
                <w:bCs w:val="1"/>
                <w:color w:val="0000EE"/>
              </w:rPr>
              <w:t>P</w:t>
            </w:r>
            <w:r>
              <w:rPr>
                <w:rFonts w:ascii="Arial" w:cs="Arial" w:eastAsia="Arial" w:hAnsi="Arial"/>
                <w:sz w:val="18"/>
                <w:szCs w:val="18"/>
                <w:b w:val="1"/>
                <w:bCs w:val="1"/>
                <w:color w:val="0000EE"/>
              </w:rPr>
              <w:t xml:space="preserve">AY </w:t>
            </w:r>
            <w:r>
              <w:rPr>
                <w:rFonts w:ascii="Arial" w:cs="Arial" w:eastAsia="Arial" w:hAnsi="Arial"/>
                <w:sz w:val="21"/>
                <w:szCs w:val="21"/>
                <w:b w:val="1"/>
                <w:bCs w:val="1"/>
                <w:color w:val="0000EE"/>
              </w:rPr>
              <w:t>V</w:t>
            </w:r>
            <w:r>
              <w:rPr>
                <w:rFonts w:ascii="Arial" w:cs="Arial" w:eastAsia="Arial" w:hAnsi="Arial"/>
                <w:sz w:val="18"/>
                <w:szCs w:val="18"/>
                <w:b w:val="1"/>
                <w:bCs w:val="1"/>
                <w:color w:val="0000EE"/>
              </w:rPr>
              <w:t>OTE</w:t>
            </w:r>
          </w:p>
        </w:tc>
        <w:tc>
          <w:tcPr>
            <w:tcW w:w="2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4620" w:type="dxa"/>
            <w:vAlign w:val="bottom"/>
            <w:gridSpan w:val="37"/>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4: D</w:t>
            </w:r>
            <w:r>
              <w:rPr>
                <w:rFonts w:ascii="Arial" w:cs="Arial" w:eastAsia="Arial" w:hAnsi="Arial"/>
                <w:sz w:val="17"/>
                <w:szCs w:val="17"/>
                <w:b w:val="1"/>
                <w:bCs w:val="1"/>
                <w:color w:val="0000EE"/>
              </w:rPr>
              <w:t>ECLARATION OF</w:t>
            </w:r>
            <w:r>
              <w:rPr>
                <w:rFonts w:ascii="Arial" w:cs="Arial" w:eastAsia="Arial" w:hAnsi="Arial"/>
                <w:sz w:val="22"/>
                <w:szCs w:val="22"/>
                <w:b w:val="1"/>
                <w:bCs w:val="1"/>
                <w:color w:val="0000EE"/>
              </w:rPr>
              <w:t xml:space="preserve"> T</w:t>
            </w:r>
            <w:r>
              <w:rPr>
                <w:rFonts w:ascii="Arial" w:cs="Arial" w:eastAsia="Arial" w:hAnsi="Arial"/>
                <w:sz w:val="17"/>
                <w:szCs w:val="17"/>
                <w:b w:val="1"/>
                <w:bCs w:val="1"/>
                <w:color w:val="0000EE"/>
              </w:rPr>
              <w:t>RUST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640" w:type="dxa"/>
            <w:vAlign w:val="bottom"/>
            <w:tcBorders>
              <w:top w:val="single" w:sz="8" w:color="0000EE"/>
              <w:bottom w:val="single" w:sz="8" w:color="0000EE"/>
            </w:tcBorders>
            <w:gridSpan w:val="28"/>
          </w:tcPr>
          <w:p>
            <w:pPr>
              <w:spacing w:after="0" w:line="223" w:lineRule="exact"/>
              <w:rPr>
                <w:sz w:val="20"/>
                <w:szCs w:val="20"/>
                <w:color w:val="auto"/>
              </w:rPr>
            </w:pPr>
            <w:r>
              <w:rPr>
                <w:rFonts w:ascii="Arial" w:cs="Arial" w:eastAsia="Arial" w:hAnsi="Arial"/>
                <w:sz w:val="22"/>
                <w:szCs w:val="22"/>
                <w:b w:val="1"/>
                <w:bCs w:val="1"/>
                <w:color w:val="0000EE"/>
              </w:rPr>
              <w:t>A</w:t>
            </w:r>
            <w:r>
              <w:rPr>
                <w:rFonts w:ascii="Arial" w:cs="Arial" w:eastAsia="Arial" w:hAnsi="Arial"/>
                <w:sz w:val="17"/>
                <w:szCs w:val="17"/>
                <w:b w:val="1"/>
                <w:bCs w:val="1"/>
                <w:color w:val="0000EE"/>
              </w:rPr>
              <w:t>MENDMENT TO</w:t>
            </w:r>
            <w:r>
              <w:rPr>
                <w:rFonts w:ascii="Arial" w:cs="Arial" w:eastAsia="Arial" w:hAnsi="Arial"/>
                <w:sz w:val="22"/>
                <w:szCs w:val="22"/>
                <w:b w:val="1"/>
                <w:bCs w:val="1"/>
                <w:color w:val="0000EE"/>
              </w:rPr>
              <w:t xml:space="preserve"> I</w:t>
            </w:r>
            <w:r>
              <w:rPr>
                <w:rFonts w:ascii="Arial" w:cs="Arial" w:eastAsia="Arial" w:hAnsi="Arial"/>
                <w:sz w:val="17"/>
                <w:szCs w:val="17"/>
                <w:b w:val="1"/>
                <w:bCs w:val="1"/>
                <w:color w:val="0000EE"/>
              </w:rPr>
              <w:t>NCREASE</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UTHORIZED</w:t>
            </w:r>
          </w:p>
        </w:tc>
        <w:tc>
          <w:tcPr>
            <w:tcW w:w="120" w:type="dxa"/>
            <w:vAlign w:val="bottom"/>
            <w:tcBorders>
              <w:bottom w:val="single" w:sz="8" w:color="0000EE"/>
            </w:tcBorders>
            <w:gridSpan w:val="2"/>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680" w:type="dxa"/>
            <w:vAlign w:val="bottom"/>
            <w:vMerge w:val="restart"/>
          </w:tcPr>
          <w:p>
            <w:pPr>
              <w:jc w:val="right"/>
              <w:ind w:right="19"/>
              <w:spacing w:after="0"/>
              <w:rPr>
                <w:sz w:val="20"/>
                <w:szCs w:val="20"/>
                <w:color w:val="auto"/>
              </w:rPr>
            </w:pPr>
            <w:r>
              <w:rPr>
                <w:rFonts w:ascii="Arial" w:cs="Arial" w:eastAsia="Arial" w:hAnsi="Arial"/>
                <w:sz w:val="22"/>
                <w:szCs w:val="22"/>
                <w:b w:val="1"/>
                <w:bCs w:val="1"/>
                <w:color w:val="FF160F"/>
              </w:rPr>
              <w:t>40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760" w:type="dxa"/>
            <w:vAlign w:val="bottom"/>
            <w:gridSpan w:val="30"/>
          </w:tcPr>
          <w:p>
            <w:pPr>
              <w:spacing w:after="0" w:line="223" w:lineRule="exact"/>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OMMON</w:t>
            </w:r>
            <w:r>
              <w:rPr>
                <w:rFonts w:ascii="Arial" w:cs="Arial" w:eastAsia="Arial" w:hAnsi="Arial"/>
                <w:sz w:val="22"/>
                <w:szCs w:val="22"/>
                <w:b w:val="1"/>
                <w:bCs w:val="1"/>
                <w:color w:val="0000EE"/>
              </w:rPr>
              <w:t xml:space="preserve"> S</w:t>
            </w:r>
            <w:r>
              <w:rPr>
                <w:rFonts w:ascii="Arial" w:cs="Arial" w:eastAsia="Arial" w:hAnsi="Arial"/>
                <w:sz w:val="17"/>
                <w:szCs w:val="17"/>
                <w:b w:val="1"/>
                <w:bCs w:val="1"/>
                <w:color w:val="0000EE"/>
              </w:rPr>
              <w:t>HARES</w:t>
            </w:r>
          </w:p>
        </w:tc>
        <w:tc>
          <w:tcPr>
            <w:tcW w:w="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4620" w:type="dxa"/>
            <w:vAlign w:val="bottom"/>
            <w:gridSpan w:val="37"/>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5: R</w:t>
            </w:r>
            <w:r>
              <w:rPr>
                <w:rFonts w:ascii="Arial" w:cs="Arial" w:eastAsia="Arial" w:hAnsi="Arial"/>
                <w:sz w:val="17"/>
                <w:szCs w:val="17"/>
                <w:b w:val="1"/>
                <w:bCs w:val="1"/>
                <w:color w:val="0000EE"/>
              </w:rPr>
              <w:t>ATIFICATION OF</w:t>
            </w:r>
            <w:r>
              <w:rPr>
                <w:rFonts w:ascii="Arial" w:cs="Arial" w:eastAsia="Arial" w:hAnsi="Arial"/>
                <w:sz w:val="22"/>
                <w:szCs w:val="22"/>
                <w:b w:val="1"/>
                <w:bCs w:val="1"/>
                <w:color w:val="0000EE"/>
              </w:rPr>
              <w:t xml:space="preserve"> I</w:t>
            </w:r>
            <w:r>
              <w:rPr>
                <w:rFonts w:ascii="Arial" w:cs="Arial" w:eastAsia="Arial" w:hAnsi="Arial"/>
                <w:sz w:val="17"/>
                <w:szCs w:val="17"/>
                <w:b w:val="1"/>
                <w:bCs w:val="1"/>
                <w:color w:val="0000EE"/>
              </w:rPr>
              <w:t>NDEPENDENT</w:t>
            </w:r>
          </w:p>
        </w:tc>
        <w:tc>
          <w:tcPr>
            <w:tcW w:w="680" w:type="dxa"/>
            <w:vAlign w:val="bottom"/>
            <w:vMerge w:val="restart"/>
          </w:tcPr>
          <w:p>
            <w:pPr>
              <w:jc w:val="right"/>
              <w:ind w:right="19"/>
              <w:spacing w:after="0"/>
              <w:rPr>
                <w:sz w:val="20"/>
                <w:szCs w:val="20"/>
                <w:color w:val="auto"/>
              </w:rPr>
            </w:pPr>
            <w:r>
              <w:rPr>
                <w:rFonts w:ascii="Arial" w:cs="Arial" w:eastAsia="Arial" w:hAnsi="Arial"/>
                <w:sz w:val="22"/>
                <w:szCs w:val="22"/>
                <w:b w:val="1"/>
                <w:bCs w:val="1"/>
                <w:color w:val="FF160F"/>
              </w:rPr>
              <w:t>41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280" w:type="dxa"/>
            <w:vAlign w:val="bottom"/>
            <w:tcBorders>
              <w:top w:val="single" w:sz="8" w:color="0000EE"/>
            </w:tcBorders>
            <w:gridSpan w:val="35"/>
          </w:tcPr>
          <w:p>
            <w:pPr>
              <w:spacing w:after="0" w:line="223" w:lineRule="exact"/>
              <w:rPr>
                <w:sz w:val="20"/>
                <w:szCs w:val="20"/>
                <w:color w:val="auto"/>
              </w:rPr>
            </w:pPr>
            <w:r>
              <w:rPr>
                <w:rFonts w:ascii="Arial" w:cs="Arial" w:eastAsia="Arial" w:hAnsi="Arial"/>
                <w:sz w:val="22"/>
                <w:szCs w:val="22"/>
                <w:b w:val="1"/>
                <w:bCs w:val="1"/>
                <w:color w:val="0000EE"/>
              </w:rPr>
              <w:t>R</w:t>
            </w:r>
            <w:r>
              <w:rPr>
                <w:rFonts w:ascii="Arial" w:cs="Arial" w:eastAsia="Arial" w:hAnsi="Arial"/>
                <w:sz w:val="17"/>
                <w:szCs w:val="17"/>
                <w:b w:val="1"/>
                <w:bCs w:val="1"/>
                <w:color w:val="0000EE"/>
              </w:rPr>
              <w:t>EGISTERED</w:t>
            </w:r>
            <w:r>
              <w:rPr>
                <w:rFonts w:ascii="Arial" w:cs="Arial" w:eastAsia="Arial" w:hAnsi="Arial"/>
                <w:sz w:val="22"/>
                <w:szCs w:val="22"/>
                <w:b w:val="1"/>
                <w:bCs w:val="1"/>
                <w:color w:val="0000EE"/>
              </w:rPr>
              <w:t xml:space="preserve"> P</w:t>
            </w:r>
            <w:r>
              <w:rPr>
                <w:rFonts w:ascii="Arial" w:cs="Arial" w:eastAsia="Arial" w:hAnsi="Arial"/>
                <w:sz w:val="17"/>
                <w:szCs w:val="17"/>
                <w:b w:val="1"/>
                <w:bCs w:val="1"/>
                <w:color w:val="0000EE"/>
              </w:rPr>
              <w:t>UBLIC</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CCOUNTING</w:t>
            </w:r>
            <w:r>
              <w:rPr>
                <w:rFonts w:ascii="Arial" w:cs="Arial" w:eastAsia="Arial" w:hAnsi="Arial"/>
                <w:sz w:val="22"/>
                <w:szCs w:val="22"/>
                <w:b w:val="1"/>
                <w:bCs w:val="1"/>
                <w:color w:val="0000EE"/>
              </w:rPr>
              <w:t xml:space="preserve"> F</w:t>
            </w:r>
            <w:r>
              <w:rPr>
                <w:rFonts w:ascii="Arial" w:cs="Arial" w:eastAsia="Arial" w:hAnsi="Arial"/>
                <w:sz w:val="17"/>
                <w:szCs w:val="17"/>
                <w:b w:val="1"/>
                <w:bCs w:val="1"/>
                <w:color w:val="0000EE"/>
              </w:rPr>
              <w:t>IRM</w:t>
            </w:r>
          </w:p>
        </w:tc>
        <w:tc>
          <w:tcPr>
            <w:tcW w:w="340" w:type="dxa"/>
            <w:vAlign w:val="bottom"/>
            <w:gridSpan w:val="2"/>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Borders>
              <w:bottom w:val="single" w:sz="8" w:color="0000EE"/>
            </w:tcBorders>
            <w:gridSpan w:val="10"/>
          </w:tcPr>
          <w:p>
            <w:pPr>
              <w:spacing w:after="0" w:line="149" w:lineRule="exact"/>
              <w:rPr>
                <w:sz w:val="20"/>
                <w:szCs w:val="20"/>
                <w:color w:val="auto"/>
              </w:rPr>
            </w:pPr>
            <w:r>
              <w:rPr>
                <w:rFonts w:ascii="Arial" w:cs="Arial" w:eastAsia="Arial" w:hAnsi="Arial"/>
                <w:sz w:val="14"/>
                <w:szCs w:val="14"/>
                <w:color w:val="0000EE"/>
              </w:rPr>
              <w:t>Audit Committee Report</w:t>
            </w:r>
          </w:p>
        </w:tc>
        <w:tc>
          <w:tcPr>
            <w:tcW w:w="2840" w:type="dxa"/>
            <w:vAlign w:val="bottom"/>
            <w:gridSpan w:val="25"/>
          </w:tcPr>
          <w:p>
            <w:pPr>
              <w:spacing w:after="0"/>
              <w:rPr>
                <w:sz w:val="12"/>
                <w:szCs w:val="12"/>
                <w:color w:val="auto"/>
              </w:rPr>
            </w:pPr>
          </w:p>
        </w:tc>
        <w:tc>
          <w:tcPr>
            <w:tcW w:w="680" w:type="dxa"/>
            <w:vAlign w:val="bottom"/>
          </w:tcPr>
          <w:p>
            <w:pPr>
              <w:jc w:val="right"/>
              <w:ind w:right="19"/>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620" w:type="dxa"/>
            <w:vAlign w:val="bottom"/>
            <w:gridSpan w:val="37"/>
          </w:tcPr>
          <w:p>
            <w:pPr>
              <w:spacing w:after="0"/>
              <w:rPr>
                <w:sz w:val="20"/>
                <w:szCs w:val="20"/>
                <w:color w:val="auto"/>
              </w:rPr>
            </w:pPr>
            <w:r>
              <w:rPr>
                <w:rFonts w:ascii="Arial" w:cs="Arial" w:eastAsia="Arial" w:hAnsi="Arial"/>
                <w:sz w:val="22"/>
                <w:szCs w:val="22"/>
                <w:b w:val="1"/>
                <w:bCs w:val="1"/>
                <w:color w:val="0000EE"/>
              </w:rPr>
              <w:t>B</w:t>
            </w:r>
            <w:r>
              <w:rPr>
                <w:rFonts w:ascii="Arial" w:cs="Arial" w:eastAsia="Arial" w:hAnsi="Arial"/>
                <w:sz w:val="17"/>
                <w:szCs w:val="17"/>
                <w:b w:val="1"/>
                <w:bCs w:val="1"/>
                <w:color w:val="0000EE"/>
              </w:rPr>
              <w:t>ENEFICIAL</w:t>
            </w:r>
            <w:r>
              <w:rPr>
                <w:rFonts w:ascii="Arial" w:cs="Arial" w:eastAsia="Arial" w:hAnsi="Arial"/>
                <w:sz w:val="22"/>
                <w:szCs w:val="22"/>
                <w:b w:val="1"/>
                <w:bCs w:val="1"/>
                <w:color w:val="0000EE"/>
              </w:rPr>
              <w:t xml:space="preserve"> O</w:t>
            </w:r>
            <w:r>
              <w:rPr>
                <w:rFonts w:ascii="Arial" w:cs="Arial" w:eastAsia="Arial" w:hAnsi="Arial"/>
                <w:sz w:val="17"/>
                <w:szCs w:val="17"/>
                <w:b w:val="1"/>
                <w:bCs w:val="1"/>
                <w:color w:val="0000EE"/>
              </w:rPr>
              <w:t>WNERSHIP</w:t>
            </w:r>
          </w:p>
        </w:tc>
        <w:tc>
          <w:tcPr>
            <w:tcW w:w="680" w:type="dxa"/>
            <w:vAlign w:val="bottom"/>
          </w:tcPr>
          <w:p>
            <w:pPr>
              <w:jc w:val="right"/>
              <w:ind w:right="19"/>
              <w:spacing w:after="0"/>
              <w:rPr>
                <w:sz w:val="20"/>
                <w:szCs w:val="20"/>
                <w:color w:val="auto"/>
              </w:rPr>
            </w:pPr>
            <w:r>
              <w:rPr>
                <w:rFonts w:ascii="Arial" w:cs="Arial" w:eastAsia="Arial" w:hAnsi="Arial"/>
                <w:sz w:val="22"/>
                <w:szCs w:val="22"/>
                <w:b w:val="1"/>
                <w:bCs w:val="1"/>
                <w:color w:val="FF160F"/>
              </w:rPr>
              <w:t>44</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tcBorders>
              <w:bottom w:val="single" w:sz="8" w:color="0000EE"/>
            </w:tcBorders>
            <w:gridSpan w:val="15"/>
          </w:tcPr>
          <w:p>
            <w:pPr>
              <w:spacing w:after="0" w:line="149" w:lineRule="exact"/>
              <w:rPr>
                <w:sz w:val="20"/>
                <w:szCs w:val="20"/>
                <w:color w:val="auto"/>
              </w:rPr>
            </w:pPr>
            <w:r>
              <w:rPr>
                <w:rFonts w:ascii="Arial" w:cs="Arial" w:eastAsia="Arial" w:hAnsi="Arial"/>
                <w:sz w:val="14"/>
                <w:szCs w:val="14"/>
                <w:color w:val="0000EE"/>
              </w:rPr>
              <w:t>Ownership of Principal Shareholders</w:t>
            </w:r>
          </w:p>
        </w:tc>
        <w:tc>
          <w:tcPr>
            <w:tcW w:w="2040" w:type="dxa"/>
            <w:vAlign w:val="bottom"/>
            <w:gridSpan w:val="20"/>
          </w:tcPr>
          <w:p>
            <w:pPr>
              <w:spacing w:after="0"/>
              <w:rPr>
                <w:sz w:val="12"/>
                <w:szCs w:val="12"/>
                <w:color w:val="auto"/>
              </w:rPr>
            </w:pPr>
          </w:p>
        </w:tc>
        <w:tc>
          <w:tcPr>
            <w:tcW w:w="680" w:type="dxa"/>
            <w:vAlign w:val="bottom"/>
          </w:tcPr>
          <w:p>
            <w:pPr>
              <w:jc w:val="right"/>
              <w:ind w:right="19"/>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tcBorders>
              <w:bottom w:val="single" w:sz="8" w:color="0000EE"/>
            </w:tcBorders>
            <w:gridSpan w:val="23"/>
          </w:tcPr>
          <w:p>
            <w:pPr>
              <w:spacing w:after="0"/>
              <w:rPr>
                <w:sz w:val="20"/>
                <w:szCs w:val="20"/>
                <w:color w:val="auto"/>
              </w:rPr>
            </w:pPr>
            <w:r>
              <w:rPr>
                <w:rFonts w:ascii="Arial" w:cs="Arial" w:eastAsia="Arial" w:hAnsi="Arial"/>
                <w:sz w:val="14"/>
                <w:szCs w:val="14"/>
                <w:color w:val="0000EE"/>
              </w:rPr>
              <w:t>Ownership of Trustees and Executive Officers</w:t>
            </w:r>
          </w:p>
        </w:tc>
        <w:tc>
          <w:tcPr>
            <w:tcW w:w="1460" w:type="dxa"/>
            <w:vAlign w:val="bottom"/>
            <w:gridSpan w:val="13"/>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620" w:type="dxa"/>
            <w:vAlign w:val="bottom"/>
            <w:gridSpan w:val="37"/>
          </w:tcPr>
          <w:p>
            <w:pPr>
              <w:spacing w:after="0"/>
              <w:rPr>
                <w:sz w:val="20"/>
                <w:szCs w:val="20"/>
                <w:color w:val="auto"/>
              </w:rPr>
            </w:pPr>
            <w:r>
              <w:rPr>
                <w:rFonts w:ascii="Arial" w:cs="Arial" w:eastAsia="Arial" w:hAnsi="Arial"/>
                <w:sz w:val="22"/>
                <w:szCs w:val="22"/>
                <w:b w:val="1"/>
                <w:bCs w:val="1"/>
                <w:color w:val="0000EE"/>
              </w:rPr>
              <w:t>I</w:t>
            </w:r>
            <w:r>
              <w:rPr>
                <w:rFonts w:ascii="Arial" w:cs="Arial" w:eastAsia="Arial" w:hAnsi="Arial"/>
                <w:sz w:val="17"/>
                <w:szCs w:val="17"/>
                <w:b w:val="1"/>
                <w:bCs w:val="1"/>
                <w:color w:val="0000EE"/>
              </w:rPr>
              <w:t>NFORMATION ABOUT THE</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NNUAL</w:t>
            </w:r>
            <w:r>
              <w:rPr>
                <w:rFonts w:ascii="Arial" w:cs="Arial" w:eastAsia="Arial" w:hAnsi="Arial"/>
                <w:sz w:val="22"/>
                <w:szCs w:val="22"/>
                <w:b w:val="1"/>
                <w:bCs w:val="1"/>
                <w:color w:val="0000EE"/>
              </w:rPr>
              <w:t xml:space="preserve"> M</w:t>
            </w:r>
            <w:r>
              <w:rPr>
                <w:rFonts w:ascii="Arial" w:cs="Arial" w:eastAsia="Arial" w:hAnsi="Arial"/>
                <w:sz w:val="17"/>
                <w:szCs w:val="17"/>
                <w:b w:val="1"/>
                <w:bCs w:val="1"/>
                <w:color w:val="0000EE"/>
              </w:rPr>
              <w:t>EETING</w:t>
            </w:r>
          </w:p>
        </w:tc>
        <w:tc>
          <w:tcPr>
            <w:tcW w:w="680" w:type="dxa"/>
            <w:vAlign w:val="bottom"/>
          </w:tcPr>
          <w:p>
            <w:pPr>
              <w:jc w:val="right"/>
              <w:ind w:right="19"/>
              <w:spacing w:after="0"/>
              <w:rPr>
                <w:sz w:val="20"/>
                <w:szCs w:val="20"/>
                <w:color w:val="auto"/>
              </w:rPr>
            </w:pPr>
            <w:r>
              <w:rPr>
                <w:rFonts w:ascii="Arial" w:cs="Arial" w:eastAsia="Arial" w:hAnsi="Arial"/>
                <w:sz w:val="22"/>
                <w:szCs w:val="22"/>
                <w:b w:val="1"/>
                <w:bCs w:val="1"/>
                <w:color w:val="FF160F"/>
              </w:rPr>
              <w:t>45</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gridSpan w:val="35"/>
          </w:tcPr>
          <w:p>
            <w:pPr>
              <w:spacing w:after="0" w:line="149" w:lineRule="exact"/>
              <w:rPr>
                <w:sz w:val="20"/>
                <w:szCs w:val="20"/>
                <w:color w:val="auto"/>
              </w:rPr>
            </w:pPr>
            <w:r>
              <w:rPr>
                <w:rFonts w:ascii="Arial" w:cs="Arial" w:eastAsia="Arial" w:hAnsi="Arial"/>
                <w:sz w:val="14"/>
                <w:szCs w:val="14"/>
                <w:color w:val="0000EE"/>
              </w:rPr>
              <w:t>Notice of Electronic Availability of Proxy Materials</w:t>
            </w:r>
          </w:p>
        </w:tc>
        <w:tc>
          <w:tcPr>
            <w:tcW w:w="680" w:type="dxa"/>
            <w:vAlign w:val="bottom"/>
          </w:tcPr>
          <w:p>
            <w:pPr>
              <w:jc w:val="right"/>
              <w:ind w:right="19"/>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gridSpan w:val="10"/>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0000EE"/>
              </w:rPr>
              <w:t>Why You are Receiving These Materials</w:t>
            </w:r>
          </w:p>
        </w:tc>
        <w:tc>
          <w:tcPr>
            <w:tcW w:w="1820" w:type="dxa"/>
            <w:vAlign w:val="bottom"/>
            <w:gridSpan w:val="16"/>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Accessing Materials</w:t>
            </w:r>
          </w:p>
        </w:tc>
        <w:tc>
          <w:tcPr>
            <w:tcW w:w="3100" w:type="dxa"/>
            <w:vAlign w:val="bottom"/>
            <w:gridSpan w:val="28"/>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w w:val="99"/>
              </w:rPr>
              <w:t>How to Vote</w:t>
            </w:r>
          </w:p>
        </w:tc>
        <w:tc>
          <w:tcPr>
            <w:tcW w:w="3600" w:type="dxa"/>
            <w:vAlign w:val="bottom"/>
            <w:gridSpan w:val="33"/>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color w:val="0000EE"/>
              </w:rPr>
              <w:t>How to Participate in the Annual Meeting</w:t>
            </w:r>
          </w:p>
        </w:tc>
        <w:tc>
          <w:tcPr>
            <w:tcW w:w="1780" w:type="dxa"/>
            <w:vAlign w:val="bottom"/>
            <w:gridSpan w:val="15"/>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rPr>
              <w:t>Eliminating Duplicative Proxy Materials</w:t>
            </w:r>
          </w:p>
        </w:tc>
        <w:tc>
          <w:tcPr>
            <w:tcW w:w="1900" w:type="dxa"/>
            <w:vAlign w:val="bottom"/>
            <w:gridSpan w:val="17"/>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Solicitation of Proxies</w:t>
            </w:r>
          </w:p>
        </w:tc>
        <w:tc>
          <w:tcPr>
            <w:tcW w:w="3000" w:type="dxa"/>
            <w:vAlign w:val="bottom"/>
            <w:gridSpan w:val="27"/>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tcBorders>
              <w:bottom w:val="single" w:sz="8" w:color="0000EE"/>
            </w:tcBorders>
            <w:gridSpan w:val="25"/>
          </w:tcPr>
          <w:p>
            <w:pPr>
              <w:spacing w:after="0"/>
              <w:rPr>
                <w:sz w:val="20"/>
                <w:szCs w:val="20"/>
                <w:color w:val="auto"/>
              </w:rPr>
            </w:pPr>
            <w:r>
              <w:rPr>
                <w:rFonts w:ascii="Arial" w:cs="Arial" w:eastAsia="Arial" w:hAnsi="Arial"/>
                <w:sz w:val="14"/>
                <w:szCs w:val="14"/>
                <w:color w:val="0000EE"/>
              </w:rPr>
              <w:t>Shareholder Proposals for the 2024 Annual Meeting</w:t>
            </w:r>
          </w:p>
        </w:tc>
        <w:tc>
          <w:tcPr>
            <w:tcW w:w="1060" w:type="dxa"/>
            <w:vAlign w:val="bottom"/>
            <w:gridSpan w:val="11"/>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620" w:type="dxa"/>
            <w:vAlign w:val="bottom"/>
            <w:gridSpan w:val="37"/>
          </w:tcPr>
          <w:p>
            <w:pPr>
              <w:spacing w:after="0"/>
              <w:rPr>
                <w:sz w:val="20"/>
                <w:szCs w:val="20"/>
                <w:color w:val="auto"/>
              </w:rPr>
            </w:pPr>
            <w:r>
              <w:rPr>
                <w:rFonts w:ascii="Arial" w:cs="Arial" w:eastAsia="Arial" w:hAnsi="Arial"/>
                <w:sz w:val="22"/>
                <w:szCs w:val="22"/>
                <w:b w:val="1"/>
                <w:bCs w:val="1"/>
                <w:color w:val="0000EE"/>
              </w:rPr>
              <w:t>A</w:t>
            </w:r>
            <w:r>
              <w:rPr>
                <w:rFonts w:ascii="Arial" w:cs="Arial" w:eastAsia="Arial" w:hAnsi="Arial"/>
                <w:sz w:val="17"/>
                <w:szCs w:val="17"/>
                <w:b w:val="1"/>
                <w:bCs w:val="1"/>
                <w:color w:val="0000EE"/>
              </w:rPr>
              <w:t>PPENDIX</w:t>
            </w:r>
            <w:r>
              <w:rPr>
                <w:rFonts w:ascii="Arial" w:cs="Arial" w:eastAsia="Arial" w:hAnsi="Arial"/>
                <w:sz w:val="22"/>
                <w:szCs w:val="22"/>
                <w:b w:val="1"/>
                <w:bCs w:val="1"/>
                <w:color w:val="0000EE"/>
              </w:rPr>
              <w:t xml:space="preserve"> A</w:t>
            </w:r>
          </w:p>
        </w:tc>
        <w:tc>
          <w:tcPr>
            <w:tcW w:w="680" w:type="dxa"/>
            <w:vAlign w:val="bottom"/>
          </w:tcPr>
          <w:p>
            <w:pPr>
              <w:jc w:val="right"/>
              <w:ind w:right="19"/>
              <w:spacing w:after="0"/>
              <w:rPr>
                <w:sz w:val="20"/>
                <w:szCs w:val="20"/>
                <w:color w:val="auto"/>
              </w:rPr>
            </w:pPr>
            <w:r>
              <w:rPr>
                <w:rFonts w:ascii="Arial" w:cs="Arial" w:eastAsia="Arial" w:hAnsi="Arial"/>
                <w:sz w:val="22"/>
                <w:szCs w:val="22"/>
                <w:b w:val="1"/>
                <w:bCs w:val="1"/>
                <w:color w:val="FF160F"/>
              </w:rPr>
              <w:t>A-1</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bottom w:val="single" w:sz="8" w:color="0000EE"/>
            </w:tcBorders>
            <w:gridSpan w:val="32"/>
          </w:tcPr>
          <w:p>
            <w:pPr>
              <w:spacing w:after="0" w:line="129" w:lineRule="exact"/>
              <w:rPr>
                <w:sz w:val="20"/>
                <w:szCs w:val="20"/>
                <w:color w:val="auto"/>
              </w:rPr>
            </w:pPr>
            <w:r>
              <w:rPr>
                <w:rFonts w:ascii="Arial" w:cs="Arial" w:eastAsia="Arial" w:hAnsi="Arial"/>
                <w:sz w:val="14"/>
                <w:szCs w:val="14"/>
                <w:color w:val="0000EE"/>
              </w:rPr>
              <w:t>Appendix A – Reconciliation of Non-GAAP Financial Measures</w:t>
            </w:r>
          </w:p>
        </w:tc>
        <w:tc>
          <w:tcPr>
            <w:tcW w:w="380" w:type="dxa"/>
            <w:vAlign w:val="bottom"/>
            <w:gridSpan w:val="3"/>
          </w:tcPr>
          <w:p>
            <w:pPr>
              <w:spacing w:after="0"/>
              <w:rPr>
                <w:sz w:val="12"/>
                <w:szCs w:val="12"/>
                <w:color w:val="auto"/>
              </w:rPr>
            </w:pPr>
          </w:p>
        </w:tc>
        <w:tc>
          <w:tcPr>
            <w:tcW w:w="680" w:type="dxa"/>
            <w:vAlign w:val="bottom"/>
          </w:tcPr>
          <w:p>
            <w:pPr>
              <w:jc w:val="right"/>
              <w:ind w:right="19"/>
              <w:spacing w:after="0" w:line="142"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bl>
    <w:p>
      <w:pPr>
        <w:sectPr>
          <w:pgSz w:w="11900" w:h="16838" w:orient="portrait"/>
          <w:cols w:equalWidth="0" w:num="2">
            <w:col w:w="5400" w:space="340"/>
            <w:col w:w="540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Company Information</w:t>
      </w:r>
    </w:p>
    <w:p>
      <w:pPr>
        <w:spacing w:after="0" w:line="237"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Following is basic information about the Company and highlights information contained elsewhere in the proxy statement. This summary does not contain all of the information that you should consider, and you should read the entire proxy statement carefully before voting. References to “we,” “us,” “our,” “Federal” and the “Company” in this proxy statement refer to Federal Realty Investment Trust and its subsidiaries.</w:t>
      </w:r>
    </w:p>
    <w:p>
      <w:pPr>
        <w:spacing w:after="0" w:line="174"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Federal Realty Investment Trust is an S&amp;P 500 company headquartered in North Bethesda, Maryland that owns, operates and redevelops high-quality retail based real estate located primarily in major coastal markets.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660" w:type="dxa"/>
            <w:vAlign w:val="bottom"/>
          </w:tcPr>
          <w:p>
            <w:pPr>
              <w:jc w:val="center"/>
              <w:ind w:left="90"/>
              <w:spacing w:after="0"/>
              <w:rPr>
                <w:sz w:val="20"/>
                <w:szCs w:val="20"/>
                <w:color w:val="auto"/>
              </w:rPr>
            </w:pPr>
            <w:r>
              <w:rPr>
                <w:rFonts w:ascii="Arial" w:cs="Arial" w:eastAsia="Arial" w:hAnsi="Arial"/>
                <w:sz w:val="18"/>
                <w:szCs w:val="18"/>
                <w:color w:val="FF160F"/>
                <w:w w:val="99"/>
              </w:rPr>
              <w:t>Company Information</w:t>
            </w:r>
          </w:p>
        </w:tc>
        <w:tc>
          <w:tcPr>
            <w:tcW w:w="3860" w:type="dxa"/>
            <w:vAlign w:val="bottom"/>
          </w:tcPr>
          <w:p>
            <w:pPr>
              <w:jc w:val="center"/>
              <w:ind w:left="210"/>
              <w:spacing w:after="0"/>
              <w:rPr>
                <w:sz w:val="20"/>
                <w:szCs w:val="20"/>
                <w:color w:val="auto"/>
              </w:rPr>
            </w:pPr>
            <w:r>
              <w:rPr>
                <w:rFonts w:ascii="Arial" w:cs="Arial" w:eastAsia="Arial" w:hAnsi="Arial"/>
                <w:sz w:val="18"/>
                <w:szCs w:val="18"/>
                <w:color w:val="FF160F"/>
                <w:w w:val="99"/>
              </w:rPr>
              <w:t>Our Properties*</w:t>
            </w:r>
          </w:p>
        </w:tc>
        <w:tc>
          <w:tcPr>
            <w:tcW w:w="3500" w:type="dxa"/>
            <w:vAlign w:val="bottom"/>
          </w:tcPr>
          <w:p>
            <w:pPr>
              <w:jc w:val="center"/>
              <w:spacing w:after="0"/>
              <w:rPr>
                <w:sz w:val="20"/>
                <w:szCs w:val="20"/>
                <w:color w:val="auto"/>
              </w:rPr>
            </w:pPr>
            <w:r>
              <w:rPr>
                <w:rFonts w:ascii="Arial" w:cs="Arial" w:eastAsia="Arial" w:hAnsi="Arial"/>
                <w:sz w:val="18"/>
                <w:szCs w:val="18"/>
                <w:color w:val="FF160F"/>
                <w:w w:val="99"/>
              </w:rPr>
              <w:t>Our Employees*</w:t>
            </w:r>
          </w:p>
        </w:tc>
      </w:tr>
      <w:tr>
        <w:trPr>
          <w:trHeight w:val="77"/>
        </w:trPr>
        <w:tc>
          <w:tcPr>
            <w:tcW w:w="3660" w:type="dxa"/>
            <w:vAlign w:val="bottom"/>
            <w:tcBorders>
              <w:bottom w:val="single" w:sz="8" w:color="auto"/>
            </w:tcBorders>
          </w:tcPr>
          <w:p>
            <w:pPr>
              <w:spacing w:after="0"/>
              <w:rPr>
                <w:sz w:val="6"/>
                <w:szCs w:val="6"/>
                <w:color w:val="auto"/>
              </w:rPr>
            </w:pPr>
          </w:p>
        </w:tc>
        <w:tc>
          <w:tcPr>
            <w:tcW w:w="3860" w:type="dxa"/>
            <w:vAlign w:val="bottom"/>
            <w:tcBorders>
              <w:bottom w:val="single" w:sz="8" w:color="auto"/>
            </w:tcBorders>
          </w:tcPr>
          <w:p>
            <w:pPr>
              <w:spacing w:after="0"/>
              <w:rPr>
                <w:sz w:val="6"/>
                <w:szCs w:val="6"/>
                <w:color w:val="auto"/>
              </w:rPr>
            </w:pPr>
          </w:p>
        </w:tc>
        <w:tc>
          <w:tcPr>
            <w:tcW w:w="3500" w:type="dxa"/>
            <w:vAlign w:val="bottom"/>
            <w:tcBorders>
              <w:bottom w:val="single" w:sz="8" w:color="auto"/>
            </w:tcBorders>
          </w:tcPr>
          <w:p>
            <w:pPr>
              <w:spacing w:after="0"/>
              <w:rPr>
                <w:sz w:val="6"/>
                <w:szCs w:val="6"/>
                <w:color w:val="auto"/>
              </w:rPr>
            </w:pPr>
          </w:p>
        </w:tc>
      </w:tr>
      <w:tr>
        <w:trPr>
          <w:trHeight w:val="339"/>
        </w:trPr>
        <w:tc>
          <w:tcPr>
            <w:tcW w:w="3660" w:type="dxa"/>
            <w:vAlign w:val="bottom"/>
          </w:tcPr>
          <w:p>
            <w:pPr>
              <w:jc w:val="center"/>
              <w:ind w:left="110"/>
              <w:spacing w:after="0"/>
              <w:rPr>
                <w:sz w:val="20"/>
                <w:szCs w:val="20"/>
                <w:color w:val="auto"/>
              </w:rPr>
            </w:pPr>
            <w:r>
              <w:rPr>
                <w:rFonts w:ascii="Arial" w:cs="Arial" w:eastAsia="Arial" w:hAnsi="Arial"/>
                <w:sz w:val="18"/>
                <w:szCs w:val="18"/>
                <w:color w:val="auto"/>
              </w:rPr>
              <w:t>Established in 1962</w:t>
            </w:r>
          </w:p>
        </w:tc>
        <w:tc>
          <w:tcPr>
            <w:tcW w:w="3860" w:type="dxa"/>
            <w:vAlign w:val="bottom"/>
          </w:tcPr>
          <w:p>
            <w:pPr>
              <w:jc w:val="center"/>
              <w:ind w:left="210"/>
              <w:spacing w:after="0"/>
              <w:rPr>
                <w:sz w:val="20"/>
                <w:szCs w:val="20"/>
                <w:color w:val="auto"/>
              </w:rPr>
            </w:pPr>
            <w:r>
              <w:rPr>
                <w:rFonts w:ascii="Arial" w:cs="Arial" w:eastAsia="Arial" w:hAnsi="Arial"/>
                <w:sz w:val="18"/>
                <w:szCs w:val="18"/>
                <w:color w:val="auto"/>
                <w:w w:val="99"/>
              </w:rPr>
              <w:t>103 Properties</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319 employees</w:t>
            </w:r>
          </w:p>
        </w:tc>
      </w:tr>
      <w:tr>
        <w:trPr>
          <w:trHeight w:val="203"/>
        </w:trPr>
        <w:tc>
          <w:tcPr>
            <w:tcW w:w="36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Member of the S&amp;P 500</w:t>
            </w:r>
          </w:p>
        </w:tc>
        <w:tc>
          <w:tcPr>
            <w:tcW w:w="3860" w:type="dxa"/>
            <w:vAlign w:val="bottom"/>
          </w:tcPr>
          <w:p>
            <w:pPr>
              <w:jc w:val="center"/>
              <w:ind w:left="210"/>
              <w:spacing w:after="0" w:line="202" w:lineRule="exact"/>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25.9M SF of commercial space</w:t>
            </w:r>
          </w:p>
        </w:tc>
        <w:tc>
          <w:tcPr>
            <w:tcW w:w="3500" w:type="dxa"/>
            <w:vAlign w:val="bottom"/>
          </w:tcPr>
          <w:p>
            <w:pPr>
              <w:jc w:val="center"/>
              <w:spacing w:after="0" w:line="202" w:lineRule="exact"/>
              <w:rPr>
                <w:sz w:val="20"/>
                <w:szCs w:val="20"/>
                <w:color w:val="auto"/>
              </w:rPr>
            </w:pPr>
            <w:r>
              <w:rPr>
                <w:rFonts w:ascii="Arial" w:cs="Arial" w:eastAsia="Arial" w:hAnsi="Arial"/>
                <w:sz w:val="18"/>
                <w:szCs w:val="18"/>
                <w:color w:val="auto"/>
                <w:w w:val="98"/>
              </w:rPr>
              <w:t>6 primary offices</w:t>
            </w:r>
          </w:p>
        </w:tc>
      </w:tr>
      <w:tr>
        <w:trPr>
          <w:trHeight w:val="252"/>
        </w:trPr>
        <w:tc>
          <w:tcPr>
            <w:tcW w:w="3660" w:type="dxa"/>
            <w:vAlign w:val="bottom"/>
          </w:tcPr>
          <w:p>
            <w:pPr>
              <w:spacing w:after="0"/>
              <w:rPr>
                <w:sz w:val="21"/>
                <w:szCs w:val="21"/>
                <w:color w:val="auto"/>
              </w:rPr>
            </w:pPr>
          </w:p>
        </w:tc>
        <w:tc>
          <w:tcPr>
            <w:tcW w:w="3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3,000 residential units</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Average tenure exceeds 8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Information as of December 31, 2022.</w:t>
      </w:r>
    </w:p>
    <w:p>
      <w:pPr>
        <w:spacing w:after="0" w:line="234" w:lineRule="exact"/>
        <w:rPr>
          <w:sz w:val="20"/>
          <w:szCs w:val="20"/>
          <w:color w:val="auto"/>
        </w:rPr>
      </w:pPr>
    </w:p>
    <w:p>
      <w:pPr>
        <w:ind w:left="540" w:hanging="424"/>
        <w:spacing w:after="0"/>
        <w:tabs>
          <w:tab w:leader="none" w:pos="540" w:val="left"/>
        </w:tabs>
        <w:numPr>
          <w:ilvl w:val="0"/>
          <w:numId w:val="6"/>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HIGHLIGHTS OF 2022 COMPANY PERFORMANCE</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Key business and financial achievements for 2022, in addition to net income per diluted share of $4.71 (growth of 44% over 2021), included: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20" w:type="dxa"/>
            <w:vAlign w:val="bottom"/>
            <w:shd w:val="clear" w:color="auto" w:fill="A5A5A5"/>
          </w:tcPr>
          <w:p>
            <w:pPr>
              <w:spacing w:after="0"/>
              <w:rPr>
                <w:sz w:val="17"/>
                <w:szCs w:val="17"/>
                <w:color w:val="auto"/>
              </w:rPr>
            </w:pPr>
          </w:p>
        </w:tc>
        <w:tc>
          <w:tcPr>
            <w:tcW w:w="1860" w:type="dxa"/>
            <w:vAlign w:val="bottom"/>
            <w:vMerge w:val="restart"/>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FFO Per Share</w:t>
            </w:r>
          </w:p>
        </w:tc>
        <w:tc>
          <w:tcPr>
            <w:tcW w:w="140" w:type="dxa"/>
            <w:vAlign w:val="bottom"/>
            <w:shd w:val="clear" w:color="auto" w:fill="F2F2F2"/>
          </w:tcPr>
          <w:p>
            <w:pPr>
              <w:spacing w:after="0"/>
              <w:rPr>
                <w:sz w:val="17"/>
                <w:szCs w:val="17"/>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FFO per diluted share* of </w:t>
            </w:r>
            <w:r>
              <w:rPr>
                <w:rFonts w:ascii="Arial" w:cs="Arial" w:eastAsia="Arial" w:hAnsi="Arial"/>
                <w:sz w:val="18"/>
                <w:szCs w:val="18"/>
                <w:color w:val="FF160F"/>
              </w:rPr>
              <w:t>$6.32</w:t>
            </w:r>
            <w:r>
              <w:rPr>
                <w:rFonts w:ascii="Arial" w:cs="Arial" w:eastAsia="Arial" w:hAnsi="Arial"/>
                <w:sz w:val="18"/>
                <w:szCs w:val="18"/>
                <w:color w:val="auto"/>
              </w:rPr>
              <w:t xml:space="preserve"> representing growth of </w:t>
            </w:r>
            <w:r>
              <w:rPr>
                <w:rFonts w:ascii="Arial" w:cs="Arial" w:eastAsia="Arial" w:hAnsi="Arial"/>
                <w:sz w:val="18"/>
                <w:szCs w:val="18"/>
                <w:color w:val="FF160F"/>
              </w:rPr>
              <w:t>13.5%</w:t>
            </w:r>
            <w:r>
              <w:rPr>
                <w:rFonts w:ascii="Arial" w:cs="Arial" w:eastAsia="Arial" w:hAnsi="Arial"/>
                <w:sz w:val="18"/>
                <w:szCs w:val="18"/>
                <w:color w:val="auto"/>
              </w:rPr>
              <w:t xml:space="preserve"> over 2021 driven by improved</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shd w:val="clear" w:color="auto" w:fill="A5A5A5"/>
          </w:tcPr>
          <w:p>
            <w:pPr>
              <w:spacing w:after="0"/>
              <w:rPr>
                <w:sz w:val="7"/>
                <w:szCs w:val="7"/>
                <w:color w:val="auto"/>
              </w:rPr>
            </w:pPr>
          </w:p>
        </w:tc>
        <w:tc>
          <w:tcPr>
            <w:tcW w:w="1860" w:type="dxa"/>
            <w:vAlign w:val="bottom"/>
            <w:vMerge w:val="continue"/>
            <w:shd w:val="clear" w:color="auto" w:fill="A5A5A5"/>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7600" w:type="dxa"/>
            <w:vAlign w:val="bottom"/>
            <w:vMerge w:val="restart"/>
            <w:shd w:val="clear" w:color="auto" w:fill="F2F2F2"/>
          </w:tcPr>
          <w:p>
            <w:pPr>
              <w:spacing w:after="0" w:line="202" w:lineRule="exact"/>
              <w:rPr>
                <w:sz w:val="20"/>
                <w:szCs w:val="20"/>
                <w:color w:val="auto"/>
              </w:rPr>
            </w:pPr>
            <w:r>
              <w:rPr>
                <w:rFonts w:ascii="Arial" w:cs="Arial" w:eastAsia="Arial" w:hAnsi="Arial"/>
                <w:sz w:val="18"/>
                <w:szCs w:val="18"/>
                <w:color w:val="auto"/>
              </w:rPr>
              <w:t>occupancy, increasing rents, strategic acquisitions, new projects coming on line, and strong</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120" w:type="dxa"/>
            <w:vAlign w:val="bottom"/>
            <w:shd w:val="clear" w:color="auto" w:fill="A5A5A5"/>
          </w:tcPr>
          <w:p>
            <w:pPr>
              <w:spacing w:after="0"/>
              <w:rPr>
                <w:sz w:val="10"/>
                <w:szCs w:val="10"/>
                <w:color w:val="auto"/>
              </w:rPr>
            </w:pPr>
          </w:p>
        </w:tc>
        <w:tc>
          <w:tcPr>
            <w:tcW w:w="1860" w:type="dxa"/>
            <w:vAlign w:val="bottom"/>
            <w:vMerge w:val="restart"/>
            <w:shd w:val="clear" w:color="auto" w:fill="A5A5A5"/>
          </w:tcPr>
          <w:p>
            <w:pPr>
              <w:jc w:val="center"/>
              <w:spacing w:after="0"/>
              <w:rPr>
                <w:sz w:val="20"/>
                <w:szCs w:val="20"/>
                <w:color w:val="auto"/>
              </w:rPr>
            </w:pPr>
            <w:r>
              <w:rPr>
                <w:rFonts w:ascii="Arial" w:cs="Arial" w:eastAsia="Arial" w:hAnsi="Arial"/>
                <w:sz w:val="18"/>
                <w:szCs w:val="18"/>
                <w:b w:val="1"/>
                <w:bCs w:val="1"/>
                <w:color w:val="FFFFFF"/>
              </w:rPr>
              <w:t>Growth</w:t>
            </w:r>
          </w:p>
        </w:tc>
        <w:tc>
          <w:tcPr>
            <w:tcW w:w="140" w:type="dxa"/>
            <w:vAlign w:val="bottom"/>
            <w:shd w:val="clear" w:color="auto" w:fill="F2F2F2"/>
          </w:tcPr>
          <w:p>
            <w:pPr>
              <w:spacing w:after="0"/>
              <w:rPr>
                <w:sz w:val="10"/>
                <w:szCs w:val="10"/>
                <w:color w:val="auto"/>
              </w:rPr>
            </w:pPr>
          </w:p>
        </w:tc>
        <w:tc>
          <w:tcPr>
            <w:tcW w:w="760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20" w:type="dxa"/>
            <w:vAlign w:val="bottom"/>
            <w:shd w:val="clear" w:color="auto" w:fill="A5A5A5"/>
          </w:tcPr>
          <w:p>
            <w:pPr>
              <w:spacing w:after="0"/>
              <w:rPr>
                <w:sz w:val="10"/>
                <w:szCs w:val="10"/>
                <w:color w:val="auto"/>
              </w:rPr>
            </w:pPr>
          </w:p>
        </w:tc>
        <w:tc>
          <w:tcPr>
            <w:tcW w:w="1860" w:type="dxa"/>
            <w:vAlign w:val="bottom"/>
            <w:vMerge w:val="continue"/>
            <w:shd w:val="clear" w:color="auto" w:fill="A5A5A5"/>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60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balance sheet management</w:t>
            </w: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120" w:type="dxa"/>
            <w:vAlign w:val="bottom"/>
            <w:shd w:val="clear" w:color="auto" w:fill="A5A5A5"/>
          </w:tcPr>
          <w:p>
            <w:pPr>
              <w:spacing w:after="0"/>
              <w:rPr>
                <w:sz w:val="9"/>
                <w:szCs w:val="9"/>
                <w:color w:val="auto"/>
              </w:rPr>
            </w:pPr>
          </w:p>
        </w:tc>
        <w:tc>
          <w:tcPr>
            <w:tcW w:w="1860" w:type="dxa"/>
            <w:vAlign w:val="bottom"/>
            <w:shd w:val="clear" w:color="auto" w:fill="A5A5A5"/>
          </w:tcPr>
          <w:p>
            <w:pPr>
              <w:spacing w:after="0"/>
              <w:rPr>
                <w:sz w:val="9"/>
                <w:szCs w:val="9"/>
                <w:color w:val="auto"/>
              </w:rPr>
            </w:pPr>
          </w:p>
        </w:tc>
        <w:tc>
          <w:tcPr>
            <w:tcW w:w="140" w:type="dxa"/>
            <w:vAlign w:val="bottom"/>
            <w:shd w:val="clear" w:color="auto" w:fill="F2F2F2"/>
          </w:tcPr>
          <w:p>
            <w:pPr>
              <w:spacing w:after="0"/>
              <w:rPr>
                <w:sz w:val="9"/>
                <w:szCs w:val="9"/>
                <w:color w:val="auto"/>
              </w:rPr>
            </w:pPr>
          </w:p>
        </w:tc>
        <w:tc>
          <w:tcPr>
            <w:tcW w:w="760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A5A5A5"/>
          </w:tcPr>
          <w:p>
            <w:pPr>
              <w:spacing w:after="0"/>
              <w:rPr>
                <w:sz w:val="17"/>
                <w:szCs w:val="17"/>
                <w:color w:val="auto"/>
              </w:rPr>
            </w:pPr>
          </w:p>
        </w:tc>
        <w:tc>
          <w:tcPr>
            <w:tcW w:w="1860" w:type="dxa"/>
            <w:vAlign w:val="bottom"/>
            <w:tcBorders>
              <w:bottom w:val="single" w:sz="8" w:color="auto"/>
            </w:tcBorders>
            <w:shd w:val="clear" w:color="auto" w:fill="A5A5A5"/>
          </w:tcPr>
          <w:p>
            <w:pPr>
              <w:spacing w:after="0"/>
              <w:rPr>
                <w:sz w:val="17"/>
                <w:szCs w:val="17"/>
                <w:color w:val="auto"/>
              </w:rPr>
            </w:pPr>
          </w:p>
        </w:tc>
        <w:tc>
          <w:tcPr>
            <w:tcW w:w="140" w:type="dxa"/>
            <w:vAlign w:val="bottom"/>
            <w:tcBorders>
              <w:bottom w:val="single" w:sz="8" w:color="auto"/>
            </w:tcBorders>
            <w:shd w:val="clear" w:color="auto" w:fill="F2F2F2"/>
          </w:tcPr>
          <w:p>
            <w:pPr>
              <w:spacing w:after="0"/>
              <w:rPr>
                <w:sz w:val="17"/>
                <w:szCs w:val="17"/>
                <w:color w:val="auto"/>
              </w:rPr>
            </w:pPr>
          </w:p>
        </w:tc>
        <w:tc>
          <w:tcPr>
            <w:tcW w:w="7600" w:type="dxa"/>
            <w:vAlign w:val="bottom"/>
            <w:tcBorders>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300" w:type="dxa"/>
            <w:vAlign w:val="bottom"/>
          </w:tcPr>
          <w:p>
            <w:pPr>
              <w:spacing w:after="0"/>
              <w:rPr>
                <w:sz w:val="24"/>
                <w:szCs w:val="24"/>
                <w:color w:val="auto"/>
              </w:rPr>
            </w:pPr>
          </w:p>
        </w:tc>
        <w:tc>
          <w:tcPr>
            <w:tcW w:w="120" w:type="dxa"/>
            <w:vAlign w:val="bottom"/>
            <w:shd w:val="clear" w:color="auto" w:fill="A5A5A5"/>
          </w:tcPr>
          <w:p>
            <w:pPr>
              <w:spacing w:after="0"/>
              <w:rPr>
                <w:sz w:val="24"/>
                <w:szCs w:val="24"/>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Record Leasing</w:t>
            </w:r>
          </w:p>
        </w:tc>
        <w:tc>
          <w:tcPr>
            <w:tcW w:w="140" w:type="dxa"/>
            <w:vAlign w:val="bottom"/>
            <w:shd w:val="clear" w:color="auto" w:fill="F2F2F2"/>
          </w:tcPr>
          <w:p>
            <w:pPr>
              <w:spacing w:after="0"/>
              <w:rPr>
                <w:sz w:val="24"/>
                <w:szCs w:val="24"/>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color w:val="FF160F"/>
              </w:rPr>
              <w:t>475</w:t>
            </w:r>
            <w:r>
              <w:rPr>
                <w:rFonts w:ascii="Arial" w:cs="Arial" w:eastAsia="Arial" w:hAnsi="Arial"/>
                <w:sz w:val="18"/>
                <w:szCs w:val="18"/>
                <w:color w:val="auto"/>
              </w:rPr>
              <w:t xml:space="preserve"> new and renewal comparable space leases covering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2 million</w:t>
            </w:r>
            <w:r>
              <w:rPr>
                <w:rFonts w:ascii="Arial" w:cs="Arial" w:eastAsia="Arial" w:hAnsi="Arial"/>
                <w:sz w:val="18"/>
                <w:szCs w:val="18"/>
                <w:color w:val="auto"/>
              </w:rPr>
              <w:t xml:space="preserve"> square feet of</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0" w:type="dxa"/>
            <w:vAlign w:val="bottom"/>
            <w:shd w:val="clear" w:color="auto" w:fill="A5A5A5"/>
          </w:tcPr>
          <w:p>
            <w:pPr>
              <w:spacing w:after="0"/>
              <w:rPr>
                <w:sz w:val="21"/>
                <w:szCs w:val="21"/>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Activity</w:t>
            </w:r>
          </w:p>
        </w:tc>
        <w:tc>
          <w:tcPr>
            <w:tcW w:w="140" w:type="dxa"/>
            <w:vAlign w:val="bottom"/>
            <w:shd w:val="clear" w:color="auto" w:fill="F2F2F2"/>
          </w:tcPr>
          <w:p>
            <w:pPr>
              <w:spacing w:after="0"/>
              <w:rPr>
                <w:sz w:val="21"/>
                <w:szCs w:val="21"/>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space and more than $74 million of year 1 revenue</w:t>
            </w:r>
          </w:p>
        </w:tc>
        <w:tc>
          <w:tcPr>
            <w:tcW w:w="0" w:type="dxa"/>
            <w:vAlign w:val="bottom"/>
          </w:tcPr>
          <w:p>
            <w:pPr>
              <w:spacing w:after="0"/>
              <w:rPr>
                <w:sz w:val="1"/>
                <w:szCs w:val="1"/>
                <w:color w:val="auto"/>
              </w:rPr>
            </w:pPr>
          </w:p>
        </w:tc>
      </w:tr>
      <w:tr>
        <w:trPr>
          <w:trHeight w:val="190"/>
        </w:trPr>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shd w:val="clear" w:color="auto" w:fill="A5A5A5"/>
          </w:tcPr>
          <w:p>
            <w:pPr>
              <w:spacing w:after="0"/>
              <w:rPr>
                <w:sz w:val="16"/>
                <w:szCs w:val="16"/>
                <w:color w:val="auto"/>
              </w:rPr>
            </w:pPr>
          </w:p>
        </w:tc>
        <w:tc>
          <w:tcPr>
            <w:tcW w:w="1860" w:type="dxa"/>
            <w:vAlign w:val="bottom"/>
            <w:tcBorders>
              <w:bottom w:val="single" w:sz="8" w:color="auto"/>
            </w:tcBorders>
            <w:shd w:val="clear" w:color="auto" w:fill="A5A5A5"/>
          </w:tcPr>
          <w:p>
            <w:pPr>
              <w:spacing w:after="0"/>
              <w:rPr>
                <w:sz w:val="16"/>
                <w:szCs w:val="16"/>
                <w:color w:val="auto"/>
              </w:rPr>
            </w:pPr>
          </w:p>
        </w:tc>
        <w:tc>
          <w:tcPr>
            <w:tcW w:w="140" w:type="dxa"/>
            <w:vAlign w:val="bottom"/>
            <w:tcBorders>
              <w:bottom w:val="single" w:sz="8" w:color="auto"/>
            </w:tcBorders>
            <w:shd w:val="clear" w:color="auto" w:fill="F2F2F2"/>
          </w:tcPr>
          <w:p>
            <w:pPr>
              <w:spacing w:after="0"/>
              <w:rPr>
                <w:sz w:val="16"/>
                <w:szCs w:val="16"/>
                <w:color w:val="auto"/>
              </w:rPr>
            </w:pPr>
          </w:p>
        </w:tc>
        <w:tc>
          <w:tcPr>
            <w:tcW w:w="7600" w:type="dxa"/>
            <w:vAlign w:val="bottom"/>
            <w:tcBorders>
              <w:bottom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120" w:type="dxa"/>
            <w:vAlign w:val="bottom"/>
            <w:shd w:val="clear" w:color="auto" w:fill="A5A5A5"/>
          </w:tcPr>
          <w:p>
            <w:pPr>
              <w:spacing w:after="0"/>
              <w:rPr>
                <w:sz w:val="24"/>
                <w:szCs w:val="24"/>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Significant</w:t>
            </w:r>
          </w:p>
        </w:tc>
        <w:tc>
          <w:tcPr>
            <w:tcW w:w="140" w:type="dxa"/>
            <w:vAlign w:val="bottom"/>
            <w:shd w:val="clear" w:color="auto" w:fill="F2F2F2"/>
          </w:tcPr>
          <w:p>
            <w:pPr>
              <w:spacing w:after="0"/>
              <w:rPr>
                <w:sz w:val="24"/>
                <w:szCs w:val="24"/>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Achieved commercial occupancy of </w:t>
            </w:r>
            <w:r>
              <w:rPr>
                <w:rFonts w:ascii="Arial" w:cs="Arial" w:eastAsia="Arial" w:hAnsi="Arial"/>
                <w:sz w:val="18"/>
                <w:szCs w:val="18"/>
                <w:color w:val="FF160F"/>
              </w:rPr>
              <w:t>92.8%</w:t>
            </w:r>
            <w:r>
              <w:rPr>
                <w:rFonts w:ascii="Arial" w:cs="Arial" w:eastAsia="Arial" w:hAnsi="Arial"/>
                <w:sz w:val="18"/>
                <w:szCs w:val="18"/>
                <w:color w:val="auto"/>
              </w:rPr>
              <w:t xml:space="preserve">, an increase of more than </w:t>
            </w:r>
            <w:r>
              <w:rPr>
                <w:rFonts w:ascii="Arial" w:cs="Arial" w:eastAsia="Arial" w:hAnsi="Arial"/>
                <w:sz w:val="18"/>
                <w:szCs w:val="18"/>
                <w:color w:val="FF160F"/>
              </w:rPr>
              <w:t>3.3%</w:t>
            </w:r>
            <w:r>
              <w:rPr>
                <w:rFonts w:ascii="Arial" w:cs="Arial" w:eastAsia="Arial" w:hAnsi="Arial"/>
                <w:sz w:val="18"/>
                <w:szCs w:val="18"/>
                <w:color w:val="auto"/>
              </w:rPr>
              <w:t xml:space="preserve"> over the lowest</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20" w:type="dxa"/>
            <w:vAlign w:val="bottom"/>
            <w:shd w:val="clear" w:color="auto" w:fill="A5A5A5"/>
          </w:tcPr>
          <w:p>
            <w:pPr>
              <w:spacing w:after="0"/>
              <w:rPr>
                <w:sz w:val="17"/>
                <w:szCs w:val="17"/>
                <w:color w:val="auto"/>
              </w:rPr>
            </w:pPr>
          </w:p>
        </w:tc>
        <w:tc>
          <w:tcPr>
            <w:tcW w:w="1860" w:type="dxa"/>
            <w:vAlign w:val="bottom"/>
            <w:shd w:val="clear" w:color="auto" w:fill="A5A5A5"/>
          </w:tcPr>
          <w:p>
            <w:pPr>
              <w:jc w:val="center"/>
              <w:spacing w:after="0" w:line="202" w:lineRule="exact"/>
              <w:rPr>
                <w:sz w:val="20"/>
                <w:szCs w:val="20"/>
                <w:color w:val="auto"/>
              </w:rPr>
            </w:pPr>
            <w:r>
              <w:rPr>
                <w:rFonts w:ascii="Arial" w:cs="Arial" w:eastAsia="Arial" w:hAnsi="Arial"/>
                <w:sz w:val="18"/>
                <w:szCs w:val="18"/>
                <w:b w:val="1"/>
                <w:bCs w:val="1"/>
                <w:color w:val="FFFFFF"/>
                <w:w w:val="98"/>
              </w:rPr>
              <w:t>Occupancy</w:t>
            </w:r>
          </w:p>
        </w:tc>
        <w:tc>
          <w:tcPr>
            <w:tcW w:w="140" w:type="dxa"/>
            <w:vAlign w:val="bottom"/>
            <w:shd w:val="clear" w:color="auto" w:fill="F2F2F2"/>
          </w:tcPr>
          <w:p>
            <w:pPr>
              <w:spacing w:after="0"/>
              <w:rPr>
                <w:sz w:val="17"/>
                <w:szCs w:val="17"/>
                <w:color w:val="auto"/>
              </w:rPr>
            </w:pPr>
          </w:p>
        </w:tc>
        <w:tc>
          <w:tcPr>
            <w:tcW w:w="760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level of occupancy experienced in more than 15 years resulting from high level of COVID</w:t>
            </w: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120" w:type="dxa"/>
            <w:vAlign w:val="bottom"/>
            <w:shd w:val="clear" w:color="auto" w:fill="A5A5A5"/>
          </w:tcPr>
          <w:p>
            <w:pPr>
              <w:spacing w:after="0"/>
              <w:rPr>
                <w:sz w:val="23"/>
                <w:szCs w:val="23"/>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Improvement</w:t>
            </w:r>
          </w:p>
        </w:tc>
        <w:tc>
          <w:tcPr>
            <w:tcW w:w="140" w:type="dxa"/>
            <w:vAlign w:val="bottom"/>
            <w:shd w:val="clear" w:color="auto" w:fill="F2F2F2"/>
          </w:tcPr>
          <w:p>
            <w:pPr>
              <w:spacing w:after="0"/>
              <w:rPr>
                <w:sz w:val="23"/>
                <w:szCs w:val="23"/>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related tenant failures</w:t>
            </w:r>
          </w:p>
        </w:tc>
        <w:tc>
          <w:tcPr>
            <w:tcW w:w="0" w:type="dxa"/>
            <w:vAlign w:val="bottom"/>
          </w:tcPr>
          <w:p>
            <w:pPr>
              <w:spacing w:after="0"/>
              <w:rPr>
                <w:sz w:val="1"/>
                <w:szCs w:val="1"/>
                <w:color w:val="auto"/>
              </w:rPr>
            </w:pPr>
          </w:p>
        </w:tc>
      </w:tr>
      <w:tr>
        <w:trPr>
          <w:trHeight w:val="150"/>
        </w:trPr>
        <w:tc>
          <w:tcPr>
            <w:tcW w:w="1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shd w:val="clear" w:color="auto" w:fill="A5A5A5"/>
          </w:tcPr>
          <w:p>
            <w:pPr>
              <w:spacing w:after="0"/>
              <w:rPr>
                <w:sz w:val="13"/>
                <w:szCs w:val="13"/>
                <w:color w:val="auto"/>
              </w:rPr>
            </w:pPr>
          </w:p>
        </w:tc>
        <w:tc>
          <w:tcPr>
            <w:tcW w:w="1860" w:type="dxa"/>
            <w:vAlign w:val="bottom"/>
            <w:tcBorders>
              <w:bottom w:val="single" w:sz="8" w:color="auto"/>
            </w:tcBorders>
            <w:shd w:val="clear" w:color="auto" w:fill="A5A5A5"/>
          </w:tcPr>
          <w:p>
            <w:pPr>
              <w:spacing w:after="0"/>
              <w:rPr>
                <w:sz w:val="13"/>
                <w:szCs w:val="13"/>
                <w:color w:val="auto"/>
              </w:rPr>
            </w:pPr>
          </w:p>
        </w:tc>
        <w:tc>
          <w:tcPr>
            <w:tcW w:w="140" w:type="dxa"/>
            <w:vAlign w:val="bottom"/>
            <w:tcBorders>
              <w:bottom w:val="single" w:sz="8" w:color="auto"/>
            </w:tcBorders>
            <w:shd w:val="clear" w:color="auto" w:fill="F2F2F2"/>
          </w:tcPr>
          <w:p>
            <w:pPr>
              <w:spacing w:after="0"/>
              <w:rPr>
                <w:sz w:val="13"/>
                <w:szCs w:val="13"/>
                <w:color w:val="auto"/>
              </w:rPr>
            </w:pPr>
          </w:p>
        </w:tc>
        <w:tc>
          <w:tcPr>
            <w:tcW w:w="7600" w:type="dxa"/>
            <w:vAlign w:val="bottom"/>
            <w:tcBorders>
              <w:bottom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1300" w:type="dxa"/>
            <w:vAlign w:val="bottom"/>
          </w:tcPr>
          <w:p>
            <w:pPr>
              <w:spacing w:after="0"/>
              <w:rPr>
                <w:sz w:val="24"/>
                <w:szCs w:val="24"/>
                <w:color w:val="auto"/>
              </w:rPr>
            </w:pPr>
          </w:p>
        </w:tc>
        <w:tc>
          <w:tcPr>
            <w:tcW w:w="120" w:type="dxa"/>
            <w:vAlign w:val="bottom"/>
            <w:shd w:val="clear" w:color="auto" w:fill="A5A5A5"/>
          </w:tcPr>
          <w:p>
            <w:pPr>
              <w:spacing w:after="0"/>
              <w:rPr>
                <w:sz w:val="24"/>
                <w:szCs w:val="24"/>
                <w:color w:val="auto"/>
              </w:rPr>
            </w:pPr>
          </w:p>
        </w:tc>
        <w:tc>
          <w:tcPr>
            <w:tcW w:w="1860" w:type="dxa"/>
            <w:vAlign w:val="bottom"/>
            <w:vMerge w:val="restart"/>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Productive</w:t>
            </w:r>
          </w:p>
        </w:tc>
        <w:tc>
          <w:tcPr>
            <w:tcW w:w="140" w:type="dxa"/>
            <w:vAlign w:val="bottom"/>
            <w:shd w:val="clear" w:color="auto" w:fill="F2F2F2"/>
          </w:tcPr>
          <w:p>
            <w:pPr>
              <w:spacing w:after="0"/>
              <w:rPr>
                <w:sz w:val="24"/>
                <w:szCs w:val="24"/>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Raised </w:t>
            </w:r>
            <w:r>
              <w:rPr>
                <w:rFonts w:ascii="Arial" w:cs="Arial" w:eastAsia="Arial" w:hAnsi="Arial"/>
                <w:sz w:val="18"/>
                <w:szCs w:val="18"/>
                <w:color w:val="FF160F"/>
              </w:rPr>
              <w:t>$136M</w:t>
            </w:r>
            <w:r>
              <w:rPr>
                <w:rFonts w:ascii="Arial" w:cs="Arial" w:eastAsia="Arial" w:hAnsi="Arial"/>
                <w:sz w:val="18"/>
                <w:szCs w:val="18"/>
                <w:color w:val="auto"/>
              </w:rPr>
              <w:t xml:space="preserve"> through sale of non-strategic, slow growing assets and invested </w:t>
            </w:r>
            <w:r>
              <w:rPr>
                <w:rFonts w:ascii="Arial" w:cs="Arial" w:eastAsia="Arial" w:hAnsi="Arial"/>
                <w:sz w:val="18"/>
                <w:szCs w:val="18"/>
                <w:color w:val="FF160F"/>
              </w:rPr>
              <w:t>$526M</w:t>
            </w:r>
            <w:r>
              <w:rPr>
                <w:rFonts w:ascii="Arial" w:cs="Arial" w:eastAsia="Arial" w:hAnsi="Arial"/>
                <w:sz w:val="18"/>
                <w:szCs w:val="18"/>
                <w:color w:val="auto"/>
              </w:rPr>
              <w:t xml:space="preserve"> into</w:t>
            </w:r>
          </w:p>
        </w:tc>
        <w:tc>
          <w:tcPr>
            <w:tcW w:w="0" w:type="dxa"/>
            <w:vAlign w:val="bottom"/>
          </w:tcPr>
          <w:p>
            <w:pPr>
              <w:spacing w:after="0"/>
              <w:rPr>
                <w:sz w:val="1"/>
                <w:szCs w:val="1"/>
                <w:color w:val="auto"/>
              </w:rPr>
            </w:pPr>
          </w:p>
        </w:tc>
      </w:tr>
      <w:tr>
        <w:trPr>
          <w:trHeight w:val="181"/>
        </w:trPr>
        <w:tc>
          <w:tcPr>
            <w:tcW w:w="1300" w:type="dxa"/>
            <w:vAlign w:val="bottom"/>
          </w:tcPr>
          <w:p>
            <w:pPr>
              <w:spacing w:after="0"/>
              <w:rPr>
                <w:sz w:val="15"/>
                <w:szCs w:val="15"/>
                <w:color w:val="auto"/>
              </w:rPr>
            </w:pPr>
          </w:p>
        </w:tc>
        <w:tc>
          <w:tcPr>
            <w:tcW w:w="120" w:type="dxa"/>
            <w:vAlign w:val="bottom"/>
            <w:shd w:val="clear" w:color="auto" w:fill="A5A5A5"/>
          </w:tcPr>
          <w:p>
            <w:pPr>
              <w:spacing w:after="0"/>
              <w:rPr>
                <w:sz w:val="15"/>
                <w:szCs w:val="15"/>
                <w:color w:val="auto"/>
              </w:rPr>
            </w:pPr>
          </w:p>
        </w:tc>
        <w:tc>
          <w:tcPr>
            <w:tcW w:w="1860" w:type="dxa"/>
            <w:vAlign w:val="bottom"/>
            <w:vMerge w:val="continue"/>
            <w:shd w:val="clear" w:color="auto" w:fill="A5A5A5"/>
          </w:tcPr>
          <w:p>
            <w:pPr>
              <w:spacing w:after="0"/>
              <w:rPr>
                <w:sz w:val="15"/>
                <w:szCs w:val="15"/>
                <w:color w:val="auto"/>
              </w:rPr>
            </w:pPr>
          </w:p>
        </w:tc>
        <w:tc>
          <w:tcPr>
            <w:tcW w:w="140" w:type="dxa"/>
            <w:vAlign w:val="bottom"/>
            <w:shd w:val="clear" w:color="auto" w:fill="F2F2F2"/>
          </w:tcPr>
          <w:p>
            <w:pPr>
              <w:spacing w:after="0"/>
              <w:rPr>
                <w:sz w:val="15"/>
                <w:szCs w:val="15"/>
                <w:color w:val="auto"/>
              </w:rPr>
            </w:pPr>
          </w:p>
        </w:tc>
        <w:tc>
          <w:tcPr>
            <w:tcW w:w="7600" w:type="dxa"/>
            <w:vAlign w:val="bottom"/>
            <w:shd w:val="clear" w:color="auto" w:fill="F2F2F2"/>
          </w:tcPr>
          <w:p>
            <w:pPr>
              <w:spacing w:after="0" w:line="181" w:lineRule="exact"/>
              <w:rPr>
                <w:sz w:val="20"/>
                <w:szCs w:val="20"/>
                <w:color w:val="auto"/>
              </w:rPr>
            </w:pPr>
            <w:r>
              <w:rPr>
                <w:rFonts w:ascii="Arial" w:cs="Arial" w:eastAsia="Arial" w:hAnsi="Arial"/>
                <w:sz w:val="18"/>
                <w:szCs w:val="18"/>
                <w:color w:val="auto"/>
              </w:rPr>
              <w:t>more productive, higher yielding, faster growing operating assets with potential for additional</w:t>
            </w:r>
          </w:p>
        </w:tc>
        <w:tc>
          <w:tcPr>
            <w:tcW w:w="0" w:type="dxa"/>
            <w:vAlign w:val="bottom"/>
          </w:tcPr>
          <w:p>
            <w:pPr>
              <w:spacing w:after="0"/>
              <w:rPr>
                <w:sz w:val="1"/>
                <w:szCs w:val="1"/>
                <w:color w:val="auto"/>
              </w:rPr>
            </w:pPr>
          </w:p>
        </w:tc>
      </w:tr>
      <w:tr>
        <w:trPr>
          <w:trHeight w:val="260"/>
        </w:trPr>
        <w:tc>
          <w:tcPr>
            <w:tcW w:w="1300" w:type="dxa"/>
            <w:vAlign w:val="bottom"/>
          </w:tcPr>
          <w:p>
            <w:pPr>
              <w:spacing w:after="0"/>
              <w:rPr>
                <w:sz w:val="22"/>
                <w:szCs w:val="22"/>
                <w:color w:val="auto"/>
              </w:rPr>
            </w:pPr>
          </w:p>
        </w:tc>
        <w:tc>
          <w:tcPr>
            <w:tcW w:w="120" w:type="dxa"/>
            <w:vAlign w:val="bottom"/>
            <w:shd w:val="clear" w:color="auto" w:fill="A5A5A5"/>
          </w:tcPr>
          <w:p>
            <w:pPr>
              <w:spacing w:after="0"/>
              <w:rPr>
                <w:sz w:val="22"/>
                <w:szCs w:val="22"/>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Capital Recycling</w:t>
            </w:r>
          </w:p>
        </w:tc>
        <w:tc>
          <w:tcPr>
            <w:tcW w:w="140" w:type="dxa"/>
            <w:vAlign w:val="bottom"/>
            <w:shd w:val="clear" w:color="auto" w:fill="F2F2F2"/>
          </w:tcPr>
          <w:p>
            <w:pPr>
              <w:spacing w:after="0"/>
              <w:rPr>
                <w:sz w:val="22"/>
                <w:szCs w:val="22"/>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value creation</w:t>
            </w:r>
          </w:p>
        </w:tc>
        <w:tc>
          <w:tcPr>
            <w:tcW w:w="0" w:type="dxa"/>
            <w:vAlign w:val="bottom"/>
          </w:tcPr>
          <w:p>
            <w:pPr>
              <w:spacing w:after="0"/>
              <w:rPr>
                <w:sz w:val="1"/>
                <w:szCs w:val="1"/>
                <w:color w:val="auto"/>
              </w:rPr>
            </w:pPr>
          </w:p>
        </w:tc>
      </w:tr>
      <w:tr>
        <w:trPr>
          <w:trHeight w:val="199"/>
        </w:trPr>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A5A5A5"/>
          </w:tcPr>
          <w:p>
            <w:pPr>
              <w:spacing w:after="0"/>
              <w:rPr>
                <w:sz w:val="17"/>
                <w:szCs w:val="17"/>
                <w:color w:val="auto"/>
              </w:rPr>
            </w:pPr>
          </w:p>
        </w:tc>
        <w:tc>
          <w:tcPr>
            <w:tcW w:w="1860" w:type="dxa"/>
            <w:vAlign w:val="bottom"/>
            <w:tcBorders>
              <w:bottom w:val="single" w:sz="8" w:color="auto"/>
            </w:tcBorders>
            <w:shd w:val="clear" w:color="auto" w:fill="A5A5A5"/>
          </w:tcPr>
          <w:p>
            <w:pPr>
              <w:spacing w:after="0"/>
              <w:rPr>
                <w:sz w:val="17"/>
                <w:szCs w:val="17"/>
                <w:color w:val="auto"/>
              </w:rPr>
            </w:pPr>
          </w:p>
        </w:tc>
        <w:tc>
          <w:tcPr>
            <w:tcW w:w="140" w:type="dxa"/>
            <w:vAlign w:val="bottom"/>
            <w:tcBorders>
              <w:bottom w:val="single" w:sz="8" w:color="auto"/>
            </w:tcBorders>
            <w:shd w:val="clear" w:color="auto" w:fill="F2F2F2"/>
          </w:tcPr>
          <w:p>
            <w:pPr>
              <w:spacing w:after="0"/>
              <w:rPr>
                <w:sz w:val="17"/>
                <w:szCs w:val="17"/>
                <w:color w:val="auto"/>
              </w:rPr>
            </w:pPr>
          </w:p>
        </w:tc>
        <w:tc>
          <w:tcPr>
            <w:tcW w:w="7600" w:type="dxa"/>
            <w:vAlign w:val="bottom"/>
            <w:tcBorders>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120" w:type="dxa"/>
            <w:vAlign w:val="bottom"/>
            <w:shd w:val="clear" w:color="auto" w:fill="A5A5A5"/>
          </w:tcPr>
          <w:p>
            <w:pPr>
              <w:spacing w:after="0"/>
              <w:rPr>
                <w:sz w:val="24"/>
                <w:szCs w:val="24"/>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55th Year of Dividend</w:t>
            </w:r>
          </w:p>
        </w:tc>
        <w:tc>
          <w:tcPr>
            <w:tcW w:w="140" w:type="dxa"/>
            <w:vAlign w:val="bottom"/>
            <w:shd w:val="clear" w:color="auto" w:fill="F2F2F2"/>
          </w:tcPr>
          <w:p>
            <w:pPr>
              <w:spacing w:after="0"/>
              <w:rPr>
                <w:sz w:val="24"/>
                <w:szCs w:val="24"/>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Raised the dividend on our common shares for the </w:t>
            </w:r>
            <w:r>
              <w:rPr>
                <w:rFonts w:ascii="Arial" w:cs="Arial" w:eastAsia="Arial" w:hAnsi="Arial"/>
                <w:sz w:val="18"/>
                <w:szCs w:val="18"/>
                <w:color w:val="FF160F"/>
              </w:rPr>
              <w:t>55th</w:t>
            </w:r>
            <w:r>
              <w:rPr>
                <w:rFonts w:ascii="Arial" w:cs="Arial" w:eastAsia="Arial" w:hAnsi="Arial"/>
                <w:sz w:val="18"/>
                <w:szCs w:val="18"/>
                <w:color w:val="auto"/>
              </w:rPr>
              <w:t xml:space="preserve"> consecutive year, a record in the REIT</w:t>
            </w: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120" w:type="dxa"/>
            <w:vAlign w:val="bottom"/>
            <w:shd w:val="clear" w:color="auto" w:fill="A5A5A5"/>
          </w:tcPr>
          <w:p>
            <w:pPr>
              <w:spacing w:after="0"/>
              <w:rPr>
                <w:sz w:val="23"/>
                <w:szCs w:val="23"/>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Increases</w:t>
            </w:r>
          </w:p>
        </w:tc>
        <w:tc>
          <w:tcPr>
            <w:tcW w:w="140" w:type="dxa"/>
            <w:vAlign w:val="bottom"/>
            <w:shd w:val="clear" w:color="auto" w:fill="F2F2F2"/>
          </w:tcPr>
          <w:p>
            <w:pPr>
              <w:spacing w:after="0"/>
              <w:rPr>
                <w:sz w:val="23"/>
                <w:szCs w:val="23"/>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industry, representing a compound annual growth rate of </w:t>
            </w:r>
            <w:r>
              <w:rPr>
                <w:rFonts w:ascii="Arial" w:cs="Arial" w:eastAsia="Arial" w:hAnsi="Arial"/>
                <w:sz w:val="18"/>
                <w:szCs w:val="18"/>
                <w:color w:val="FF160F"/>
              </w:rPr>
              <w:t>7%</w:t>
            </w:r>
            <w:r>
              <w:rPr>
                <w:rFonts w:ascii="Arial" w:cs="Arial" w:eastAsia="Arial" w:hAnsi="Arial"/>
                <w:sz w:val="18"/>
                <w:szCs w:val="18"/>
                <w:color w:val="auto"/>
              </w:rPr>
              <w:t xml:space="preserve"> over that 55-year period</w:t>
            </w:r>
          </w:p>
        </w:tc>
        <w:tc>
          <w:tcPr>
            <w:tcW w:w="0" w:type="dxa"/>
            <w:vAlign w:val="bottom"/>
          </w:tcPr>
          <w:p>
            <w:pPr>
              <w:spacing w:after="0"/>
              <w:rPr>
                <w:sz w:val="1"/>
                <w:szCs w:val="1"/>
                <w:color w:val="auto"/>
              </w:rPr>
            </w:pPr>
          </w:p>
        </w:tc>
      </w:tr>
      <w:tr>
        <w:trPr>
          <w:trHeight w:val="150"/>
        </w:trPr>
        <w:tc>
          <w:tcPr>
            <w:tcW w:w="1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shd w:val="clear" w:color="auto" w:fill="A5A5A5"/>
          </w:tcPr>
          <w:p>
            <w:pPr>
              <w:spacing w:after="0"/>
              <w:rPr>
                <w:sz w:val="13"/>
                <w:szCs w:val="13"/>
                <w:color w:val="auto"/>
              </w:rPr>
            </w:pPr>
          </w:p>
        </w:tc>
        <w:tc>
          <w:tcPr>
            <w:tcW w:w="1860" w:type="dxa"/>
            <w:vAlign w:val="bottom"/>
            <w:tcBorders>
              <w:bottom w:val="single" w:sz="8" w:color="auto"/>
            </w:tcBorders>
            <w:shd w:val="clear" w:color="auto" w:fill="A5A5A5"/>
          </w:tcPr>
          <w:p>
            <w:pPr>
              <w:spacing w:after="0"/>
              <w:rPr>
                <w:sz w:val="13"/>
                <w:szCs w:val="13"/>
                <w:color w:val="auto"/>
              </w:rPr>
            </w:pPr>
          </w:p>
        </w:tc>
        <w:tc>
          <w:tcPr>
            <w:tcW w:w="140" w:type="dxa"/>
            <w:vAlign w:val="bottom"/>
            <w:tcBorders>
              <w:bottom w:val="single" w:sz="8" w:color="auto"/>
            </w:tcBorders>
            <w:shd w:val="clear" w:color="auto" w:fill="F2F2F2"/>
          </w:tcPr>
          <w:p>
            <w:pPr>
              <w:spacing w:after="0"/>
              <w:rPr>
                <w:sz w:val="13"/>
                <w:szCs w:val="13"/>
                <w:color w:val="auto"/>
              </w:rPr>
            </w:pPr>
          </w:p>
        </w:tc>
        <w:tc>
          <w:tcPr>
            <w:tcW w:w="7600" w:type="dxa"/>
            <w:vAlign w:val="bottom"/>
            <w:tcBorders>
              <w:bottom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00" w:type="dxa"/>
            <w:vAlign w:val="bottom"/>
          </w:tcPr>
          <w:p>
            <w:pPr>
              <w:spacing w:after="0"/>
              <w:rPr>
                <w:sz w:val="24"/>
                <w:szCs w:val="24"/>
                <w:color w:val="auto"/>
              </w:rPr>
            </w:pPr>
          </w:p>
        </w:tc>
        <w:tc>
          <w:tcPr>
            <w:tcW w:w="120" w:type="dxa"/>
            <w:vAlign w:val="bottom"/>
            <w:shd w:val="clear" w:color="auto" w:fill="A5A5A5"/>
          </w:tcPr>
          <w:p>
            <w:pPr>
              <w:spacing w:after="0"/>
              <w:rPr>
                <w:sz w:val="24"/>
                <w:szCs w:val="24"/>
                <w:color w:val="auto"/>
              </w:rPr>
            </w:pPr>
          </w:p>
        </w:tc>
        <w:tc>
          <w:tcPr>
            <w:tcW w:w="1860" w:type="dxa"/>
            <w:vAlign w:val="bottom"/>
            <w:shd w:val="clear" w:color="auto" w:fill="A5A5A5"/>
          </w:tcPr>
          <w:p>
            <w:pPr>
              <w:spacing w:after="0"/>
              <w:rPr>
                <w:sz w:val="24"/>
                <w:szCs w:val="24"/>
                <w:color w:val="auto"/>
              </w:rPr>
            </w:pPr>
          </w:p>
        </w:tc>
        <w:tc>
          <w:tcPr>
            <w:tcW w:w="140" w:type="dxa"/>
            <w:vAlign w:val="bottom"/>
            <w:shd w:val="clear" w:color="auto" w:fill="F2F2F2"/>
          </w:tcPr>
          <w:p>
            <w:pPr>
              <w:spacing w:after="0"/>
              <w:rPr>
                <w:sz w:val="24"/>
                <w:szCs w:val="24"/>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Achieved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22%</w:t>
            </w:r>
            <w:r>
              <w:rPr>
                <w:rFonts w:ascii="Arial" w:cs="Arial" w:eastAsia="Arial" w:hAnsi="Arial"/>
                <w:sz w:val="18"/>
                <w:szCs w:val="18"/>
                <w:color w:val="auto"/>
              </w:rPr>
              <w:t xml:space="preserve"> decrease in Scope 1 and 2 GHG emissions through 2021 versus 2019</w:t>
            </w: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120" w:type="dxa"/>
            <w:vAlign w:val="bottom"/>
            <w:shd w:val="clear" w:color="auto" w:fill="A5A5A5"/>
          </w:tcPr>
          <w:p>
            <w:pPr>
              <w:spacing w:after="0"/>
              <w:rPr>
                <w:sz w:val="19"/>
                <w:szCs w:val="19"/>
                <w:color w:val="auto"/>
              </w:rPr>
            </w:pPr>
          </w:p>
        </w:tc>
        <w:tc>
          <w:tcPr>
            <w:tcW w:w="186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Sustainability</w:t>
            </w:r>
          </w:p>
        </w:tc>
        <w:tc>
          <w:tcPr>
            <w:tcW w:w="140" w:type="dxa"/>
            <w:vAlign w:val="bottom"/>
            <w:shd w:val="clear" w:color="auto" w:fill="F2F2F2"/>
          </w:tcPr>
          <w:p>
            <w:pPr>
              <w:spacing w:after="0"/>
              <w:rPr>
                <w:sz w:val="19"/>
                <w:szCs w:val="19"/>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baseline in alignment with our 2030 GHG reduction target set in accordance with the Science-</w:t>
            </w: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20" w:type="dxa"/>
            <w:vAlign w:val="bottom"/>
            <w:shd w:val="clear" w:color="auto" w:fill="A5A5A5"/>
          </w:tcPr>
          <w:p>
            <w:pPr>
              <w:spacing w:after="0"/>
              <w:rPr>
                <w:sz w:val="20"/>
                <w:szCs w:val="20"/>
                <w:color w:val="auto"/>
              </w:rPr>
            </w:pPr>
          </w:p>
        </w:tc>
        <w:tc>
          <w:tcPr>
            <w:tcW w:w="1860" w:type="dxa"/>
            <w:vAlign w:val="bottom"/>
            <w:shd w:val="clear" w:color="auto" w:fill="A5A5A5"/>
          </w:tcPr>
          <w:p>
            <w:pPr>
              <w:spacing w:after="0"/>
              <w:rPr>
                <w:sz w:val="20"/>
                <w:szCs w:val="20"/>
                <w:color w:val="auto"/>
              </w:rPr>
            </w:pPr>
          </w:p>
        </w:tc>
        <w:tc>
          <w:tcPr>
            <w:tcW w:w="140" w:type="dxa"/>
            <w:vAlign w:val="bottom"/>
            <w:shd w:val="clear" w:color="auto" w:fill="F2F2F2"/>
          </w:tcPr>
          <w:p>
            <w:pPr>
              <w:spacing w:after="0"/>
              <w:rPr>
                <w:sz w:val="20"/>
                <w:szCs w:val="20"/>
                <w:color w:val="auto"/>
              </w:rPr>
            </w:pPr>
          </w:p>
        </w:tc>
        <w:tc>
          <w:tcPr>
            <w:tcW w:w="7600" w:type="dxa"/>
            <w:vAlign w:val="bottom"/>
            <w:shd w:val="clear" w:color="auto" w:fill="F2F2F2"/>
          </w:tcPr>
          <w:p>
            <w:pPr>
              <w:spacing w:after="0"/>
              <w:rPr>
                <w:sz w:val="20"/>
                <w:szCs w:val="20"/>
                <w:color w:val="auto"/>
              </w:rPr>
            </w:pPr>
            <w:r>
              <w:rPr>
                <w:rFonts w:ascii="Arial" w:cs="Arial" w:eastAsia="Arial" w:hAnsi="Arial"/>
                <w:sz w:val="18"/>
                <w:szCs w:val="18"/>
                <w:color w:val="auto"/>
              </w:rPr>
              <w:t>Based Target initiative</w:t>
            </w:r>
          </w:p>
        </w:tc>
        <w:tc>
          <w:tcPr>
            <w:tcW w:w="0" w:type="dxa"/>
            <w:vAlign w:val="bottom"/>
          </w:tcPr>
          <w:p>
            <w:pPr>
              <w:spacing w:after="0"/>
              <w:rPr>
                <w:sz w:val="1"/>
                <w:szCs w:val="1"/>
                <w:color w:val="auto"/>
              </w:rPr>
            </w:pPr>
          </w:p>
        </w:tc>
      </w:tr>
      <w:tr>
        <w:trPr>
          <w:trHeight w:val="180"/>
        </w:trPr>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shd w:val="clear" w:color="auto" w:fill="A5A5A5"/>
          </w:tcPr>
          <w:p>
            <w:pPr>
              <w:spacing w:after="0"/>
              <w:rPr>
                <w:sz w:val="15"/>
                <w:szCs w:val="15"/>
                <w:color w:val="auto"/>
              </w:rPr>
            </w:pPr>
          </w:p>
        </w:tc>
        <w:tc>
          <w:tcPr>
            <w:tcW w:w="1860" w:type="dxa"/>
            <w:vAlign w:val="bottom"/>
            <w:tcBorders>
              <w:bottom w:val="single" w:sz="8" w:color="auto"/>
            </w:tcBorders>
            <w:shd w:val="clear" w:color="auto" w:fill="A5A5A5"/>
          </w:tcPr>
          <w:p>
            <w:pPr>
              <w:spacing w:after="0"/>
              <w:rPr>
                <w:sz w:val="15"/>
                <w:szCs w:val="15"/>
                <w:color w:val="auto"/>
              </w:rPr>
            </w:pPr>
          </w:p>
        </w:tc>
        <w:tc>
          <w:tcPr>
            <w:tcW w:w="140" w:type="dxa"/>
            <w:vAlign w:val="bottom"/>
            <w:tcBorders>
              <w:bottom w:val="single" w:sz="8" w:color="auto"/>
            </w:tcBorders>
            <w:shd w:val="clear" w:color="auto" w:fill="F2F2F2"/>
          </w:tcPr>
          <w:p>
            <w:pPr>
              <w:spacing w:after="0"/>
              <w:rPr>
                <w:sz w:val="15"/>
                <w:szCs w:val="15"/>
                <w:color w:val="auto"/>
              </w:rPr>
            </w:pPr>
          </w:p>
        </w:tc>
        <w:tc>
          <w:tcPr>
            <w:tcW w:w="7600" w:type="dxa"/>
            <w:vAlign w:val="bottom"/>
            <w:tcBorders>
              <w:bottom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-3359785</wp:posOffset>
            </wp:positionV>
            <wp:extent cx="505460" cy="925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5460" cy="92583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-2271395</wp:posOffset>
            </wp:positionV>
            <wp:extent cx="522605" cy="497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2605" cy="49720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-1610995</wp:posOffset>
            </wp:positionV>
            <wp:extent cx="394335" cy="394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-1105535</wp:posOffset>
            </wp:positionV>
            <wp:extent cx="565785" cy="480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 cy="48006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-530860</wp:posOffset>
            </wp:positionV>
            <wp:extent cx="436880" cy="436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6880" cy="436880"/>
                    </a:xfrm>
                    <a:prstGeom prst="rect">
                      <a:avLst/>
                    </a:prstGeom>
                    <a:noFill/>
                  </pic:spPr>
                </pic:pic>
              </a:graphicData>
            </a:graphic>
          </wp:anchor>
        </w:drawing>
      </w:r>
    </w:p>
    <w:p>
      <w:pPr>
        <w:spacing w:after="0" w:line="177" w:lineRule="exact"/>
        <w:rPr>
          <w:sz w:val="20"/>
          <w:szCs w:val="20"/>
          <w:color w:val="auto"/>
        </w:rPr>
      </w:pPr>
    </w:p>
    <w:p>
      <w:pPr>
        <w:ind w:left="120" w:hanging="4"/>
        <w:spacing w:after="0" w:line="271"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FFO per diluted share (“FFO per share”) is a non-GAAP financial measure that we consider significant in our business. See Appendix A for a reconciliation of FFO per share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66675</wp:posOffset>
            </wp:positionV>
            <wp:extent cx="701230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03" w:lineRule="exact"/>
        <w:rPr>
          <w:sz w:val="20"/>
          <w:szCs w:val="20"/>
          <w:color w:val="auto"/>
        </w:rPr>
      </w:pPr>
    </w:p>
    <w:p>
      <w:pPr>
        <w:ind w:left="8100"/>
        <w:spacing w:after="0"/>
        <w:tabs>
          <w:tab w:leader="none" w:pos="9320" w:val="left"/>
          <w:tab w:leader="none" w:pos="1092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CORPORATE VALUES</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 xml:space="preserve">Our four core values drive the behaviors, actions and decisions we make towards achieving our business objectives and promote a unified approach to our individual jobs. We strive to achieve </w:t>
      </w:r>
      <w:r>
        <w:rPr>
          <w:rFonts w:ascii="Arial" w:cs="Arial" w:eastAsia="Arial" w:hAnsi="Arial"/>
          <w:sz w:val="18"/>
          <w:szCs w:val="18"/>
          <w:b w:val="1"/>
          <w:bCs w:val="1"/>
          <w:color w:val="FF160F"/>
        </w:rPr>
        <w:t>Excellence</w:t>
      </w:r>
      <w:r>
        <w:rPr>
          <w:rFonts w:ascii="Arial" w:cs="Arial" w:eastAsia="Arial" w:hAnsi="Arial"/>
          <w:sz w:val="18"/>
          <w:szCs w:val="18"/>
          <w:color w:val="auto"/>
        </w:rPr>
        <w:t xml:space="preserve"> in all that we do as we operate, develop and redevelop properties to serve the needs of the local communities. </w:t>
      </w:r>
      <w:r>
        <w:rPr>
          <w:rFonts w:ascii="Arial" w:cs="Arial" w:eastAsia="Arial" w:hAnsi="Arial"/>
          <w:sz w:val="18"/>
          <w:szCs w:val="18"/>
          <w:b w:val="1"/>
          <w:bCs w:val="1"/>
          <w:color w:val="FF160F"/>
        </w:rPr>
        <w:t>Innovation</w:t>
      </w:r>
      <w:r>
        <w:rPr>
          <w:rFonts w:ascii="Arial" w:cs="Arial" w:eastAsia="Arial" w:hAnsi="Arial"/>
          <w:sz w:val="18"/>
          <w:szCs w:val="18"/>
          <w:color w:val="auto"/>
        </w:rPr>
        <w:t xml:space="preserve"> is key to introducing new ways of conducting our business to continue to meet the evolving economic, environmental and social challenges the real estate industry must address both in the short- and long-term. We hold ourselves </w:t>
      </w:r>
      <w:r>
        <w:rPr>
          <w:rFonts w:ascii="Arial" w:cs="Arial" w:eastAsia="Arial" w:hAnsi="Arial"/>
          <w:sz w:val="18"/>
          <w:szCs w:val="18"/>
          <w:b w:val="1"/>
          <w:bCs w:val="1"/>
          <w:color w:val="FF160F"/>
        </w:rPr>
        <w:t>Accountable</w:t>
      </w:r>
      <w:r>
        <w:rPr>
          <w:rFonts w:ascii="Arial" w:cs="Arial" w:eastAsia="Arial" w:hAnsi="Arial"/>
          <w:sz w:val="18"/>
          <w:szCs w:val="18"/>
          <w:color w:val="auto"/>
        </w:rPr>
        <w:t xml:space="preserve"> for our work and our results and always act with the highest level of </w:t>
      </w:r>
      <w:r>
        <w:rPr>
          <w:rFonts w:ascii="Arial" w:cs="Arial" w:eastAsia="Arial" w:hAnsi="Arial"/>
          <w:sz w:val="18"/>
          <w:szCs w:val="18"/>
          <w:b w:val="1"/>
          <w:bCs w:val="1"/>
          <w:color w:val="FF160F"/>
        </w:rPr>
        <w:t>Integrity</w:t>
      </w:r>
      <w:r>
        <w:rPr>
          <w:rFonts w:ascii="Arial" w:cs="Arial" w:eastAsia="Arial" w:hAnsi="Arial"/>
          <w:sz w:val="18"/>
          <w:szCs w:val="18"/>
          <w:color w:val="auto"/>
        </w:rPr>
        <w:t xml:space="preserve"> in our dealings with our shareholders, our employees, our tenants, our business partners and our community partners. Living these values underpins our ability to successfully deliver results for all stakeholders.</w:t>
      </w:r>
    </w:p>
    <w:p>
      <w:pPr>
        <w:spacing w:after="0" w:line="212" w:lineRule="exact"/>
        <w:rPr>
          <w:sz w:val="20"/>
          <w:szCs w:val="20"/>
          <w:color w:val="auto"/>
        </w:rPr>
      </w:pPr>
    </w:p>
    <w:p>
      <w:pPr>
        <w:ind w:left="540" w:hanging="424"/>
        <w:spacing w:after="0"/>
        <w:tabs>
          <w:tab w:leader="none" w:pos="540" w:val="left"/>
        </w:tabs>
        <w:numPr>
          <w:ilvl w:val="0"/>
          <w:numId w:val="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OUR BOARD</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We have seven (7) trustees serving on our Board, all of whom are independent except for Don Wood who serves as our CEO. Each of these individuals has been nominated for election at the 2023 annual shareholder meeting.</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40" w:type="dxa"/>
            <w:vAlign w:val="bottom"/>
            <w:shd w:val="clear" w:color="auto" w:fill="FF160F"/>
          </w:tcPr>
          <w:p>
            <w:pPr>
              <w:spacing w:after="0"/>
              <w:rPr>
                <w:sz w:val="17"/>
                <w:szCs w:val="17"/>
                <w:color w:val="auto"/>
              </w:rPr>
            </w:pPr>
          </w:p>
        </w:tc>
        <w:tc>
          <w:tcPr>
            <w:tcW w:w="840" w:type="dxa"/>
            <w:vAlign w:val="bottom"/>
            <w:shd w:val="clear" w:color="auto" w:fill="FF160F"/>
          </w:tcPr>
          <w:p>
            <w:pPr>
              <w:spacing w:after="0"/>
              <w:rPr>
                <w:sz w:val="17"/>
                <w:szCs w:val="17"/>
                <w:color w:val="auto"/>
              </w:rPr>
            </w:pPr>
          </w:p>
        </w:tc>
        <w:tc>
          <w:tcPr>
            <w:tcW w:w="1200" w:type="dxa"/>
            <w:vAlign w:val="bottom"/>
            <w:shd w:val="clear" w:color="auto" w:fill="FF160F"/>
          </w:tcPr>
          <w:p>
            <w:pPr>
              <w:jc w:val="right"/>
              <w:ind w:right="190"/>
              <w:spacing w:after="0"/>
              <w:rPr>
                <w:sz w:val="20"/>
                <w:szCs w:val="20"/>
                <w:color w:val="auto"/>
              </w:rPr>
            </w:pPr>
            <w:r>
              <w:rPr>
                <w:rFonts w:ascii="Arial" w:cs="Arial" w:eastAsia="Arial" w:hAnsi="Arial"/>
                <w:sz w:val="18"/>
                <w:szCs w:val="18"/>
                <w:b w:val="1"/>
                <w:bCs w:val="1"/>
                <w:color w:val="FFFFFF"/>
              </w:rPr>
              <w:t>Trustee</w:t>
            </w:r>
          </w:p>
        </w:tc>
        <w:tc>
          <w:tcPr>
            <w:tcW w:w="1800" w:type="dxa"/>
            <w:vAlign w:val="bottom"/>
            <w:shd w:val="clear" w:color="auto" w:fill="FF160F"/>
          </w:tcPr>
          <w:p>
            <w:pPr>
              <w:spacing w:after="0"/>
              <w:rPr>
                <w:sz w:val="17"/>
                <w:szCs w:val="17"/>
                <w:color w:val="auto"/>
              </w:rPr>
            </w:pPr>
          </w:p>
        </w:tc>
        <w:tc>
          <w:tcPr>
            <w:tcW w:w="2640" w:type="dxa"/>
            <w:vAlign w:val="bottom"/>
            <w:gridSpan w:val="3"/>
            <w:shd w:val="clear" w:color="auto" w:fill="FF160F"/>
          </w:tcPr>
          <w:p>
            <w:pPr>
              <w:jc w:val="center"/>
              <w:ind w:left="50"/>
              <w:spacing w:after="0"/>
              <w:rPr>
                <w:sz w:val="20"/>
                <w:szCs w:val="20"/>
                <w:color w:val="auto"/>
              </w:rPr>
            </w:pPr>
            <w:r>
              <w:rPr>
                <w:rFonts w:ascii="Arial" w:cs="Arial" w:eastAsia="Arial" w:hAnsi="Arial"/>
                <w:sz w:val="18"/>
                <w:szCs w:val="18"/>
                <w:b w:val="1"/>
                <w:bCs w:val="1"/>
                <w:color w:val="FFFFFF"/>
                <w:w w:val="99"/>
              </w:rPr>
              <w:t>Committee Memberships</w:t>
            </w:r>
          </w:p>
        </w:tc>
      </w:tr>
      <w:tr>
        <w:trPr>
          <w:trHeight w:val="282"/>
        </w:trPr>
        <w:tc>
          <w:tcPr>
            <w:tcW w:w="4540" w:type="dxa"/>
            <w:vAlign w:val="bottom"/>
            <w:tcBorders>
              <w:bottom w:val="single" w:sz="8" w:color="FF160F"/>
            </w:tcBorders>
            <w:shd w:val="clear" w:color="auto" w:fill="FF160F"/>
          </w:tcPr>
          <w:p>
            <w:pPr>
              <w:spacing w:after="0"/>
              <w:rPr>
                <w:sz w:val="20"/>
                <w:szCs w:val="20"/>
                <w:color w:val="auto"/>
              </w:rPr>
            </w:pPr>
            <w:r>
              <w:rPr>
                <w:rFonts w:ascii="Arial" w:cs="Arial" w:eastAsia="Arial" w:hAnsi="Arial"/>
                <w:sz w:val="18"/>
                <w:szCs w:val="18"/>
                <w:b w:val="1"/>
                <w:bCs w:val="1"/>
                <w:color w:val="FFFFFF"/>
              </w:rPr>
              <w:t>Name and Principal Occupation</w:t>
            </w:r>
          </w:p>
        </w:tc>
        <w:tc>
          <w:tcPr>
            <w:tcW w:w="840" w:type="dxa"/>
            <w:vAlign w:val="bottom"/>
            <w:tcBorders>
              <w:bottom w:val="single" w:sz="8" w:color="FF160F"/>
            </w:tcBorders>
            <w:shd w:val="clear" w:color="auto" w:fill="FF160F"/>
          </w:tcPr>
          <w:p>
            <w:pPr>
              <w:jc w:val="right"/>
              <w:ind w:right="210"/>
              <w:spacing w:after="0"/>
              <w:rPr>
                <w:sz w:val="20"/>
                <w:szCs w:val="20"/>
                <w:color w:val="auto"/>
              </w:rPr>
            </w:pPr>
            <w:r>
              <w:rPr>
                <w:rFonts w:ascii="Arial" w:cs="Arial" w:eastAsia="Arial" w:hAnsi="Arial"/>
                <w:sz w:val="18"/>
                <w:szCs w:val="18"/>
                <w:b w:val="1"/>
                <w:bCs w:val="1"/>
                <w:color w:val="FFFFFF"/>
              </w:rPr>
              <w:t>Age</w:t>
            </w:r>
          </w:p>
        </w:tc>
        <w:tc>
          <w:tcPr>
            <w:tcW w:w="1200" w:type="dxa"/>
            <w:vAlign w:val="bottom"/>
            <w:tcBorders>
              <w:bottom w:val="single" w:sz="8" w:color="FF160F"/>
            </w:tcBorders>
            <w:shd w:val="clear" w:color="auto" w:fill="FF160F"/>
          </w:tcPr>
          <w:p>
            <w:pPr>
              <w:jc w:val="right"/>
              <w:ind w:right="270"/>
              <w:spacing w:after="0"/>
              <w:rPr>
                <w:sz w:val="20"/>
                <w:szCs w:val="20"/>
                <w:color w:val="auto"/>
              </w:rPr>
            </w:pPr>
            <w:r>
              <w:rPr>
                <w:rFonts w:ascii="Arial" w:cs="Arial" w:eastAsia="Arial" w:hAnsi="Arial"/>
                <w:sz w:val="18"/>
                <w:szCs w:val="18"/>
                <w:b w:val="1"/>
                <w:bCs w:val="1"/>
                <w:color w:val="FFFFFF"/>
              </w:rPr>
              <w:t>Since</w:t>
            </w:r>
          </w:p>
        </w:tc>
        <w:tc>
          <w:tcPr>
            <w:tcW w:w="1800" w:type="dxa"/>
            <w:vAlign w:val="bottom"/>
            <w:tcBorders>
              <w:bottom w:val="single" w:sz="8" w:color="FF160F"/>
            </w:tcBorders>
            <w:shd w:val="clear" w:color="auto" w:fill="FF160F"/>
          </w:tcPr>
          <w:p>
            <w:pPr>
              <w:jc w:val="right"/>
              <w:ind w:right="350"/>
              <w:spacing w:after="0"/>
              <w:rPr>
                <w:sz w:val="20"/>
                <w:szCs w:val="20"/>
                <w:color w:val="auto"/>
              </w:rPr>
            </w:pPr>
            <w:r>
              <w:rPr>
                <w:rFonts w:ascii="Arial" w:cs="Arial" w:eastAsia="Arial" w:hAnsi="Arial"/>
                <w:sz w:val="18"/>
                <w:szCs w:val="18"/>
                <w:b w:val="1"/>
                <w:bCs w:val="1"/>
                <w:color w:val="FFFFFF"/>
              </w:rPr>
              <w:t>Independent</w:t>
            </w:r>
          </w:p>
        </w:tc>
        <w:tc>
          <w:tcPr>
            <w:tcW w:w="900" w:type="dxa"/>
            <w:vAlign w:val="bottom"/>
            <w:tcBorders>
              <w:bottom w:val="single" w:sz="8" w:color="FF160F"/>
            </w:tcBorders>
            <w:shd w:val="clear" w:color="auto" w:fill="FF160F"/>
          </w:tcPr>
          <w:p>
            <w:pPr>
              <w:ind w:left="320"/>
              <w:spacing w:after="0"/>
              <w:rPr>
                <w:sz w:val="20"/>
                <w:szCs w:val="20"/>
                <w:color w:val="auto"/>
              </w:rPr>
            </w:pPr>
            <w:r>
              <w:rPr>
                <w:rFonts w:ascii="Arial" w:cs="Arial" w:eastAsia="Arial" w:hAnsi="Arial"/>
                <w:sz w:val="18"/>
                <w:szCs w:val="18"/>
                <w:b w:val="1"/>
                <w:bCs w:val="1"/>
                <w:color w:val="FFFFFF"/>
              </w:rPr>
              <w:t>AC</w:t>
            </w:r>
          </w:p>
        </w:tc>
        <w:tc>
          <w:tcPr>
            <w:tcW w:w="940" w:type="dxa"/>
            <w:vAlign w:val="bottom"/>
            <w:tcBorders>
              <w:bottom w:val="single" w:sz="8" w:color="FF160F"/>
            </w:tcBorders>
            <w:shd w:val="clear" w:color="auto" w:fill="FF160F"/>
          </w:tcPr>
          <w:p>
            <w:pPr>
              <w:jc w:val="center"/>
              <w:spacing w:after="0"/>
              <w:rPr>
                <w:sz w:val="20"/>
                <w:szCs w:val="20"/>
                <w:color w:val="auto"/>
              </w:rPr>
            </w:pPr>
            <w:r>
              <w:rPr>
                <w:rFonts w:ascii="Arial" w:cs="Arial" w:eastAsia="Arial" w:hAnsi="Arial"/>
                <w:sz w:val="18"/>
                <w:szCs w:val="18"/>
                <w:b w:val="1"/>
                <w:bCs w:val="1"/>
                <w:color w:val="FFFFFF"/>
                <w:w w:val="99"/>
              </w:rPr>
              <w:t>CC</w:t>
            </w:r>
          </w:p>
        </w:tc>
        <w:tc>
          <w:tcPr>
            <w:tcW w:w="800" w:type="dxa"/>
            <w:vAlign w:val="bottom"/>
            <w:tcBorders>
              <w:bottom w:val="single" w:sz="8" w:color="FF160F"/>
            </w:tcBorders>
            <w:shd w:val="clear" w:color="auto" w:fill="FF160F"/>
          </w:tcPr>
          <w:p>
            <w:pPr>
              <w:jc w:val="center"/>
              <w:ind w:left="50"/>
              <w:spacing w:after="0"/>
              <w:rPr>
                <w:sz w:val="20"/>
                <w:szCs w:val="20"/>
                <w:color w:val="auto"/>
              </w:rPr>
            </w:pPr>
            <w:r>
              <w:rPr>
                <w:rFonts w:ascii="Arial" w:cs="Arial" w:eastAsia="Arial" w:hAnsi="Arial"/>
                <w:sz w:val="18"/>
                <w:szCs w:val="18"/>
                <w:b w:val="1"/>
                <w:bCs w:val="1"/>
                <w:color w:val="FFFFFF"/>
                <w:w w:val="99"/>
              </w:rPr>
              <w:t>NC</w:t>
            </w:r>
          </w:p>
        </w:tc>
      </w:tr>
      <w:tr>
        <w:trPr>
          <w:trHeight w:val="216"/>
        </w:trPr>
        <w:tc>
          <w:tcPr>
            <w:tcW w:w="454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David W. Faeder±</w:t>
            </w:r>
          </w:p>
        </w:tc>
        <w:tc>
          <w:tcPr>
            <w:tcW w:w="840" w:type="dxa"/>
            <w:vAlign w:val="bottom"/>
            <w:shd w:val="clear" w:color="auto" w:fill="D8D8D8"/>
          </w:tcPr>
          <w:p>
            <w:pPr>
              <w:jc w:val="right"/>
              <w:ind w:right="210"/>
              <w:spacing w:after="0"/>
              <w:rPr>
                <w:sz w:val="20"/>
                <w:szCs w:val="20"/>
                <w:color w:val="auto"/>
              </w:rPr>
            </w:pPr>
            <w:r>
              <w:rPr>
                <w:rFonts w:ascii="Arial" w:cs="Arial" w:eastAsia="Arial" w:hAnsi="Arial"/>
                <w:sz w:val="18"/>
                <w:szCs w:val="18"/>
                <w:color w:val="auto"/>
              </w:rPr>
              <w:t>66</w:t>
            </w:r>
          </w:p>
        </w:tc>
        <w:tc>
          <w:tcPr>
            <w:tcW w:w="12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2003</w:t>
            </w:r>
          </w:p>
        </w:tc>
        <w:tc>
          <w:tcPr>
            <w:tcW w:w="180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Yes</w:t>
            </w:r>
          </w:p>
        </w:tc>
        <w:tc>
          <w:tcPr>
            <w:tcW w:w="900" w:type="dxa"/>
            <w:vAlign w:val="bottom"/>
            <w:shd w:val="clear" w:color="auto" w:fill="D8D8D8"/>
          </w:tcPr>
          <w:p>
            <w:pPr>
              <w:jc w:val="center"/>
              <w:spacing w:after="0" w:line="207"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color w:val="auto"/>
                <w:w w:val="85"/>
              </w:rPr>
              <w:t>$</w:t>
            </w:r>
          </w:p>
        </w:tc>
        <w:tc>
          <w:tcPr>
            <w:tcW w:w="940" w:type="dxa"/>
            <w:vAlign w:val="bottom"/>
            <w:shd w:val="clear" w:color="auto" w:fill="D8D8D8"/>
          </w:tcPr>
          <w:p>
            <w:pPr>
              <w:spacing w:after="0"/>
              <w:rPr>
                <w:sz w:val="18"/>
                <w:szCs w:val="18"/>
                <w:color w:val="auto"/>
              </w:rPr>
            </w:pPr>
          </w:p>
        </w:tc>
        <w:tc>
          <w:tcPr>
            <w:tcW w:w="800" w:type="dxa"/>
            <w:vAlign w:val="bottom"/>
            <w:shd w:val="clear" w:color="auto" w:fill="D8D8D8"/>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75"/>
        </w:trPr>
        <w:tc>
          <w:tcPr>
            <w:tcW w:w="454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Managing Partner Fountain Square Properties/Managing</w:t>
            </w:r>
          </w:p>
        </w:tc>
        <w:tc>
          <w:tcPr>
            <w:tcW w:w="840" w:type="dxa"/>
            <w:vAlign w:val="bottom"/>
            <w:shd w:val="clear" w:color="auto" w:fill="D8D8D8"/>
          </w:tcPr>
          <w:p>
            <w:pPr>
              <w:spacing w:after="0"/>
              <w:rPr>
                <w:sz w:val="15"/>
                <w:szCs w:val="15"/>
                <w:color w:val="auto"/>
              </w:rPr>
            </w:pPr>
          </w:p>
        </w:tc>
        <w:tc>
          <w:tcPr>
            <w:tcW w:w="1200" w:type="dxa"/>
            <w:vAlign w:val="bottom"/>
            <w:shd w:val="clear" w:color="auto" w:fill="D8D8D8"/>
          </w:tcPr>
          <w:p>
            <w:pPr>
              <w:spacing w:after="0"/>
              <w:rPr>
                <w:sz w:val="15"/>
                <w:szCs w:val="15"/>
                <w:color w:val="auto"/>
              </w:rPr>
            </w:pPr>
          </w:p>
        </w:tc>
        <w:tc>
          <w:tcPr>
            <w:tcW w:w="1800" w:type="dxa"/>
            <w:vAlign w:val="bottom"/>
            <w:shd w:val="clear" w:color="auto" w:fill="D8D8D8"/>
          </w:tcPr>
          <w:p>
            <w:pPr>
              <w:spacing w:after="0"/>
              <w:rPr>
                <w:sz w:val="15"/>
                <w:szCs w:val="15"/>
                <w:color w:val="auto"/>
              </w:rPr>
            </w:pPr>
          </w:p>
        </w:tc>
        <w:tc>
          <w:tcPr>
            <w:tcW w:w="90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r>
      <w:tr>
        <w:trPr>
          <w:trHeight w:val="203"/>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Member Kensington Senior Living</w:t>
            </w:r>
          </w:p>
        </w:tc>
        <w:tc>
          <w:tcPr>
            <w:tcW w:w="840" w:type="dxa"/>
            <w:vAlign w:val="bottom"/>
            <w:shd w:val="clear" w:color="auto" w:fill="D8D8D8"/>
          </w:tcPr>
          <w:p>
            <w:pPr>
              <w:spacing w:after="0"/>
              <w:rPr>
                <w:sz w:val="17"/>
                <w:szCs w:val="17"/>
                <w:color w:val="auto"/>
              </w:rPr>
            </w:pPr>
          </w:p>
        </w:tc>
        <w:tc>
          <w:tcPr>
            <w:tcW w:w="1200" w:type="dxa"/>
            <w:vAlign w:val="bottom"/>
            <w:shd w:val="clear" w:color="auto" w:fill="D8D8D8"/>
          </w:tcPr>
          <w:p>
            <w:pPr>
              <w:spacing w:after="0"/>
              <w:rPr>
                <w:sz w:val="17"/>
                <w:szCs w:val="17"/>
                <w:color w:val="auto"/>
              </w:rPr>
            </w:pPr>
          </w:p>
        </w:tc>
        <w:tc>
          <w:tcPr>
            <w:tcW w:w="1800" w:type="dxa"/>
            <w:vAlign w:val="bottom"/>
            <w:shd w:val="clear" w:color="auto" w:fill="D8D8D8"/>
          </w:tcPr>
          <w:p>
            <w:pPr>
              <w:spacing w:after="0"/>
              <w:rPr>
                <w:sz w:val="17"/>
                <w:szCs w:val="17"/>
                <w:color w:val="auto"/>
              </w:rPr>
            </w:pPr>
          </w:p>
        </w:tc>
        <w:tc>
          <w:tcPr>
            <w:tcW w:w="900" w:type="dxa"/>
            <w:vAlign w:val="bottom"/>
            <w:shd w:val="clear" w:color="auto" w:fill="D8D8D8"/>
          </w:tcPr>
          <w:p>
            <w:pPr>
              <w:spacing w:after="0"/>
              <w:rPr>
                <w:sz w:val="17"/>
                <w:szCs w:val="17"/>
                <w:color w:val="auto"/>
              </w:rPr>
            </w:pPr>
          </w:p>
        </w:tc>
        <w:tc>
          <w:tcPr>
            <w:tcW w:w="94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b w:val="1"/>
                <w:bCs w:val="1"/>
                <w:color w:val="auto"/>
              </w:rPr>
              <w:t>Elizabeth I. Holland</w:t>
            </w: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57</w:t>
            </w: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2017</w:t>
            </w:r>
          </w:p>
        </w:tc>
        <w:tc>
          <w:tcPr>
            <w:tcW w:w="18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Yes</w:t>
            </w: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rPr>
              <w:t>C</w:t>
            </w:r>
          </w:p>
        </w:tc>
        <w:tc>
          <w:tcPr>
            <w:tcW w:w="800" w:type="dxa"/>
            <w:vAlign w:val="bottom"/>
          </w:tcPr>
          <w:p>
            <w:pPr>
              <w:spacing w:after="0"/>
              <w:rPr>
                <w:sz w:val="17"/>
                <w:szCs w:val="17"/>
                <w:color w:val="auto"/>
              </w:rPr>
            </w:pPr>
          </w:p>
        </w:tc>
      </w:tr>
      <w:tr>
        <w:trPr>
          <w:trHeight w:val="189"/>
        </w:trPr>
        <w:tc>
          <w:tcPr>
            <w:tcW w:w="4540" w:type="dxa"/>
            <w:vAlign w:val="bottom"/>
          </w:tcPr>
          <w:p>
            <w:pPr>
              <w:spacing w:after="0"/>
              <w:rPr>
                <w:sz w:val="20"/>
                <w:szCs w:val="20"/>
                <w:color w:val="auto"/>
              </w:rPr>
            </w:pPr>
            <w:r>
              <w:rPr>
                <w:rFonts w:ascii="Arial" w:cs="Arial" w:eastAsia="Arial" w:hAnsi="Arial"/>
                <w:sz w:val="16"/>
                <w:szCs w:val="16"/>
                <w:color w:val="auto"/>
              </w:rPr>
              <w:t>Chief Executive Officer/Abbell Credit Corporation and Abbell</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Associates, LLC</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54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Nicole Y. Lamb-Hale</w:t>
            </w:r>
          </w:p>
        </w:tc>
        <w:tc>
          <w:tcPr>
            <w:tcW w:w="840" w:type="dxa"/>
            <w:vAlign w:val="bottom"/>
            <w:shd w:val="clear" w:color="auto" w:fill="D8D8D8"/>
          </w:tcPr>
          <w:p>
            <w:pPr>
              <w:jc w:val="right"/>
              <w:ind w:right="210"/>
              <w:spacing w:after="0"/>
              <w:rPr>
                <w:sz w:val="20"/>
                <w:szCs w:val="20"/>
                <w:color w:val="auto"/>
              </w:rPr>
            </w:pPr>
            <w:r>
              <w:rPr>
                <w:rFonts w:ascii="Arial" w:cs="Arial" w:eastAsia="Arial" w:hAnsi="Arial"/>
                <w:sz w:val="18"/>
                <w:szCs w:val="18"/>
                <w:color w:val="auto"/>
              </w:rPr>
              <w:t>56</w:t>
            </w:r>
          </w:p>
        </w:tc>
        <w:tc>
          <w:tcPr>
            <w:tcW w:w="12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2020</w:t>
            </w:r>
          </w:p>
        </w:tc>
        <w:tc>
          <w:tcPr>
            <w:tcW w:w="180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Yes</w:t>
            </w:r>
          </w:p>
        </w:tc>
        <w:tc>
          <w:tcPr>
            <w:tcW w:w="900" w:type="dxa"/>
            <w:vAlign w:val="bottom"/>
            <w:shd w:val="clear" w:color="auto" w:fill="D8D8D8"/>
          </w:tcPr>
          <w:p>
            <w:pPr>
              <w:spacing w:after="0"/>
              <w:rPr>
                <w:sz w:val="18"/>
                <w:szCs w:val="18"/>
                <w:color w:val="auto"/>
              </w:rPr>
            </w:pPr>
          </w:p>
        </w:tc>
        <w:tc>
          <w:tcPr>
            <w:tcW w:w="940" w:type="dxa"/>
            <w:vAlign w:val="bottom"/>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shd w:val="clear" w:color="auto" w:fill="D8D8D8"/>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9"/>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Vice President and Chief Legal Officer/Cummins Inc.</w:t>
            </w:r>
          </w:p>
        </w:tc>
        <w:tc>
          <w:tcPr>
            <w:tcW w:w="84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16"/>
                <w:szCs w:val="16"/>
                <w:color w:val="auto"/>
              </w:rPr>
            </w:pPr>
          </w:p>
        </w:tc>
        <w:tc>
          <w:tcPr>
            <w:tcW w:w="180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9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b w:val="1"/>
                <w:bCs w:val="1"/>
                <w:color w:val="auto"/>
              </w:rPr>
              <w:t>Thomas A. McEachin</w:t>
            </w: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70</w:t>
            </w: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2022</w:t>
            </w:r>
          </w:p>
        </w:tc>
        <w:tc>
          <w:tcPr>
            <w:tcW w:w="18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Yes</w:t>
            </w:r>
          </w:p>
        </w:tc>
        <w:tc>
          <w:tcPr>
            <w:tcW w:w="900" w:type="dxa"/>
            <w:vAlign w:val="bottom"/>
          </w:tcPr>
          <w:p>
            <w:pPr>
              <w:spacing w:after="0"/>
              <w:rPr>
                <w:sz w:val="17"/>
                <w:szCs w:val="17"/>
                <w:color w:val="auto"/>
              </w:rPr>
            </w:pP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9"/>
        </w:trPr>
        <w:tc>
          <w:tcPr>
            <w:tcW w:w="4540" w:type="dxa"/>
            <w:vAlign w:val="bottom"/>
          </w:tcPr>
          <w:p>
            <w:pPr>
              <w:spacing w:after="0"/>
              <w:rPr>
                <w:sz w:val="20"/>
                <w:szCs w:val="20"/>
                <w:color w:val="auto"/>
              </w:rPr>
            </w:pPr>
            <w:r>
              <w:rPr>
                <w:rFonts w:ascii="Arial" w:cs="Arial" w:eastAsia="Arial" w:hAnsi="Arial"/>
                <w:sz w:val="16"/>
                <w:szCs w:val="16"/>
                <w:color w:val="auto"/>
              </w:rPr>
              <w:t>Former Group Chief Financial Officer/Covidien Surgical</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Solutions</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54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Anthony P. Nader, III</w:t>
            </w:r>
          </w:p>
        </w:tc>
        <w:tc>
          <w:tcPr>
            <w:tcW w:w="840" w:type="dxa"/>
            <w:vAlign w:val="bottom"/>
            <w:shd w:val="clear" w:color="auto" w:fill="D8D8D8"/>
          </w:tcPr>
          <w:p>
            <w:pPr>
              <w:jc w:val="right"/>
              <w:ind w:right="210"/>
              <w:spacing w:after="0"/>
              <w:rPr>
                <w:sz w:val="20"/>
                <w:szCs w:val="20"/>
                <w:color w:val="auto"/>
              </w:rPr>
            </w:pPr>
            <w:r>
              <w:rPr>
                <w:rFonts w:ascii="Arial" w:cs="Arial" w:eastAsia="Arial" w:hAnsi="Arial"/>
                <w:sz w:val="18"/>
                <w:szCs w:val="18"/>
                <w:color w:val="auto"/>
              </w:rPr>
              <w:t>59</w:t>
            </w:r>
          </w:p>
        </w:tc>
        <w:tc>
          <w:tcPr>
            <w:tcW w:w="12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2020</w:t>
            </w:r>
          </w:p>
        </w:tc>
        <w:tc>
          <w:tcPr>
            <w:tcW w:w="180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Yes</w:t>
            </w:r>
          </w:p>
        </w:tc>
        <w:tc>
          <w:tcPr>
            <w:tcW w:w="900" w:type="dxa"/>
            <w:vAlign w:val="bottom"/>
            <w:shd w:val="clear" w:color="auto" w:fill="D8D8D8"/>
          </w:tcPr>
          <w:p>
            <w:pPr>
              <w:jc w:val="center"/>
              <w:spacing w:after="0" w:line="207"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color w:val="auto"/>
                <w:w w:val="85"/>
              </w:rPr>
              <w:t>$</w:t>
            </w:r>
          </w:p>
        </w:tc>
        <w:tc>
          <w:tcPr>
            <w:tcW w:w="940" w:type="dxa"/>
            <w:vAlign w:val="bottom"/>
            <w:shd w:val="clear" w:color="auto" w:fill="D8D8D8"/>
          </w:tcPr>
          <w:p>
            <w:pPr>
              <w:spacing w:after="0"/>
              <w:rPr>
                <w:sz w:val="18"/>
                <w:szCs w:val="18"/>
                <w:color w:val="auto"/>
              </w:rPr>
            </w:pPr>
          </w:p>
        </w:tc>
        <w:tc>
          <w:tcPr>
            <w:tcW w:w="800" w:type="dxa"/>
            <w:vAlign w:val="bottom"/>
            <w:shd w:val="clear" w:color="auto" w:fill="D8D8D8"/>
          </w:tcPr>
          <w:p>
            <w:pPr>
              <w:jc w:val="center"/>
              <w:ind w:left="50"/>
              <w:spacing w:after="0"/>
              <w:rPr>
                <w:sz w:val="20"/>
                <w:szCs w:val="20"/>
                <w:color w:val="auto"/>
              </w:rPr>
            </w:pPr>
            <w:r>
              <w:rPr>
                <w:rFonts w:ascii="Arial" w:cs="Arial" w:eastAsia="Arial" w:hAnsi="Arial"/>
                <w:sz w:val="18"/>
                <w:szCs w:val="18"/>
                <w:color w:val="auto"/>
              </w:rPr>
              <w:t>C</w:t>
            </w:r>
          </w:p>
        </w:tc>
      </w:tr>
      <w:tr>
        <w:trPr>
          <w:trHeight w:val="189"/>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Managing Director/SWaN &amp; Legend Venture Partners</w:t>
            </w:r>
          </w:p>
        </w:tc>
        <w:tc>
          <w:tcPr>
            <w:tcW w:w="84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16"/>
                <w:szCs w:val="16"/>
                <w:color w:val="auto"/>
              </w:rPr>
            </w:pPr>
          </w:p>
        </w:tc>
        <w:tc>
          <w:tcPr>
            <w:tcW w:w="180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9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b w:val="1"/>
                <w:bCs w:val="1"/>
                <w:color w:val="auto"/>
              </w:rPr>
              <w:t>Gail P. Steinel</w:t>
            </w: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66</w:t>
            </w: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2006</w:t>
            </w:r>
          </w:p>
        </w:tc>
        <w:tc>
          <w:tcPr>
            <w:tcW w:w="18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Yes</w:t>
            </w:r>
          </w:p>
        </w:tc>
        <w:tc>
          <w:tcPr>
            <w:tcW w:w="900" w:type="dxa"/>
            <w:vAlign w:val="bottom"/>
          </w:tcPr>
          <w:p>
            <w:pPr>
              <w:ind w:left="340"/>
              <w:spacing w:after="0" w:line="202" w:lineRule="exact"/>
              <w:rPr>
                <w:sz w:val="20"/>
                <w:szCs w:val="20"/>
                <w:color w:val="auto"/>
              </w:rPr>
            </w:pPr>
            <w:r>
              <w:rPr>
                <w:rFonts w:ascii="Arial" w:cs="Arial" w:eastAsia="Arial" w:hAnsi="Arial"/>
                <w:sz w:val="18"/>
                <w:szCs w:val="18"/>
                <w:color w:val="auto"/>
              </w:rPr>
              <w:t>C$</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Owner/Executive Advisors</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40" w:type="dxa"/>
            <w:vAlign w:val="bottom"/>
            <w:shd w:val="clear" w:color="auto" w:fill="D8D8D8"/>
          </w:tcPr>
          <w:p>
            <w:pPr>
              <w:spacing w:after="0" w:line="202" w:lineRule="exact"/>
              <w:rPr>
                <w:sz w:val="20"/>
                <w:szCs w:val="20"/>
                <w:color w:val="auto"/>
              </w:rPr>
            </w:pPr>
            <w:r>
              <w:rPr>
                <w:rFonts w:ascii="Arial" w:cs="Arial" w:eastAsia="Arial" w:hAnsi="Arial"/>
                <w:sz w:val="18"/>
                <w:szCs w:val="18"/>
                <w:b w:val="1"/>
                <w:bCs w:val="1"/>
                <w:color w:val="auto"/>
              </w:rPr>
              <w:t>Donald C. Wood</w:t>
            </w:r>
          </w:p>
        </w:tc>
        <w:tc>
          <w:tcPr>
            <w:tcW w:w="840" w:type="dxa"/>
            <w:vAlign w:val="bottom"/>
            <w:shd w:val="clear" w:color="auto" w:fill="D8D8D8"/>
          </w:tcPr>
          <w:p>
            <w:pPr>
              <w:jc w:val="right"/>
              <w:ind w:right="210"/>
              <w:spacing w:after="0" w:line="202" w:lineRule="exact"/>
              <w:rPr>
                <w:sz w:val="20"/>
                <w:szCs w:val="20"/>
                <w:color w:val="auto"/>
              </w:rPr>
            </w:pPr>
            <w:r>
              <w:rPr>
                <w:rFonts w:ascii="Arial" w:cs="Arial" w:eastAsia="Arial" w:hAnsi="Arial"/>
                <w:sz w:val="18"/>
                <w:szCs w:val="18"/>
                <w:color w:val="auto"/>
              </w:rPr>
              <w:t>62</w:t>
            </w:r>
          </w:p>
        </w:tc>
        <w:tc>
          <w:tcPr>
            <w:tcW w:w="1200" w:type="dxa"/>
            <w:vAlign w:val="bottom"/>
            <w:shd w:val="clear" w:color="auto" w:fill="D8D8D8"/>
          </w:tcPr>
          <w:p>
            <w:pPr>
              <w:jc w:val="right"/>
              <w:ind w:right="190"/>
              <w:spacing w:after="0" w:line="202" w:lineRule="exact"/>
              <w:rPr>
                <w:sz w:val="20"/>
                <w:szCs w:val="20"/>
                <w:color w:val="auto"/>
              </w:rPr>
            </w:pPr>
            <w:r>
              <w:rPr>
                <w:rFonts w:ascii="Arial" w:cs="Arial" w:eastAsia="Arial" w:hAnsi="Arial"/>
                <w:sz w:val="18"/>
                <w:szCs w:val="18"/>
                <w:color w:val="auto"/>
              </w:rPr>
              <w:t>2003</w:t>
            </w:r>
          </w:p>
        </w:tc>
        <w:tc>
          <w:tcPr>
            <w:tcW w:w="1800" w:type="dxa"/>
            <w:vAlign w:val="bottom"/>
            <w:shd w:val="clear" w:color="auto" w:fill="D8D8D8"/>
          </w:tcPr>
          <w:p>
            <w:pPr>
              <w:jc w:val="right"/>
              <w:ind w:right="350"/>
              <w:spacing w:after="0" w:line="202" w:lineRule="exact"/>
              <w:rPr>
                <w:sz w:val="20"/>
                <w:szCs w:val="20"/>
                <w:color w:val="auto"/>
              </w:rPr>
            </w:pPr>
            <w:r>
              <w:rPr>
                <w:rFonts w:ascii="Arial" w:cs="Arial" w:eastAsia="Arial" w:hAnsi="Arial"/>
                <w:sz w:val="18"/>
                <w:szCs w:val="18"/>
                <w:color w:val="auto"/>
              </w:rPr>
              <w:t>No</w:t>
            </w:r>
          </w:p>
        </w:tc>
        <w:tc>
          <w:tcPr>
            <w:tcW w:w="900" w:type="dxa"/>
            <w:vAlign w:val="bottom"/>
            <w:shd w:val="clear" w:color="auto" w:fill="D8D8D8"/>
          </w:tcPr>
          <w:p>
            <w:pPr>
              <w:spacing w:after="0"/>
              <w:rPr>
                <w:sz w:val="17"/>
                <w:szCs w:val="17"/>
                <w:color w:val="auto"/>
              </w:rPr>
            </w:pPr>
          </w:p>
        </w:tc>
        <w:tc>
          <w:tcPr>
            <w:tcW w:w="94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r>
      <w:tr>
        <w:trPr>
          <w:trHeight w:val="189"/>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Chief Executive Officer/Federal Realty Investment Trust</w:t>
            </w:r>
          </w:p>
        </w:tc>
        <w:tc>
          <w:tcPr>
            <w:tcW w:w="84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16"/>
                <w:szCs w:val="16"/>
                <w:color w:val="auto"/>
              </w:rPr>
            </w:pPr>
          </w:p>
        </w:tc>
        <w:tc>
          <w:tcPr>
            <w:tcW w:w="180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9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Legend:</w:t>
      </w:r>
    </w:p>
    <w:p>
      <w:pPr>
        <w:spacing w:after="0" w:line="18"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AC-Audit Committee; CC-Compensation and Human Capital Management Committee; NC-Nominating and Corporate Governance Committee</w:t>
      </w:r>
    </w:p>
    <w:p>
      <w:pPr>
        <w:spacing w:after="0" w:line="1" w:lineRule="exact"/>
        <w:rPr>
          <w:sz w:val="20"/>
          <w:szCs w:val="20"/>
          <w:color w:val="auto"/>
        </w:rPr>
      </w:pPr>
    </w:p>
    <w:p>
      <w:pPr>
        <w:ind w:left="540" w:right="7580" w:firstLine="8"/>
        <w:spacing w:after="0" w:line="281"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Chairman of the Board C Indicates Committee Chair</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Indicates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103505</wp:posOffset>
            </wp:positionV>
            <wp:extent cx="701230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61"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1"/>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ENVIRONMENTAL, SOCIAL AND GOVERNANCE SNAPSHOT</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Our environmental, social and governance (“ESG”) initiatives are directly tied to supporting our business objective of using our real estate to create long-term value for all of our constituencies, including our shareholders. We have focused our efforts around the five areas that we believe are most impactful to supporting our business objectives.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left="628"/>
        <w:spacing w:after="0"/>
        <w:rPr>
          <w:sz w:val="20"/>
          <w:szCs w:val="20"/>
          <w:color w:val="auto"/>
        </w:rPr>
      </w:pPr>
      <w:r>
        <w:rPr>
          <w:rFonts w:ascii="Arial" w:cs="Arial" w:eastAsia="Arial" w:hAnsi="Arial"/>
          <w:sz w:val="22"/>
          <w:szCs w:val="22"/>
          <w:b w:val="1"/>
          <w:bCs w:val="1"/>
          <w:color w:val="FFFFFF"/>
        </w:rPr>
        <w:t>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-342900</wp:posOffset>
            </wp:positionV>
            <wp:extent cx="1979930" cy="1225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79930" cy="1225550"/>
                    </a:xfrm>
                    <a:prstGeom prst="rect">
                      <a:avLst/>
                    </a:prstGeom>
                    <a:noFill/>
                  </pic:spPr>
                </pic:pic>
              </a:graphicData>
            </a:graphic>
          </wp:anchor>
        </w:drawing>
      </w:r>
    </w:p>
    <w:p>
      <w:pPr>
        <w:jc w:val="center"/>
        <w:ind w:left="628"/>
        <w:spacing w:after="0"/>
        <w:rPr>
          <w:sz w:val="20"/>
          <w:szCs w:val="20"/>
          <w:color w:val="auto"/>
        </w:rPr>
      </w:pPr>
      <w:r>
        <w:rPr>
          <w:rFonts w:ascii="Arial" w:cs="Arial" w:eastAsia="Arial" w:hAnsi="Arial"/>
          <w:sz w:val="22"/>
          <w:szCs w:val="22"/>
          <w:b w:val="1"/>
          <w:bCs w:val="1"/>
          <w:color w:val="FFFFFF"/>
        </w:rPr>
        <w:t>Decarbonization*</w:t>
      </w:r>
    </w:p>
    <w:p>
      <w:pPr>
        <w:spacing w:after="0" w:line="180" w:lineRule="exact"/>
        <w:rPr>
          <w:sz w:val="20"/>
          <w:szCs w:val="20"/>
          <w:color w:val="auto"/>
        </w:rPr>
      </w:pPr>
    </w:p>
    <w:p>
      <w:pPr>
        <w:jc w:val="center"/>
        <w:ind w:left="680" w:right="52"/>
        <w:spacing w:after="0" w:line="275" w:lineRule="auto"/>
        <w:rPr>
          <w:sz w:val="20"/>
          <w:szCs w:val="20"/>
          <w:color w:val="auto"/>
        </w:rPr>
      </w:pPr>
      <w:r>
        <w:rPr>
          <w:rFonts w:ascii="Arial" w:cs="Arial" w:eastAsia="Arial" w:hAnsi="Arial"/>
          <w:sz w:val="17"/>
          <w:szCs w:val="17"/>
          <w:color w:val="FFFFFF"/>
        </w:rPr>
        <w:t>Minimize the carbon footprint of our Company and our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266700</wp:posOffset>
            </wp:positionV>
            <wp:extent cx="1979930" cy="13544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79930" cy="13544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FFFFFF"/>
        </w:rPr>
        <w:t>Strengthen</w:t>
      </w:r>
    </w:p>
    <w:p>
      <w:pPr>
        <w:spacing w:after="0" w:line="12"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FFFFFF"/>
        </w:rPr>
        <w:t>Resiliency*</w:t>
      </w:r>
    </w:p>
    <w:p>
      <w:pPr>
        <w:spacing w:after="0" w:line="180" w:lineRule="exact"/>
        <w:rPr>
          <w:sz w:val="20"/>
          <w:szCs w:val="20"/>
          <w:color w:val="auto"/>
        </w:rPr>
      </w:pPr>
    </w:p>
    <w:p>
      <w:pPr>
        <w:jc w:val="center"/>
        <w:ind w:left="680" w:right="52"/>
        <w:spacing w:after="0" w:line="255" w:lineRule="auto"/>
        <w:rPr>
          <w:sz w:val="20"/>
          <w:szCs w:val="20"/>
          <w:color w:val="auto"/>
        </w:rPr>
      </w:pPr>
      <w:r>
        <w:rPr>
          <w:rFonts w:ascii="Arial" w:cs="Arial" w:eastAsia="Arial" w:hAnsi="Arial"/>
          <w:sz w:val="17"/>
          <w:szCs w:val="17"/>
          <w:color w:val="FFFFFF"/>
        </w:rPr>
        <w:t>Invest in and manage our assets to protect value from increasing frequency</w:t>
      </w:r>
    </w:p>
    <w:p>
      <w:pPr>
        <w:spacing w:after="0" w:line="2" w:lineRule="exact"/>
        <w:rPr>
          <w:sz w:val="20"/>
          <w:szCs w:val="20"/>
          <w:color w:val="auto"/>
        </w:rPr>
      </w:pPr>
    </w:p>
    <w:p>
      <w:pPr>
        <w:jc w:val="center"/>
        <w:ind w:left="680" w:right="52"/>
        <w:spacing w:after="0" w:line="264" w:lineRule="auto"/>
        <w:rPr>
          <w:sz w:val="20"/>
          <w:szCs w:val="20"/>
          <w:color w:val="auto"/>
        </w:rPr>
      </w:pPr>
      <w:r>
        <w:rPr>
          <w:rFonts w:ascii="Arial" w:cs="Arial" w:eastAsia="Arial" w:hAnsi="Arial"/>
          <w:sz w:val="17"/>
          <w:szCs w:val="17"/>
          <w:color w:val="FFFFFF"/>
        </w:rPr>
        <w:t>and severity of weather related events and other hazards of climate change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308" w:right="620" w:hanging="308"/>
        <w:spacing w:after="0" w:line="245" w:lineRule="auto"/>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Science Based Target to reduce Scope 1&amp;2 GHG emissions by 46% by 2030 (2019 baseline)</w:t>
      </w: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22% Scope 1&amp;2 GHG emissions reduction from 2019 through 2021</w:t>
      </w:r>
    </w:p>
    <w:p>
      <w:pPr>
        <w:spacing w:after="0" w:line="8"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5 million square feet of LEED certified buildings constructed and in service</w:t>
      </w:r>
    </w:p>
    <w:p>
      <w:pPr>
        <w:spacing w:after="0" w:line="9"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60% of electric consumption in 2021 provided by green sources</w:t>
      </w:r>
    </w:p>
    <w:p>
      <w:pPr>
        <w:spacing w:after="0" w:line="9" w:lineRule="exact"/>
        <w:rPr>
          <w:rFonts w:ascii="MS PGothic" w:cs="MS PGothic" w:eastAsia="MS PGothic" w:hAnsi="MS PGothic"/>
          <w:sz w:val="18"/>
          <w:szCs w:val="18"/>
          <w:color w:val="auto"/>
        </w:rPr>
      </w:pPr>
    </w:p>
    <w:p>
      <w:pPr>
        <w:ind w:left="308" w:right="460" w:hanging="308"/>
        <w:spacing w:after="0" w:line="234" w:lineRule="auto"/>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89% properties fully or partially upgraded with energy efficient LED lighting in landlord controlled areas</w:t>
      </w:r>
    </w:p>
    <w:p>
      <w:pPr>
        <w:spacing w:after="0" w:line="1"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14 MW solar power generating capacity in solar arrays at 25 properties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12" w:lineRule="exact"/>
        <w:rPr>
          <w:rFonts w:ascii="MS PGothic" w:cs="MS PGothic" w:eastAsia="MS PGothic" w:hAnsi="MS PGothic"/>
          <w:sz w:val="18"/>
          <w:szCs w:val="18"/>
          <w:color w:val="auto"/>
        </w:rPr>
      </w:pPr>
    </w:p>
    <w:p>
      <w:pPr>
        <w:ind w:left="308" w:right="560" w:hanging="308"/>
        <w:spacing w:after="0" w:line="255" w:lineRule="auto"/>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Climate change scenario analysis using RCP 8.5 showing minimal financial risk over short-, medium- and long-term</w:t>
      </w:r>
    </w:p>
    <w:p>
      <w:pPr>
        <w:spacing w:after="0" w:line="19"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Management of water usage through technology and landscaping choices</w:t>
      </w:r>
    </w:p>
    <w:p>
      <w:pPr>
        <w:spacing w:after="0" w:line="47" w:lineRule="exact"/>
        <w:rPr>
          <w:rFonts w:ascii="MS PGothic" w:cs="MS PGothic" w:eastAsia="MS PGothic" w:hAnsi="MS PGothic"/>
          <w:sz w:val="18"/>
          <w:szCs w:val="18"/>
          <w:color w:val="auto"/>
        </w:rPr>
      </w:pPr>
    </w:p>
    <w:p>
      <w:pPr>
        <w:ind w:left="308" w:hanging="308"/>
        <w:spacing w:after="0"/>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Focus on increasing waste diverted to recycling</w:t>
      </w:r>
    </w:p>
    <w:p>
      <w:pPr>
        <w:spacing w:after="0" w:line="36" w:lineRule="exact"/>
        <w:rPr>
          <w:rFonts w:ascii="MS PGothic" w:cs="MS PGothic" w:eastAsia="MS PGothic" w:hAnsi="MS PGothic"/>
          <w:sz w:val="18"/>
          <w:szCs w:val="18"/>
          <w:color w:val="auto"/>
        </w:rPr>
      </w:pPr>
    </w:p>
    <w:p>
      <w:pPr>
        <w:ind w:left="308" w:right="300" w:hanging="308"/>
        <w:spacing w:after="0" w:line="258" w:lineRule="auto"/>
        <w:tabs>
          <w:tab w:leader="none" w:pos="308"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Physical risk exposures incorporated into property level capital planning and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-2343785</wp:posOffset>
            </wp:positionV>
            <wp:extent cx="4903470" cy="26574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03470" cy="2657475"/>
                    </a:xfrm>
                    <a:prstGeom prst="rect">
                      <a:avLst/>
                    </a:prstGeom>
                    <a:noFill/>
                  </pic:spPr>
                </pic:pic>
              </a:graphicData>
            </a:graphic>
          </wp:anchor>
        </w:drawing>
      </w:r>
    </w:p>
    <w:p>
      <w:pPr>
        <w:spacing w:after="0" w:line="581" w:lineRule="exact"/>
        <w:rPr>
          <w:sz w:val="20"/>
          <w:szCs w:val="20"/>
          <w:color w:val="auto"/>
        </w:rPr>
      </w:pPr>
    </w:p>
    <w:p>
      <w:pPr>
        <w:sectPr>
          <w:pgSz w:w="11900" w:h="16838" w:orient="portrait"/>
          <w:cols w:equalWidth="0" w:num="2">
            <w:col w:w="2832" w:space="720"/>
            <w:col w:w="7588"/>
          </w:cols>
          <w:pgMar w:left="320" w:top="482" w:right="439" w:bottom="1440" w:gutter="0" w:footer="0" w:header="0"/>
          <w:type w:val="continuous"/>
        </w:sectPr>
      </w:pPr>
    </w:p>
    <w:p>
      <w:pPr>
        <w:spacing w:after="0" w:line="302" w:lineRule="exact"/>
        <w:rPr>
          <w:sz w:val="20"/>
          <w:szCs w:val="20"/>
          <w:color w:val="auto"/>
        </w:rPr>
      </w:pPr>
    </w:p>
    <w:p>
      <w:pPr>
        <w:jc w:val="center"/>
        <w:ind w:left="628"/>
        <w:spacing w:after="0"/>
        <w:rPr>
          <w:sz w:val="20"/>
          <w:szCs w:val="20"/>
          <w:color w:val="auto"/>
        </w:rPr>
      </w:pPr>
      <w:r>
        <w:rPr>
          <w:rFonts w:ascii="Arial" w:cs="Arial" w:eastAsia="Arial" w:hAnsi="Arial"/>
          <w:sz w:val="22"/>
          <w:szCs w:val="22"/>
          <w:b w:val="1"/>
          <w:bCs w:val="1"/>
          <w:color w:val="FFFFFF"/>
        </w:rPr>
        <w:t>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-300355</wp:posOffset>
            </wp:positionV>
            <wp:extent cx="1979930" cy="12687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79930" cy="1268730"/>
                    </a:xfrm>
                    <a:prstGeom prst="rect">
                      <a:avLst/>
                    </a:prstGeom>
                    <a:noFill/>
                  </pic:spPr>
                </pic:pic>
              </a:graphicData>
            </a:graphic>
          </wp:anchor>
        </w:drawing>
      </w:r>
    </w:p>
    <w:p>
      <w:pPr>
        <w:jc w:val="center"/>
        <w:ind w:left="628"/>
        <w:spacing w:after="0"/>
        <w:rPr>
          <w:sz w:val="20"/>
          <w:szCs w:val="20"/>
          <w:color w:val="auto"/>
        </w:rPr>
      </w:pPr>
      <w:r>
        <w:rPr>
          <w:rFonts w:ascii="Arial" w:cs="Arial" w:eastAsia="Arial" w:hAnsi="Arial"/>
          <w:sz w:val="22"/>
          <w:szCs w:val="22"/>
          <w:b w:val="1"/>
          <w:bCs w:val="1"/>
          <w:color w:val="FFFFFF"/>
        </w:rPr>
        <w:t>Communities*</w:t>
      </w:r>
    </w:p>
    <w:p>
      <w:pPr>
        <w:spacing w:after="0" w:line="180" w:lineRule="exact"/>
        <w:rPr>
          <w:sz w:val="20"/>
          <w:szCs w:val="20"/>
          <w:color w:val="auto"/>
        </w:rPr>
      </w:pPr>
    </w:p>
    <w:p>
      <w:pPr>
        <w:jc w:val="center"/>
        <w:ind w:left="680" w:right="52"/>
        <w:spacing w:after="0" w:line="244" w:lineRule="auto"/>
        <w:rPr>
          <w:sz w:val="20"/>
          <w:szCs w:val="20"/>
          <w:color w:val="auto"/>
        </w:rPr>
      </w:pPr>
      <w:r>
        <w:rPr>
          <w:rFonts w:ascii="Arial" w:cs="Arial" w:eastAsia="Arial" w:hAnsi="Arial"/>
          <w:sz w:val="18"/>
          <w:szCs w:val="18"/>
          <w:color w:val="FFFFFF"/>
        </w:rPr>
        <w:t>Use our real estate to contribute to social and economic prosperity of the community and advance social equity</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308" w:right="1080" w:hanging="308"/>
        <w:spacing w:after="0" w:line="255" w:lineRule="auto"/>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$425 million invested in partnership with Primestor Development in historically underrepresented communities</w:t>
      </w:r>
    </w:p>
    <w:p>
      <w:pPr>
        <w:spacing w:after="0" w:line="19" w:lineRule="exact"/>
        <w:rPr>
          <w:rFonts w:ascii="MS PGothic" w:cs="MS PGothic" w:eastAsia="MS PGothic" w:hAnsi="MS PGothic"/>
          <w:sz w:val="18"/>
          <w:szCs w:val="18"/>
          <w:color w:val="auto"/>
        </w:rPr>
      </w:pPr>
    </w:p>
    <w:p>
      <w:pPr>
        <w:ind w:left="308" w:hanging="308"/>
        <w:spacing w:after="0"/>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Local cultural programming and events at properties</w:t>
      </w:r>
    </w:p>
    <w:p>
      <w:pPr>
        <w:spacing w:after="0" w:line="49" w:lineRule="exact"/>
        <w:rPr>
          <w:rFonts w:ascii="MS PGothic" w:cs="MS PGothic" w:eastAsia="MS PGothic" w:hAnsi="MS PGothic"/>
          <w:sz w:val="18"/>
          <w:szCs w:val="18"/>
          <w:color w:val="auto"/>
        </w:rPr>
      </w:pPr>
    </w:p>
    <w:p>
      <w:pPr>
        <w:ind w:left="308" w:hanging="308"/>
        <w:spacing w:after="0"/>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Support local philanthropic initiatives and tenants</w:t>
      </w:r>
    </w:p>
    <w:p>
      <w:pPr>
        <w:spacing w:after="0" w:line="47" w:lineRule="exact"/>
        <w:rPr>
          <w:rFonts w:ascii="MS PGothic" w:cs="MS PGothic" w:eastAsia="MS PGothic" w:hAnsi="MS PGothic"/>
          <w:sz w:val="18"/>
          <w:szCs w:val="18"/>
          <w:color w:val="auto"/>
        </w:rPr>
      </w:pPr>
    </w:p>
    <w:p>
      <w:pPr>
        <w:ind w:left="308" w:hanging="308"/>
        <w:spacing w:after="0"/>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Feature work of local artists in art installations at our properties</w:t>
      </w:r>
    </w:p>
    <w:p>
      <w:pPr>
        <w:spacing w:after="0" w:line="37" w:lineRule="exact"/>
        <w:rPr>
          <w:rFonts w:ascii="MS PGothic" w:cs="MS PGothic" w:eastAsia="MS PGothic" w:hAnsi="MS PGothic"/>
          <w:sz w:val="18"/>
          <w:szCs w:val="18"/>
          <w:color w:val="auto"/>
        </w:rPr>
      </w:pPr>
    </w:p>
    <w:p>
      <w:pPr>
        <w:ind w:left="308" w:hanging="308"/>
        <w:spacing w:after="0"/>
        <w:tabs>
          <w:tab w:leader="none" w:pos="308"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Significant contributions to tax base of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-899160</wp:posOffset>
            </wp:positionV>
            <wp:extent cx="4903470" cy="12515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03470" cy="1251585"/>
                    </a:xfrm>
                    <a:prstGeom prst="rect">
                      <a:avLst/>
                    </a:prstGeom>
                    <a:noFill/>
                  </pic:spPr>
                </pic:pic>
              </a:graphicData>
            </a:graphic>
          </wp:anchor>
        </w:drawing>
      </w:r>
    </w:p>
    <w:p>
      <w:pPr>
        <w:spacing w:after="0" w:line="724" w:lineRule="exact"/>
        <w:rPr>
          <w:sz w:val="20"/>
          <w:szCs w:val="20"/>
          <w:color w:val="auto"/>
        </w:rPr>
      </w:pPr>
    </w:p>
    <w:p>
      <w:pPr>
        <w:sectPr>
          <w:pgSz w:w="11900" w:h="16838" w:orient="portrait"/>
          <w:cols w:equalWidth="0" w:num="2">
            <w:col w:w="2832" w:space="720"/>
            <w:col w:w="7588"/>
          </w:cols>
          <w:pgMar w:left="320" w:top="482" w:right="439" w:bottom="1440" w:gutter="0" w:footer="0" w:header="0"/>
          <w:type w:val="continuous"/>
        </w:sectPr>
      </w:pPr>
    </w:p>
    <w:p>
      <w:pPr>
        <w:spacing w:after="0" w:line="220" w:lineRule="exact"/>
        <w:rPr>
          <w:sz w:val="20"/>
          <w:szCs w:val="20"/>
          <w:color w:val="auto"/>
        </w:rPr>
      </w:pPr>
    </w:p>
    <w:p>
      <w:pPr>
        <w:jc w:val="center"/>
        <w:ind w:left="608"/>
        <w:spacing w:after="0"/>
        <w:rPr>
          <w:sz w:val="20"/>
          <w:szCs w:val="20"/>
          <w:color w:val="auto"/>
        </w:rPr>
      </w:pPr>
      <w:r>
        <w:rPr>
          <w:rFonts w:ascii="Arial" w:cs="Arial" w:eastAsia="Arial" w:hAnsi="Arial"/>
          <w:sz w:val="22"/>
          <w:szCs w:val="22"/>
          <w:b w:val="1"/>
          <w:bCs w:val="1"/>
          <w:color w:val="FFFFFF"/>
        </w:rPr>
        <w:t>Empower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-300355</wp:posOffset>
            </wp:positionV>
            <wp:extent cx="1979930" cy="11137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79930" cy="1113790"/>
                    </a:xfrm>
                    <a:prstGeom prst="rect">
                      <a:avLst/>
                    </a:prstGeom>
                    <a:noFill/>
                  </pic:spPr>
                </pic:pic>
              </a:graphicData>
            </a:graphic>
          </wp:anchor>
        </w:drawing>
      </w:r>
    </w:p>
    <w:p>
      <w:pPr>
        <w:spacing w:after="0" w:line="182" w:lineRule="exact"/>
        <w:rPr>
          <w:sz w:val="20"/>
          <w:szCs w:val="20"/>
          <w:color w:val="auto"/>
        </w:rPr>
      </w:pPr>
    </w:p>
    <w:p>
      <w:pPr>
        <w:jc w:val="center"/>
        <w:ind w:left="640" w:right="32"/>
        <w:spacing w:after="0" w:line="261" w:lineRule="auto"/>
        <w:rPr>
          <w:sz w:val="20"/>
          <w:szCs w:val="20"/>
          <w:color w:val="auto"/>
        </w:rPr>
      </w:pPr>
      <w:r>
        <w:rPr>
          <w:rFonts w:ascii="Arial" w:cs="Arial" w:eastAsia="Arial" w:hAnsi="Arial"/>
          <w:sz w:val="17"/>
          <w:szCs w:val="17"/>
          <w:color w:val="FFFFFF"/>
        </w:rPr>
        <w:t>Create a work environment that is diverse, engaging and helps employees grow personally and professionally</w:t>
      </w:r>
    </w:p>
    <w:p>
      <w:pPr>
        <w:spacing w:after="0" w:line="20" w:lineRule="exact"/>
        <w:rPr>
          <w:sz w:val="20"/>
          <w:szCs w:val="20"/>
          <w:color w:val="auto"/>
        </w:rPr>
      </w:pPr>
      <w:r>
        <w:rPr>
          <w:sz w:val="20"/>
          <w:szCs w:val="20"/>
          <w:color w:val="auto"/>
        </w:rPr>
        <w:br w:type="column"/>
      </w:r>
    </w:p>
    <w:p>
      <w:pPr>
        <w:ind w:left="308" w:hanging="308"/>
        <w:spacing w:after="0"/>
        <w:tabs>
          <w:tab w:leader="none" w:pos="308"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Competitive pay and benefits</w:t>
      </w:r>
    </w:p>
    <w:p>
      <w:pPr>
        <w:spacing w:after="0" w:line="47" w:lineRule="exact"/>
        <w:rPr>
          <w:rFonts w:ascii="MS PGothic" w:cs="MS PGothic" w:eastAsia="MS PGothic" w:hAnsi="MS PGothic"/>
          <w:sz w:val="18"/>
          <w:szCs w:val="18"/>
          <w:color w:val="auto"/>
        </w:rPr>
      </w:pPr>
    </w:p>
    <w:p>
      <w:pPr>
        <w:ind w:left="308" w:hanging="308"/>
        <w:spacing w:after="0"/>
        <w:tabs>
          <w:tab w:leader="none" w:pos="308"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Average tenure in excess of 8 years</w:t>
      </w:r>
    </w:p>
    <w:p>
      <w:pPr>
        <w:spacing w:after="0" w:line="36" w:lineRule="exact"/>
        <w:rPr>
          <w:rFonts w:ascii="MS PGothic" w:cs="MS PGothic" w:eastAsia="MS PGothic" w:hAnsi="MS PGothic"/>
          <w:sz w:val="18"/>
          <w:szCs w:val="18"/>
          <w:color w:val="auto"/>
        </w:rPr>
      </w:pPr>
    </w:p>
    <w:p>
      <w:pPr>
        <w:ind w:left="308" w:hanging="308"/>
        <w:spacing w:after="0"/>
        <w:tabs>
          <w:tab w:leader="none" w:pos="308"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Pay equity analysis shows no pay anomalies based on race or gender</w:t>
      </w:r>
    </w:p>
    <w:p>
      <w:pPr>
        <w:spacing w:after="0" w:line="36" w:lineRule="exact"/>
        <w:rPr>
          <w:rFonts w:ascii="MS PGothic" w:cs="MS PGothic" w:eastAsia="MS PGothic" w:hAnsi="MS PGothic"/>
          <w:sz w:val="18"/>
          <w:szCs w:val="18"/>
          <w:color w:val="auto"/>
        </w:rPr>
      </w:pPr>
    </w:p>
    <w:p>
      <w:pPr>
        <w:ind w:left="308" w:hanging="308"/>
        <w:spacing w:after="0"/>
        <w:tabs>
          <w:tab w:leader="none" w:pos="308"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Women represented 53% of our workforce and 75% of all promotions</w:t>
      </w:r>
    </w:p>
    <w:p>
      <w:pPr>
        <w:spacing w:after="0" w:line="36" w:lineRule="exact"/>
        <w:rPr>
          <w:rFonts w:ascii="MS PGothic" w:cs="MS PGothic" w:eastAsia="MS PGothic" w:hAnsi="MS PGothic"/>
          <w:sz w:val="18"/>
          <w:szCs w:val="18"/>
          <w:color w:val="auto"/>
        </w:rPr>
      </w:pPr>
    </w:p>
    <w:p>
      <w:pPr>
        <w:ind w:left="308" w:hanging="308"/>
        <w:spacing w:after="0"/>
        <w:tabs>
          <w:tab w:leader="none" w:pos="308"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Minorities represented 47% of all new hires and 24% of all promotions</w:t>
      </w:r>
    </w:p>
    <w:p>
      <w:pPr>
        <w:spacing w:after="0" w:line="36" w:lineRule="exact"/>
        <w:rPr>
          <w:rFonts w:ascii="MS PGothic" w:cs="MS PGothic" w:eastAsia="MS PGothic" w:hAnsi="MS PGothic"/>
          <w:sz w:val="18"/>
          <w:szCs w:val="18"/>
          <w:color w:val="auto"/>
        </w:rPr>
      </w:pPr>
    </w:p>
    <w:p>
      <w:pPr>
        <w:ind w:left="308" w:hanging="308"/>
        <w:spacing w:after="0"/>
        <w:tabs>
          <w:tab w:leader="none" w:pos="308"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Comprehensive health and wellness programs through our Be Well with Federal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-2189480</wp:posOffset>
            </wp:positionH>
            <wp:positionV relativeFrom="paragraph">
              <wp:posOffset>-906145</wp:posOffset>
            </wp:positionV>
            <wp:extent cx="7012305" cy="1329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2305" cy="132905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2832" w:space="720"/>
            <w:col w:w="7588"/>
          </w:cols>
          <w:pgMar w:left="320" w:top="482" w:right="439" w:bottom="1440" w:gutter="0" w:footer="0" w:header="0"/>
          <w:type w:val="continuous"/>
        </w:sectPr>
      </w:pPr>
    </w:p>
    <w:p>
      <w:pPr>
        <w:ind w:left="8100"/>
        <w:spacing w:after="0"/>
        <w:tabs>
          <w:tab w:leader="none" w:pos="9320" w:val="left"/>
          <w:tab w:leader="none" w:pos="1092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w:t>
      </w:r>
    </w:p>
    <w:p>
      <w:pPr>
        <w:sectPr>
          <w:pgSz w:w="11900" w:h="16838" w:orient="portrait"/>
          <w:cols w:equalWidth="0" w:num="1">
            <w:col w:w="11140"/>
          </w:cols>
          <w:pgMar w:left="320" w:top="482"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212725</wp:posOffset>
            </wp:positionV>
            <wp:extent cx="1979930" cy="1174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79930" cy="11741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ind w:right="12"/>
        <w:spacing w:after="0"/>
        <w:rPr>
          <w:sz w:val="20"/>
          <w:szCs w:val="20"/>
          <w:color w:val="auto"/>
        </w:rPr>
      </w:pPr>
      <w:r>
        <w:rPr>
          <w:rFonts w:ascii="Arial" w:cs="Arial" w:eastAsia="Arial" w:hAnsi="Arial"/>
          <w:sz w:val="22"/>
          <w:szCs w:val="22"/>
          <w:b w:val="1"/>
          <w:bCs w:val="1"/>
          <w:color w:val="FFFFFF"/>
        </w:rPr>
        <w:t>Govern Responsibly*</w:t>
      </w:r>
    </w:p>
    <w:p>
      <w:pPr>
        <w:spacing w:after="0" w:line="121" w:lineRule="exact"/>
        <w:rPr>
          <w:sz w:val="20"/>
          <w:szCs w:val="20"/>
          <w:color w:val="auto"/>
        </w:rPr>
      </w:pPr>
    </w:p>
    <w:p>
      <w:pPr>
        <w:jc w:val="center"/>
        <w:ind w:left="628" w:right="12"/>
        <w:spacing w:after="0" w:line="244" w:lineRule="auto"/>
        <w:rPr>
          <w:sz w:val="20"/>
          <w:szCs w:val="20"/>
          <w:color w:val="auto"/>
        </w:rPr>
      </w:pPr>
      <w:r>
        <w:rPr>
          <w:rFonts w:ascii="Arial" w:cs="Arial" w:eastAsia="Arial" w:hAnsi="Arial"/>
          <w:sz w:val="18"/>
          <w:szCs w:val="18"/>
          <w:color w:val="FFFFFF"/>
        </w:rPr>
        <w:t>Establish foundation to run the Company ethically with appropriate fiscal and decision making controls to manage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8" w:hanging="308"/>
        <w:spacing w:after="0"/>
        <w:tabs>
          <w:tab w:leader="none" w:pos="308"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Annual election of all trustees</w:t>
      </w:r>
    </w:p>
    <w:p>
      <w:pPr>
        <w:spacing w:after="0" w:line="49" w:lineRule="exact"/>
        <w:rPr>
          <w:rFonts w:ascii="MS PGothic" w:cs="MS PGothic" w:eastAsia="MS PGothic" w:hAnsi="MS PGothic"/>
          <w:sz w:val="18"/>
          <w:szCs w:val="18"/>
          <w:color w:val="auto"/>
        </w:rPr>
      </w:pPr>
    </w:p>
    <w:p>
      <w:pPr>
        <w:ind w:left="308" w:hanging="308"/>
        <w:spacing w:after="0"/>
        <w:tabs>
          <w:tab w:leader="none" w:pos="308"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Independent Non-Executive Chairman</w:t>
      </w:r>
    </w:p>
    <w:p>
      <w:pPr>
        <w:spacing w:after="0" w:line="130" w:lineRule="exact"/>
        <w:rPr>
          <w:rFonts w:ascii="MS PGothic" w:cs="MS PGothic" w:eastAsia="MS PGothic" w:hAnsi="MS PGothic"/>
          <w:sz w:val="18"/>
          <w:szCs w:val="18"/>
          <w:color w:val="auto"/>
        </w:rPr>
      </w:pPr>
    </w:p>
    <w:p>
      <w:pPr>
        <w:ind w:left="308" w:hanging="308"/>
        <w:spacing w:after="0"/>
        <w:tabs>
          <w:tab w:leader="none" w:pos="308"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Majority voting and proxy access for trustee elections</w:t>
      </w:r>
    </w:p>
    <w:p>
      <w:pPr>
        <w:spacing w:after="0" w:line="103" w:lineRule="exact"/>
        <w:rPr>
          <w:rFonts w:ascii="MS PGothic" w:cs="MS PGothic" w:eastAsia="MS PGothic" w:hAnsi="MS PGothic"/>
          <w:sz w:val="18"/>
          <w:szCs w:val="18"/>
          <w:color w:val="auto"/>
        </w:rPr>
      </w:pPr>
    </w:p>
    <w:p>
      <w:pPr>
        <w:ind w:left="308" w:right="100" w:hanging="308"/>
        <w:spacing w:after="0" w:line="271" w:lineRule="auto"/>
        <w:tabs>
          <w:tab w:leader="none" w:pos="308"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Prohibition on hedging and pledging our shares combined with clawback policy and equity hold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-1536065</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-970280</wp:posOffset>
            </wp:positionV>
            <wp:extent cx="4903470" cy="1157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03470" cy="115760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2832" w:space="720"/>
            <w:col w:w="7568"/>
          </w:cols>
          <w:pgMar w:left="320" w:top="482" w:right="459" w:bottom="1440" w:gutter="0" w:footer="0" w:header="0"/>
        </w:sectPr>
      </w:pP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All information provided is as of December 31, 2022 unless otherwise indicated.</w:t>
      </w:r>
    </w:p>
    <w:p>
      <w:pPr>
        <w:spacing w:after="0" w:line="20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More information about our ESG program can be found in our 2021 Environmental Social and Governance Report which is available under the ESG tab on our website and can be accessed by using this link 2021 ESG Report by Federal 1962 - Issuu/. The report provides additional, detailed information in alignment with the frameworks established by the Global Reporting Initiative, Task Force for Climate Related Financial Disclosures and Sustainability Accounting Standards Board.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Some of the areas where we have been recognized for our ESG efforts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1457960</wp:posOffset>
            </wp:positionV>
            <wp:extent cx="699516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163195</wp:posOffset>
            </wp:positionV>
            <wp:extent cx="5186045" cy="11055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8604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Governing the Company</w:t>
      </w:r>
    </w:p>
    <w:p>
      <w:pPr>
        <w:spacing w:after="0" w:line="264" w:lineRule="exact"/>
        <w:rPr>
          <w:sz w:val="20"/>
          <w:szCs w:val="20"/>
          <w:color w:val="auto"/>
        </w:rPr>
      </w:pPr>
    </w:p>
    <w:p>
      <w:pPr>
        <w:ind w:left="540" w:hanging="424"/>
        <w:spacing w:after="0"/>
        <w:tabs>
          <w:tab w:leader="none" w:pos="540" w:val="left"/>
        </w:tabs>
        <w:numPr>
          <w:ilvl w:val="0"/>
          <w:numId w:val="16"/>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GOVERNANCE DOCUMENTS</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Board is responsible for providing governance and oversight of the strategy, operations and management of the Company and has delegated to our senior management the authority to manage the day-to-day operations of the Company. The Board has adopted the following policies:</w:t>
      </w:r>
    </w:p>
    <w:p>
      <w:pPr>
        <w:spacing w:after="0" w:line="196" w:lineRule="exact"/>
        <w:rPr>
          <w:sz w:val="20"/>
          <w:szCs w:val="20"/>
          <w:color w:val="auto"/>
        </w:rPr>
      </w:pPr>
    </w:p>
    <w:p>
      <w:pPr>
        <w:ind w:left="1080" w:right="7300"/>
        <w:spacing w:after="0" w:line="260" w:lineRule="auto"/>
        <w:rPr>
          <w:sz w:val="20"/>
          <w:szCs w:val="20"/>
          <w:color w:val="auto"/>
        </w:rPr>
      </w:pPr>
      <w:r>
        <w:rPr>
          <w:rFonts w:ascii="Arial" w:cs="Arial" w:eastAsia="Arial" w:hAnsi="Arial"/>
          <w:sz w:val="18"/>
          <w:szCs w:val="18"/>
          <w:color w:val="auto"/>
        </w:rPr>
        <w:t>Corporate Governance Guidelines Code of Business Conduct</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Code of Ethics for our Senior Financial Officers</w:t>
      </w:r>
    </w:p>
    <w:p>
      <w:pPr>
        <w:spacing w:after="0" w:line="20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 xml:space="preserve">These documents are reviewed periodically and revised when needed to reflect changing regulatory and governmental requirements and best practices. Complete copies of these documents are available in the Investor/Corporate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Printed copies of these documents are available upon written request to our Investor Relations department at</w:t>
      </w:r>
      <w:r>
        <w:rPr>
          <w:rFonts w:ascii="Arial" w:cs="Arial" w:eastAsia="Arial" w:hAnsi="Arial"/>
          <w:sz w:val="18"/>
          <w:szCs w:val="18"/>
          <w:i w:val="1"/>
          <w:iCs w:val="1"/>
          <w:color w:val="auto"/>
        </w:rPr>
        <w:t xml:space="preserve"> </w:t>
      </w:r>
      <w:r>
        <w:rPr>
          <w:rFonts w:ascii="Arial" w:cs="Arial" w:eastAsia="Arial" w:hAnsi="Arial"/>
          <w:sz w:val="18"/>
          <w:szCs w:val="18"/>
          <w:color w:val="auto"/>
        </w:rPr>
        <w:t>909 Rose Avenue, Suite 200, North Bethesda, Maryland 20852.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79375</wp:posOffset>
            </wp:positionV>
            <wp:extent cx="701230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3"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w:t>
      </w:r>
    </w:p>
    <w:p>
      <w:pPr>
        <w:sectPr>
          <w:pgSz w:w="11900" w:h="16838" w:orient="portrait"/>
          <w:cols w:equalWidth="0" w:num="1">
            <w:col w:w="11120"/>
          </w:cols>
          <w:pgMar w:left="320" w:top="482" w:right="4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GOVERNANCE POLICIES AND PROCEDURES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commitment to good governance is an integral part of our business. Highlights of our corporate governance practices include:</w:t>
      </w: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197"/>
        </w:trPr>
        <w:tc>
          <w:tcPr>
            <w:tcW w:w="3620" w:type="dxa"/>
            <w:vAlign w:val="bottom"/>
            <w:tcBorders>
              <w:top w:val="single" w:sz="8" w:color="auto"/>
              <w:left w:val="single" w:sz="8" w:color="auto"/>
            </w:tcBorders>
            <w:shd w:val="clear" w:color="auto" w:fill="D8D8D8"/>
          </w:tcPr>
          <w:p>
            <w:pPr>
              <w:ind w:left="16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Annual election of Trustees</w:t>
            </w:r>
          </w:p>
        </w:tc>
        <w:tc>
          <w:tcPr>
            <w:tcW w:w="3640" w:type="dxa"/>
            <w:vAlign w:val="bottom"/>
            <w:tcBorders>
              <w:top w:val="single" w:sz="8" w:color="auto"/>
            </w:tcBorders>
          </w:tcPr>
          <w:p>
            <w:pPr>
              <w:ind w:left="10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Independent non-executive chairman</w:t>
            </w:r>
          </w:p>
        </w:tc>
        <w:tc>
          <w:tcPr>
            <w:tcW w:w="3540" w:type="dxa"/>
            <w:vAlign w:val="bottom"/>
            <w:tcBorders>
              <w:top w:val="single" w:sz="8" w:color="auto"/>
              <w:right w:val="single" w:sz="8" w:color="auto"/>
            </w:tcBorders>
            <w:shd w:val="clear" w:color="auto" w:fill="D8D8D8"/>
          </w:tcPr>
          <w:p>
            <w:pPr>
              <w:ind w:left="10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Board oversight of ESG, cyber</w:t>
            </w:r>
          </w:p>
        </w:tc>
      </w:tr>
      <w:tr>
        <w:trPr>
          <w:trHeight w:val="203"/>
        </w:trPr>
        <w:tc>
          <w:tcPr>
            <w:tcW w:w="3620" w:type="dxa"/>
            <w:vAlign w:val="bottom"/>
            <w:tcBorders>
              <w:left w:val="single" w:sz="8" w:color="auto"/>
            </w:tcBorders>
            <w:shd w:val="clear" w:color="auto" w:fill="D8D8D8"/>
          </w:tcPr>
          <w:p>
            <w:pPr>
              <w:spacing w:after="0"/>
              <w:rPr>
                <w:sz w:val="17"/>
                <w:szCs w:val="17"/>
                <w:color w:val="auto"/>
              </w:rPr>
            </w:pP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since 2003</w:t>
            </w:r>
          </w:p>
        </w:tc>
        <w:tc>
          <w:tcPr>
            <w:tcW w:w="3540" w:type="dxa"/>
            <w:vAlign w:val="bottom"/>
            <w:tcBorders>
              <w:right w:val="single" w:sz="8" w:color="auto"/>
            </w:tcBorders>
            <w:shd w:val="clear" w:color="auto" w:fill="D8D8D8"/>
          </w:tcPr>
          <w:p>
            <w:pPr>
              <w:ind w:left="400"/>
              <w:spacing w:after="0" w:line="202" w:lineRule="exact"/>
              <w:rPr>
                <w:sz w:val="20"/>
                <w:szCs w:val="20"/>
                <w:color w:val="auto"/>
              </w:rPr>
            </w:pPr>
            <w:r>
              <w:rPr>
                <w:rFonts w:ascii="Arial" w:cs="Arial" w:eastAsia="Arial" w:hAnsi="Arial"/>
                <w:sz w:val="18"/>
                <w:szCs w:val="18"/>
                <w:color w:val="auto"/>
              </w:rPr>
              <w:t>security, data protection and human</w:t>
            </w:r>
          </w:p>
        </w:tc>
      </w:tr>
      <w:tr>
        <w:trPr>
          <w:trHeight w:val="235"/>
        </w:trPr>
        <w:tc>
          <w:tcPr>
            <w:tcW w:w="3620" w:type="dxa"/>
            <w:vAlign w:val="bottom"/>
            <w:tcBorders>
              <w:left w:val="single" w:sz="8" w:color="auto"/>
            </w:tcBorders>
            <w:shd w:val="clear" w:color="auto" w:fill="D8D8D8"/>
          </w:tcPr>
          <w:p>
            <w:pPr>
              <w:spacing w:after="0"/>
              <w:rPr>
                <w:sz w:val="20"/>
                <w:szCs w:val="20"/>
                <w:color w:val="auto"/>
              </w:rPr>
            </w:pPr>
          </w:p>
        </w:tc>
        <w:tc>
          <w:tcPr>
            <w:tcW w:w="3640" w:type="dxa"/>
            <w:vAlign w:val="bottom"/>
          </w:tcPr>
          <w:p>
            <w:pPr>
              <w:spacing w:after="0"/>
              <w:rPr>
                <w:sz w:val="20"/>
                <w:szCs w:val="20"/>
                <w:color w:val="auto"/>
              </w:rPr>
            </w:pPr>
          </w:p>
        </w:tc>
        <w:tc>
          <w:tcPr>
            <w:tcW w:w="3540" w:type="dxa"/>
            <w:vAlign w:val="bottom"/>
            <w:tcBorders>
              <w:right w:val="single" w:sz="8" w:color="auto"/>
            </w:tcBorders>
            <w:shd w:val="clear" w:color="auto" w:fill="D8D8D8"/>
          </w:tcPr>
          <w:p>
            <w:pPr>
              <w:ind w:left="400"/>
              <w:spacing w:after="0"/>
              <w:rPr>
                <w:sz w:val="20"/>
                <w:szCs w:val="20"/>
                <w:color w:val="auto"/>
              </w:rPr>
            </w:pPr>
            <w:r>
              <w:rPr>
                <w:rFonts w:ascii="Arial" w:cs="Arial" w:eastAsia="Arial" w:hAnsi="Arial"/>
                <w:sz w:val="18"/>
                <w:szCs w:val="18"/>
                <w:color w:val="auto"/>
              </w:rPr>
              <w:t>resources</w:t>
            </w:r>
          </w:p>
        </w:tc>
      </w:tr>
      <w:tr>
        <w:trPr>
          <w:trHeight w:val="216"/>
        </w:trPr>
        <w:tc>
          <w:tcPr>
            <w:tcW w:w="3620" w:type="dxa"/>
            <w:vAlign w:val="bottom"/>
            <w:tcBorders>
              <w:left w:val="single" w:sz="8" w:color="auto"/>
            </w:tcBorders>
          </w:tcPr>
          <w:p>
            <w:pPr>
              <w:ind w:left="16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Annual Board and Trustee evaluations</w:t>
            </w:r>
          </w:p>
        </w:tc>
        <w:tc>
          <w:tcPr>
            <w:tcW w:w="3640" w:type="dxa"/>
            <w:vAlign w:val="bottom"/>
            <w:shd w:val="clear" w:color="auto" w:fill="D8D8D8"/>
          </w:tcPr>
          <w:p>
            <w:pPr>
              <w:ind w:left="10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Majority voting in uncontested elections</w:t>
            </w:r>
          </w:p>
        </w:tc>
        <w:tc>
          <w:tcPr>
            <w:tcW w:w="354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Proxy access for all shareholders</w:t>
            </w:r>
          </w:p>
        </w:tc>
      </w:tr>
      <w:tr>
        <w:trPr>
          <w:trHeight w:val="184"/>
        </w:trPr>
        <w:tc>
          <w:tcPr>
            <w:tcW w:w="3620" w:type="dxa"/>
            <w:vAlign w:val="bottom"/>
            <w:tcBorders>
              <w:left w:val="single" w:sz="8" w:color="auto"/>
            </w:tcBorders>
            <w:shd w:val="clear" w:color="auto" w:fill="D8D8D8"/>
          </w:tcPr>
          <w:p>
            <w:pPr>
              <w:ind w:left="16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Prohibition on Trustees and</w:t>
            </w:r>
          </w:p>
        </w:tc>
        <w:tc>
          <w:tcPr>
            <w:tcW w:w="3640" w:type="dxa"/>
            <w:vAlign w:val="bottom"/>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Shareholder approval required to</w:t>
            </w:r>
          </w:p>
        </w:tc>
        <w:tc>
          <w:tcPr>
            <w:tcW w:w="3540" w:type="dxa"/>
            <w:vAlign w:val="bottom"/>
            <w:tcBorders>
              <w:right w:val="single" w:sz="8" w:color="auto"/>
            </w:tcBorders>
            <w:shd w:val="clear" w:color="auto" w:fill="D8D8D8"/>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Robust stock ownership guidelines in</w:t>
            </w:r>
          </w:p>
        </w:tc>
      </w:tr>
      <w:tr>
        <w:trPr>
          <w:trHeight w:val="203"/>
        </w:trPr>
        <w:tc>
          <w:tcPr>
            <w:tcW w:w="3620" w:type="dxa"/>
            <w:vAlign w:val="bottom"/>
            <w:tcBorders>
              <w:left w:val="single" w:sz="8" w:color="auto"/>
            </w:tcBorders>
            <w:shd w:val="clear" w:color="auto" w:fill="D8D8D8"/>
          </w:tcPr>
          <w:p>
            <w:pPr>
              <w:ind w:left="420"/>
              <w:spacing w:after="0" w:line="202" w:lineRule="exact"/>
              <w:rPr>
                <w:sz w:val="20"/>
                <w:szCs w:val="20"/>
                <w:color w:val="auto"/>
              </w:rPr>
            </w:pPr>
            <w:r>
              <w:rPr>
                <w:rFonts w:ascii="Arial" w:cs="Arial" w:eastAsia="Arial" w:hAnsi="Arial"/>
                <w:sz w:val="18"/>
                <w:szCs w:val="18"/>
                <w:color w:val="auto"/>
              </w:rPr>
              <w:t>management hedging and pledging our</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classify our Board</w:t>
            </w:r>
          </w:p>
        </w:tc>
        <w:tc>
          <w:tcPr>
            <w:tcW w:w="3540" w:type="dxa"/>
            <w:vAlign w:val="bottom"/>
            <w:tcBorders>
              <w:right w:val="single" w:sz="8" w:color="auto"/>
            </w:tcBorders>
            <w:shd w:val="clear" w:color="auto" w:fill="D8D8D8"/>
          </w:tcPr>
          <w:p>
            <w:pPr>
              <w:ind w:left="400"/>
              <w:spacing w:after="0" w:line="202" w:lineRule="exact"/>
              <w:rPr>
                <w:sz w:val="20"/>
                <w:szCs w:val="20"/>
                <w:color w:val="auto"/>
              </w:rPr>
            </w:pPr>
            <w:r>
              <w:rPr>
                <w:rFonts w:ascii="Arial" w:cs="Arial" w:eastAsia="Arial" w:hAnsi="Arial"/>
                <w:sz w:val="18"/>
                <w:szCs w:val="18"/>
                <w:color w:val="auto"/>
              </w:rPr>
              <w:t>place for Trustees and senior</w:t>
            </w:r>
          </w:p>
        </w:tc>
      </w:tr>
      <w:tr>
        <w:trPr>
          <w:trHeight w:val="221"/>
        </w:trPr>
        <w:tc>
          <w:tcPr>
            <w:tcW w:w="3620" w:type="dxa"/>
            <w:vAlign w:val="bottom"/>
            <w:tcBorders>
              <w:left w:val="single" w:sz="8" w:color="auto"/>
              <w:bottom w:val="single" w:sz="8" w:color="auto"/>
            </w:tcBorders>
            <w:shd w:val="clear" w:color="auto" w:fill="D8D8D8"/>
          </w:tcPr>
          <w:p>
            <w:pPr>
              <w:ind w:left="420"/>
              <w:spacing w:after="0"/>
              <w:rPr>
                <w:sz w:val="20"/>
                <w:szCs w:val="20"/>
                <w:color w:val="auto"/>
              </w:rPr>
            </w:pPr>
            <w:r>
              <w:rPr>
                <w:rFonts w:ascii="Arial" w:cs="Arial" w:eastAsia="Arial" w:hAnsi="Arial"/>
                <w:sz w:val="18"/>
                <w:szCs w:val="18"/>
                <w:color w:val="auto"/>
              </w:rPr>
              <w:t>shares</w:t>
            </w:r>
          </w:p>
        </w:tc>
        <w:tc>
          <w:tcPr>
            <w:tcW w:w="3640" w:type="dxa"/>
            <w:vAlign w:val="bottom"/>
            <w:tcBorders>
              <w:bottom w:val="single" w:sz="8" w:color="auto"/>
            </w:tcBorders>
          </w:tcPr>
          <w:p>
            <w:pPr>
              <w:spacing w:after="0"/>
              <w:rPr>
                <w:sz w:val="19"/>
                <w:szCs w:val="19"/>
                <w:color w:val="auto"/>
              </w:rPr>
            </w:pPr>
          </w:p>
        </w:tc>
        <w:tc>
          <w:tcPr>
            <w:tcW w:w="3540" w:type="dxa"/>
            <w:vAlign w:val="bottom"/>
            <w:tcBorders>
              <w:bottom w:val="single" w:sz="8" w:color="auto"/>
              <w:right w:val="single" w:sz="8" w:color="auto"/>
            </w:tcBorders>
            <w:shd w:val="clear" w:color="auto" w:fill="D8D8D8"/>
          </w:tcPr>
          <w:p>
            <w:pPr>
              <w:ind w:left="400"/>
              <w:spacing w:after="0"/>
              <w:rPr>
                <w:sz w:val="20"/>
                <w:szCs w:val="20"/>
                <w:color w:val="auto"/>
              </w:rPr>
            </w:pPr>
            <w:r>
              <w:rPr>
                <w:rFonts w:ascii="Arial" w:cs="Arial" w:eastAsia="Arial" w:hAnsi="Arial"/>
                <w:sz w:val="18"/>
                <w:szCs w:val="18"/>
                <w:color w:val="auto"/>
              </w:rPr>
              <w:t>management</w:t>
            </w:r>
          </w:p>
        </w:tc>
      </w:tr>
    </w:tbl>
    <w:p>
      <w:pPr>
        <w:spacing w:after="0" w:line="224" w:lineRule="exact"/>
        <w:rPr>
          <w:sz w:val="20"/>
          <w:szCs w:val="20"/>
          <w:color w:val="auto"/>
        </w:rPr>
      </w:pPr>
    </w:p>
    <w:p>
      <w:pPr>
        <w:ind w:left="540" w:hanging="424"/>
        <w:spacing w:after="0"/>
        <w:tabs>
          <w:tab w:leader="none" w:pos="540" w:val="left"/>
        </w:tabs>
        <w:numPr>
          <w:ilvl w:val="0"/>
          <w:numId w:val="1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LEADERSHIP</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Our Board has been led by an independent, Non-Executive Chairman for the past 20 years. Mr. Faeder has filled that role since May 2021. The Board determined and continues to believe that separating the roles of Board chairman and CEO is the most effective way to govern the Company. The separation allows our Chairman to focus on Board administration, to facilitate communication among Trustees and to serve as a liaison to our CEO while allowing our chief executive to focus on the day-to-day management and implementation of long-term strategy of the Company.</w:t>
      </w:r>
    </w:p>
    <w:p>
      <w:pPr>
        <w:sectPr>
          <w:pgSz w:w="11900" w:h="16838" w:orient="portrait"/>
          <w:cols w:equalWidth="0" w:num="1">
            <w:col w:w="11140"/>
          </w:cols>
          <w:pgMar w:left="320" w:top="482" w:right="439" w:bottom="1440" w:gutter="0" w:footer="0" w:header="0"/>
        </w:sectPr>
      </w:pPr>
    </w:p>
    <w:p>
      <w:pPr>
        <w:spacing w:after="0" w:line="203" w:lineRule="exact"/>
        <w:rPr>
          <w:sz w:val="20"/>
          <w:szCs w:val="20"/>
          <w:color w:val="auto"/>
        </w:rPr>
      </w:pPr>
    </w:p>
    <w:p>
      <w:pPr>
        <w:ind w:left="540" w:hanging="424"/>
        <w:spacing w:after="0"/>
        <w:tabs>
          <w:tab w:leader="none" w:pos="540" w:val="left"/>
        </w:tabs>
        <w:numPr>
          <w:ilvl w:val="0"/>
          <w:numId w:val="2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AND COMMITTEE MEETINGS</w:t>
      </w:r>
    </w:p>
    <w:p>
      <w:pPr>
        <w:spacing w:after="0" w:line="239"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Board met six (6) times in 2022 and each trustee attended at least 75% of the meetings of the Board and the committees on which that trustee serves. Our practice is for all trustees to attend all meetings of each of the Board’s standing committees to ensure that each Trustee is fully informed on all issues facing the Company and has the opportunity to participate in discussions surrounding those issues. Only trustees who are members of the specific committee are entitled to vote on matters presented to that committee. At each quarterly meeting, the Trustees met in executive session with all Trustees and then with just non-management Trustees, all of whom are independent. All Trustees are also expected to attend our annual shareholder meeting and all then-serving Trustees attended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-1296035</wp:posOffset>
            </wp:positionV>
            <wp:extent cx="17145" cy="1577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1577340"/>
                    </a:xfrm>
                    <a:prstGeom prst="rect">
                      <a:avLst/>
                    </a:prstGeom>
                    <a:noFill/>
                  </pic:spPr>
                </pic:pic>
              </a:graphicData>
            </a:graphic>
          </wp:anchor>
        </w:drawing>
      </w:r>
    </w:p>
    <w:p>
      <w:pPr>
        <w:spacing w:after="0" w:line="187" w:lineRule="exact"/>
        <w:rPr>
          <w:sz w:val="20"/>
          <w:szCs w:val="20"/>
          <w:color w:val="auto"/>
        </w:rPr>
      </w:pPr>
    </w:p>
    <w:p>
      <w:pPr>
        <w:ind w:left="120"/>
        <w:spacing w:after="0"/>
        <w:rPr>
          <w:sz w:val="20"/>
          <w:szCs w:val="20"/>
          <w:color w:val="auto"/>
        </w:rPr>
      </w:pPr>
      <w:r>
        <w:rPr>
          <w:rFonts w:ascii="Wingdings" w:cs="Wingdings" w:eastAsia="Wingdings" w:hAnsi="Wingdings"/>
          <w:sz w:val="18"/>
          <w:szCs w:val="18"/>
          <w:b w:val="1"/>
          <w:bCs w:val="1"/>
          <w:color w:val="FF160F"/>
        </w:rPr>
        <w:t>Ø</w:t>
      </w:r>
      <w:r>
        <w:rPr>
          <w:rFonts w:ascii="Arial" w:cs="Arial" w:eastAsia="Arial" w:hAnsi="Arial"/>
          <w:sz w:val="18"/>
          <w:szCs w:val="18"/>
          <w:b w:val="1"/>
          <w:bCs w:val="1"/>
          <w:color w:val="000000"/>
        </w:rPr>
        <w:t xml:space="preserve">   BOARD 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FF160F"/>
        </w:rPr>
        <w:t>100%</w:t>
      </w:r>
    </w:p>
    <w:p>
      <w:pPr>
        <w:spacing w:after="0" w:line="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Attendance at the annual shareholder</w:t>
      </w:r>
    </w:p>
    <w:p>
      <w:pPr>
        <w:jc w:val="center"/>
        <w:ind w:right="280"/>
        <w:spacing w:after="0"/>
        <w:rPr>
          <w:sz w:val="20"/>
          <w:szCs w:val="20"/>
          <w:color w:val="auto"/>
        </w:rPr>
      </w:pPr>
      <w:r>
        <w:rPr>
          <w:rFonts w:ascii="Arial" w:cs="Arial" w:eastAsia="Arial" w:hAnsi="Arial"/>
          <w:sz w:val="17"/>
          <w:szCs w:val="17"/>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128270</wp:posOffset>
            </wp:positionV>
            <wp:extent cx="21602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FF160F"/>
        </w:rPr>
        <w:t>96%</w:t>
      </w:r>
    </w:p>
    <w:p>
      <w:pPr>
        <w:spacing w:after="0" w:line="20" w:lineRule="exact"/>
        <w:rPr>
          <w:sz w:val="20"/>
          <w:szCs w:val="20"/>
          <w:color w:val="auto"/>
        </w:rPr>
      </w:pPr>
    </w:p>
    <w:p>
      <w:pPr>
        <w:jc w:val="center"/>
        <w:ind w:left="80" w:right="280"/>
        <w:spacing w:after="0" w:line="256" w:lineRule="auto"/>
        <w:rPr>
          <w:sz w:val="20"/>
          <w:szCs w:val="20"/>
          <w:color w:val="auto"/>
        </w:rPr>
      </w:pPr>
      <w:r>
        <w:rPr>
          <w:rFonts w:ascii="Arial" w:cs="Arial" w:eastAsia="Arial" w:hAnsi="Arial"/>
          <w:sz w:val="16"/>
          <w:szCs w:val="16"/>
          <w:color w:val="auto"/>
        </w:rPr>
        <w:t>Attendance by Trustees of total Board meetings and meetings of Committees on which they serve</w:t>
      </w:r>
    </w:p>
    <w:p>
      <w:pPr>
        <w:spacing w:after="0" w:line="485" w:lineRule="exact"/>
        <w:rPr>
          <w:sz w:val="20"/>
          <w:szCs w:val="20"/>
          <w:color w:val="auto"/>
        </w:rPr>
      </w:pPr>
    </w:p>
    <w:p>
      <w:pPr>
        <w:sectPr>
          <w:pgSz w:w="11900" w:h="16838" w:orient="portrait"/>
          <w:cols w:equalWidth="0" w:num="2">
            <w:col w:w="7380" w:space="620"/>
            <w:col w:w="3140"/>
          </w:cols>
          <w:pgMar w:left="320" w:top="482" w:right="439" w:bottom="1440" w:gutter="0" w:footer="0" w:header="0"/>
          <w:type w:val="continuous"/>
        </w:sectPr>
      </w:pPr>
    </w:p>
    <w:p>
      <w:pPr>
        <w:spacing w:after="0" w:line="2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 xml:space="preserve">The Board has three standing committees – the Audit Committee, the Compensation and Human Capital Management Committee (“Compensation Committee”) and the Nominating and Corporate Governance Committee (“NCGC”). Each committee operates under a written charter that is available in the Investors/Corporate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Each committee consists entirely of independent, non-employee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79375</wp:posOffset>
            </wp:positionV>
            <wp:extent cx="701230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3" w:lineRule="exact"/>
        <w:rPr>
          <w:sz w:val="20"/>
          <w:szCs w:val="20"/>
          <w:color w:val="auto"/>
        </w:rPr>
      </w:pPr>
    </w:p>
    <w:p>
      <w:pPr>
        <w:ind w:left="8100"/>
        <w:spacing w:after="0"/>
        <w:tabs>
          <w:tab w:leader="none" w:pos="9320" w:val="left"/>
          <w:tab w:leader="none" w:pos="1092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5</w:t>
      </w:r>
    </w:p>
    <w:p>
      <w:pPr>
        <w:sectPr>
          <w:pgSz w:w="11900" w:h="16838" w:orient="portrait"/>
          <w:cols w:equalWidth="0" w:num="1">
            <w:col w:w="11140"/>
          </w:cols>
          <w:pgMar w:left="320" w:top="482"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A</w:t>
      </w:r>
      <w:r>
        <w:rPr>
          <w:rFonts w:ascii="Arial" w:cs="Arial" w:eastAsia="Arial" w:hAnsi="Arial"/>
          <w:sz w:val="14"/>
          <w:szCs w:val="14"/>
          <w:b w:val="1"/>
          <w:bCs w:val="1"/>
          <w:color w:val="FFFFFF"/>
        </w:rPr>
        <w:t>UDIT</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197485</wp:posOffset>
            </wp:positionV>
            <wp:extent cx="642620" cy="702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26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Gail P. Steinel (Chair)*</w:t>
      </w:r>
    </w:p>
    <w:p>
      <w:pPr>
        <w:ind w:left="220"/>
        <w:spacing w:after="0" w:line="234" w:lineRule="auto"/>
        <w:rPr>
          <w:sz w:val="20"/>
          <w:szCs w:val="20"/>
          <w:color w:val="auto"/>
        </w:rPr>
      </w:pPr>
      <w:r>
        <w:rPr>
          <w:rFonts w:ascii="Arial" w:cs="Arial" w:eastAsia="Arial" w:hAnsi="Arial"/>
          <w:sz w:val="18"/>
          <w:szCs w:val="18"/>
          <w:color w:val="auto"/>
        </w:rPr>
        <w:t>David W. Faeder*</w:t>
      </w:r>
    </w:p>
    <w:p>
      <w:pPr>
        <w:ind w:left="220"/>
        <w:spacing w:after="0" w:line="235" w:lineRule="auto"/>
        <w:rPr>
          <w:sz w:val="20"/>
          <w:szCs w:val="20"/>
          <w:color w:val="auto"/>
        </w:rPr>
      </w:pPr>
      <w:r>
        <w:rPr>
          <w:rFonts w:ascii="Arial" w:cs="Arial" w:eastAsia="Arial" w:hAnsi="Arial"/>
          <w:sz w:val="18"/>
          <w:szCs w:val="18"/>
          <w:color w:val="auto"/>
        </w:rPr>
        <w:t>Elizabeth I. Holland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Anthony P. Nader, III*</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Number of Meetings in 2022: </w:t>
      </w:r>
      <w:r>
        <w:rPr>
          <w:rFonts w:ascii="Arial" w:cs="Arial" w:eastAsia="Arial" w:hAnsi="Arial"/>
          <w:sz w:val="18"/>
          <w:szCs w:val="18"/>
          <w:b w:val="1"/>
          <w:bCs w:val="1"/>
          <w:color w:val="FF160F"/>
        </w:rPr>
        <w:t>4</w:t>
      </w:r>
    </w:p>
    <w:p>
      <w:pPr>
        <w:spacing w:after="0" w:line="208" w:lineRule="exact"/>
        <w:rPr>
          <w:sz w:val="20"/>
          <w:szCs w:val="20"/>
          <w:color w:val="auto"/>
        </w:rPr>
      </w:pPr>
    </w:p>
    <w:p>
      <w:pPr>
        <w:ind w:left="220" w:right="480" w:firstLine="4"/>
        <w:spacing w:after="0" w:line="285" w:lineRule="auto"/>
        <w:tabs>
          <w:tab w:leader="none" w:pos="3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Audit committee financial expert as defined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C</w:t>
      </w:r>
      <w:r>
        <w:rPr>
          <w:rFonts w:ascii="Arial" w:cs="Arial" w:eastAsia="Arial" w:hAnsi="Arial"/>
          <w:sz w:val="14"/>
          <w:szCs w:val="14"/>
          <w:b w:val="1"/>
          <w:bCs w:val="1"/>
          <w:color w:val="FFFFFF"/>
        </w:rPr>
        <w:t>OMPENSATION</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197485</wp:posOffset>
            </wp:positionV>
            <wp:extent cx="659765" cy="7283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976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Elizabeth I. Holland (Chair)</w:t>
      </w:r>
    </w:p>
    <w:p>
      <w:pPr>
        <w:ind w:left="220"/>
        <w:spacing w:after="0" w:line="234" w:lineRule="auto"/>
        <w:rPr>
          <w:sz w:val="20"/>
          <w:szCs w:val="20"/>
          <w:color w:val="auto"/>
        </w:rPr>
      </w:pPr>
      <w:r>
        <w:rPr>
          <w:rFonts w:ascii="Arial" w:cs="Arial" w:eastAsia="Arial" w:hAnsi="Arial"/>
          <w:sz w:val="18"/>
          <w:szCs w:val="18"/>
          <w:color w:val="auto"/>
        </w:rPr>
        <w:t>Nicole Y. Lamb-Hale</w:t>
      </w:r>
    </w:p>
    <w:p>
      <w:pPr>
        <w:ind w:left="220"/>
        <w:spacing w:after="0" w:line="235" w:lineRule="auto"/>
        <w:rPr>
          <w:sz w:val="20"/>
          <w:szCs w:val="20"/>
          <w:color w:val="auto"/>
        </w:rPr>
      </w:pPr>
      <w:r>
        <w:rPr>
          <w:rFonts w:ascii="Arial" w:cs="Arial" w:eastAsia="Arial" w:hAnsi="Arial"/>
          <w:sz w:val="18"/>
          <w:szCs w:val="18"/>
          <w:color w:val="auto"/>
        </w:rPr>
        <w:t>Thomas A. McEachin*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Gail P. Steinel</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Number of Meetings in 2022: </w:t>
      </w:r>
      <w:r>
        <w:rPr>
          <w:rFonts w:ascii="Arial" w:cs="Arial" w:eastAsia="Arial" w:hAnsi="Arial"/>
          <w:sz w:val="18"/>
          <w:szCs w:val="18"/>
          <w:b w:val="1"/>
          <w:bCs w:val="1"/>
          <w:color w:val="FF160F"/>
        </w:rPr>
        <w:t>2</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Joined the Committee on October 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-864870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-307340</wp:posOffset>
            </wp:positionV>
            <wp:extent cx="698627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86270" cy="188595"/>
                    </a:xfrm>
                    <a:prstGeom prst="rect">
                      <a:avLst/>
                    </a:prstGeom>
                    <a:noFill/>
                  </pic:spPr>
                </pic:pic>
              </a:graphicData>
            </a:graphic>
          </wp:anchor>
        </w:drawing>
      </w:r>
    </w:p>
    <w:p>
      <w:pPr>
        <w:spacing w:after="0" w:line="219" w:lineRule="exact"/>
        <w:rPr>
          <w:sz w:val="20"/>
          <w:szCs w:val="20"/>
          <w:color w:val="auto"/>
        </w:rPr>
      </w:pPr>
    </w:p>
    <w:p>
      <w:pPr>
        <w:ind w:left="340" w:hanging="333"/>
        <w:spacing w:after="0"/>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Select and oversee our independent auditor</w:t>
      </w:r>
    </w:p>
    <w:p>
      <w:pPr>
        <w:spacing w:after="0" w:line="265" w:lineRule="exact"/>
        <w:rPr>
          <w:rFonts w:ascii="MS PGothic" w:cs="MS PGothic" w:eastAsia="MS PGothic" w:hAnsi="MS PGothic"/>
          <w:sz w:val="18"/>
          <w:szCs w:val="18"/>
          <w:color w:val="FF160F"/>
        </w:rPr>
      </w:pPr>
    </w:p>
    <w:p>
      <w:pPr>
        <w:ind w:left="340" w:right="620" w:hanging="333"/>
        <w:spacing w:after="0" w:line="271" w:lineRule="auto"/>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Oversee our financial reporting including reviewing results with management and independent auditors</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Oversee internal audit function</w:t>
      </w:r>
    </w:p>
    <w:p>
      <w:pPr>
        <w:spacing w:after="0" w:line="265" w:lineRule="exact"/>
        <w:rPr>
          <w:rFonts w:ascii="MS PGothic" w:cs="MS PGothic" w:eastAsia="MS PGothic" w:hAnsi="MS PGothic"/>
          <w:sz w:val="18"/>
          <w:szCs w:val="18"/>
          <w:color w:val="FF160F"/>
        </w:rPr>
      </w:pPr>
    </w:p>
    <w:p>
      <w:pPr>
        <w:ind w:left="340" w:right="800" w:hanging="333"/>
        <w:spacing w:after="0" w:line="271" w:lineRule="auto"/>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Oversee adequacy and integrity of financial statements, financial reporting and disclosures</w:t>
      </w:r>
    </w:p>
    <w:p>
      <w:pPr>
        <w:spacing w:after="0" w:line="194" w:lineRule="exact"/>
        <w:rPr>
          <w:rFonts w:ascii="MS PGothic" w:cs="MS PGothic" w:eastAsia="MS PGothic" w:hAnsi="MS PGothic"/>
          <w:sz w:val="18"/>
          <w:szCs w:val="18"/>
          <w:color w:val="FF160F"/>
        </w:rPr>
      </w:pPr>
    </w:p>
    <w:p>
      <w:pPr>
        <w:ind w:left="340" w:right="160" w:hanging="333"/>
        <w:spacing w:after="0" w:line="271" w:lineRule="auto"/>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Oversee financial risks and risks related to cybersecurity, data security and information protection</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Review and approve any related party transactions requiring disclosure</w:t>
      </w:r>
    </w:p>
    <w:p>
      <w:pPr>
        <w:spacing w:after="0" w:line="2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 information on the Audit Committee is included in the Audit Committee Report and “Proposal 3: Ratification of Independent Registered Public Accounting Firm” beginning on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144780</wp:posOffset>
            </wp:positionV>
            <wp:extent cx="698627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86270" cy="18859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Committee’s responsibilities include:</w:t>
      </w:r>
    </w:p>
    <w:p>
      <w:pPr>
        <w:spacing w:after="0" w:line="239" w:lineRule="exact"/>
        <w:rPr>
          <w:sz w:val="20"/>
          <w:szCs w:val="20"/>
          <w:color w:val="auto"/>
        </w:rPr>
      </w:pPr>
    </w:p>
    <w:p>
      <w:pPr>
        <w:ind w:left="340" w:right="200" w:hanging="333"/>
        <w:spacing w:after="0" w:line="271" w:lineRule="auto"/>
        <w:tabs>
          <w:tab w:leader="none" w:pos="34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Evaluate performance of our CEO and recommend annual compensation and benefits for our CEO</w:t>
      </w:r>
    </w:p>
    <w:p>
      <w:pPr>
        <w:spacing w:after="0" w:line="194" w:lineRule="exact"/>
        <w:rPr>
          <w:rFonts w:ascii="MS PGothic" w:cs="MS PGothic" w:eastAsia="MS PGothic" w:hAnsi="MS PGothic"/>
          <w:sz w:val="18"/>
          <w:szCs w:val="18"/>
          <w:color w:val="FF160F"/>
        </w:rPr>
      </w:pPr>
    </w:p>
    <w:p>
      <w:pPr>
        <w:ind w:left="340" w:right="360" w:hanging="333"/>
        <w:spacing w:after="0" w:line="271" w:lineRule="auto"/>
        <w:tabs>
          <w:tab w:leader="none" w:pos="34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Review and approve compensation and benefits for our senior officers, including our NEOs</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Administer certain other benefit plans of the Company</w:t>
      </w:r>
    </w:p>
    <w:p>
      <w:pPr>
        <w:spacing w:after="0" w:line="265" w:lineRule="exact"/>
        <w:rPr>
          <w:rFonts w:ascii="MS PGothic" w:cs="MS PGothic" w:eastAsia="MS PGothic" w:hAnsi="MS PGothic"/>
          <w:sz w:val="18"/>
          <w:szCs w:val="18"/>
          <w:color w:val="FF160F"/>
        </w:rPr>
      </w:pPr>
    </w:p>
    <w:p>
      <w:pPr>
        <w:ind w:left="340" w:right="240" w:hanging="333"/>
        <w:spacing w:after="0" w:line="271" w:lineRule="auto"/>
        <w:tabs>
          <w:tab w:leader="none" w:pos="34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Review and approve employment related agreements for senior officers, including our NEOs</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Administer and make equity awards under our long-term plan</w:t>
      </w:r>
    </w:p>
    <w:p>
      <w:pPr>
        <w:spacing w:after="0" w:line="265" w:lineRule="exact"/>
        <w:rPr>
          <w:sz w:val="20"/>
          <w:szCs w:val="20"/>
          <w:color w:val="auto"/>
        </w:rPr>
      </w:pPr>
    </w:p>
    <w:p>
      <w:pPr>
        <w:sectPr>
          <w:pgSz w:w="11900" w:h="16838" w:orient="portrait"/>
          <w:cols w:equalWidth="0" w:num="2">
            <w:col w:w="3040" w:space="700"/>
            <w:col w:w="7380"/>
          </w:cols>
          <w:pgMar w:left="320" w:top="482" w:right="459" w:bottom="1440" w:gutter="0" w:footer="0" w:header="0"/>
        </w:sectPr>
      </w:pPr>
    </w:p>
    <w:p>
      <w:pPr>
        <w:ind w:left="4080" w:hanging="333"/>
        <w:spacing w:after="0"/>
        <w:tabs>
          <w:tab w:leader="none" w:pos="4080" w:val="left"/>
        </w:tabs>
        <w:numPr>
          <w:ilvl w:val="0"/>
          <w:numId w:val="24"/>
        </w:numPr>
        <w:rPr>
          <w:rFonts w:ascii="MS PGothic" w:cs="MS PGothic" w:eastAsia="MS PGothic" w:hAnsi="MS PGothic"/>
          <w:sz w:val="18"/>
          <w:szCs w:val="18"/>
          <w:color w:val="FF160F"/>
        </w:rPr>
      </w:pPr>
      <w:r>
        <w:rPr>
          <w:rFonts w:ascii="Arial" w:cs="Arial" w:eastAsia="Arial" w:hAnsi="Arial"/>
          <w:sz w:val="18"/>
          <w:szCs w:val="18"/>
          <w:color w:val="auto"/>
        </w:rPr>
        <w:t>Oversee key strategies and human resource policies and practices for all employees</w:t>
      </w:r>
    </w:p>
    <w:p>
      <w:pPr>
        <w:spacing w:after="0" w:line="266" w:lineRule="exact"/>
        <w:rPr>
          <w:sz w:val="20"/>
          <w:szCs w:val="20"/>
          <w:color w:val="auto"/>
        </w:rPr>
      </w:pPr>
    </w:p>
    <w:p>
      <w:pPr>
        <w:ind w:left="3740" w:right="220"/>
        <w:spacing w:after="0" w:line="253" w:lineRule="auto"/>
        <w:rPr>
          <w:sz w:val="20"/>
          <w:szCs w:val="20"/>
          <w:color w:val="auto"/>
        </w:rPr>
      </w:pPr>
      <w:r>
        <w:rPr>
          <w:rFonts w:ascii="Arial" w:cs="Arial" w:eastAsia="Arial" w:hAnsi="Arial"/>
          <w:sz w:val="18"/>
          <w:szCs w:val="18"/>
          <w:color w:val="auto"/>
        </w:rPr>
        <w:t>The Compensation Committee report is included at page 30 of this proxy statement and more detail on the work of the Compensation Committee is included in the “Compensation Discussion and Analysis” beginning on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85090</wp:posOffset>
            </wp:positionV>
            <wp:extent cx="701230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2"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6</w:t>
      </w:r>
    </w:p>
    <w:p>
      <w:pPr>
        <w:sectPr>
          <w:pgSz w:w="11900" w:h="16838" w:orient="portrait"/>
          <w:cols w:equalWidth="0" w:num="1">
            <w:col w:w="11120"/>
          </w:cols>
          <w:pgMar w:left="320" w:top="482" w:right="4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N</w:t>
      </w:r>
      <w:r>
        <w:rPr>
          <w:rFonts w:ascii="Arial" w:cs="Arial" w:eastAsia="Arial" w:hAnsi="Arial"/>
          <w:sz w:val="14"/>
          <w:szCs w:val="14"/>
          <w:b w:val="1"/>
          <w:bCs w:val="1"/>
          <w:color w:val="FFFFFF"/>
        </w:rPr>
        <w:t>OMINATING</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70"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Nominating Committee’s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8890</wp:posOffset>
            </wp:positionV>
            <wp:extent cx="668655" cy="7283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8655" cy="728345"/>
                    </a:xfrm>
                    <a:prstGeom prst="rect">
                      <a:avLst/>
                    </a:prstGeom>
                    <a:noFill/>
                  </pic:spPr>
                </pic:pic>
              </a:graphicData>
            </a:graphic>
          </wp:anchor>
        </w:drawing>
      </w:r>
    </w:p>
    <w:p>
      <w:pPr>
        <w:spacing w:after="0" w:line="219" w:lineRule="exact"/>
        <w:rPr>
          <w:sz w:val="20"/>
          <w:szCs w:val="20"/>
          <w:color w:val="auto"/>
        </w:rPr>
      </w:pPr>
    </w:p>
    <w:p>
      <w:pPr>
        <w:ind w:left="4080" w:hanging="319"/>
        <w:spacing w:after="0"/>
        <w:tabs>
          <w:tab w:leader="none" w:pos="4080" w:val="left"/>
        </w:tabs>
        <w:numPr>
          <w:ilvl w:val="0"/>
          <w:numId w:val="25"/>
        </w:numPr>
        <w:rPr>
          <w:rFonts w:ascii="MS PGothic" w:cs="MS PGothic" w:eastAsia="MS PGothic" w:hAnsi="MS PGothic"/>
          <w:sz w:val="18"/>
          <w:szCs w:val="18"/>
          <w:color w:val="FF160F"/>
        </w:rPr>
      </w:pPr>
      <w:r>
        <w:rPr>
          <w:rFonts w:ascii="Arial" w:cs="Arial" w:eastAsia="Arial" w:hAnsi="Arial"/>
          <w:sz w:val="18"/>
          <w:szCs w:val="18"/>
          <w:color w:val="auto"/>
        </w:rPr>
        <w:t>Identify and recommend individuals to stand for election to the Board</w:t>
      </w:r>
    </w:p>
    <w:p>
      <w:pPr>
        <w:spacing w:after="0" w:line="292" w:lineRule="exact"/>
        <w:rPr>
          <w:rFonts w:ascii="MS PGothic" w:cs="MS PGothic" w:eastAsia="MS PGothic" w:hAnsi="MS PGothic"/>
          <w:sz w:val="18"/>
          <w:szCs w:val="18"/>
          <w:color w:val="FF160F"/>
        </w:rPr>
      </w:pPr>
    </w:p>
    <w:p>
      <w:pPr>
        <w:ind w:left="4080" w:hanging="319"/>
        <w:spacing w:after="0"/>
        <w:tabs>
          <w:tab w:leader="none" w:pos="4080" w:val="left"/>
        </w:tabs>
        <w:numPr>
          <w:ilvl w:val="0"/>
          <w:numId w:val="25"/>
        </w:numPr>
        <w:rPr>
          <w:rFonts w:ascii="MS PGothic" w:cs="MS PGothic" w:eastAsia="MS PGothic" w:hAnsi="MS PGothic"/>
          <w:sz w:val="18"/>
          <w:szCs w:val="18"/>
          <w:color w:val="FF160F"/>
        </w:rPr>
      </w:pPr>
      <w:r>
        <w:rPr>
          <w:rFonts w:ascii="Arial" w:cs="Arial" w:eastAsia="Arial" w:hAnsi="Arial"/>
          <w:sz w:val="18"/>
          <w:szCs w:val="18"/>
          <w:color w:val="auto"/>
        </w:rPr>
        <w:t>Develop and oversee corporate governance policies and procedures</w:t>
      </w:r>
    </w:p>
    <w:p>
      <w:pPr>
        <w:sectPr>
          <w:pgSz w:w="11900" w:h="16838" w:orient="portrait"/>
          <w:cols w:equalWidth="0" w:num="1">
            <w:col w:w="11120"/>
          </w:cols>
          <w:pgMar w:left="320" w:top="482" w:right="459" w:bottom="1440" w:gutter="0" w:footer="0" w:header="0"/>
        </w:sect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Anthony P. Nader, III (Chair)*</w:t>
      </w:r>
    </w:p>
    <w:p>
      <w:pPr>
        <w:ind w:left="220"/>
        <w:spacing w:after="0" w:line="234" w:lineRule="auto"/>
        <w:rPr>
          <w:sz w:val="20"/>
          <w:szCs w:val="20"/>
          <w:color w:val="auto"/>
        </w:rPr>
      </w:pPr>
      <w:r>
        <w:rPr>
          <w:rFonts w:ascii="Arial" w:cs="Arial" w:eastAsia="Arial" w:hAnsi="Arial"/>
          <w:sz w:val="18"/>
          <w:szCs w:val="18"/>
          <w:color w:val="auto"/>
        </w:rPr>
        <w:t>David W. Faeder</w:t>
      </w:r>
    </w:p>
    <w:p>
      <w:pPr>
        <w:ind w:left="220"/>
        <w:spacing w:after="0" w:line="235" w:lineRule="auto"/>
        <w:rPr>
          <w:sz w:val="20"/>
          <w:szCs w:val="20"/>
          <w:color w:val="auto"/>
        </w:rPr>
      </w:pPr>
      <w:r>
        <w:rPr>
          <w:rFonts w:ascii="Arial" w:cs="Arial" w:eastAsia="Arial" w:hAnsi="Arial"/>
          <w:sz w:val="18"/>
          <w:szCs w:val="18"/>
          <w:color w:val="auto"/>
        </w:rPr>
        <w:t>Nicole Y. Lamb-Hale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Thomas A. McEachin**</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Number of Meetings in 2022: </w:t>
      </w:r>
      <w:r>
        <w:rPr>
          <w:rFonts w:ascii="Arial" w:cs="Arial" w:eastAsia="Arial" w:hAnsi="Arial"/>
          <w:sz w:val="18"/>
          <w:szCs w:val="18"/>
          <w:b w:val="1"/>
          <w:bCs w:val="1"/>
          <w:color w:val="FF160F"/>
        </w:rPr>
        <w:t>2</w:t>
      </w:r>
    </w:p>
    <w:p>
      <w:pPr>
        <w:spacing w:after="0" w:line="208" w:lineRule="exact"/>
        <w:rPr>
          <w:sz w:val="20"/>
          <w:szCs w:val="20"/>
          <w:color w:val="auto"/>
        </w:rPr>
      </w:pPr>
    </w:p>
    <w:p>
      <w:pPr>
        <w:ind w:left="220" w:right="21" w:firstLine="4"/>
        <w:spacing w:after="0" w:line="285" w:lineRule="auto"/>
        <w:tabs>
          <w:tab w:leader="none" w:pos="3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Committee chair as of October 1, 2022 **Joined the committee on October 1, 2022.</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19" w:hanging="319"/>
        <w:spacing w:after="0"/>
        <w:tabs>
          <w:tab w:leader="none" w:pos="319" w:val="left"/>
        </w:tabs>
        <w:numPr>
          <w:ilvl w:val="0"/>
          <w:numId w:val="27"/>
        </w:numPr>
        <w:rPr>
          <w:rFonts w:ascii="MS PGothic" w:cs="MS PGothic" w:eastAsia="MS PGothic" w:hAnsi="MS PGothic"/>
          <w:sz w:val="18"/>
          <w:szCs w:val="18"/>
          <w:color w:val="FF160F"/>
        </w:rPr>
      </w:pPr>
      <w:r>
        <w:rPr>
          <w:rFonts w:ascii="Arial" w:cs="Arial" w:eastAsia="Arial" w:hAnsi="Arial"/>
          <w:sz w:val="18"/>
          <w:szCs w:val="18"/>
          <w:color w:val="auto"/>
        </w:rPr>
        <w:t>Oversee annual trustee evaluation process</w:t>
      </w:r>
    </w:p>
    <w:p>
      <w:pPr>
        <w:spacing w:after="0" w:line="279" w:lineRule="exact"/>
        <w:rPr>
          <w:rFonts w:ascii="MS PGothic" w:cs="MS PGothic" w:eastAsia="MS PGothic" w:hAnsi="MS PGothic"/>
          <w:sz w:val="18"/>
          <w:szCs w:val="18"/>
          <w:color w:val="FF160F"/>
        </w:rPr>
      </w:pPr>
    </w:p>
    <w:p>
      <w:pPr>
        <w:ind w:left="319" w:hanging="319"/>
        <w:spacing w:after="0"/>
        <w:tabs>
          <w:tab w:leader="none" w:pos="319" w:val="left"/>
        </w:tabs>
        <w:numPr>
          <w:ilvl w:val="0"/>
          <w:numId w:val="27"/>
        </w:numPr>
        <w:rPr>
          <w:rFonts w:ascii="MS PGothic" w:cs="MS PGothic" w:eastAsia="MS PGothic" w:hAnsi="MS PGothic"/>
          <w:sz w:val="18"/>
          <w:szCs w:val="18"/>
          <w:color w:val="FF160F"/>
        </w:rPr>
      </w:pPr>
      <w:r>
        <w:rPr>
          <w:rFonts w:ascii="Arial" w:cs="Arial" w:eastAsia="Arial" w:hAnsi="Arial"/>
          <w:sz w:val="18"/>
          <w:szCs w:val="18"/>
          <w:color w:val="auto"/>
        </w:rPr>
        <w:t>Recommend members of the Board to serve on its committees and in leadership roles</w:t>
      </w:r>
    </w:p>
    <w:p>
      <w:pPr>
        <w:spacing w:after="0" w:line="265" w:lineRule="exact"/>
        <w:rPr>
          <w:rFonts w:ascii="MS PGothic" w:cs="MS PGothic" w:eastAsia="MS PGothic" w:hAnsi="MS PGothic"/>
          <w:sz w:val="18"/>
          <w:szCs w:val="18"/>
          <w:color w:val="FF160F"/>
        </w:rPr>
      </w:pPr>
    </w:p>
    <w:p>
      <w:pPr>
        <w:ind w:left="319" w:right="40" w:hanging="319"/>
        <w:spacing w:after="0" w:line="271" w:lineRule="auto"/>
        <w:tabs>
          <w:tab w:leader="none" w:pos="319" w:val="left"/>
        </w:tabs>
        <w:numPr>
          <w:ilvl w:val="0"/>
          <w:numId w:val="27"/>
        </w:numPr>
        <w:rPr>
          <w:rFonts w:ascii="MS PGothic" w:cs="MS PGothic" w:eastAsia="MS PGothic" w:hAnsi="MS PGothic"/>
          <w:sz w:val="18"/>
          <w:szCs w:val="18"/>
          <w:color w:val="FF160F"/>
        </w:rPr>
      </w:pPr>
      <w:r>
        <w:rPr>
          <w:rFonts w:ascii="Arial" w:cs="Arial" w:eastAsia="Arial" w:hAnsi="Arial"/>
          <w:sz w:val="18"/>
          <w:szCs w:val="18"/>
          <w:color w:val="auto"/>
        </w:rPr>
        <w:t>Oversee corporate responsibility and ESG efforts and monitor priorities and progress on goals</w:t>
      </w:r>
    </w:p>
    <w:p>
      <w:pPr>
        <w:spacing w:after="0" w:line="842" w:lineRule="exact"/>
        <w:rPr>
          <w:sz w:val="20"/>
          <w:szCs w:val="20"/>
          <w:color w:val="auto"/>
        </w:rPr>
      </w:pPr>
    </w:p>
    <w:p>
      <w:pPr>
        <w:sectPr>
          <w:pgSz w:w="11900" w:h="16838" w:orient="portrait"/>
          <w:cols w:equalWidth="0" w:num="2">
            <w:col w:w="3041" w:space="720"/>
            <w:col w:w="7359"/>
          </w:cols>
          <w:pgMar w:left="320" w:top="482" w:right="459" w:bottom="1440" w:gutter="0" w:footer="0" w:header="0"/>
          <w:type w:val="continuous"/>
        </w:sectPr>
      </w:pPr>
    </w:p>
    <w:p>
      <w:pPr>
        <w:ind w:left="540" w:hanging="424"/>
        <w:spacing w:after="0"/>
        <w:tabs>
          <w:tab w:leader="none" w:pos="540" w:val="left"/>
        </w:tabs>
        <w:numPr>
          <w:ilvl w:val="0"/>
          <w:numId w:val="2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BOARD’S ROLE IN RISK OVERSIGHT</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full Board has overall responsibility for risk oversight which it accomplishes directly and through its committees. The Board’s committees are primarily responsible for certain matters relating to the risks inherent in the committees’ respective areas of oversight as set forth in the committee charters. One of the primary ways the Board and its committees discharge their risk oversight responsibilities is through regular reporting from management which identifies key risks to enable the Board and management to identify and implement appropriate measures to manage and mitigate those risks. The chart below provides more detail on how the Board oversees risk management for the Company. The Board believes that this structure and division of responsibility is the most effective way to monitor and manage the Company’s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86360</wp:posOffset>
            </wp:positionV>
            <wp:extent cx="701230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4" w:lineRule="exact"/>
        <w:rPr>
          <w:sz w:val="20"/>
          <w:szCs w:val="20"/>
          <w:color w:val="auto"/>
        </w:rPr>
      </w:pPr>
    </w:p>
    <w:p>
      <w:pPr>
        <w:ind w:left="8100"/>
        <w:spacing w:after="0"/>
        <w:tabs>
          <w:tab w:leader="none" w:pos="9320" w:val="left"/>
          <w:tab w:leader="none" w:pos="1092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7</w:t>
      </w:r>
    </w:p>
    <w:p>
      <w:pPr>
        <w:sectPr>
          <w:pgSz w:w="11900" w:h="16838" w:orient="portrait"/>
          <w:cols w:equalWidth="0" w:num="1">
            <w:col w:w="11120"/>
          </w:cols>
          <w:pgMar w:left="320" w:top="482" w:right="4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45434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86045" cy="454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0" w:hanging="424"/>
        <w:spacing w:after="0"/>
        <w:tabs>
          <w:tab w:leader="none" w:pos="540" w:val="left"/>
        </w:tabs>
        <w:numPr>
          <w:ilvl w:val="0"/>
          <w:numId w:val="2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AND COMMITTEE EVALUATION PROCESS</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Our Board and each standing committee conducts an annual evaluation that covers overall effectiveness of the Board and the committee as well as the effectiveness of each individual trustee. The NCGC leads the process for the evaluation of the overall Board and each individual trustee and each committee chair leads the evaluation process for his or her committee. Results of the evaluations are taken into account in determining trustees to stand for election at the next annual meeting and in determining committee assignments and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81280</wp:posOffset>
            </wp:positionV>
            <wp:extent cx="701230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5"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8</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4"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COMMITTEE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3377565" cy="2040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77565" cy="2040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left="460" w:right="620"/>
        <w:spacing w:after="0" w:line="266" w:lineRule="auto"/>
        <w:rPr>
          <w:sz w:val="20"/>
          <w:szCs w:val="20"/>
          <w:color w:val="auto"/>
        </w:rPr>
      </w:pPr>
      <w:r>
        <w:rPr>
          <w:rFonts w:ascii="Arial" w:cs="Arial" w:eastAsia="Arial" w:hAnsi="Arial"/>
          <w:sz w:val="16"/>
          <w:szCs w:val="16"/>
          <w:color w:val="auto"/>
        </w:rPr>
        <w:t>Annual assessment by each committee of its effectiveness using a committee specific list of topics to guide an in-depth discussion of performance.</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Topics include:</w:t>
      </w:r>
    </w:p>
    <w:p>
      <w:pPr>
        <w:spacing w:after="0" w:line="17" w:lineRule="exact"/>
        <w:rPr>
          <w:sz w:val="20"/>
          <w:szCs w:val="20"/>
          <w:color w:val="auto"/>
        </w:rPr>
      </w:pPr>
    </w:p>
    <w:p>
      <w:pPr>
        <w:ind w:left="780" w:hanging="295"/>
        <w:spacing w:after="0"/>
        <w:tabs>
          <w:tab w:leader="none" w:pos="780" w:val="left"/>
        </w:tabs>
        <w:numPr>
          <w:ilvl w:val="1"/>
          <w:numId w:val="30"/>
        </w:numPr>
        <w:rPr>
          <w:rFonts w:ascii="MS PGothic" w:cs="MS PGothic" w:eastAsia="MS PGothic" w:hAnsi="MS PGothic"/>
          <w:sz w:val="16"/>
          <w:szCs w:val="16"/>
          <w:color w:val="FF160F"/>
        </w:rPr>
      </w:pPr>
      <w:r>
        <w:rPr>
          <w:rFonts w:ascii="Arial" w:cs="Arial" w:eastAsia="Arial" w:hAnsi="Arial"/>
          <w:sz w:val="16"/>
          <w:szCs w:val="16"/>
          <w:color w:val="auto"/>
        </w:rPr>
        <w:t>Skills and expertise of committee members</w:t>
      </w:r>
    </w:p>
    <w:p>
      <w:pPr>
        <w:spacing w:after="0" w:line="22" w:lineRule="exact"/>
        <w:rPr>
          <w:rFonts w:ascii="MS PGothic" w:cs="MS PGothic" w:eastAsia="MS PGothic" w:hAnsi="MS PGothic"/>
          <w:sz w:val="16"/>
          <w:szCs w:val="16"/>
          <w:color w:val="FF160F"/>
        </w:rPr>
      </w:pPr>
    </w:p>
    <w:p>
      <w:pPr>
        <w:ind w:left="760" w:hanging="275"/>
        <w:spacing w:after="0"/>
        <w:tabs>
          <w:tab w:leader="none" w:pos="760" w:val="left"/>
        </w:tabs>
        <w:numPr>
          <w:ilvl w:val="1"/>
          <w:numId w:val="30"/>
        </w:numPr>
        <w:rPr>
          <w:rFonts w:ascii="MS PGothic" w:cs="MS PGothic" w:eastAsia="MS PGothic" w:hAnsi="MS PGothic"/>
          <w:sz w:val="16"/>
          <w:szCs w:val="16"/>
          <w:color w:val="FF160F"/>
        </w:rPr>
      </w:pPr>
      <w:r>
        <w:rPr>
          <w:rFonts w:ascii="Arial" w:cs="Arial" w:eastAsia="Arial" w:hAnsi="Arial"/>
          <w:sz w:val="16"/>
          <w:szCs w:val="16"/>
          <w:color w:val="auto"/>
        </w:rPr>
        <w:t>Adherence to committee charter</w:t>
      </w:r>
    </w:p>
    <w:p>
      <w:pPr>
        <w:spacing w:after="0" w:line="18" w:lineRule="exact"/>
        <w:rPr>
          <w:rFonts w:ascii="MS PGothic" w:cs="MS PGothic" w:eastAsia="MS PGothic" w:hAnsi="MS PGothic"/>
          <w:sz w:val="16"/>
          <w:szCs w:val="16"/>
          <w:color w:val="FF160F"/>
        </w:rPr>
      </w:pPr>
    </w:p>
    <w:p>
      <w:pPr>
        <w:ind w:left="780" w:hanging="295"/>
        <w:spacing w:after="0"/>
        <w:tabs>
          <w:tab w:leader="none" w:pos="780" w:val="left"/>
        </w:tabs>
        <w:numPr>
          <w:ilvl w:val="1"/>
          <w:numId w:val="30"/>
        </w:numPr>
        <w:rPr>
          <w:rFonts w:ascii="MS PGothic" w:cs="MS PGothic" w:eastAsia="MS PGothic" w:hAnsi="MS PGothic"/>
          <w:sz w:val="16"/>
          <w:szCs w:val="16"/>
          <w:color w:val="FF160F"/>
        </w:rPr>
      </w:pPr>
      <w:r>
        <w:rPr>
          <w:rFonts w:ascii="Arial" w:cs="Arial" w:eastAsia="Arial" w:hAnsi="Arial"/>
          <w:sz w:val="16"/>
          <w:szCs w:val="16"/>
          <w:color w:val="auto"/>
        </w:rPr>
        <w:t>Committee specific topics</w:t>
      </w:r>
    </w:p>
    <w:p>
      <w:pPr>
        <w:spacing w:after="0" w:line="18" w:lineRule="exact"/>
        <w:rPr>
          <w:rFonts w:ascii="MS PGothic" w:cs="MS PGothic" w:eastAsia="MS PGothic" w:hAnsi="MS PGothic"/>
          <w:sz w:val="16"/>
          <w:szCs w:val="16"/>
          <w:color w:val="FF160F"/>
        </w:rPr>
      </w:pPr>
    </w:p>
    <w:p>
      <w:pPr>
        <w:ind w:left="680" w:right="1860" w:hanging="213"/>
        <w:spacing w:after="0" w:line="283" w:lineRule="auto"/>
        <w:tabs>
          <w:tab w:leader="none" w:pos="753" w:val="left"/>
        </w:tabs>
        <w:numPr>
          <w:ilvl w:val="0"/>
          <w:numId w:val="30"/>
        </w:numPr>
        <w:rPr>
          <w:rFonts w:ascii="MS PGothic" w:cs="MS PGothic" w:eastAsia="MS PGothic" w:hAnsi="MS PGothic"/>
          <w:sz w:val="16"/>
          <w:szCs w:val="16"/>
          <w:color w:val="FF160F"/>
        </w:rPr>
      </w:pPr>
      <w:r>
        <w:rPr>
          <w:rFonts w:ascii="Arial" w:cs="Arial" w:eastAsia="Arial" w:hAnsi="Arial"/>
          <w:sz w:val="16"/>
          <w:szCs w:val="16"/>
          <w:color w:val="auto"/>
        </w:rPr>
        <w:t>Information provided by and access to management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CONTINUAL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3377565" cy="1045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77565" cy="10458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60" w:right="320"/>
        <w:spacing w:after="0" w:line="259" w:lineRule="auto"/>
        <w:rPr>
          <w:sz w:val="20"/>
          <w:szCs w:val="20"/>
          <w:color w:val="auto"/>
        </w:rPr>
      </w:pPr>
      <w:r>
        <w:rPr>
          <w:rFonts w:ascii="Arial" w:cs="Arial" w:eastAsia="Arial" w:hAnsi="Arial"/>
          <w:sz w:val="16"/>
          <w:szCs w:val="16"/>
          <w:color w:val="auto"/>
        </w:rPr>
        <w:t>The Board and the committees provide ongoing feedback on Board and Trustee performance throughout the year outside the formal evaluation process through executive session discussions.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TRUSTEE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-664210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-107315</wp:posOffset>
            </wp:positionV>
            <wp:extent cx="3480435" cy="3583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80435" cy="35833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Each Trustee completes a confidential questionnaire evaluating the performance of each other trustee with the results provided to the chair of the NCGC.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Topics include:</w:t>
      </w:r>
    </w:p>
    <w:p>
      <w:pPr>
        <w:spacing w:after="0" w:line="17" w:lineRule="exact"/>
        <w:rPr>
          <w:sz w:val="20"/>
          <w:szCs w:val="20"/>
          <w:color w:val="auto"/>
        </w:rPr>
      </w:pPr>
    </w:p>
    <w:p>
      <w:pPr>
        <w:ind w:left="220" w:right="1420" w:hanging="217"/>
        <w:spacing w:after="0" w:line="257" w:lineRule="auto"/>
        <w:tabs>
          <w:tab w:leader="none" w:pos="293" w:val="left"/>
        </w:tabs>
        <w:numPr>
          <w:ilvl w:val="0"/>
          <w:numId w:val="31"/>
        </w:numPr>
        <w:rPr>
          <w:rFonts w:ascii="MS PGothic" w:cs="MS PGothic" w:eastAsia="MS PGothic" w:hAnsi="MS PGothic"/>
          <w:sz w:val="16"/>
          <w:szCs w:val="16"/>
          <w:color w:val="FF160F"/>
        </w:rPr>
      </w:pPr>
      <w:r>
        <w:rPr>
          <w:rFonts w:ascii="Arial" w:cs="Arial" w:eastAsia="Arial" w:hAnsi="Arial"/>
          <w:sz w:val="16"/>
          <w:szCs w:val="16"/>
          <w:color w:val="auto"/>
        </w:rPr>
        <w:t>Preparedness for meetings and understanding company business</w:t>
      </w:r>
    </w:p>
    <w:p>
      <w:pPr>
        <w:spacing w:after="0" w:line="1" w:lineRule="exact"/>
        <w:rPr>
          <w:rFonts w:ascii="MS PGothic" w:cs="MS PGothic" w:eastAsia="MS PGothic" w:hAnsi="MS PGothic"/>
          <w:sz w:val="16"/>
          <w:szCs w:val="16"/>
          <w:color w:val="FF160F"/>
        </w:rPr>
      </w:pPr>
    </w:p>
    <w:p>
      <w:pPr>
        <w:ind w:left="300" w:hanging="279"/>
        <w:spacing w:after="0"/>
        <w:tabs>
          <w:tab w:leader="none" w:pos="300" w:val="left"/>
        </w:tabs>
        <w:numPr>
          <w:ilvl w:val="1"/>
          <w:numId w:val="31"/>
        </w:numPr>
        <w:rPr>
          <w:rFonts w:ascii="MS PGothic" w:cs="MS PGothic" w:eastAsia="MS PGothic" w:hAnsi="MS PGothic"/>
          <w:sz w:val="16"/>
          <w:szCs w:val="16"/>
          <w:color w:val="FF160F"/>
        </w:rPr>
      </w:pPr>
      <w:r>
        <w:rPr>
          <w:rFonts w:ascii="Arial" w:cs="Arial" w:eastAsia="Arial" w:hAnsi="Arial"/>
          <w:sz w:val="16"/>
          <w:szCs w:val="16"/>
          <w:color w:val="auto"/>
        </w:rPr>
        <w:t>Overall contributions to Board and Committees</w:t>
      </w:r>
    </w:p>
    <w:p>
      <w:pPr>
        <w:spacing w:after="0" w:line="18" w:lineRule="exact"/>
        <w:rPr>
          <w:rFonts w:ascii="MS PGothic" w:cs="MS PGothic" w:eastAsia="MS PGothic" w:hAnsi="MS PGothic"/>
          <w:sz w:val="16"/>
          <w:szCs w:val="16"/>
          <w:color w:val="FF160F"/>
        </w:rPr>
      </w:pPr>
    </w:p>
    <w:p>
      <w:pPr>
        <w:ind w:left="300" w:hanging="279"/>
        <w:spacing w:after="0"/>
        <w:tabs>
          <w:tab w:leader="none" w:pos="300" w:val="left"/>
        </w:tabs>
        <w:numPr>
          <w:ilvl w:val="1"/>
          <w:numId w:val="31"/>
        </w:numPr>
        <w:rPr>
          <w:rFonts w:ascii="MS PGothic" w:cs="MS PGothic" w:eastAsia="MS PGothic" w:hAnsi="MS PGothic"/>
          <w:sz w:val="16"/>
          <w:szCs w:val="16"/>
          <w:color w:val="FF160F"/>
        </w:rPr>
      </w:pPr>
      <w:r>
        <w:rPr>
          <w:rFonts w:ascii="Arial" w:cs="Arial" w:eastAsia="Arial" w:hAnsi="Arial"/>
          <w:sz w:val="16"/>
          <w:szCs w:val="16"/>
          <w:color w:val="auto"/>
        </w:rPr>
        <w:t>Skill set</w:t>
      </w:r>
    </w:p>
    <w:p>
      <w:pPr>
        <w:spacing w:after="0" w:line="18" w:lineRule="exact"/>
        <w:rPr>
          <w:rFonts w:ascii="MS PGothic" w:cs="MS PGothic" w:eastAsia="MS PGothic" w:hAnsi="MS PGothic"/>
          <w:sz w:val="16"/>
          <w:szCs w:val="16"/>
          <w:color w:val="FF160F"/>
        </w:rPr>
      </w:pPr>
    </w:p>
    <w:p>
      <w:pPr>
        <w:ind w:left="300" w:hanging="279"/>
        <w:spacing w:after="0"/>
        <w:tabs>
          <w:tab w:leader="none" w:pos="300" w:val="left"/>
        </w:tabs>
        <w:numPr>
          <w:ilvl w:val="1"/>
          <w:numId w:val="31"/>
        </w:numPr>
        <w:rPr>
          <w:rFonts w:ascii="MS PGothic" w:cs="MS PGothic" w:eastAsia="MS PGothic" w:hAnsi="MS PGothic"/>
          <w:sz w:val="16"/>
          <w:szCs w:val="16"/>
          <w:color w:val="FF160F"/>
        </w:rPr>
      </w:pPr>
      <w:r>
        <w:rPr>
          <w:rFonts w:ascii="Arial" w:cs="Arial" w:eastAsia="Arial" w:hAnsi="Arial"/>
          <w:sz w:val="16"/>
          <w:szCs w:val="16"/>
          <w:color w:val="auto"/>
        </w:rPr>
        <w:t>Effectiveness in leadership roles (if applicable)</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One-on-One Discussions</w:t>
      </w:r>
    </w:p>
    <w:p>
      <w:pPr>
        <w:spacing w:after="0" w:line="21" w:lineRule="exact"/>
        <w:rPr>
          <w:sz w:val="20"/>
          <w:szCs w:val="20"/>
          <w:color w:val="auto"/>
        </w:rPr>
      </w:pPr>
    </w:p>
    <w:p>
      <w:pPr>
        <w:ind w:right="600"/>
        <w:spacing w:after="0" w:line="256" w:lineRule="auto"/>
        <w:rPr>
          <w:sz w:val="20"/>
          <w:szCs w:val="20"/>
          <w:color w:val="auto"/>
        </w:rPr>
      </w:pPr>
      <w:r>
        <w:rPr>
          <w:rFonts w:ascii="Arial" w:cs="Arial" w:eastAsia="Arial" w:hAnsi="Arial"/>
          <w:sz w:val="16"/>
          <w:szCs w:val="16"/>
          <w:color w:val="auto"/>
        </w:rPr>
        <w:t>The chair of NCGC discusses the individual assessments and overall Board effectiveness with each trustee. The Board chairman conducts the same process for the NCGC chair.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Summary and Action Taken</w:t>
      </w:r>
    </w:p>
    <w:p>
      <w:pPr>
        <w:spacing w:after="0" w:line="21"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Results of the assessments are provided to and discussed by the full Board. Identified issues are addressed with changes incorporated into Board policies and governance as needed.</w:t>
      </w:r>
    </w:p>
    <w:p>
      <w:pPr>
        <w:spacing w:after="0" w:line="200" w:lineRule="exact"/>
        <w:rPr>
          <w:sz w:val="20"/>
          <w:szCs w:val="20"/>
          <w:color w:val="auto"/>
        </w:rPr>
      </w:pPr>
    </w:p>
    <w:p>
      <w:pPr>
        <w:sectPr>
          <w:pgSz w:w="11900" w:h="16838" w:orient="portrait"/>
          <w:cols w:equalWidth="0" w:num="2">
            <w:col w:w="5360" w:space="720"/>
            <w:col w:w="5040"/>
          </w:cols>
          <w:pgMar w:left="320" w:top="482" w:right="45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40" w:hanging="424"/>
        <w:spacing w:after="0"/>
        <w:tabs>
          <w:tab w:leader="none" w:pos="540" w:val="left"/>
        </w:tabs>
        <w:numPr>
          <w:ilvl w:val="0"/>
          <w:numId w:val="32"/>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SUCCESSION PLANNING</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Board is responsible for ensuring that we have a high performing management team in place. The Board regularly conducts a detailed review of management development and succession planning activities to ensure that top management positions, including the CEO role, can be filled without significant interruption both in an emergency situation as well as on a longer-term basis.</w:t>
      </w:r>
    </w:p>
    <w:p>
      <w:pPr>
        <w:spacing w:after="0" w:line="196" w:lineRule="exact"/>
        <w:rPr>
          <w:sz w:val="20"/>
          <w:szCs w:val="20"/>
          <w:color w:val="auto"/>
        </w:rPr>
      </w:pPr>
    </w:p>
    <w:p>
      <w:pPr>
        <w:ind w:left="540" w:hanging="424"/>
        <w:spacing w:after="0"/>
        <w:tabs>
          <w:tab w:leader="none" w:pos="540" w:val="left"/>
        </w:tabs>
        <w:numPr>
          <w:ilvl w:val="0"/>
          <w:numId w:val="33"/>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COMMUNICATIONS WITH THE BOARD</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Shareholders and other interested parties may communicate with the Board or any Trustee by sending the communication to the intended recipient at c/o Corporate Secretary, 909 Rose Avenue, Suite 200, North Bethesda, Maryland 20852. Any communication which indicates it is for the Board of Trustees or fails to identify a particular Trustee will be deemed to be a communication intended for our Non-Executive Chairman of the Board. Our Secretary will promptly forward to the appropriate Trustee all communications received for the Board or any individual Trustee which relate to our business, operations, financial condition, management, employees or similar matters. Our Secretary will not forward to any Trustee any advertising, solicitation or similar materials.</w:t>
      </w:r>
    </w:p>
    <w:p>
      <w:pPr>
        <w:spacing w:after="0" w:line="206" w:lineRule="exact"/>
        <w:rPr>
          <w:sz w:val="20"/>
          <w:szCs w:val="20"/>
          <w:color w:val="auto"/>
        </w:rPr>
      </w:pPr>
    </w:p>
    <w:p>
      <w:pPr>
        <w:ind w:left="540" w:hanging="424"/>
        <w:spacing w:after="0"/>
        <w:tabs>
          <w:tab w:leader="none" w:pos="540" w:val="left"/>
        </w:tabs>
        <w:numPr>
          <w:ilvl w:val="0"/>
          <w:numId w:val="34"/>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COMPENSATION COMMITTEE INTERLOCKS AND INSIDER PARTICIPATION</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Compensation Committee currently consists of Ms. Holland, Ms. Lamb-Hale, Mr. McEachin and Ms. Steinel. From January 1 through September 30, 2022, Mr. Ordan, a former trustee, also served on the Compensation Committee. There are no Compensation Committee interlocks and no member of the Compensation Committee serves, or has in the past served, as an employee or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76200</wp:posOffset>
            </wp:positionV>
            <wp:extent cx="701230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18" w:lineRule="exact"/>
        <w:rPr>
          <w:sz w:val="20"/>
          <w:szCs w:val="20"/>
          <w:color w:val="auto"/>
        </w:rPr>
      </w:pPr>
    </w:p>
    <w:p>
      <w:pPr>
        <w:ind w:left="8100"/>
        <w:spacing w:after="0"/>
        <w:tabs>
          <w:tab w:leader="none" w:pos="9320" w:val="left"/>
          <w:tab w:leader="none" w:pos="1092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9</w:t>
      </w:r>
    </w:p>
    <w:p>
      <w:pPr>
        <w:sectPr>
          <w:pgSz w:w="11900" w:h="16838" w:orient="portrait"/>
          <w:cols w:equalWidth="0" w:num="1">
            <w:col w:w="11120"/>
          </w:cols>
          <w:pgMar w:left="320" w:top="482"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5"/>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RELATED PARTY TRANSACTIONS</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Our Trustees and employees are required to deal with the Company on an arms-length basis in any related party transaction. Transactions between us and any of our Trustees or corporate officers must be approved in advance by the Audit Committee. Audit Committee approval is not required for us to enter into a lease with an entity in which any of our Trustees is a director, employee or owner so long as the lease is entered into in the ordinary course of business and is negotiated at arms-length and on market terms.</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We have no related party transactions with any of our Trustees that are required to be disclosed. None of our named executive officers has any indebtedness to the Company or any relationship with the Company other than as an employee and shareholder. Employment and change-in-control arrangements between the Company and the named executive officers are described in the “Potential Payments on Termination of Employment and Change-in-Control” section below.</w:t>
      </w:r>
    </w:p>
    <w:p>
      <w:pPr>
        <w:spacing w:after="0" w:line="201" w:lineRule="exact"/>
        <w:rPr>
          <w:sz w:val="20"/>
          <w:szCs w:val="20"/>
          <w:color w:val="auto"/>
        </w:rPr>
      </w:pPr>
    </w:p>
    <w:p>
      <w:pPr>
        <w:ind w:left="540" w:hanging="424"/>
        <w:spacing w:after="0"/>
        <w:tabs>
          <w:tab w:leader="none" w:pos="540" w:val="left"/>
        </w:tabs>
        <w:numPr>
          <w:ilvl w:val="0"/>
          <w:numId w:val="36"/>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TRUSTEE INDEPENDENCE</w:t>
      </w:r>
    </w:p>
    <w:p>
      <w:pPr>
        <w:spacing w:after="0" w:line="212"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The Board has adopted a standard designed to assist the Board in assessing trustee independence. This standard, included in our Corporate Governance Guidelines, states that a Trustee’s position as a director, officer or owner of a company with which we do business does not constitute a material relationship impacting independence so long as payments made by that company do not account for more than five percent (5%) of our gross revenues or more than ten percent (10%) of the gross revenues of that company. The Board performs an annual review of independence of all trustees and nominees. In order to make a determination that an individual is independent, the Board has to affirmatively conclude that the individual does not have any direct or indirect material relationship with the Company. This independence determination takes into account the requirements of our Corporate Governance Guidelines and any additional requirements imposed by law, regulation or the New York Stock Exchange (“NYSE”) listing standards and is only made after a thorough review of all relationships that exist between the Company and a trustee.</w:t>
      </w:r>
    </w:p>
    <w:p>
      <w:pPr>
        <w:spacing w:after="0" w:line="18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Based on this review process, the Nominating Committee recommended, and the Board concluded, that all of our Trustees, other than Mr. Wood, our chief executive officer, are independent under all applicable standards for service on the Board and each of its committees. In making this determination, the Board considered certain indirect passive investments Mr. Nader has in three of the Company’s small shop tenants. The Board determined that Mr. Nader’s passive investment in three small shop tenants did not constitute a material relationship with the Company and would not interfere with Mr. Nader’s ability to exercise independent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175260</wp:posOffset>
            </wp:positionV>
            <wp:extent cx="699516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20"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Proposal 1: Election of Trustees</w:t>
      </w:r>
    </w:p>
    <w:p>
      <w:pPr>
        <w:spacing w:after="0" w:line="278"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On recommendation of the NCGC, our Board has nominated seven (7) candidates for election as trustees at the 2023 annual meeting of shareholders. All of the nominees are incumbent trustees and all nominees other than Mr. McEachin were elected by our shareholders in May 2022. Mr. McEachin was appointed to the Board in October 2022 to fill the vacancy created by the resignation of Mark S. Ordan. More detailed biographical information on each nominee can be found beginning on page 14.</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At the 2023 Annual Meeting, each trustee will be elected to hold office for a one-year term expiring at the 2024 annual meeting of shareholders and until his or her successor is elected and qualified.</w:t>
      </w:r>
    </w:p>
    <w:p>
      <w:pPr>
        <w:spacing w:after="0" w:line="181" w:lineRule="exact"/>
        <w:rPr>
          <w:sz w:val="20"/>
          <w:szCs w:val="20"/>
          <w:color w:val="auto"/>
        </w:rPr>
      </w:pPr>
    </w:p>
    <w:p>
      <w:pPr>
        <w:ind w:left="540" w:hanging="424"/>
        <w:spacing w:after="0"/>
        <w:tabs>
          <w:tab w:leader="none" w:pos="540" w:val="left"/>
        </w:tabs>
        <w:numPr>
          <w:ilvl w:val="0"/>
          <w:numId w:val="3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VOTE REQUIRED AND MAJORITY VOTING STANDARD</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You are entitled to cast one vote per share for each of the seven nominees. Proxies may not be voted for more than seven individuals. In an uncontested election such as this one, our Bylaws require that a nominee receive a majority of votes cast in order to be elected. Accordingly, any nominee who does not receive a majority of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76200</wp:posOffset>
            </wp:positionV>
            <wp:extent cx="701230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18"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10</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cast will be required to resign from the Board within ninety (90) days. Broker non-votes and abstentions, if any, will not be treated as votes cast and as a result, will have no effect on the outcome of the vote for this proposal. Over the past 5 years, each nominee who has previously stood for election has received 93% or more of the votes cast at each shareholder meeting at which that nominee stood for election.</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Prior to 2023, any nominee who did not receive a majority of the votes cast was required to submit a resignation but the Board had the ability to choose not to accept that resignation. The Board modified this policy to now require resignation with no ability for the Board to override that resignation. The Board believed this change was appropriate in order to ensure that shareholders had the ultimate say in electing their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139700</wp:posOffset>
            </wp:positionV>
            <wp:extent cx="6858000" cy="445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00" cy="445770"/>
                    </a:xfrm>
                    <a:prstGeom prst="rect">
                      <a:avLst/>
                    </a:prstGeom>
                    <a:noFill/>
                  </pic:spPr>
                </pic:pic>
              </a:graphicData>
            </a:graphic>
          </wp:anchor>
        </w:drawing>
      </w:r>
    </w:p>
    <w:p>
      <w:pPr>
        <w:spacing w:after="0" w:line="391" w:lineRule="exact"/>
        <w:rPr>
          <w:sz w:val="20"/>
          <w:szCs w:val="20"/>
          <w:color w:val="auto"/>
        </w:rPr>
      </w:pPr>
    </w:p>
    <w:p>
      <w:pPr>
        <w:ind w:left="1220"/>
        <w:spacing w:after="0"/>
        <w:rPr>
          <w:sz w:val="20"/>
          <w:szCs w:val="20"/>
          <w:color w:val="auto"/>
        </w:rPr>
      </w:pPr>
      <w:r>
        <w:rPr>
          <w:rFonts w:ascii="Arial" w:cs="Arial" w:eastAsia="Arial" w:hAnsi="Arial"/>
          <w:sz w:val="25"/>
          <w:szCs w:val="25"/>
          <w:color w:val="auto"/>
        </w:rPr>
        <w:t xml:space="preserve">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each of the seven nominees</w:t>
      </w:r>
    </w:p>
    <w:p>
      <w:pPr>
        <w:spacing w:after="0" w:line="200" w:lineRule="exact"/>
        <w:rPr>
          <w:sz w:val="20"/>
          <w:szCs w:val="20"/>
          <w:color w:val="auto"/>
        </w:rPr>
      </w:pPr>
    </w:p>
    <w:p>
      <w:pPr>
        <w:spacing w:after="0" w:line="247" w:lineRule="exact"/>
        <w:rPr>
          <w:sz w:val="20"/>
          <w:szCs w:val="20"/>
          <w:color w:val="auto"/>
        </w:rPr>
      </w:pPr>
    </w:p>
    <w:p>
      <w:pPr>
        <w:ind w:left="540" w:hanging="424"/>
        <w:spacing w:after="0"/>
        <w:tabs>
          <w:tab w:leader="none" w:pos="540" w:val="left"/>
        </w:tabs>
        <w:numPr>
          <w:ilvl w:val="0"/>
          <w:numId w:val="3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NOMINEE CHARACTERISTICS AND SELECTION</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NCGC has primary responsibility for identifying and recommending individuals to be added to the Board and to stand for election by shareholders. Individuals identified must have the highest personal and professional integrity, demonstrated exceptional intelligence and judgment, have proven leadership skills, be committed to our success, have the requisite skills necessary to advance our long-term strategy, and have the ability to work effectively with our Chief Executive Officer and other members of the Board. In addition, the committee assesses the contribution that a particular candidate’s skills and expertise will make with respect to guiding our strategy and management when considered as a whole with the skills and expertise of other trustees.</w:t>
      </w:r>
    </w:p>
    <w:p>
      <w:pPr>
        <w:spacing w:after="0" w:line="179"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chart below highlights some of the key qualifications and experience that our Board believes are relevant to the effective oversight of the Company and the execution of our long-term strategy and were considered as relevant for each nominee. The absence of a mark for an attribute for any nominee does not necessarily mean that the nominee does not possess that attribute; it means only that when the Board considered that nominee in the overall context of the composition of our Board, that attribute was not a key factor in the determination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81280</wp:posOffset>
            </wp:positionV>
            <wp:extent cx="701230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5" w:lineRule="exact"/>
        <w:rPr>
          <w:sz w:val="20"/>
          <w:szCs w:val="20"/>
          <w:color w:val="auto"/>
        </w:rPr>
      </w:pPr>
    </w:p>
    <w:p>
      <w:pPr>
        <w:ind w:left="8020"/>
        <w:spacing w:after="0"/>
        <w:tabs>
          <w:tab w:leader="none" w:pos="926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11</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nominate that individual. Further information on each nominee’s qualifications and relevant experience is provided in the individual biographical descriptions below starting on page 14.</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ind w:left="360"/>
              <w:spacing w:after="0"/>
              <w:rPr>
                <w:sz w:val="20"/>
                <w:szCs w:val="20"/>
                <w:color w:val="auto"/>
              </w:rPr>
            </w:pPr>
            <w:r>
              <w:rPr>
                <w:rFonts w:ascii="Arial" w:cs="Arial" w:eastAsia="Arial" w:hAnsi="Arial"/>
                <w:sz w:val="14"/>
                <w:szCs w:val="14"/>
                <w:color w:val="auto"/>
                <w:w w:val="99"/>
              </w:rPr>
              <w:t>Faeder</w:t>
            </w:r>
          </w:p>
        </w:tc>
        <w:tc>
          <w:tcPr>
            <w:tcW w:w="1180" w:type="dxa"/>
            <w:vAlign w:val="bottom"/>
            <w:gridSpan w:val="2"/>
          </w:tcPr>
          <w:p>
            <w:pPr>
              <w:ind w:left="380"/>
              <w:spacing w:after="0"/>
              <w:rPr>
                <w:sz w:val="20"/>
                <w:szCs w:val="20"/>
                <w:color w:val="auto"/>
              </w:rPr>
            </w:pPr>
            <w:r>
              <w:rPr>
                <w:rFonts w:ascii="Arial" w:cs="Arial" w:eastAsia="Arial" w:hAnsi="Arial"/>
                <w:sz w:val="14"/>
                <w:szCs w:val="14"/>
                <w:color w:val="auto"/>
              </w:rPr>
              <w:t>Holland</w:t>
            </w:r>
          </w:p>
        </w:tc>
        <w:tc>
          <w:tcPr>
            <w:tcW w:w="820" w:type="dxa"/>
            <w:vAlign w:val="bottom"/>
          </w:tcPr>
          <w:p>
            <w:pPr>
              <w:ind w:left="100"/>
              <w:spacing w:after="0"/>
              <w:rPr>
                <w:sz w:val="20"/>
                <w:szCs w:val="20"/>
                <w:color w:val="auto"/>
              </w:rPr>
            </w:pPr>
            <w:r>
              <w:rPr>
                <w:rFonts w:ascii="Arial" w:cs="Arial" w:eastAsia="Arial" w:hAnsi="Arial"/>
                <w:sz w:val="14"/>
                <w:szCs w:val="14"/>
                <w:color w:val="auto"/>
                <w:w w:val="99"/>
              </w:rPr>
              <w:t>Lamb-Hale</w:t>
            </w:r>
          </w:p>
        </w:tc>
        <w:tc>
          <w:tcPr>
            <w:tcW w:w="1020" w:type="dxa"/>
            <w:vAlign w:val="bottom"/>
          </w:tcPr>
          <w:p>
            <w:pPr>
              <w:ind w:left="380"/>
              <w:spacing w:after="0"/>
              <w:rPr>
                <w:sz w:val="20"/>
                <w:szCs w:val="20"/>
                <w:color w:val="auto"/>
              </w:rPr>
            </w:pPr>
            <w:r>
              <w:rPr>
                <w:rFonts w:ascii="Arial" w:cs="Arial" w:eastAsia="Arial" w:hAnsi="Arial"/>
                <w:sz w:val="14"/>
                <w:szCs w:val="14"/>
                <w:color w:val="auto"/>
                <w:w w:val="97"/>
              </w:rPr>
              <w:t>McEachin</w:t>
            </w:r>
          </w:p>
        </w:tc>
        <w:tc>
          <w:tcPr>
            <w:tcW w:w="800" w:type="dxa"/>
            <w:vAlign w:val="bottom"/>
          </w:tcPr>
          <w:p>
            <w:pPr>
              <w:ind w:left="380"/>
              <w:spacing w:after="0"/>
              <w:rPr>
                <w:sz w:val="20"/>
                <w:szCs w:val="20"/>
                <w:color w:val="auto"/>
              </w:rPr>
            </w:pPr>
            <w:r>
              <w:rPr>
                <w:rFonts w:ascii="Arial" w:cs="Arial" w:eastAsia="Arial" w:hAnsi="Arial"/>
                <w:sz w:val="14"/>
                <w:szCs w:val="14"/>
                <w:color w:val="auto"/>
                <w:w w:val="99"/>
              </w:rPr>
              <w:t>Nader</w:t>
            </w:r>
          </w:p>
        </w:tc>
        <w:tc>
          <w:tcPr>
            <w:tcW w:w="840" w:type="dxa"/>
            <w:vAlign w:val="bottom"/>
          </w:tcPr>
          <w:p>
            <w:pPr>
              <w:ind w:left="380"/>
              <w:spacing w:after="0"/>
              <w:rPr>
                <w:sz w:val="20"/>
                <w:szCs w:val="20"/>
                <w:color w:val="auto"/>
              </w:rPr>
            </w:pPr>
            <w:r>
              <w:rPr>
                <w:rFonts w:ascii="Arial" w:cs="Arial" w:eastAsia="Arial" w:hAnsi="Arial"/>
                <w:sz w:val="14"/>
                <w:szCs w:val="14"/>
                <w:color w:val="auto"/>
                <w:w w:val="98"/>
              </w:rPr>
              <w:t>Steinel</w:t>
            </w:r>
          </w:p>
        </w:tc>
        <w:tc>
          <w:tcPr>
            <w:tcW w:w="760" w:type="dxa"/>
            <w:vAlign w:val="bottom"/>
          </w:tcPr>
          <w:p>
            <w:pPr>
              <w:ind w:left="380"/>
              <w:spacing w:after="0"/>
              <w:rPr>
                <w:sz w:val="20"/>
                <w:szCs w:val="20"/>
                <w:color w:val="auto"/>
              </w:rPr>
            </w:pPr>
            <w:r>
              <w:rPr>
                <w:rFonts w:ascii="Arial" w:cs="Arial" w:eastAsia="Arial" w:hAnsi="Arial"/>
                <w:sz w:val="14"/>
                <w:szCs w:val="14"/>
                <w:color w:val="auto"/>
                <w:w w:val="98"/>
              </w:rPr>
              <w:t>Wood</w:t>
            </w:r>
          </w:p>
        </w:tc>
        <w:tc>
          <w:tcPr>
            <w:tcW w:w="20" w:type="dxa"/>
            <w:vAlign w:val="bottom"/>
          </w:tcPr>
          <w:p>
            <w:pPr>
              <w:spacing w:after="0"/>
              <w:rPr>
                <w:sz w:val="14"/>
                <w:szCs w:val="14"/>
                <w:color w:val="auto"/>
              </w:rPr>
            </w:pPr>
          </w:p>
        </w:tc>
      </w:tr>
      <w:tr>
        <w:trPr>
          <w:trHeight w:val="277"/>
        </w:trPr>
        <w:tc>
          <w:tcPr>
            <w:tcW w:w="3640" w:type="dxa"/>
            <w:vAlign w:val="bottom"/>
            <w:tcBorders>
              <w:bottom w:val="single" w:sz="8" w:color="FF160F"/>
            </w:tcBorders>
            <w:shd w:val="clear" w:color="auto" w:fill="FF160F"/>
          </w:tcPr>
          <w:p>
            <w:pPr>
              <w:spacing w:after="0"/>
              <w:rPr>
                <w:sz w:val="24"/>
                <w:szCs w:val="24"/>
                <w:color w:val="auto"/>
              </w:rPr>
            </w:pPr>
          </w:p>
        </w:tc>
        <w:tc>
          <w:tcPr>
            <w:tcW w:w="4980" w:type="dxa"/>
            <w:vAlign w:val="bottom"/>
            <w:tcBorders>
              <w:bottom w:val="single" w:sz="8" w:color="FF160F"/>
              <w:right w:val="single" w:sz="8" w:color="FF160F"/>
            </w:tcBorders>
            <w:gridSpan w:val="6"/>
            <w:shd w:val="clear" w:color="auto" w:fill="FF160F"/>
          </w:tcPr>
          <w:p>
            <w:pPr>
              <w:ind w:left="280"/>
              <w:spacing w:after="0"/>
              <w:rPr>
                <w:sz w:val="20"/>
                <w:szCs w:val="20"/>
                <w:color w:val="auto"/>
              </w:rPr>
            </w:pPr>
            <w:r>
              <w:rPr>
                <w:rFonts w:ascii="Arial" w:cs="Arial" w:eastAsia="Arial" w:hAnsi="Arial"/>
                <w:sz w:val="18"/>
                <w:szCs w:val="18"/>
                <w:b w:val="1"/>
                <w:bCs w:val="1"/>
                <w:color w:val="FFFFFF"/>
              </w:rPr>
              <w:t>NOMINEE QUALIFICATIONS AND EXPERIENCE</w:t>
            </w:r>
          </w:p>
        </w:tc>
        <w:tc>
          <w:tcPr>
            <w:tcW w:w="800" w:type="dxa"/>
            <w:vAlign w:val="bottom"/>
            <w:tcBorders>
              <w:bottom w:val="single" w:sz="8" w:color="FF160F"/>
              <w:right w:val="single" w:sz="8" w:color="FF160F"/>
            </w:tcBorders>
            <w:shd w:val="clear" w:color="auto" w:fill="FF160F"/>
          </w:tcPr>
          <w:p>
            <w:pPr>
              <w:spacing w:after="0"/>
              <w:rPr>
                <w:sz w:val="24"/>
                <w:szCs w:val="24"/>
                <w:color w:val="auto"/>
              </w:rPr>
            </w:pPr>
          </w:p>
        </w:tc>
        <w:tc>
          <w:tcPr>
            <w:tcW w:w="840" w:type="dxa"/>
            <w:vAlign w:val="bottom"/>
            <w:tcBorders>
              <w:bottom w:val="single" w:sz="8" w:color="FF160F"/>
              <w:right w:val="single" w:sz="8" w:color="FF160F"/>
            </w:tcBorders>
            <w:shd w:val="clear" w:color="auto" w:fill="FF160F"/>
          </w:tcPr>
          <w:p>
            <w:pPr>
              <w:spacing w:after="0"/>
              <w:rPr>
                <w:sz w:val="24"/>
                <w:szCs w:val="24"/>
                <w:color w:val="auto"/>
              </w:rPr>
            </w:pPr>
          </w:p>
        </w:tc>
        <w:tc>
          <w:tcPr>
            <w:tcW w:w="760" w:type="dxa"/>
            <w:vAlign w:val="bottom"/>
            <w:tcBorders>
              <w:bottom w:val="single" w:sz="8" w:color="FF160F"/>
            </w:tcBorders>
            <w:shd w:val="clear" w:color="auto" w:fill="FF160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64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Qualification/Experience</w:t>
            </w:r>
          </w:p>
        </w:tc>
        <w:tc>
          <w:tcPr>
            <w:tcW w:w="1120" w:type="dxa"/>
            <w:vAlign w:val="bottom"/>
            <w:tcBorders>
              <w:bottom w:val="single" w:sz="8" w:color="auto"/>
              <w:right w:val="single" w:sz="8" w:color="D8D8D8"/>
            </w:tcBorders>
            <w:shd w:val="clear" w:color="auto" w:fill="D8D8D8"/>
          </w:tcPr>
          <w:p>
            <w:pPr>
              <w:spacing w:after="0"/>
              <w:rPr>
                <w:sz w:val="21"/>
                <w:szCs w:val="21"/>
                <w:color w:val="auto"/>
              </w:rPr>
            </w:pPr>
          </w:p>
        </w:tc>
        <w:tc>
          <w:tcPr>
            <w:tcW w:w="840" w:type="dxa"/>
            <w:vAlign w:val="bottom"/>
            <w:tcBorders>
              <w:bottom w:val="single" w:sz="8" w:color="auto"/>
              <w:right w:val="single" w:sz="8" w:color="D8D8D8"/>
            </w:tcBorders>
            <w:shd w:val="clear" w:color="auto" w:fill="D8D8D8"/>
          </w:tcPr>
          <w:p>
            <w:pPr>
              <w:spacing w:after="0"/>
              <w:rPr>
                <w:sz w:val="21"/>
                <w:szCs w:val="21"/>
                <w:color w:val="auto"/>
              </w:rPr>
            </w:pPr>
          </w:p>
        </w:tc>
        <w:tc>
          <w:tcPr>
            <w:tcW w:w="900" w:type="dxa"/>
            <w:vAlign w:val="bottom"/>
            <w:tcBorders>
              <w:bottom w:val="single" w:sz="8" w:color="auto"/>
              <w:right w:val="single" w:sz="8" w:color="D8D8D8"/>
            </w:tcBorders>
            <w:shd w:val="clear" w:color="auto" w:fill="D8D8D8"/>
          </w:tcPr>
          <w:p>
            <w:pPr>
              <w:spacing w:after="0"/>
              <w:rPr>
                <w:sz w:val="21"/>
                <w:szCs w:val="21"/>
                <w:color w:val="auto"/>
              </w:rPr>
            </w:pPr>
          </w:p>
        </w:tc>
        <w:tc>
          <w:tcPr>
            <w:tcW w:w="280" w:type="dxa"/>
            <w:vAlign w:val="bottom"/>
            <w:tcBorders>
              <w:bottom w:val="single" w:sz="8" w:color="auto"/>
            </w:tcBorders>
            <w:shd w:val="clear" w:color="auto" w:fill="D8D8D8"/>
          </w:tcPr>
          <w:p>
            <w:pPr>
              <w:spacing w:after="0"/>
              <w:rPr>
                <w:sz w:val="21"/>
                <w:szCs w:val="21"/>
                <w:color w:val="auto"/>
              </w:rPr>
            </w:pPr>
          </w:p>
        </w:tc>
        <w:tc>
          <w:tcPr>
            <w:tcW w:w="820" w:type="dxa"/>
            <w:vAlign w:val="bottom"/>
            <w:tcBorders>
              <w:bottom w:val="single" w:sz="8" w:color="auto"/>
              <w:right w:val="single" w:sz="8" w:color="D8D8D8"/>
            </w:tcBorders>
            <w:shd w:val="clear" w:color="auto" w:fill="D8D8D8"/>
          </w:tcPr>
          <w:p>
            <w:pPr>
              <w:spacing w:after="0"/>
              <w:rPr>
                <w:sz w:val="21"/>
                <w:szCs w:val="21"/>
                <w:color w:val="auto"/>
              </w:rPr>
            </w:pPr>
          </w:p>
        </w:tc>
        <w:tc>
          <w:tcPr>
            <w:tcW w:w="1020" w:type="dxa"/>
            <w:vAlign w:val="bottom"/>
            <w:tcBorders>
              <w:bottom w:val="single" w:sz="8" w:color="auto"/>
              <w:right w:val="single" w:sz="8" w:color="D8D8D8"/>
            </w:tcBorders>
            <w:shd w:val="clear" w:color="auto" w:fill="D8D8D8"/>
          </w:tcPr>
          <w:p>
            <w:pPr>
              <w:spacing w:after="0"/>
              <w:rPr>
                <w:sz w:val="21"/>
                <w:szCs w:val="21"/>
                <w:color w:val="auto"/>
              </w:rPr>
            </w:pPr>
          </w:p>
        </w:tc>
        <w:tc>
          <w:tcPr>
            <w:tcW w:w="800" w:type="dxa"/>
            <w:vAlign w:val="bottom"/>
            <w:tcBorders>
              <w:bottom w:val="single" w:sz="8" w:color="auto"/>
              <w:right w:val="single" w:sz="8" w:color="D8D8D8"/>
            </w:tcBorders>
            <w:shd w:val="clear" w:color="auto" w:fill="D8D8D8"/>
          </w:tcPr>
          <w:p>
            <w:pPr>
              <w:spacing w:after="0"/>
              <w:rPr>
                <w:sz w:val="21"/>
                <w:szCs w:val="21"/>
                <w:color w:val="auto"/>
              </w:rPr>
            </w:pPr>
          </w:p>
        </w:tc>
        <w:tc>
          <w:tcPr>
            <w:tcW w:w="840" w:type="dxa"/>
            <w:vAlign w:val="bottom"/>
            <w:tcBorders>
              <w:bottom w:val="single" w:sz="8" w:color="auto"/>
              <w:right w:val="single" w:sz="8" w:color="D8D8D8"/>
            </w:tcBorders>
            <w:shd w:val="clear" w:color="auto" w:fill="D8D8D8"/>
          </w:tcPr>
          <w:p>
            <w:pPr>
              <w:spacing w:after="0"/>
              <w:rPr>
                <w:sz w:val="21"/>
                <w:szCs w:val="21"/>
                <w:color w:val="auto"/>
              </w:rPr>
            </w:pPr>
          </w:p>
        </w:tc>
        <w:tc>
          <w:tcPr>
            <w:tcW w:w="760" w:type="dxa"/>
            <w:vAlign w:val="bottom"/>
            <w:tcBorders>
              <w:bottom w:val="single" w:sz="8" w:color="auto"/>
            </w:tcBorders>
            <w:shd w:val="clear" w:color="auto" w:fill="D8D8D8"/>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48"/>
        </w:trPr>
        <w:tc>
          <w:tcPr>
            <w:tcW w:w="3640" w:type="dxa"/>
            <w:vAlign w:val="bottom"/>
          </w:tcPr>
          <w:p>
            <w:pPr>
              <w:ind w:left="880"/>
              <w:spacing w:after="0"/>
              <w:rPr>
                <w:sz w:val="20"/>
                <w:szCs w:val="20"/>
                <w:color w:val="auto"/>
              </w:rPr>
            </w:pPr>
            <w:r>
              <w:rPr>
                <w:rFonts w:ascii="Arial" w:cs="Arial" w:eastAsia="Arial" w:hAnsi="Arial"/>
                <w:sz w:val="16"/>
                <w:szCs w:val="16"/>
                <w:color w:val="auto"/>
              </w:rPr>
              <w:t>Strategic Planning and Leadership</w:t>
            </w:r>
          </w:p>
        </w:tc>
        <w:tc>
          <w:tcPr>
            <w:tcW w:w="112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r>
      <w:tr>
        <w:trPr>
          <w:trHeight w:val="56"/>
        </w:trPr>
        <w:tc>
          <w:tcPr>
            <w:tcW w:w="36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r>
      <w:tr>
        <w:trPr>
          <w:trHeight w:val="248"/>
        </w:trPr>
        <w:tc>
          <w:tcPr>
            <w:tcW w:w="3640" w:type="dxa"/>
            <w:vAlign w:val="bottom"/>
          </w:tcPr>
          <w:p>
            <w:pPr>
              <w:ind w:left="880"/>
              <w:spacing w:after="0"/>
              <w:rPr>
                <w:sz w:val="20"/>
                <w:szCs w:val="20"/>
                <w:color w:val="auto"/>
              </w:rPr>
            </w:pPr>
            <w:r>
              <w:rPr>
                <w:rFonts w:ascii="Arial" w:cs="Arial" w:eastAsia="Arial" w:hAnsi="Arial"/>
                <w:sz w:val="16"/>
                <w:szCs w:val="16"/>
                <w:color w:val="auto"/>
              </w:rPr>
              <w:t>CEO/Executive Management</w:t>
            </w:r>
          </w:p>
        </w:tc>
        <w:tc>
          <w:tcPr>
            <w:tcW w:w="112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r>
      <w:tr>
        <w:trPr>
          <w:trHeight w:val="56"/>
        </w:trPr>
        <w:tc>
          <w:tcPr>
            <w:tcW w:w="36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r>
      <w:tr>
        <w:trPr>
          <w:trHeight w:val="248"/>
        </w:trPr>
        <w:tc>
          <w:tcPr>
            <w:tcW w:w="3640" w:type="dxa"/>
            <w:vAlign w:val="bottom"/>
          </w:tcPr>
          <w:p>
            <w:pPr>
              <w:ind w:left="880"/>
              <w:spacing w:after="0"/>
              <w:rPr>
                <w:sz w:val="20"/>
                <w:szCs w:val="20"/>
                <w:color w:val="auto"/>
              </w:rPr>
            </w:pPr>
            <w:r>
              <w:rPr>
                <w:rFonts w:ascii="Arial" w:cs="Arial" w:eastAsia="Arial" w:hAnsi="Arial"/>
                <w:sz w:val="16"/>
                <w:szCs w:val="16"/>
                <w:color w:val="auto"/>
              </w:rPr>
              <w:t>REIT/Public Company Executive</w:t>
            </w:r>
          </w:p>
        </w:tc>
        <w:tc>
          <w:tcPr>
            <w:tcW w:w="112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r>
      <w:tr>
        <w:trPr>
          <w:trHeight w:val="56"/>
        </w:trPr>
        <w:tc>
          <w:tcPr>
            <w:tcW w:w="36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r>
      <w:tr>
        <w:trPr>
          <w:trHeight w:val="221"/>
        </w:trPr>
        <w:tc>
          <w:tcPr>
            <w:tcW w:w="3640" w:type="dxa"/>
            <w:vAlign w:val="bottom"/>
          </w:tcPr>
          <w:p>
            <w:pPr>
              <w:ind w:left="880"/>
              <w:spacing w:after="0"/>
              <w:rPr>
                <w:sz w:val="20"/>
                <w:szCs w:val="20"/>
                <w:color w:val="auto"/>
              </w:rPr>
            </w:pPr>
            <w:r>
              <w:rPr>
                <w:rFonts w:ascii="Arial" w:cs="Arial" w:eastAsia="Arial" w:hAnsi="Arial"/>
                <w:sz w:val="16"/>
                <w:szCs w:val="16"/>
                <w:color w:val="auto"/>
              </w:rPr>
              <w:t>Public Company Board Service</w:t>
            </w:r>
          </w:p>
        </w:tc>
        <w:tc>
          <w:tcPr>
            <w:tcW w:w="112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9"/>
                <w:szCs w:val="19"/>
                <w:color w:val="auto"/>
              </w:rPr>
            </w:pPr>
          </w:p>
        </w:tc>
      </w:tr>
      <w:tr>
        <w:trPr>
          <w:trHeight w:val="29"/>
        </w:trPr>
        <w:tc>
          <w:tcPr>
            <w:tcW w:w="36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75"/>
        </w:trPr>
        <w:tc>
          <w:tcPr>
            <w:tcW w:w="3640" w:type="dxa"/>
            <w:vAlign w:val="bottom"/>
          </w:tcPr>
          <w:p>
            <w:pPr>
              <w:ind w:left="880"/>
              <w:spacing w:after="0"/>
              <w:rPr>
                <w:sz w:val="20"/>
                <w:szCs w:val="20"/>
                <w:color w:val="auto"/>
              </w:rPr>
            </w:pPr>
            <w:r>
              <w:rPr>
                <w:rFonts w:ascii="Arial" w:cs="Arial" w:eastAsia="Arial" w:hAnsi="Arial"/>
                <w:sz w:val="16"/>
                <w:szCs w:val="16"/>
                <w:color w:val="auto"/>
              </w:rPr>
              <w:t>Financial Expertise/Literacy</w:t>
            </w:r>
          </w:p>
        </w:tc>
        <w:tc>
          <w:tcPr>
            <w:tcW w:w="1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3"/>
                <w:szCs w:val="23"/>
                <w:color w:val="auto"/>
              </w:rPr>
            </w:pPr>
          </w:p>
        </w:tc>
      </w:tr>
      <w:tr>
        <w:trPr>
          <w:trHeight w:val="70"/>
        </w:trPr>
        <w:tc>
          <w:tcPr>
            <w:tcW w:w="364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261"/>
        </w:trPr>
        <w:tc>
          <w:tcPr>
            <w:tcW w:w="3640" w:type="dxa"/>
            <w:vAlign w:val="bottom"/>
          </w:tcPr>
          <w:p>
            <w:pPr>
              <w:ind w:left="880"/>
              <w:spacing w:after="0"/>
              <w:rPr>
                <w:sz w:val="20"/>
                <w:szCs w:val="20"/>
                <w:color w:val="auto"/>
              </w:rPr>
            </w:pPr>
            <w:r>
              <w:rPr>
                <w:rFonts w:ascii="Arial" w:cs="Arial" w:eastAsia="Arial" w:hAnsi="Arial"/>
                <w:sz w:val="16"/>
                <w:szCs w:val="16"/>
                <w:color w:val="auto"/>
              </w:rPr>
              <w:t>Real Estate Investing/Finance</w:t>
            </w:r>
          </w:p>
        </w:tc>
        <w:tc>
          <w:tcPr>
            <w:tcW w:w="11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22"/>
                <w:szCs w:val="22"/>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2"/>
                <w:szCs w:val="22"/>
                <w:color w:val="auto"/>
              </w:rPr>
            </w:pPr>
          </w:p>
        </w:tc>
      </w:tr>
      <w:tr>
        <w:trPr>
          <w:trHeight w:val="70"/>
        </w:trPr>
        <w:tc>
          <w:tcPr>
            <w:tcW w:w="364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275"/>
        </w:trPr>
        <w:tc>
          <w:tcPr>
            <w:tcW w:w="3640" w:type="dxa"/>
            <w:vAlign w:val="bottom"/>
          </w:tcPr>
          <w:p>
            <w:pPr>
              <w:ind w:left="880"/>
              <w:spacing w:after="0"/>
              <w:rPr>
                <w:sz w:val="20"/>
                <w:szCs w:val="20"/>
                <w:color w:val="auto"/>
              </w:rPr>
            </w:pPr>
            <w:r>
              <w:rPr>
                <w:rFonts w:ascii="Arial" w:cs="Arial" w:eastAsia="Arial" w:hAnsi="Arial"/>
                <w:sz w:val="16"/>
                <w:szCs w:val="16"/>
                <w:color w:val="auto"/>
              </w:rPr>
              <w:t>Retail Industry</w:t>
            </w:r>
          </w:p>
        </w:tc>
        <w:tc>
          <w:tcPr>
            <w:tcW w:w="1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r>
      <w:tr>
        <w:trPr>
          <w:trHeight w:val="83"/>
        </w:trPr>
        <w:tc>
          <w:tcPr>
            <w:tcW w:w="364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75"/>
        </w:trPr>
        <w:tc>
          <w:tcPr>
            <w:tcW w:w="3640" w:type="dxa"/>
            <w:vAlign w:val="bottom"/>
          </w:tcPr>
          <w:p>
            <w:pPr>
              <w:ind w:left="880"/>
              <w:spacing w:after="0"/>
              <w:rPr>
                <w:sz w:val="20"/>
                <w:szCs w:val="20"/>
                <w:color w:val="auto"/>
              </w:rPr>
            </w:pPr>
            <w:r>
              <w:rPr>
                <w:rFonts w:ascii="Arial" w:cs="Arial" w:eastAsia="Arial" w:hAnsi="Arial"/>
                <w:sz w:val="16"/>
                <w:szCs w:val="16"/>
                <w:color w:val="auto"/>
              </w:rPr>
              <w:t>Risk Management</w:t>
            </w:r>
          </w:p>
        </w:tc>
        <w:tc>
          <w:tcPr>
            <w:tcW w:w="1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3"/>
                <w:szCs w:val="23"/>
                <w:color w:val="auto"/>
              </w:rPr>
            </w:pPr>
          </w:p>
        </w:tc>
      </w:tr>
      <w:tr>
        <w:trPr>
          <w:trHeight w:val="83"/>
        </w:trPr>
        <w:tc>
          <w:tcPr>
            <w:tcW w:w="364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75"/>
        </w:trPr>
        <w:tc>
          <w:tcPr>
            <w:tcW w:w="3640" w:type="dxa"/>
            <w:vAlign w:val="bottom"/>
          </w:tcPr>
          <w:p>
            <w:pPr>
              <w:ind w:left="880"/>
              <w:spacing w:after="0"/>
              <w:rPr>
                <w:sz w:val="20"/>
                <w:szCs w:val="20"/>
                <w:color w:val="auto"/>
              </w:rPr>
            </w:pPr>
            <w:r>
              <w:rPr>
                <w:rFonts w:ascii="Arial" w:cs="Arial" w:eastAsia="Arial" w:hAnsi="Arial"/>
                <w:sz w:val="16"/>
                <w:szCs w:val="16"/>
                <w:color w:val="auto"/>
              </w:rPr>
              <w:t>Human Capital Management</w:t>
            </w:r>
          </w:p>
        </w:tc>
        <w:tc>
          <w:tcPr>
            <w:tcW w:w="1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3"/>
                <w:szCs w:val="23"/>
                <w:color w:val="auto"/>
              </w:rPr>
            </w:pPr>
          </w:p>
        </w:tc>
      </w:tr>
      <w:tr>
        <w:trPr>
          <w:trHeight w:val="70"/>
        </w:trPr>
        <w:tc>
          <w:tcPr>
            <w:tcW w:w="364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248"/>
        </w:trPr>
        <w:tc>
          <w:tcPr>
            <w:tcW w:w="3640" w:type="dxa"/>
            <w:vAlign w:val="bottom"/>
          </w:tcPr>
          <w:p>
            <w:pPr>
              <w:ind w:left="880"/>
              <w:spacing w:after="0"/>
              <w:rPr>
                <w:sz w:val="20"/>
                <w:szCs w:val="20"/>
                <w:color w:val="auto"/>
              </w:rPr>
            </w:pPr>
            <w:r>
              <w:rPr>
                <w:rFonts w:ascii="Arial" w:cs="Arial" w:eastAsia="Arial" w:hAnsi="Arial"/>
                <w:sz w:val="16"/>
                <w:szCs w:val="16"/>
                <w:color w:val="auto"/>
              </w:rPr>
              <w:t>Corporate Governance</w:t>
            </w:r>
          </w:p>
        </w:tc>
        <w:tc>
          <w:tcPr>
            <w:tcW w:w="112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r>
      <w:tr>
        <w:trPr>
          <w:trHeight w:val="43"/>
        </w:trPr>
        <w:tc>
          <w:tcPr>
            <w:tcW w:w="364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75"/>
        </w:trPr>
        <w:tc>
          <w:tcPr>
            <w:tcW w:w="3640" w:type="dxa"/>
            <w:vAlign w:val="bottom"/>
          </w:tcPr>
          <w:p>
            <w:pPr>
              <w:ind w:left="880"/>
              <w:spacing w:after="0"/>
              <w:rPr>
                <w:sz w:val="20"/>
                <w:szCs w:val="20"/>
                <w:color w:val="auto"/>
              </w:rPr>
            </w:pPr>
            <w:r>
              <w:rPr>
                <w:rFonts w:ascii="Arial" w:cs="Arial" w:eastAsia="Arial" w:hAnsi="Arial"/>
                <w:sz w:val="16"/>
                <w:szCs w:val="16"/>
                <w:color w:val="auto"/>
              </w:rPr>
              <w:t>Sustainability</w:t>
            </w:r>
          </w:p>
        </w:tc>
        <w:tc>
          <w:tcPr>
            <w:tcW w:w="112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3"/>
                <w:szCs w:val="23"/>
                <w:color w:val="auto"/>
              </w:rPr>
            </w:pPr>
          </w:p>
        </w:tc>
      </w:tr>
      <w:tr>
        <w:trPr>
          <w:trHeight w:val="83"/>
        </w:trPr>
        <w:tc>
          <w:tcPr>
            <w:tcW w:w="3640" w:type="dxa"/>
            <w:vAlign w:val="bottom"/>
            <w:tcBorders>
              <w:bottom w:val="single" w:sz="8" w:color="FF160F"/>
            </w:tcBorders>
          </w:tcPr>
          <w:p>
            <w:pPr>
              <w:spacing w:after="0"/>
              <w:rPr>
                <w:sz w:val="7"/>
                <w:szCs w:val="7"/>
                <w:color w:val="auto"/>
              </w:rPr>
            </w:pPr>
          </w:p>
        </w:tc>
        <w:tc>
          <w:tcPr>
            <w:tcW w:w="1120" w:type="dxa"/>
            <w:vAlign w:val="bottom"/>
            <w:tcBorders>
              <w:bottom w:val="single" w:sz="8" w:color="FF160F"/>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57"/>
        </w:trPr>
        <w:tc>
          <w:tcPr>
            <w:tcW w:w="3640" w:type="dxa"/>
            <w:vAlign w:val="bottom"/>
            <w:tcBorders>
              <w:bottom w:val="single" w:sz="8" w:color="FF160F"/>
            </w:tcBorders>
            <w:shd w:val="clear" w:color="auto" w:fill="FF160F"/>
          </w:tcPr>
          <w:p>
            <w:pPr>
              <w:spacing w:after="0"/>
              <w:rPr>
                <w:sz w:val="22"/>
                <w:szCs w:val="22"/>
                <w:color w:val="auto"/>
              </w:rPr>
            </w:pPr>
          </w:p>
        </w:tc>
        <w:tc>
          <w:tcPr>
            <w:tcW w:w="1120" w:type="dxa"/>
            <w:vAlign w:val="bottom"/>
            <w:tcBorders>
              <w:bottom w:val="single" w:sz="8" w:color="FF160F"/>
              <w:right w:val="single" w:sz="8" w:color="FF160F"/>
            </w:tcBorders>
            <w:shd w:val="clear" w:color="auto" w:fill="FF160F"/>
          </w:tcPr>
          <w:p>
            <w:pPr>
              <w:spacing w:after="0"/>
              <w:rPr>
                <w:sz w:val="22"/>
                <w:szCs w:val="22"/>
                <w:color w:val="auto"/>
              </w:rPr>
            </w:pPr>
          </w:p>
        </w:tc>
        <w:tc>
          <w:tcPr>
            <w:tcW w:w="2020" w:type="dxa"/>
            <w:vAlign w:val="bottom"/>
            <w:tcBorders>
              <w:bottom w:val="single" w:sz="8" w:color="FF160F"/>
            </w:tcBorders>
            <w:gridSpan w:val="3"/>
            <w:shd w:val="clear" w:color="auto" w:fill="FF160F"/>
          </w:tcPr>
          <w:p>
            <w:pPr>
              <w:ind w:left="440"/>
              <w:spacing w:after="0"/>
              <w:rPr>
                <w:sz w:val="20"/>
                <w:szCs w:val="20"/>
                <w:color w:val="auto"/>
              </w:rPr>
            </w:pPr>
            <w:r>
              <w:rPr>
                <w:rFonts w:ascii="Arial" w:cs="Arial" w:eastAsia="Arial" w:hAnsi="Arial"/>
                <w:sz w:val="18"/>
                <w:szCs w:val="18"/>
                <w:b w:val="1"/>
                <w:bCs w:val="1"/>
                <w:color w:val="FFFFFF"/>
              </w:rPr>
              <w:t>DEMOGRAPHICS</w:t>
            </w:r>
          </w:p>
        </w:tc>
        <w:tc>
          <w:tcPr>
            <w:tcW w:w="820" w:type="dxa"/>
            <w:vAlign w:val="bottom"/>
            <w:tcBorders>
              <w:bottom w:val="single" w:sz="8" w:color="FF160F"/>
              <w:right w:val="single" w:sz="8" w:color="FF160F"/>
            </w:tcBorders>
            <w:shd w:val="clear" w:color="auto" w:fill="FF160F"/>
          </w:tcPr>
          <w:p>
            <w:pPr>
              <w:spacing w:after="0"/>
              <w:rPr>
                <w:sz w:val="22"/>
                <w:szCs w:val="22"/>
                <w:color w:val="auto"/>
              </w:rPr>
            </w:pPr>
          </w:p>
        </w:tc>
        <w:tc>
          <w:tcPr>
            <w:tcW w:w="1020" w:type="dxa"/>
            <w:vAlign w:val="bottom"/>
            <w:tcBorders>
              <w:bottom w:val="single" w:sz="8" w:color="FF160F"/>
              <w:right w:val="single" w:sz="8" w:color="FF160F"/>
            </w:tcBorders>
            <w:shd w:val="clear" w:color="auto" w:fill="FF160F"/>
          </w:tcPr>
          <w:p>
            <w:pPr>
              <w:spacing w:after="0"/>
              <w:rPr>
                <w:sz w:val="22"/>
                <w:szCs w:val="22"/>
                <w:color w:val="auto"/>
              </w:rPr>
            </w:pPr>
          </w:p>
        </w:tc>
        <w:tc>
          <w:tcPr>
            <w:tcW w:w="800" w:type="dxa"/>
            <w:vAlign w:val="bottom"/>
            <w:tcBorders>
              <w:bottom w:val="single" w:sz="8" w:color="FF160F"/>
              <w:right w:val="single" w:sz="8" w:color="FF160F"/>
            </w:tcBorders>
            <w:shd w:val="clear" w:color="auto" w:fill="FF160F"/>
          </w:tcPr>
          <w:p>
            <w:pPr>
              <w:spacing w:after="0"/>
              <w:rPr>
                <w:sz w:val="22"/>
                <w:szCs w:val="22"/>
                <w:color w:val="auto"/>
              </w:rPr>
            </w:pPr>
          </w:p>
        </w:tc>
        <w:tc>
          <w:tcPr>
            <w:tcW w:w="840" w:type="dxa"/>
            <w:vAlign w:val="bottom"/>
            <w:tcBorders>
              <w:bottom w:val="single" w:sz="8" w:color="FF160F"/>
              <w:right w:val="single" w:sz="8" w:color="FF160F"/>
            </w:tcBorders>
            <w:shd w:val="clear" w:color="auto" w:fill="FF160F"/>
          </w:tcPr>
          <w:p>
            <w:pPr>
              <w:spacing w:after="0"/>
              <w:rPr>
                <w:sz w:val="22"/>
                <w:szCs w:val="22"/>
                <w:color w:val="auto"/>
              </w:rPr>
            </w:pPr>
          </w:p>
        </w:tc>
        <w:tc>
          <w:tcPr>
            <w:tcW w:w="760" w:type="dxa"/>
            <w:vAlign w:val="bottom"/>
            <w:tcBorders>
              <w:bottom w:val="single" w:sz="8" w:color="FF160F"/>
            </w:tcBorders>
            <w:shd w:val="clear" w:color="auto" w:fill="FF160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364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Race/Ethnicity</w:t>
            </w:r>
          </w:p>
        </w:tc>
        <w:tc>
          <w:tcPr>
            <w:tcW w:w="1120" w:type="dxa"/>
            <w:vAlign w:val="bottom"/>
            <w:tcBorders>
              <w:bottom w:val="single" w:sz="8" w:color="auto"/>
              <w:right w:val="single" w:sz="8" w:color="D8D8D8"/>
            </w:tcBorders>
            <w:shd w:val="clear" w:color="auto" w:fill="D8D8D8"/>
          </w:tcPr>
          <w:p>
            <w:pPr>
              <w:spacing w:after="0"/>
              <w:rPr>
                <w:sz w:val="21"/>
                <w:szCs w:val="21"/>
                <w:color w:val="auto"/>
              </w:rPr>
            </w:pPr>
          </w:p>
        </w:tc>
        <w:tc>
          <w:tcPr>
            <w:tcW w:w="840" w:type="dxa"/>
            <w:vAlign w:val="bottom"/>
            <w:tcBorders>
              <w:bottom w:val="single" w:sz="8" w:color="auto"/>
              <w:right w:val="single" w:sz="8" w:color="D8D8D8"/>
            </w:tcBorders>
            <w:shd w:val="clear" w:color="auto" w:fill="D8D8D8"/>
          </w:tcPr>
          <w:p>
            <w:pPr>
              <w:spacing w:after="0"/>
              <w:rPr>
                <w:sz w:val="21"/>
                <w:szCs w:val="21"/>
                <w:color w:val="auto"/>
              </w:rPr>
            </w:pPr>
          </w:p>
        </w:tc>
        <w:tc>
          <w:tcPr>
            <w:tcW w:w="900" w:type="dxa"/>
            <w:vAlign w:val="bottom"/>
            <w:tcBorders>
              <w:bottom w:val="single" w:sz="8" w:color="auto"/>
              <w:right w:val="single" w:sz="8" w:color="D8D8D8"/>
            </w:tcBorders>
            <w:shd w:val="clear" w:color="auto" w:fill="D8D8D8"/>
          </w:tcPr>
          <w:p>
            <w:pPr>
              <w:spacing w:after="0"/>
              <w:rPr>
                <w:sz w:val="21"/>
                <w:szCs w:val="21"/>
                <w:color w:val="auto"/>
              </w:rPr>
            </w:pPr>
          </w:p>
        </w:tc>
        <w:tc>
          <w:tcPr>
            <w:tcW w:w="280" w:type="dxa"/>
            <w:vAlign w:val="bottom"/>
            <w:tcBorders>
              <w:bottom w:val="single" w:sz="8" w:color="auto"/>
            </w:tcBorders>
            <w:shd w:val="clear" w:color="auto" w:fill="D8D8D8"/>
          </w:tcPr>
          <w:p>
            <w:pPr>
              <w:spacing w:after="0"/>
              <w:rPr>
                <w:sz w:val="21"/>
                <w:szCs w:val="21"/>
                <w:color w:val="auto"/>
              </w:rPr>
            </w:pPr>
          </w:p>
        </w:tc>
        <w:tc>
          <w:tcPr>
            <w:tcW w:w="820" w:type="dxa"/>
            <w:vAlign w:val="bottom"/>
            <w:tcBorders>
              <w:bottom w:val="single" w:sz="8" w:color="auto"/>
              <w:right w:val="single" w:sz="8" w:color="D8D8D8"/>
            </w:tcBorders>
            <w:shd w:val="clear" w:color="auto" w:fill="D8D8D8"/>
          </w:tcPr>
          <w:p>
            <w:pPr>
              <w:spacing w:after="0"/>
              <w:rPr>
                <w:sz w:val="21"/>
                <w:szCs w:val="21"/>
                <w:color w:val="auto"/>
              </w:rPr>
            </w:pPr>
          </w:p>
        </w:tc>
        <w:tc>
          <w:tcPr>
            <w:tcW w:w="1020" w:type="dxa"/>
            <w:vAlign w:val="bottom"/>
            <w:tcBorders>
              <w:bottom w:val="single" w:sz="8" w:color="auto"/>
              <w:right w:val="single" w:sz="8" w:color="D8D8D8"/>
            </w:tcBorders>
            <w:shd w:val="clear" w:color="auto" w:fill="D8D8D8"/>
          </w:tcPr>
          <w:p>
            <w:pPr>
              <w:spacing w:after="0"/>
              <w:rPr>
                <w:sz w:val="21"/>
                <w:szCs w:val="21"/>
                <w:color w:val="auto"/>
              </w:rPr>
            </w:pPr>
          </w:p>
        </w:tc>
        <w:tc>
          <w:tcPr>
            <w:tcW w:w="800" w:type="dxa"/>
            <w:vAlign w:val="bottom"/>
            <w:tcBorders>
              <w:bottom w:val="single" w:sz="8" w:color="auto"/>
              <w:right w:val="single" w:sz="8" w:color="D8D8D8"/>
            </w:tcBorders>
            <w:shd w:val="clear" w:color="auto" w:fill="D8D8D8"/>
          </w:tcPr>
          <w:p>
            <w:pPr>
              <w:spacing w:after="0"/>
              <w:rPr>
                <w:sz w:val="21"/>
                <w:szCs w:val="21"/>
                <w:color w:val="auto"/>
              </w:rPr>
            </w:pPr>
          </w:p>
        </w:tc>
        <w:tc>
          <w:tcPr>
            <w:tcW w:w="840" w:type="dxa"/>
            <w:vAlign w:val="bottom"/>
            <w:tcBorders>
              <w:bottom w:val="single" w:sz="8" w:color="auto"/>
              <w:right w:val="single" w:sz="8" w:color="D8D8D8"/>
            </w:tcBorders>
            <w:shd w:val="clear" w:color="auto" w:fill="D8D8D8"/>
          </w:tcPr>
          <w:p>
            <w:pPr>
              <w:spacing w:after="0"/>
              <w:rPr>
                <w:sz w:val="21"/>
                <w:szCs w:val="21"/>
                <w:color w:val="auto"/>
              </w:rPr>
            </w:pPr>
          </w:p>
        </w:tc>
        <w:tc>
          <w:tcPr>
            <w:tcW w:w="760" w:type="dxa"/>
            <w:vAlign w:val="bottom"/>
            <w:tcBorders>
              <w:bottom w:val="single" w:sz="8" w:color="auto"/>
            </w:tcBorders>
            <w:shd w:val="clear" w:color="auto" w:fill="D8D8D8"/>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08"/>
        </w:trPr>
        <w:tc>
          <w:tcPr>
            <w:tcW w:w="3640" w:type="dxa"/>
            <w:vAlign w:val="bottom"/>
          </w:tcPr>
          <w:p>
            <w:pPr>
              <w:ind w:left="220"/>
              <w:spacing w:after="0"/>
              <w:rPr>
                <w:sz w:val="20"/>
                <w:szCs w:val="20"/>
                <w:color w:val="auto"/>
              </w:rPr>
            </w:pPr>
            <w:r>
              <w:rPr>
                <w:rFonts w:ascii="Arial" w:cs="Arial" w:eastAsia="Arial" w:hAnsi="Arial"/>
                <w:sz w:val="16"/>
                <w:szCs w:val="16"/>
                <w:color w:val="auto"/>
              </w:rPr>
              <w:t>Black or African American</w:t>
            </w: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8"/>
        </w:trPr>
        <w:tc>
          <w:tcPr>
            <w:tcW w:w="36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08"/>
        </w:trPr>
        <w:tc>
          <w:tcPr>
            <w:tcW w:w="3640" w:type="dxa"/>
            <w:vAlign w:val="bottom"/>
          </w:tcPr>
          <w:p>
            <w:pPr>
              <w:ind w:left="220"/>
              <w:spacing w:after="0"/>
              <w:rPr>
                <w:sz w:val="20"/>
                <w:szCs w:val="20"/>
                <w:color w:val="auto"/>
              </w:rPr>
            </w:pPr>
            <w:r>
              <w:rPr>
                <w:rFonts w:ascii="Arial" w:cs="Arial" w:eastAsia="Arial" w:hAnsi="Arial"/>
                <w:sz w:val="16"/>
                <w:szCs w:val="16"/>
                <w:color w:val="auto"/>
              </w:rPr>
              <w:t>White</w:t>
            </w: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r>
      <w:tr>
        <w:trPr>
          <w:trHeight w:val="28"/>
        </w:trPr>
        <w:tc>
          <w:tcPr>
            <w:tcW w:w="36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23"/>
        </w:trPr>
        <w:tc>
          <w:tcPr>
            <w:tcW w:w="364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Gender</w:t>
            </w:r>
          </w:p>
        </w:tc>
        <w:tc>
          <w:tcPr>
            <w:tcW w:w="1120" w:type="dxa"/>
            <w:vAlign w:val="bottom"/>
            <w:tcBorders>
              <w:bottom w:val="single" w:sz="8" w:color="auto"/>
              <w:right w:val="single" w:sz="8" w:color="D8D8D8"/>
            </w:tcBorders>
            <w:shd w:val="clear" w:color="auto" w:fill="D8D8D8"/>
          </w:tcPr>
          <w:p>
            <w:pPr>
              <w:spacing w:after="0"/>
              <w:rPr>
                <w:sz w:val="19"/>
                <w:szCs w:val="19"/>
                <w:color w:val="auto"/>
              </w:rPr>
            </w:pPr>
          </w:p>
        </w:tc>
        <w:tc>
          <w:tcPr>
            <w:tcW w:w="840" w:type="dxa"/>
            <w:vAlign w:val="bottom"/>
            <w:tcBorders>
              <w:bottom w:val="single" w:sz="8" w:color="auto"/>
              <w:right w:val="single" w:sz="8" w:color="D8D8D8"/>
            </w:tcBorders>
            <w:shd w:val="clear" w:color="auto" w:fill="D8D8D8"/>
          </w:tcPr>
          <w:p>
            <w:pPr>
              <w:spacing w:after="0"/>
              <w:rPr>
                <w:sz w:val="19"/>
                <w:szCs w:val="19"/>
                <w:color w:val="auto"/>
              </w:rPr>
            </w:pPr>
          </w:p>
        </w:tc>
        <w:tc>
          <w:tcPr>
            <w:tcW w:w="900" w:type="dxa"/>
            <w:vAlign w:val="bottom"/>
            <w:tcBorders>
              <w:bottom w:val="single" w:sz="8" w:color="auto"/>
              <w:right w:val="single" w:sz="8" w:color="D8D8D8"/>
            </w:tcBorders>
            <w:shd w:val="clear" w:color="auto" w:fill="D8D8D8"/>
          </w:tcPr>
          <w:p>
            <w:pPr>
              <w:spacing w:after="0"/>
              <w:rPr>
                <w:sz w:val="19"/>
                <w:szCs w:val="19"/>
                <w:color w:val="auto"/>
              </w:rPr>
            </w:pPr>
          </w:p>
        </w:tc>
        <w:tc>
          <w:tcPr>
            <w:tcW w:w="280" w:type="dxa"/>
            <w:vAlign w:val="bottom"/>
            <w:tcBorders>
              <w:bottom w:val="single" w:sz="8" w:color="auto"/>
            </w:tcBorders>
            <w:shd w:val="clear" w:color="auto" w:fill="D8D8D8"/>
          </w:tcPr>
          <w:p>
            <w:pPr>
              <w:spacing w:after="0"/>
              <w:rPr>
                <w:sz w:val="19"/>
                <w:szCs w:val="19"/>
                <w:color w:val="auto"/>
              </w:rPr>
            </w:pPr>
          </w:p>
        </w:tc>
        <w:tc>
          <w:tcPr>
            <w:tcW w:w="820" w:type="dxa"/>
            <w:vAlign w:val="bottom"/>
            <w:tcBorders>
              <w:bottom w:val="single" w:sz="8" w:color="auto"/>
              <w:right w:val="single" w:sz="8" w:color="D8D8D8"/>
            </w:tcBorders>
            <w:shd w:val="clear" w:color="auto" w:fill="D8D8D8"/>
          </w:tcPr>
          <w:p>
            <w:pPr>
              <w:spacing w:after="0"/>
              <w:rPr>
                <w:sz w:val="19"/>
                <w:szCs w:val="19"/>
                <w:color w:val="auto"/>
              </w:rPr>
            </w:pPr>
          </w:p>
        </w:tc>
        <w:tc>
          <w:tcPr>
            <w:tcW w:w="1020" w:type="dxa"/>
            <w:vAlign w:val="bottom"/>
            <w:tcBorders>
              <w:bottom w:val="single" w:sz="8" w:color="auto"/>
              <w:right w:val="single" w:sz="8" w:color="D8D8D8"/>
            </w:tcBorders>
            <w:shd w:val="clear" w:color="auto" w:fill="D8D8D8"/>
          </w:tcPr>
          <w:p>
            <w:pPr>
              <w:spacing w:after="0"/>
              <w:rPr>
                <w:sz w:val="19"/>
                <w:szCs w:val="19"/>
                <w:color w:val="auto"/>
              </w:rPr>
            </w:pPr>
          </w:p>
        </w:tc>
        <w:tc>
          <w:tcPr>
            <w:tcW w:w="800" w:type="dxa"/>
            <w:vAlign w:val="bottom"/>
            <w:tcBorders>
              <w:bottom w:val="single" w:sz="8" w:color="auto"/>
              <w:right w:val="single" w:sz="8" w:color="D8D8D8"/>
            </w:tcBorders>
            <w:shd w:val="clear" w:color="auto" w:fill="D8D8D8"/>
          </w:tcPr>
          <w:p>
            <w:pPr>
              <w:spacing w:after="0"/>
              <w:rPr>
                <w:sz w:val="19"/>
                <w:szCs w:val="19"/>
                <w:color w:val="auto"/>
              </w:rPr>
            </w:pPr>
          </w:p>
        </w:tc>
        <w:tc>
          <w:tcPr>
            <w:tcW w:w="840" w:type="dxa"/>
            <w:vAlign w:val="bottom"/>
            <w:tcBorders>
              <w:bottom w:val="single" w:sz="8" w:color="auto"/>
              <w:right w:val="single" w:sz="8" w:color="D8D8D8"/>
            </w:tcBorders>
            <w:shd w:val="clear" w:color="auto" w:fill="D8D8D8"/>
          </w:tcPr>
          <w:p>
            <w:pPr>
              <w:spacing w:after="0"/>
              <w:rPr>
                <w:sz w:val="19"/>
                <w:szCs w:val="19"/>
                <w:color w:val="auto"/>
              </w:rPr>
            </w:pPr>
          </w:p>
        </w:tc>
        <w:tc>
          <w:tcPr>
            <w:tcW w:w="760" w:type="dxa"/>
            <w:vAlign w:val="bottom"/>
            <w:tcBorders>
              <w:bottom w:val="single" w:sz="8" w:color="auto"/>
            </w:tcBorders>
            <w:shd w:val="clear" w:color="auto" w:fill="D8D8D8"/>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08"/>
        </w:trPr>
        <w:tc>
          <w:tcPr>
            <w:tcW w:w="3640" w:type="dxa"/>
            <w:vAlign w:val="bottom"/>
          </w:tcPr>
          <w:p>
            <w:pPr>
              <w:ind w:left="220"/>
              <w:spacing w:after="0"/>
              <w:rPr>
                <w:sz w:val="20"/>
                <w:szCs w:val="20"/>
                <w:color w:val="auto"/>
              </w:rPr>
            </w:pPr>
            <w:r>
              <w:rPr>
                <w:rFonts w:ascii="Arial" w:cs="Arial" w:eastAsia="Arial" w:hAnsi="Arial"/>
                <w:sz w:val="16"/>
                <w:szCs w:val="16"/>
                <w:color w:val="auto"/>
              </w:rPr>
              <w:t>Female</w:t>
            </w: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8"/>
        </w:trPr>
        <w:tc>
          <w:tcPr>
            <w:tcW w:w="36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08"/>
        </w:trPr>
        <w:tc>
          <w:tcPr>
            <w:tcW w:w="3640" w:type="dxa"/>
            <w:vAlign w:val="bottom"/>
          </w:tcPr>
          <w:p>
            <w:pPr>
              <w:ind w:left="220"/>
              <w:spacing w:after="0"/>
              <w:rPr>
                <w:sz w:val="20"/>
                <w:szCs w:val="20"/>
                <w:color w:val="auto"/>
              </w:rPr>
            </w:pPr>
            <w:r>
              <w:rPr>
                <w:rFonts w:ascii="Arial" w:cs="Arial" w:eastAsia="Arial" w:hAnsi="Arial"/>
                <w:sz w:val="16"/>
                <w:szCs w:val="16"/>
                <w:color w:val="auto"/>
              </w:rPr>
              <w:t>Male</w:t>
            </w: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18"/>
                <w:szCs w:val="18"/>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r>
      <w:tr>
        <w:trPr>
          <w:trHeight w:val="35"/>
        </w:trPr>
        <w:tc>
          <w:tcPr>
            <w:tcW w:w="364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-3548380</wp:posOffset>
            </wp:positionV>
            <wp:extent cx="16319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-3342640</wp:posOffset>
            </wp:positionV>
            <wp:extent cx="15430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-3136900</wp:posOffset>
            </wp:positionV>
            <wp:extent cx="18859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-2931160</wp:posOffset>
            </wp:positionV>
            <wp:extent cx="179705"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9705" cy="12001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-2759710</wp:posOffset>
            </wp:positionV>
            <wp:extent cx="179705"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-2528570</wp:posOffset>
            </wp:positionV>
            <wp:extent cx="17970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9705" cy="17145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-2305685</wp:posOffset>
            </wp:positionV>
            <wp:extent cx="18859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-2065020</wp:posOffset>
            </wp:positionV>
            <wp:extent cx="18859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-1825625</wp:posOffset>
            </wp:positionV>
            <wp:extent cx="154305"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18034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-1593850</wp:posOffset>
            </wp:positionV>
            <wp:extent cx="19685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6850" cy="14541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-1397000</wp:posOffset>
            </wp:positionV>
            <wp:extent cx="22288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2885" cy="188595"/>
                    </a:xfrm>
                    <a:prstGeom prst="rect">
                      <a:avLst/>
                    </a:prstGeom>
                    <a:noFill/>
                  </pic:spPr>
                </pic:pic>
              </a:graphicData>
            </a:graphic>
          </wp:anchor>
        </w:drawing>
      </w:r>
    </w:p>
    <w:p>
      <w:pPr>
        <w:spacing w:after="0" w:line="177"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To identify, recruit and evaluate qualified candidates for the Board, the Board first looks to individuals known to current Board members through business and other relationships. Mr. McEachin who was appointed to the Board in 2022 was identified by a trustee. If the Board is not able to identify qualified candidates in the foregoing way, the services of a professional search firm would be used. In addition, any shareholder, or a group of up to 20 shareholders, that has continuously owned for 3 years at least 3% of the Company’s outstanding common shares can nominate and include in the Company’s annual meeting proxy materials up to the greater of two trustees or 20% of the number of trustees serving on the Board, provided that the shareholder(s) and the nominee(s) satisfy the requirements set forth in our Bylaws. For further information regarding submission of a trustee nominee using the Company’s proxy access Bylaw provision or otherwise, see the “Shareholder Proposals for the 2024 Annual Meeting” section starting at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83185</wp:posOffset>
            </wp:positionV>
            <wp:extent cx="701230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9"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12</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NOMINEE DIVERSITY AND TENURE</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Board believes that a mix of skills, qualifications, ages, tenure and diversity are important considerations in identifying nominees so that the Board as a whole has the different viewpoints needed to provide appropriate oversight of the Company’s business. Among the many items the Board takes into account, the Board specifically considers the gender and race/ethnicity of prospective nominees in order to ensure diverse representation on the Board.</w:t>
      </w:r>
    </w:p>
    <w:p>
      <w:pPr>
        <w:spacing w:after="0" w:line="201" w:lineRule="exact"/>
        <w:rPr>
          <w:sz w:val="20"/>
          <w:szCs w:val="20"/>
          <w:color w:val="auto"/>
        </w:rPr>
      </w:pPr>
    </w:p>
    <w:p>
      <w:pPr>
        <w:ind w:left="1680"/>
        <w:spacing w:after="0"/>
        <w:tabs>
          <w:tab w:leader="none" w:pos="5260" w:val="left"/>
          <w:tab w:leader="none" w:pos="8060" w:val="left"/>
        </w:tabs>
        <w:rPr>
          <w:sz w:val="20"/>
          <w:szCs w:val="20"/>
          <w:color w:val="auto"/>
        </w:rPr>
      </w:pPr>
      <w:r>
        <w:rPr>
          <w:rFonts w:ascii="Arial" w:cs="Arial" w:eastAsia="Arial" w:hAnsi="Arial"/>
          <w:sz w:val="18"/>
          <w:szCs w:val="18"/>
          <w:color w:val="FF160F"/>
        </w:rPr>
        <w:t>AGE</w:t>
      </w:r>
      <w:r>
        <w:rPr>
          <w:sz w:val="20"/>
          <w:szCs w:val="20"/>
          <w:color w:val="auto"/>
        </w:rPr>
        <w:tab/>
      </w:r>
      <w:r>
        <w:rPr>
          <w:rFonts w:ascii="Arial" w:cs="Arial" w:eastAsia="Arial" w:hAnsi="Arial"/>
          <w:sz w:val="18"/>
          <w:szCs w:val="18"/>
          <w:color w:val="FF160F"/>
        </w:rPr>
        <w:t>TENURE</w:t>
      </w:r>
      <w:r>
        <w:rPr>
          <w:sz w:val="20"/>
          <w:szCs w:val="20"/>
          <w:color w:val="auto"/>
        </w:rPr>
        <w:tab/>
      </w:r>
      <w:r>
        <w:rPr>
          <w:rFonts w:ascii="Arial" w:cs="Arial" w:eastAsia="Arial" w:hAnsi="Arial"/>
          <w:sz w:val="17"/>
          <w:szCs w:val="17"/>
          <w:color w:val="FF160F"/>
        </w:rPr>
        <w:t>GENDER &amp; 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52070</wp:posOffset>
            </wp:positionV>
            <wp:extent cx="6549390" cy="11315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49390" cy="11315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Average age of independent trustees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Average tenure of independent trustees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Committees chaired by women</w:t>
      </w:r>
    </w:p>
    <w:p>
      <w:pPr>
        <w:spacing w:after="0" w:line="31" w:lineRule="exact"/>
        <w:rPr>
          <w:sz w:val="20"/>
          <w:szCs w:val="20"/>
          <w:color w:val="auto"/>
        </w:rPr>
      </w:pPr>
    </w:p>
    <w:p>
      <w:pPr>
        <w:sectPr>
          <w:pgSz w:w="11900" w:h="16838" w:orient="portrait"/>
          <w:cols w:equalWidth="0" w:num="3">
            <w:col w:w="3520" w:space="720"/>
            <w:col w:w="3340" w:space="720"/>
            <w:col w:w="2840"/>
          </w:cols>
          <w:pgMar w:left="320" w:top="482" w:right="439" w:bottom="1440" w:gutter="0" w:footer="0" w:header="0"/>
          <w:type w:val="continuous"/>
        </w:sectPr>
      </w:pPr>
    </w:p>
    <w:p>
      <w:pPr>
        <w:ind w:left="1480"/>
        <w:spacing w:after="0"/>
        <w:rPr>
          <w:sz w:val="20"/>
          <w:szCs w:val="20"/>
          <w:color w:val="auto"/>
        </w:rPr>
      </w:pPr>
      <w:r>
        <w:rPr>
          <w:rFonts w:ascii="Arial" w:cs="Arial" w:eastAsia="Arial" w:hAnsi="Arial"/>
          <w:sz w:val="16"/>
          <w:szCs w:val="16"/>
          <w:b w:val="1"/>
          <w:bCs w:val="1"/>
          <w:color w:val="FF160F"/>
        </w:rPr>
        <w:t>62.3 years</w:t>
      </w:r>
    </w:p>
    <w:p>
      <w:pPr>
        <w:spacing w:after="0" w:line="20" w:lineRule="exact"/>
        <w:rPr>
          <w:sz w:val="20"/>
          <w:szCs w:val="20"/>
          <w:color w:val="auto"/>
        </w:rPr>
      </w:pPr>
      <w:r>
        <w:rPr>
          <w:sz w:val="20"/>
          <w:szCs w:val="20"/>
          <w:color w:val="auto"/>
        </w:rPr>
        <w:br w:type="column"/>
      </w:r>
    </w:p>
    <w:p>
      <w:pPr>
        <w:jc w:val="center"/>
        <w:ind w:right="2520"/>
        <w:spacing w:after="0"/>
        <w:rPr>
          <w:sz w:val="20"/>
          <w:szCs w:val="20"/>
          <w:color w:val="auto"/>
        </w:rPr>
      </w:pPr>
      <w:r>
        <w:rPr>
          <w:rFonts w:ascii="Arial" w:cs="Arial" w:eastAsia="Arial" w:hAnsi="Arial"/>
          <w:sz w:val="15"/>
          <w:szCs w:val="15"/>
          <w:b w:val="1"/>
          <w:bCs w:val="1"/>
          <w:color w:val="FF160F"/>
        </w:rPr>
        <w:t>8.3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FF160F"/>
        </w:rPr>
        <w:t>67%</w:t>
      </w:r>
    </w:p>
    <w:p>
      <w:pPr>
        <w:spacing w:after="0" w:line="211" w:lineRule="exact"/>
        <w:rPr>
          <w:sz w:val="20"/>
          <w:szCs w:val="20"/>
          <w:color w:val="auto"/>
        </w:rPr>
      </w:pPr>
    </w:p>
    <w:p>
      <w:pPr>
        <w:sectPr>
          <w:pgSz w:w="11900" w:h="16838" w:orient="portrait"/>
          <w:cols w:equalWidth="0" w:num="3">
            <w:col w:w="4600" w:space="720"/>
            <w:col w:w="3200" w:space="720"/>
            <w:col w:w="1900"/>
          </w:cols>
          <w:pgMar w:left="320" w:top="482" w:right="439" w:bottom="1440" w:gutter="0" w:footer="0" w:header="0"/>
          <w:type w:val="continuous"/>
        </w:sectPr>
      </w:pPr>
    </w:p>
    <w:p>
      <w:pPr>
        <w:spacing w:after="0" w:line="31" w:lineRule="exact"/>
        <w:rPr>
          <w:sz w:val="20"/>
          <w:szCs w:val="20"/>
          <w:color w:val="auto"/>
        </w:rPr>
      </w:pPr>
    </w:p>
    <w:p>
      <w:pPr>
        <w:ind w:left="540" w:hanging="424"/>
        <w:spacing w:after="0"/>
        <w:tabs>
          <w:tab w:leader="none" w:pos="540" w:val="left"/>
        </w:tabs>
        <w:numPr>
          <w:ilvl w:val="0"/>
          <w:numId w:val="4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OUR NOMINEES</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following biographical descriptions set forth certain information with respect to each nominee for election at the 2023 Annual Meeting as well as the specific experience, qualifications, attributes and skills that led to our Board’s conclusion that each nominee should serve as a trustee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76200</wp:posOffset>
            </wp:positionV>
            <wp:extent cx="701230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18"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13</w:t>
      </w:r>
    </w:p>
    <w:p>
      <w:pPr>
        <w:sectPr>
          <w:pgSz w:w="11900" w:h="16838" w:orient="portrait"/>
          <w:cols w:equalWidth="0" w:num="1">
            <w:col w:w="11140"/>
          </w:cols>
          <w:pgMar w:left="320" w:top="482"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DAVID W. FAEDER</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Age: 66</w:t>
      </w:r>
    </w:p>
    <w:p>
      <w:pPr>
        <w:ind w:left="2780"/>
        <w:spacing w:after="0" w:line="234" w:lineRule="auto"/>
        <w:rPr>
          <w:sz w:val="20"/>
          <w:szCs w:val="20"/>
          <w:color w:val="auto"/>
        </w:rPr>
      </w:pPr>
      <w:r>
        <w:rPr>
          <w:rFonts w:ascii="Arial" w:cs="Arial" w:eastAsia="Arial" w:hAnsi="Arial"/>
          <w:sz w:val="18"/>
          <w:szCs w:val="18"/>
          <w:color w:val="auto"/>
        </w:rPr>
        <w:t>Trustee Since: 2003</w:t>
      </w:r>
    </w:p>
    <w:p>
      <w:pPr>
        <w:ind w:left="2780"/>
        <w:spacing w:after="0" w:line="235" w:lineRule="auto"/>
        <w:rPr>
          <w:sz w:val="20"/>
          <w:szCs w:val="20"/>
          <w:color w:val="auto"/>
        </w:rPr>
      </w:pPr>
      <w:r>
        <w:rPr>
          <w:rFonts w:ascii="Arial" w:cs="Arial" w:eastAsia="Arial" w:hAnsi="Arial"/>
          <w:sz w:val="18"/>
          <w:szCs w:val="18"/>
          <w:b w:val="1"/>
          <w:bCs w:val="1"/>
          <w:color w:val="auto"/>
        </w:rPr>
        <w:t>Non-Executive Chairman</w:t>
      </w:r>
    </w:p>
    <w:p>
      <w:pPr>
        <w:ind w:left="2780"/>
        <w:spacing w:after="0" w:line="235" w:lineRule="auto"/>
        <w:rPr>
          <w:sz w:val="20"/>
          <w:szCs w:val="20"/>
          <w:color w:val="auto"/>
        </w:rPr>
      </w:pPr>
      <w:r>
        <w:rPr>
          <w:rFonts w:ascii="Arial" w:cs="Arial" w:eastAsia="Arial" w:hAnsi="Arial"/>
          <w:sz w:val="18"/>
          <w:szCs w:val="18"/>
          <w:color w:val="auto"/>
        </w:rPr>
        <w:t>Managing Partner Fountain</w:t>
      </w:r>
    </w:p>
    <w:p>
      <w:pPr>
        <w:ind w:left="2780"/>
        <w:spacing w:after="0" w:line="235" w:lineRule="auto"/>
        <w:rPr>
          <w:sz w:val="20"/>
          <w:szCs w:val="20"/>
          <w:color w:val="auto"/>
        </w:rPr>
      </w:pPr>
      <w:r>
        <w:rPr>
          <w:rFonts w:ascii="Arial" w:cs="Arial" w:eastAsia="Arial" w:hAnsi="Arial"/>
          <w:sz w:val="18"/>
          <w:szCs w:val="18"/>
          <w:color w:val="auto"/>
        </w:rPr>
        <w:t>Square Properties and</w:t>
      </w:r>
    </w:p>
    <w:p>
      <w:pPr>
        <w:ind w:left="2780"/>
        <w:spacing w:after="0" w:line="235" w:lineRule="auto"/>
        <w:rPr>
          <w:sz w:val="20"/>
          <w:szCs w:val="20"/>
          <w:color w:val="auto"/>
        </w:rPr>
      </w:pPr>
      <w:r>
        <w:rPr>
          <w:rFonts w:ascii="Arial" w:cs="Arial" w:eastAsia="Arial" w:hAnsi="Arial"/>
          <w:sz w:val="18"/>
          <w:szCs w:val="18"/>
          <w:color w:val="auto"/>
        </w:rPr>
        <w:t>Managing Member Kensington</w:t>
      </w:r>
    </w:p>
    <w:p>
      <w:pPr>
        <w:ind w:left="2780"/>
        <w:spacing w:after="0"/>
        <w:rPr>
          <w:sz w:val="20"/>
          <w:szCs w:val="20"/>
          <w:color w:val="auto"/>
        </w:rPr>
      </w:pPr>
      <w:r>
        <w:rPr>
          <w:rFonts w:ascii="Arial" w:cs="Arial" w:eastAsia="Arial" w:hAnsi="Arial"/>
          <w:sz w:val="18"/>
          <w:szCs w:val="18"/>
          <w:color w:val="auto"/>
        </w:rPr>
        <w:t>Senior Living</w:t>
      </w:r>
    </w:p>
    <w:p>
      <w:pPr>
        <w:spacing w:after="0" w:line="261" w:lineRule="exact"/>
        <w:rPr>
          <w:sz w:val="20"/>
          <w:szCs w:val="20"/>
          <w:color w:val="auto"/>
        </w:rPr>
      </w:pPr>
    </w:p>
    <w:p>
      <w:pPr>
        <w:jc w:val="both"/>
        <w:ind w:left="580" w:right="40"/>
        <w:spacing w:after="0" w:line="237" w:lineRule="auto"/>
        <w:rPr>
          <w:sz w:val="20"/>
          <w:szCs w:val="20"/>
          <w:color w:val="auto"/>
        </w:rPr>
      </w:pPr>
      <w:r>
        <w:rPr>
          <w:rFonts w:ascii="Arial" w:cs="Arial" w:eastAsia="Arial" w:hAnsi="Arial"/>
          <w:sz w:val="18"/>
          <w:szCs w:val="18"/>
          <w:color w:val="auto"/>
        </w:rPr>
        <w:t>Mr. Faeder has been the managing partner of Fountain Square Properties since 2003 and managing member of Kensington Senior Living since 2011, both of which are focused on the ownership, operation and development of senior housing. Prior to that, he held various positions at Sunrise Senior Living from 1993 to 2003. Those positions included Vice Chairman, President and Executive Vice President-Chief Financial Officer. Mr. Faeder began his career in public accounting before moving into investment banking immediately prior to joining Sunrise. Mr. Faeder received a BS in Business Administration from Old Dominion University and an MBA from the Colgate Darden Graduate School of Business at the University of Virginia. Mr. Faeder has been designated by the Board as an audit committee financial expert in accordance with the SEC definition.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right="40"/>
        <w:spacing w:after="0" w:line="236" w:lineRule="auto"/>
        <w:rPr>
          <w:sz w:val="20"/>
          <w:szCs w:val="20"/>
          <w:color w:val="auto"/>
        </w:rPr>
      </w:pPr>
      <w:r>
        <w:rPr>
          <w:rFonts w:ascii="Arial" w:cs="Arial" w:eastAsia="Arial" w:hAnsi="Arial"/>
          <w:sz w:val="18"/>
          <w:szCs w:val="18"/>
          <w:color w:val="auto"/>
        </w:rPr>
        <w:t>Mr. Faeder has deep levels of experience in leadership, real estate investment and development as well as finance and accounting acquired from his time as a private investor and as a public company real estate CFO coupled with his public company and accounting background. This experience provides valuable perspective on our investment decisions, alignment of our capital structure to support those investments and on our financial reporting. His experience in senior living also provides valuable insights for a growing area that could be a source of additional value creation at a number of our properties.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Other Public Company Directorships:</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Arlington Asset Investment Corp.</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Audit Committee</w:t>
      </w:r>
    </w:p>
    <w:p>
      <w:pPr>
        <w:ind w:left="580"/>
        <w:spacing w:after="0"/>
        <w:rPr>
          <w:sz w:val="20"/>
          <w:szCs w:val="20"/>
          <w:color w:val="auto"/>
        </w:rPr>
      </w:pPr>
      <w:r>
        <w:rPr>
          <w:rFonts w:ascii="Arial" w:cs="Arial" w:eastAsia="Arial" w:hAnsi="Arial"/>
          <w:sz w:val="18"/>
          <w:szCs w:val="18"/>
          <w:color w:val="auto"/>
        </w:rPr>
        <w:t>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ELIZABETH I.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-993140</wp:posOffset>
            </wp:positionV>
            <wp:extent cx="7174865" cy="7054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705485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Age: 57</w:t>
      </w:r>
    </w:p>
    <w:p>
      <w:pPr>
        <w:ind w:left="2200"/>
        <w:spacing w:after="0" w:line="234" w:lineRule="auto"/>
        <w:rPr>
          <w:sz w:val="20"/>
          <w:szCs w:val="20"/>
          <w:color w:val="auto"/>
        </w:rPr>
      </w:pPr>
      <w:r>
        <w:rPr>
          <w:rFonts w:ascii="Arial" w:cs="Arial" w:eastAsia="Arial" w:hAnsi="Arial"/>
          <w:sz w:val="18"/>
          <w:szCs w:val="18"/>
          <w:color w:val="auto"/>
        </w:rPr>
        <w:t>Trustee Since: 2017</w:t>
      </w:r>
    </w:p>
    <w:p>
      <w:pPr>
        <w:ind w:left="2200"/>
        <w:spacing w:after="0" w:line="235" w:lineRule="auto"/>
        <w:rPr>
          <w:sz w:val="20"/>
          <w:szCs w:val="20"/>
          <w:color w:val="auto"/>
        </w:rPr>
      </w:pPr>
      <w:r>
        <w:rPr>
          <w:rFonts w:ascii="Arial" w:cs="Arial" w:eastAsia="Arial" w:hAnsi="Arial"/>
          <w:sz w:val="18"/>
          <w:szCs w:val="18"/>
          <w:color w:val="auto"/>
        </w:rPr>
        <w:t>Chief Executive Officer Abbell</w:t>
      </w:r>
    </w:p>
    <w:p>
      <w:pPr>
        <w:ind w:left="2200"/>
        <w:spacing w:after="0" w:line="235" w:lineRule="auto"/>
        <w:rPr>
          <w:sz w:val="20"/>
          <w:szCs w:val="20"/>
          <w:color w:val="auto"/>
        </w:rPr>
      </w:pPr>
      <w:r>
        <w:rPr>
          <w:rFonts w:ascii="Arial" w:cs="Arial" w:eastAsia="Arial" w:hAnsi="Arial"/>
          <w:sz w:val="18"/>
          <w:szCs w:val="18"/>
          <w:color w:val="auto"/>
        </w:rPr>
        <w:t>Credit Corporation and Abbell</w:t>
      </w:r>
    </w:p>
    <w:p>
      <w:pPr>
        <w:ind w:left="2200"/>
        <w:spacing w:after="0"/>
        <w:rPr>
          <w:sz w:val="20"/>
          <w:szCs w:val="20"/>
          <w:color w:val="auto"/>
        </w:rPr>
      </w:pPr>
      <w:r>
        <w:rPr>
          <w:rFonts w:ascii="Arial" w:cs="Arial" w:eastAsia="Arial" w:hAnsi="Arial"/>
          <w:sz w:val="18"/>
          <w:szCs w:val="18"/>
          <w:color w:val="auto"/>
        </w:rPr>
        <w:t>Associates,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Ms. Holland is the Chief Executive Officer of Abbell Credit Corporation and Abbell Associates, LLC, a private retail real estate company. She has held that position since 1997. Prior to that, she served as a senior staff attorney on the Congressional Bankruptcy Review Commission (1996-1997), as a business reorganization attorney at Skadden, Arps, Slate, Meagher &amp; Flom (1993-1996) and as a fixed income portfolio manager at Brown Brothers Harriman &amp; Company from (1989-1990). From 2016-2017, Ms. Holland served as the Chairman of the Board of Trustees for ICSC (f/k/a International Council of Shopping Centers) and has served as a trustee for that organization since 2004. Ms. Holland earned a BA from Hamilton College and a JD from Brooklyn Law School. In addition to her public board service, Ms. Holland serves on the boards of 1000 Friends of Iowa, a non-profit organization focused on responsible land use, and Primo Center for Women &amp; Children whose mission is to provide family shelter and permanent supportive housing and other supportive services to homeless families in Chicago.</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Ms. Holland brings valuable insights into retailers and the retail industry in general from her time in leadership positions with ICSC and her own investing experience in retail real estate as well as a wealth of business and leadership experience from running a private real estate company. Those perspectives are invaluable for a retail based real estate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VICI Properties,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rPr>
          <w:sz w:val="20"/>
          <w:szCs w:val="20"/>
          <w:color w:val="auto"/>
        </w:rPr>
      </w:pPr>
      <w:r>
        <w:rPr>
          <w:rFonts w:ascii="Arial" w:cs="Arial" w:eastAsia="Arial" w:hAnsi="Arial"/>
          <w:sz w:val="18"/>
          <w:szCs w:val="18"/>
          <w:color w:val="auto"/>
        </w:rPr>
        <w:t>Compensation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357505</wp:posOffset>
            </wp:positionV>
            <wp:extent cx="701230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2">
            <w:col w:w="5240" w:space="620"/>
            <w:col w:w="4840"/>
          </w:cols>
          <w:pgMar w:left="320" w:top="482" w:right="879" w:bottom="1440" w:gutter="0" w:footer="0" w:header="0"/>
        </w:sectPr>
      </w:pPr>
    </w:p>
    <w:p>
      <w:pPr>
        <w:spacing w:after="0" w:line="179"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14</w:t>
      </w:r>
    </w:p>
    <w:p>
      <w:pPr>
        <w:sectPr>
          <w:pgSz w:w="11900" w:h="16838" w:orient="portrait"/>
          <w:cols w:equalWidth="0" w:num="1">
            <w:col w:w="10700"/>
          </w:cols>
          <w:pgMar w:left="320" w:top="482" w:right="8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6883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688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NICOLE Y. LAMB-HALE</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Age: 56</w:t>
      </w:r>
    </w:p>
    <w:p>
      <w:pPr>
        <w:ind w:left="2920"/>
        <w:spacing w:after="0" w:line="234" w:lineRule="auto"/>
        <w:rPr>
          <w:sz w:val="20"/>
          <w:szCs w:val="20"/>
          <w:color w:val="auto"/>
        </w:rPr>
      </w:pPr>
      <w:r>
        <w:rPr>
          <w:rFonts w:ascii="Arial" w:cs="Arial" w:eastAsia="Arial" w:hAnsi="Arial"/>
          <w:sz w:val="18"/>
          <w:szCs w:val="18"/>
          <w:color w:val="auto"/>
        </w:rPr>
        <w:t>Trustee Since: 2020</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Vice President and Chief Legal</w:t>
      </w:r>
    </w:p>
    <w:p>
      <w:pPr>
        <w:spacing w:after="0" w:line="7"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Officer Cummins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80" w:right="60"/>
        <w:spacing w:after="0" w:line="236" w:lineRule="auto"/>
        <w:rPr>
          <w:sz w:val="20"/>
          <w:szCs w:val="20"/>
          <w:color w:val="auto"/>
        </w:rPr>
      </w:pPr>
      <w:r>
        <w:rPr>
          <w:rFonts w:ascii="Arial" w:cs="Arial" w:eastAsia="Arial" w:hAnsi="Arial"/>
          <w:sz w:val="18"/>
          <w:szCs w:val="18"/>
          <w:color w:val="auto"/>
        </w:rPr>
        <w:t>Ms. Lamb-Hale is the Vice President and Chief Legal Officer of Cummins Inc., a position she has held since 2021, overseeing all legal affairs and related risk management. Prior to that, she was a Managing Director at Kroll, a global governance, risk and transparency consultant (2016-2021), a Senior Vice President at Albright Stonebridge Group (2013-2016), a global strategy consultancy, and served as the Assistant Secretary of Commerce for Manufacturing and Services in the International Trade Administration of the U.S. Department of Commerce (2010-2013) and as the Deputy General Counsel for the U.S. Department of Commerce (2009-2010). Ms. Lamb-Hale is a licensed attorney who began her career at law firms (1991-2009) where she practiced in the areas of business restructuring and public finance. Ms. Lamb-Hale earned an AB in Political Science from the University of Michigan and a JD from Harvard Law School. In addition to her service on Federal’s Board, Ms. Lamb-Hale serves on the board of Delta Parent Holdings, Inc. as well as the boards of various non-profit groups including the American Leadership Initiative and the Center for International Private Enterprise.</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right="60"/>
        <w:spacing w:after="0" w:line="237" w:lineRule="auto"/>
        <w:rPr>
          <w:sz w:val="20"/>
          <w:szCs w:val="20"/>
          <w:color w:val="auto"/>
        </w:rPr>
      </w:pPr>
      <w:r>
        <w:rPr>
          <w:rFonts w:ascii="Arial" w:cs="Arial" w:eastAsia="Arial" w:hAnsi="Arial"/>
          <w:sz w:val="18"/>
          <w:szCs w:val="18"/>
          <w:color w:val="auto"/>
        </w:rPr>
        <w:t>Ms. Lamb-Hale’s 30 years of experience, spanning the private and public sectors, in law, executive level risk management and mitigation, and restructuring, coupled with her leadership skills gained from her varied executive roles, provides the company with diverse and valuable insights as it develops and implements its current and long-term business strategies.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Compensation Committee</w:t>
      </w:r>
    </w:p>
    <w:p>
      <w:pPr>
        <w:ind w:left="580"/>
        <w:spacing w:after="0"/>
        <w:rPr>
          <w:sz w:val="20"/>
          <w:szCs w:val="20"/>
          <w:color w:val="auto"/>
        </w:rPr>
      </w:pPr>
      <w:r>
        <w:rPr>
          <w:rFonts w:ascii="Arial" w:cs="Arial" w:eastAsia="Arial" w:hAnsi="Arial"/>
          <w:sz w:val="18"/>
          <w:szCs w:val="18"/>
          <w:color w:val="auto"/>
        </w:rPr>
        <w:t>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897890</wp:posOffset>
            </wp:positionV>
            <wp:extent cx="701230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THOMAS A. McEACHIN</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Age: 70</w:t>
      </w:r>
    </w:p>
    <w:p>
      <w:pPr>
        <w:ind w:left="2200"/>
        <w:spacing w:after="0" w:line="234" w:lineRule="auto"/>
        <w:rPr>
          <w:sz w:val="20"/>
          <w:szCs w:val="20"/>
          <w:color w:val="auto"/>
        </w:rPr>
      </w:pPr>
      <w:r>
        <w:rPr>
          <w:rFonts w:ascii="Arial" w:cs="Arial" w:eastAsia="Arial" w:hAnsi="Arial"/>
          <w:sz w:val="18"/>
          <w:szCs w:val="18"/>
          <w:color w:val="auto"/>
        </w:rPr>
        <w:t>Trustee Since: 2022</w:t>
      </w:r>
    </w:p>
    <w:p>
      <w:pPr>
        <w:ind w:left="2200"/>
        <w:spacing w:after="0" w:line="235" w:lineRule="auto"/>
        <w:rPr>
          <w:sz w:val="20"/>
          <w:szCs w:val="20"/>
          <w:color w:val="auto"/>
        </w:rPr>
      </w:pPr>
      <w:r>
        <w:rPr>
          <w:rFonts w:ascii="Arial" w:cs="Arial" w:eastAsia="Arial" w:hAnsi="Arial"/>
          <w:sz w:val="18"/>
          <w:szCs w:val="18"/>
          <w:color w:val="auto"/>
        </w:rPr>
        <w:t>Retired Vice President and</w:t>
      </w:r>
    </w:p>
    <w:p>
      <w:pPr>
        <w:ind w:left="2200"/>
        <w:spacing w:after="0" w:line="235" w:lineRule="auto"/>
        <w:rPr>
          <w:sz w:val="20"/>
          <w:szCs w:val="20"/>
          <w:color w:val="auto"/>
        </w:rPr>
      </w:pPr>
      <w:r>
        <w:rPr>
          <w:rFonts w:ascii="Arial" w:cs="Arial" w:eastAsia="Arial" w:hAnsi="Arial"/>
          <w:sz w:val="18"/>
          <w:szCs w:val="18"/>
          <w:color w:val="auto"/>
        </w:rPr>
        <w:t>Group Chief Financial Officer</w:t>
      </w:r>
    </w:p>
    <w:p>
      <w:pPr>
        <w:ind w:left="2200"/>
        <w:spacing w:after="0"/>
        <w:rPr>
          <w:sz w:val="20"/>
          <w:szCs w:val="20"/>
          <w:color w:val="auto"/>
        </w:rPr>
      </w:pPr>
      <w:r>
        <w:rPr>
          <w:rFonts w:ascii="Arial" w:cs="Arial" w:eastAsia="Arial" w:hAnsi="Arial"/>
          <w:sz w:val="18"/>
          <w:szCs w:val="18"/>
          <w:color w:val="auto"/>
        </w:rPr>
        <w:t>Covidien Surgical Solutions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320"/>
        <w:spacing w:after="0" w:line="236" w:lineRule="auto"/>
        <w:rPr>
          <w:sz w:val="20"/>
          <w:szCs w:val="20"/>
          <w:color w:val="auto"/>
        </w:rPr>
      </w:pPr>
      <w:r>
        <w:rPr>
          <w:rFonts w:ascii="Arial" w:cs="Arial" w:eastAsia="Arial" w:hAnsi="Arial"/>
          <w:sz w:val="18"/>
          <w:szCs w:val="18"/>
          <w:color w:val="auto"/>
        </w:rPr>
        <w:t>Mr. McEachin has served as Vice President and Group Chief Financial Officer (2008-2012) at Covidien Surgical Solutions, a division of Covidien plc, a global health care products company and manufacturer of medical devices and supplies. From 1997 to 2008, Mr. McEachin served in various finance capacities at United Technologies Corporation, a global leader in the aerospace and building industries, and its subsidiaries, including as chief Investor Relations officer, Vice President and Controller of Pratt &amp; Whitney, and Vice President and Chief Financial Officer of UTC Power. Prior to that, he held several executive positions with Digital Equipment Corporation, a vendor of computer systems, including computers, software, and peripherals, from 1986 to 1997. Mr. McEachin was with Xerox Corporation, a global corporation that sells print and digital document products and services, from 1975 to 1986, serving as Controller of the procurement organization. Mr. McEachin formerly served as a trustee and officer of the Wadsworth Atheneum (Hartford, CT), the oldest public art institution in the United States, serving on their executive, finance and investment committees. He also is a past board member of the Connecticut Science Center and chair of the audit committee. Mr. McEachin holds a B.S. from New York University and an MBA from Stanford University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right="320"/>
        <w:spacing w:after="0" w:line="256" w:lineRule="auto"/>
        <w:rPr>
          <w:sz w:val="20"/>
          <w:szCs w:val="20"/>
          <w:color w:val="auto"/>
        </w:rPr>
      </w:pPr>
      <w:r>
        <w:rPr>
          <w:rFonts w:ascii="Arial" w:cs="Arial" w:eastAsia="Arial" w:hAnsi="Arial"/>
          <w:sz w:val="17"/>
          <w:szCs w:val="17"/>
          <w:color w:val="auto"/>
        </w:rPr>
        <w:t>Mr. McEachin’s history as a CFO plus his extensive finance and executive management experience and in-depth knowledge as a CFO of financial reporting, compliance, accounting and controls and corporate governance matters provides the company with important skills.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Directorships: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Pediatrix Medical Group, Inc.</w:t>
      </w:r>
    </w:p>
    <w:p>
      <w:pPr>
        <w:spacing w:after="0"/>
        <w:rPr>
          <w:sz w:val="20"/>
          <w:szCs w:val="20"/>
          <w:color w:val="auto"/>
        </w:rPr>
      </w:pPr>
      <w:r>
        <w:rPr>
          <w:rFonts w:ascii="Arial" w:cs="Arial" w:eastAsia="Arial" w:hAnsi="Arial"/>
          <w:sz w:val="18"/>
          <w:szCs w:val="18"/>
          <w:color w:val="auto"/>
        </w:rPr>
        <w:t>Surgalign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rPr>
          <w:sz w:val="20"/>
          <w:szCs w:val="20"/>
          <w:color w:val="auto"/>
        </w:rPr>
      </w:pPr>
      <w:r>
        <w:rPr>
          <w:rFonts w:ascii="Arial" w:cs="Arial" w:eastAsia="Arial" w:hAnsi="Arial"/>
          <w:sz w:val="18"/>
          <w:szCs w:val="18"/>
          <w:color w:val="auto"/>
        </w:rPr>
        <w:t>Nominating Committee</w:t>
      </w:r>
    </w:p>
    <w:p>
      <w:pPr>
        <w:spacing w:after="0" w:line="200" w:lineRule="exact"/>
        <w:rPr>
          <w:sz w:val="20"/>
          <w:szCs w:val="20"/>
          <w:color w:val="auto"/>
        </w:rPr>
      </w:pPr>
    </w:p>
    <w:p>
      <w:pPr>
        <w:sectPr>
          <w:pgSz w:w="11900" w:h="16838" w:orient="portrait"/>
          <w:cols w:equalWidth="0" w:num="2">
            <w:col w:w="5380" w:space="600"/>
            <w:col w:w="5040"/>
          </w:cols>
          <w:pgMar w:left="320" w:top="482" w:right="559" w:bottom="1440" w:gutter="0" w:footer="0" w:header="0"/>
        </w:sectPr>
      </w:pPr>
    </w:p>
    <w:p>
      <w:pPr>
        <w:spacing w:after="0" w:line="179"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15</w:t>
      </w:r>
    </w:p>
    <w:p>
      <w:pPr>
        <w:sectPr>
          <w:pgSz w:w="11900" w:h="16838" w:orient="portrait"/>
          <w:cols w:equalWidth="0" w:num="1">
            <w:col w:w="11020"/>
          </w:cols>
          <w:pgMar w:left="320" w:top="482" w:right="5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6626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662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ANTHONY P. NADER, III</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Age: 59</w:t>
      </w:r>
    </w:p>
    <w:p>
      <w:pPr>
        <w:ind w:left="2800"/>
        <w:spacing w:after="0" w:line="234" w:lineRule="auto"/>
        <w:rPr>
          <w:sz w:val="20"/>
          <w:szCs w:val="20"/>
          <w:color w:val="auto"/>
        </w:rPr>
      </w:pPr>
      <w:r>
        <w:rPr>
          <w:rFonts w:ascii="Arial" w:cs="Arial" w:eastAsia="Arial" w:hAnsi="Arial"/>
          <w:sz w:val="18"/>
          <w:szCs w:val="18"/>
          <w:color w:val="auto"/>
        </w:rPr>
        <w:t>Trustee Since: 2020</w:t>
      </w:r>
    </w:p>
    <w:p>
      <w:pPr>
        <w:ind w:left="2800"/>
        <w:spacing w:after="0" w:line="235" w:lineRule="auto"/>
        <w:rPr>
          <w:sz w:val="20"/>
          <w:szCs w:val="20"/>
          <w:color w:val="auto"/>
        </w:rPr>
      </w:pPr>
      <w:r>
        <w:rPr>
          <w:rFonts w:ascii="Arial" w:cs="Arial" w:eastAsia="Arial" w:hAnsi="Arial"/>
          <w:sz w:val="18"/>
          <w:szCs w:val="18"/>
          <w:color w:val="auto"/>
        </w:rPr>
        <w:t>Managing Director of SWaN &amp;</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Legend Venture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80"/>
        <w:spacing w:after="0" w:line="236" w:lineRule="auto"/>
        <w:rPr>
          <w:sz w:val="20"/>
          <w:szCs w:val="20"/>
          <w:color w:val="auto"/>
        </w:rPr>
      </w:pPr>
      <w:r>
        <w:rPr>
          <w:rFonts w:ascii="Arial" w:cs="Arial" w:eastAsia="Arial" w:hAnsi="Arial"/>
          <w:sz w:val="18"/>
          <w:szCs w:val="18"/>
          <w:color w:val="auto"/>
        </w:rPr>
        <w:t>Mr. Nader is a Managing Director of SWaN &amp; Legend Venture Partners, an investment firm that Mr. Nader co-founded in 2006, making investments in growth-oriented companies. Mr. Nader also serves as Vice Chairman of Asurion, a privately held company with over 19,000 employees that provides technology protection to approximately 300 million customers worldwide. In 2008, Mr. Nader successfully merged his prior company, National Electronics Warranty (“NEW”) with Asurion. Mr. Nader joined NEW in 1990 as Chief Operating Officer, was named President in 1999 and Chief Executive Officer in 2006, a position he held until 2013. Under his leadership, NEW grew to be the largest global provider of extended service plans for the consumer electronics and appliance industry. Mr. Nader earned a BSBA in Finance from John Carroll University and an MBA from Weatherhead School of Management at Case Western Reserve University. Mr. Nader also serves as the Chairman of the Inova Health System Board of Trustees. Mr. Nader has been designated by the Board as an audit committee financial expert in accordance with the SEC definition.</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spacing w:after="0" w:line="237" w:lineRule="auto"/>
        <w:rPr>
          <w:sz w:val="20"/>
          <w:szCs w:val="20"/>
          <w:color w:val="auto"/>
        </w:rPr>
      </w:pPr>
      <w:r>
        <w:rPr>
          <w:rFonts w:ascii="Arial" w:cs="Arial" w:eastAsia="Arial" w:hAnsi="Arial"/>
          <w:sz w:val="18"/>
          <w:szCs w:val="18"/>
          <w:color w:val="auto"/>
        </w:rPr>
        <w:t>Mr. Nader provides our Board with more than 30 years of business and leadership experience as well as a deep investment background in both real estate and growth-oriented companies including retailers. This background complements others on our Board and adds to our depth of financial and investing expertise that is so critical to the success of the Company.</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Other Public Company Directorships:</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Arlington Asset Investment Corp.</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Audit Committee</w:t>
      </w:r>
    </w:p>
    <w:p>
      <w:pPr>
        <w:ind w:left="580"/>
        <w:spacing w:after="0"/>
        <w:rPr>
          <w:sz w:val="20"/>
          <w:szCs w:val="20"/>
          <w:color w:val="auto"/>
        </w:rPr>
      </w:pPr>
      <w:r>
        <w:rPr>
          <w:rFonts w:ascii="Arial" w:cs="Arial" w:eastAsia="Arial" w:hAnsi="Arial"/>
          <w:sz w:val="18"/>
          <w:szCs w:val="18"/>
          <w:color w:val="auto"/>
        </w:rPr>
        <w:t>Nominating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357505</wp:posOffset>
            </wp:positionV>
            <wp:extent cx="701230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GAIL P. STEINEL</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Age: 66</w:t>
      </w:r>
    </w:p>
    <w:p>
      <w:pPr>
        <w:ind w:left="2200"/>
        <w:spacing w:after="0" w:line="234" w:lineRule="auto"/>
        <w:rPr>
          <w:sz w:val="20"/>
          <w:szCs w:val="20"/>
          <w:color w:val="auto"/>
        </w:rPr>
      </w:pPr>
      <w:r>
        <w:rPr>
          <w:rFonts w:ascii="Arial" w:cs="Arial" w:eastAsia="Arial" w:hAnsi="Arial"/>
          <w:sz w:val="18"/>
          <w:szCs w:val="18"/>
          <w:color w:val="auto"/>
        </w:rPr>
        <w:t>Trustee Since: 2006</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Owner of Executive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Ms. Steinel is the owner of Executive Advisors (2007-present), a business that provides consulting services to chief executives and senior officers and leadership seminars/speeches to various organizations. Prior to creating her own consulting firm, Ms. Steinel was the Executive Vice President of Global Commercial Services of Bearing Point (2002-2007) and a global managing partner for Arthur Andersen’s Business Consulting Practice (1984-2002) after beginning her career as an auditor at Arthur Andersen (1977-1984). Ms. Steinel received a BA in Accounting from Rutgers University. Ms. Steinel’s public company board service experience includes MTS Systems Corporation (2009-2020). In addition, Ms. Steinel serves on the boards of Invesque, Inc., a Toronto stock exchange company that invests in a highly diversified portfolio of properties across the health care spectrum throughout the US and Canada, DAI, an international development company that tackles fundamental social and economic development problems caused by inefficient markets, ineffective governance, and instability, and the Center for Hope &amp; Safety, a nonprofit that assists women and children suffering from domestic violence. Ms. Steinel has been designated by the Board as an audit committee financial expert in accordance with the SEC definition.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Ms. Steinel’s history as a CPA combined with her more than 35 years of experience in auditing, leadership, leadership development and financial systems provides us with valuable insights on leadership, leadership development, risk management and systems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MTS Systems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(Chair)</w:t>
      </w:r>
    </w:p>
    <w:p>
      <w:pPr>
        <w:spacing w:after="0"/>
        <w:rPr>
          <w:sz w:val="20"/>
          <w:szCs w:val="20"/>
          <w:color w:val="auto"/>
        </w:rPr>
      </w:pPr>
      <w:r>
        <w:rPr>
          <w:rFonts w:ascii="Arial" w:cs="Arial" w:eastAsia="Arial" w:hAnsi="Arial"/>
          <w:sz w:val="18"/>
          <w:szCs w:val="18"/>
          <w:color w:val="auto"/>
        </w:rPr>
        <w:t>Compensation Committee</w:t>
      </w:r>
    </w:p>
    <w:p>
      <w:pPr>
        <w:spacing w:after="0" w:line="200" w:lineRule="exact"/>
        <w:rPr>
          <w:sz w:val="20"/>
          <w:szCs w:val="20"/>
          <w:color w:val="auto"/>
        </w:rPr>
      </w:pPr>
    </w:p>
    <w:p>
      <w:pPr>
        <w:sectPr>
          <w:pgSz w:w="11900" w:h="16838" w:orient="portrait"/>
          <w:cols w:equalWidth="0" w:num="2">
            <w:col w:w="5320" w:space="660"/>
            <w:col w:w="4720"/>
          </w:cols>
          <w:pgMar w:left="320" w:top="482" w:right="879" w:bottom="1440" w:gutter="0" w:footer="0" w:header="0"/>
        </w:sectPr>
      </w:pPr>
    </w:p>
    <w:p>
      <w:pPr>
        <w:spacing w:after="0" w:line="179"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16</w:t>
      </w:r>
    </w:p>
    <w:p>
      <w:pPr>
        <w:sectPr>
          <w:pgSz w:w="11900" w:h="16838" w:orient="portrait"/>
          <w:cols w:equalWidth="0" w:num="1">
            <w:col w:w="10700"/>
          </w:cols>
          <w:pgMar w:left="320" w:top="482" w:right="8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39001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DONALD C. WOOD</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Age: 62</w:t>
      </w:r>
    </w:p>
    <w:p>
      <w:pPr>
        <w:ind w:left="2780"/>
        <w:spacing w:after="0" w:line="234" w:lineRule="auto"/>
        <w:rPr>
          <w:sz w:val="20"/>
          <w:szCs w:val="20"/>
          <w:color w:val="auto"/>
        </w:rPr>
      </w:pPr>
      <w:r>
        <w:rPr>
          <w:rFonts w:ascii="Arial" w:cs="Arial" w:eastAsia="Arial" w:hAnsi="Arial"/>
          <w:sz w:val="18"/>
          <w:szCs w:val="18"/>
          <w:color w:val="auto"/>
        </w:rPr>
        <w:t>Trustee Since: 2003</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Chief Executive Officer of 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80" w:right="420"/>
        <w:spacing w:after="0" w:line="239" w:lineRule="auto"/>
        <w:rPr>
          <w:sz w:val="20"/>
          <w:szCs w:val="20"/>
          <w:color w:val="auto"/>
        </w:rPr>
      </w:pPr>
      <w:r>
        <w:rPr>
          <w:rFonts w:ascii="Arial" w:cs="Arial" w:eastAsia="Arial" w:hAnsi="Arial"/>
          <w:sz w:val="18"/>
          <w:szCs w:val="18"/>
          <w:color w:val="auto"/>
        </w:rPr>
        <w:t>Mr. Wood currently serves as our Chief Executive Officer, a role he has held since 2003. Before assuming that role, he served as our President (2001-2003) and held the titles of Chief Operating Officer and Chief Financial Officer at various points from 1998-2003. Prior to joining Federal, Mr. Wood served as the Chief Financial Officer for Caesers World, Inc. (1996-1998), the Assistant/Deputy Controller of ITT Corporation (1990-1996), the VP of Finance for Trump Taj Mahal Associates (1989-1990) and as an audit manager with Arthur Andersen (1982-1989). Mr. Wood is a CPA and received a BS in Business Administration from Montclair State College. Mr. Wood previously served as a director of public companies Quality Care Properties (2016-2018) and Post Properties (2011-2016). In addition to his public company board service, Mr. Wood served as Chairman of the Board of Trustees of the National Association of Real Estate Investment Trusts (2011-2012) and previously served on the Board of Governors of ICSC (f/k/a International Council of Shopping Centers).</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right="420"/>
        <w:spacing w:after="0" w:line="250" w:lineRule="auto"/>
        <w:rPr>
          <w:sz w:val="20"/>
          <w:szCs w:val="20"/>
          <w:color w:val="auto"/>
        </w:rPr>
      </w:pPr>
      <w:r>
        <w:rPr>
          <w:rFonts w:ascii="Arial" w:cs="Arial" w:eastAsia="Arial" w:hAnsi="Arial"/>
          <w:sz w:val="18"/>
          <w:szCs w:val="18"/>
          <w:color w:val="auto"/>
        </w:rPr>
        <w:t>Mr. Wood’s 25 years of experience with Federal, including his responsibilities as chief executive officer and as a REIT CFO, provide the Board with familiarity and details on all aspects of the operations and financial condition of the Company.</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Prior Public Company Directorships: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Quality Care Properties</w:t>
      </w:r>
    </w:p>
    <w:p>
      <w:pPr>
        <w:ind w:left="580"/>
        <w:spacing w:after="0"/>
        <w:rPr>
          <w:sz w:val="20"/>
          <w:szCs w:val="20"/>
          <w:color w:val="auto"/>
        </w:rPr>
      </w:pPr>
      <w:r>
        <w:rPr>
          <w:rFonts w:ascii="Arial" w:cs="Arial" w:eastAsia="Arial" w:hAnsi="Arial"/>
          <w:sz w:val="18"/>
          <w:szCs w:val="18"/>
          <w:color w:val="auto"/>
        </w:rPr>
        <w:t>Post Properties</w:t>
      </w:r>
    </w:p>
    <w:p>
      <w:pPr>
        <w:spacing w:after="0" w:line="200" w:lineRule="exact"/>
        <w:rPr>
          <w:sz w:val="20"/>
          <w:szCs w:val="20"/>
          <w:color w:val="auto"/>
        </w:rPr>
      </w:pPr>
    </w:p>
    <w:p>
      <w:pPr>
        <w:spacing w:after="0" w:line="237" w:lineRule="exact"/>
        <w:rPr>
          <w:sz w:val="20"/>
          <w:szCs w:val="20"/>
          <w:color w:val="auto"/>
        </w:rPr>
      </w:pPr>
    </w:p>
    <w:p>
      <w:pPr>
        <w:ind w:left="540" w:hanging="424"/>
        <w:spacing w:after="0"/>
        <w:tabs>
          <w:tab w:leader="none" w:pos="540" w:val="left"/>
        </w:tabs>
        <w:numPr>
          <w:ilvl w:val="0"/>
          <w:numId w:val="41"/>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TRUSTEE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2022, our standard arrangement for compensation for our non-management trustees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163195</wp:posOffset>
            </wp:positionV>
            <wp:extent cx="1714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 cy="20574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163195</wp:posOffset>
            </wp:positionV>
            <wp:extent cx="17145"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 cy="205740"/>
                    </a:xfrm>
                    <a:prstGeom prst="rect">
                      <a:avLst/>
                    </a:prstGeom>
                    <a:noFill/>
                  </pic:spPr>
                </pic:pic>
              </a:graphicData>
            </a:graphic>
          </wp:anchor>
        </w:drawing>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4420" w:type="dxa"/>
            <w:vAlign w:val="bottom"/>
            <w:tcBorders>
              <w:bottom w:val="single" w:sz="8" w:color="FF160F"/>
            </w:tcBorders>
            <w:shd w:val="clear" w:color="auto" w:fill="FF160F"/>
          </w:tcPr>
          <w:p>
            <w:pPr>
              <w:ind w:left="180"/>
              <w:spacing w:after="0"/>
              <w:rPr>
                <w:sz w:val="20"/>
                <w:szCs w:val="20"/>
                <w:color w:val="auto"/>
              </w:rPr>
            </w:pPr>
            <w:r>
              <w:rPr>
                <w:rFonts w:ascii="Arial" w:cs="Arial" w:eastAsia="Arial" w:hAnsi="Arial"/>
                <w:sz w:val="16"/>
                <w:szCs w:val="16"/>
                <w:b w:val="1"/>
                <w:bCs w:val="1"/>
                <w:color w:val="FFFFFF"/>
              </w:rPr>
              <w:t>Trustee Compensation Element</w:t>
            </w:r>
          </w:p>
        </w:tc>
        <w:tc>
          <w:tcPr>
            <w:tcW w:w="1200" w:type="dxa"/>
            <w:vAlign w:val="bottom"/>
            <w:tcBorders>
              <w:bottom w:val="single" w:sz="8" w:color="FF160F"/>
            </w:tcBorders>
            <w:gridSpan w:val="2"/>
            <w:shd w:val="clear" w:color="auto" w:fill="FF160F"/>
          </w:tcPr>
          <w:p>
            <w:pPr>
              <w:jc w:val="right"/>
              <w:ind w:right="399"/>
              <w:spacing w:after="0"/>
              <w:rPr>
                <w:sz w:val="20"/>
                <w:szCs w:val="20"/>
                <w:color w:val="auto"/>
              </w:rPr>
            </w:pPr>
            <w:r>
              <w:rPr>
                <w:rFonts w:ascii="Arial" w:cs="Arial" w:eastAsia="Arial" w:hAnsi="Arial"/>
                <w:sz w:val="16"/>
                <w:szCs w:val="16"/>
                <w:b w:val="1"/>
                <w:bCs w:val="1"/>
                <w:color w:val="FFFFFF"/>
              </w:rPr>
              <w:t>Amount</w:t>
            </w:r>
          </w:p>
        </w:tc>
        <w:tc>
          <w:tcPr>
            <w:tcW w:w="2400" w:type="dxa"/>
            <w:vAlign w:val="bottom"/>
            <w:tcBorders>
              <w:bottom w:val="single" w:sz="8" w:color="FF160F"/>
            </w:tcBorders>
            <w:shd w:val="clear" w:color="auto" w:fill="FF160F"/>
          </w:tcPr>
          <w:p>
            <w:pPr>
              <w:ind w:left="80"/>
              <w:spacing w:after="0"/>
              <w:rPr>
                <w:sz w:val="20"/>
                <w:szCs w:val="20"/>
                <w:color w:val="auto"/>
              </w:rPr>
            </w:pPr>
            <w:r>
              <w:rPr>
                <w:rFonts w:ascii="Arial" w:cs="Arial" w:eastAsia="Arial" w:hAnsi="Arial"/>
                <w:sz w:val="16"/>
                <w:szCs w:val="16"/>
                <w:b w:val="1"/>
                <w:bCs w:val="1"/>
                <w:color w:val="FFFFFF"/>
              </w:rPr>
              <w:t>Payment Form</w:t>
            </w:r>
          </w:p>
        </w:tc>
      </w:tr>
      <w:tr>
        <w:trPr>
          <w:trHeight w:val="280"/>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Board Service</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252"/>
        </w:trPr>
        <w:tc>
          <w:tcPr>
            <w:tcW w:w="4420" w:type="dxa"/>
            <w:vAlign w:val="bottom"/>
          </w:tcPr>
          <w:p>
            <w:pPr>
              <w:ind w:left="40"/>
              <w:spacing w:after="0"/>
              <w:rPr>
                <w:sz w:val="20"/>
                <w:szCs w:val="20"/>
                <w:color w:val="auto"/>
              </w:rPr>
            </w:pPr>
            <w:r>
              <w:rPr>
                <w:rFonts w:ascii="Arial" w:cs="Arial" w:eastAsia="Arial" w:hAnsi="Arial"/>
                <w:sz w:val="16"/>
                <w:szCs w:val="16"/>
                <w:color w:val="auto"/>
              </w:rPr>
              <w:t>Annual Retainer</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2400" w:type="dxa"/>
            <w:vAlign w:val="bottom"/>
          </w:tcPr>
          <w:p>
            <w:pPr>
              <w:ind w:left="80"/>
              <w:spacing w:after="0"/>
              <w:rPr>
                <w:sz w:val="20"/>
                <w:szCs w:val="20"/>
                <w:color w:val="auto"/>
              </w:rPr>
            </w:pPr>
            <w:r>
              <w:rPr>
                <w:rFonts w:ascii="Arial" w:cs="Arial" w:eastAsia="Arial" w:hAnsi="Arial"/>
                <w:sz w:val="16"/>
                <w:szCs w:val="16"/>
                <w:color w:val="auto"/>
              </w:rPr>
              <w:t>40% cash; 60% equity</w:t>
            </w:r>
          </w:p>
        </w:tc>
      </w:tr>
      <w:tr>
        <w:trPr>
          <w:trHeight w:val="293"/>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Annual Retainer Non-Executive Chairman</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225,000</w:t>
            </w:r>
          </w:p>
        </w:tc>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60% cash; 40% equity</w:t>
            </w:r>
          </w:p>
        </w:tc>
      </w:tr>
      <w:tr>
        <w:trPr>
          <w:trHeight w:val="33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Committee Chairs</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252"/>
        </w:trPr>
        <w:tc>
          <w:tcPr>
            <w:tcW w:w="4420" w:type="dxa"/>
            <w:vAlign w:val="bottom"/>
          </w:tcPr>
          <w:p>
            <w:pPr>
              <w:ind w:left="40"/>
              <w:spacing w:after="0"/>
              <w:rPr>
                <w:sz w:val="20"/>
                <w:szCs w:val="20"/>
                <w:color w:val="auto"/>
              </w:rPr>
            </w:pPr>
            <w:r>
              <w:rPr>
                <w:rFonts w:ascii="Arial" w:cs="Arial" w:eastAsia="Arial" w:hAnsi="Arial"/>
                <w:sz w:val="16"/>
                <w:szCs w:val="16"/>
                <w:color w:val="auto"/>
              </w:rPr>
              <w:t>Audit Committee</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25,000</w:t>
            </w:r>
          </w:p>
        </w:tc>
        <w:tc>
          <w:tcPr>
            <w:tcW w:w="2400" w:type="dxa"/>
            <w:vAlign w:val="bottom"/>
          </w:tcPr>
          <w:p>
            <w:pPr>
              <w:ind w:left="80"/>
              <w:spacing w:after="0"/>
              <w:rPr>
                <w:sz w:val="20"/>
                <w:szCs w:val="20"/>
                <w:color w:val="auto"/>
              </w:rPr>
            </w:pPr>
            <w:r>
              <w:rPr>
                <w:rFonts w:ascii="Arial" w:cs="Arial" w:eastAsia="Arial" w:hAnsi="Arial"/>
                <w:sz w:val="16"/>
                <w:szCs w:val="16"/>
                <w:color w:val="auto"/>
              </w:rPr>
              <w:t>Cash</w:t>
            </w:r>
          </w:p>
        </w:tc>
      </w:tr>
      <w:tr>
        <w:trPr>
          <w:trHeight w:val="283"/>
        </w:trPr>
        <w:tc>
          <w:tcPr>
            <w:tcW w:w="4420" w:type="dxa"/>
            <w:vAlign w:val="bottom"/>
          </w:tcPr>
          <w:p>
            <w:pPr>
              <w:ind w:left="40"/>
              <w:spacing w:after="0"/>
              <w:rPr>
                <w:sz w:val="20"/>
                <w:szCs w:val="20"/>
                <w:color w:val="auto"/>
              </w:rPr>
            </w:pPr>
            <w:r>
              <w:rPr>
                <w:rFonts w:ascii="Arial" w:cs="Arial" w:eastAsia="Arial" w:hAnsi="Arial"/>
                <w:sz w:val="16"/>
                <w:szCs w:val="16"/>
                <w:color w:val="auto"/>
              </w:rPr>
              <w:t>Compensation Committee</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2400" w:type="dxa"/>
            <w:vAlign w:val="bottom"/>
          </w:tcPr>
          <w:p>
            <w:pPr>
              <w:ind w:left="80"/>
              <w:spacing w:after="0"/>
              <w:rPr>
                <w:sz w:val="20"/>
                <w:szCs w:val="20"/>
                <w:color w:val="auto"/>
              </w:rPr>
            </w:pPr>
            <w:r>
              <w:rPr>
                <w:rFonts w:ascii="Arial" w:cs="Arial" w:eastAsia="Arial" w:hAnsi="Arial"/>
                <w:sz w:val="16"/>
                <w:szCs w:val="16"/>
                <w:color w:val="auto"/>
              </w:rPr>
              <w:t>Cash</w:t>
            </w:r>
          </w:p>
        </w:tc>
      </w:tr>
      <w:tr>
        <w:trPr>
          <w:trHeight w:val="284"/>
        </w:trPr>
        <w:tc>
          <w:tcPr>
            <w:tcW w:w="4420" w:type="dxa"/>
            <w:vAlign w:val="bottom"/>
          </w:tcPr>
          <w:p>
            <w:pPr>
              <w:ind w:left="40"/>
              <w:spacing w:after="0"/>
              <w:rPr>
                <w:sz w:val="20"/>
                <w:szCs w:val="20"/>
                <w:color w:val="auto"/>
              </w:rPr>
            </w:pPr>
            <w:r>
              <w:rPr>
                <w:rFonts w:ascii="Arial" w:cs="Arial" w:eastAsia="Arial" w:hAnsi="Arial"/>
                <w:sz w:val="16"/>
                <w:szCs w:val="16"/>
                <w:color w:val="auto"/>
              </w:rPr>
              <w:t>Nominating Committee</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2400" w:type="dxa"/>
            <w:vAlign w:val="bottom"/>
          </w:tcPr>
          <w:p>
            <w:pPr>
              <w:ind w:left="80"/>
              <w:spacing w:after="0"/>
              <w:rPr>
                <w:sz w:val="20"/>
                <w:szCs w:val="20"/>
                <w:color w:val="auto"/>
              </w:rPr>
            </w:pPr>
            <w:r>
              <w:rPr>
                <w:rFonts w:ascii="Arial" w:cs="Arial" w:eastAsia="Arial" w:hAnsi="Arial"/>
                <w:sz w:val="16"/>
                <w:szCs w:val="16"/>
                <w:color w:val="auto"/>
              </w:rPr>
              <w:t>Cash</w:t>
            </w:r>
          </w:p>
        </w:tc>
      </w:tr>
    </w:tbl>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amounts are prorated for any partial years of service and shares issued are fully vested on the grant date.</w:t>
      </w:r>
    </w:p>
    <w:p>
      <w:pPr>
        <w:spacing w:after="0" w:line="21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Our non-management Trustees are required to maintain ownership of our shares having a value equal to at least 5 times the amount of their annual cash retainer. This requirement must be met within 5 years after joining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66675</wp:posOffset>
            </wp:positionV>
            <wp:extent cx="701230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0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17</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Board. As of December 31, 2022, all of our Trustees who have been on the Board for 5 or more years were in full compliance with this ownership requirement. We expect our newest Trustees who joined the Board in 2020 and 2022 to be in compliance with this equity ownership requirement within the 5-year time frame.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actual compensation awarded to our Trustees for service in 2022 was as follows: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336"/>
        </w:trPr>
        <w:tc>
          <w:tcPr>
            <w:tcW w:w="4400" w:type="dxa"/>
            <w:vAlign w:val="bottom"/>
            <w:shd w:val="clear" w:color="auto" w:fill="FF160F"/>
          </w:tcPr>
          <w:p>
            <w:pPr>
              <w:spacing w:after="0"/>
              <w:rPr>
                <w:sz w:val="24"/>
                <w:szCs w:val="24"/>
                <w:color w:val="auto"/>
              </w:rPr>
            </w:pPr>
          </w:p>
        </w:tc>
        <w:tc>
          <w:tcPr>
            <w:tcW w:w="360" w:type="dxa"/>
            <w:vAlign w:val="bottom"/>
            <w:shd w:val="clear" w:color="auto" w:fill="FF160F"/>
          </w:tcPr>
          <w:p>
            <w:pPr>
              <w:spacing w:after="0"/>
              <w:rPr>
                <w:sz w:val="24"/>
                <w:szCs w:val="24"/>
                <w:color w:val="auto"/>
              </w:rPr>
            </w:pPr>
          </w:p>
        </w:tc>
        <w:tc>
          <w:tcPr>
            <w:tcW w:w="2080" w:type="dxa"/>
            <w:vAlign w:val="bottom"/>
            <w:gridSpan w:val="2"/>
            <w:shd w:val="clear" w:color="auto" w:fill="FF160F"/>
          </w:tcPr>
          <w:p>
            <w:pPr>
              <w:jc w:val="right"/>
              <w:spacing w:after="0"/>
              <w:rPr>
                <w:sz w:val="20"/>
                <w:szCs w:val="20"/>
                <w:color w:val="auto"/>
              </w:rPr>
            </w:pPr>
            <w:r>
              <w:rPr>
                <w:rFonts w:ascii="Arial" w:cs="Arial" w:eastAsia="Arial" w:hAnsi="Arial"/>
                <w:sz w:val="18"/>
                <w:szCs w:val="18"/>
                <w:b w:val="1"/>
                <w:bCs w:val="1"/>
                <w:color w:val="FFFFFF"/>
              </w:rPr>
              <w:t>Annual Retainer</w:t>
            </w:r>
          </w:p>
        </w:tc>
        <w:tc>
          <w:tcPr>
            <w:tcW w:w="880" w:type="dxa"/>
            <w:vAlign w:val="bottom"/>
            <w:shd w:val="clear" w:color="auto" w:fill="FF160F"/>
          </w:tcPr>
          <w:p>
            <w:pPr>
              <w:spacing w:after="0"/>
              <w:rPr>
                <w:sz w:val="24"/>
                <w:szCs w:val="24"/>
                <w:color w:val="auto"/>
              </w:rPr>
            </w:pPr>
          </w:p>
        </w:tc>
        <w:tc>
          <w:tcPr>
            <w:tcW w:w="400" w:type="dxa"/>
            <w:vAlign w:val="bottom"/>
            <w:shd w:val="clear" w:color="auto" w:fill="FF160F"/>
          </w:tcPr>
          <w:p>
            <w:pPr>
              <w:spacing w:after="0"/>
              <w:rPr>
                <w:sz w:val="24"/>
                <w:szCs w:val="24"/>
                <w:color w:val="auto"/>
              </w:rPr>
            </w:pPr>
          </w:p>
        </w:tc>
        <w:tc>
          <w:tcPr>
            <w:tcW w:w="124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Committee</w:t>
            </w:r>
          </w:p>
        </w:tc>
        <w:tc>
          <w:tcPr>
            <w:tcW w:w="440" w:type="dxa"/>
            <w:vAlign w:val="bottom"/>
            <w:shd w:val="clear" w:color="auto" w:fill="FF160F"/>
          </w:tcPr>
          <w:p>
            <w:pPr>
              <w:spacing w:after="0"/>
              <w:rPr>
                <w:sz w:val="24"/>
                <w:szCs w:val="24"/>
                <w:color w:val="auto"/>
              </w:rPr>
            </w:pPr>
          </w:p>
        </w:tc>
        <w:tc>
          <w:tcPr>
            <w:tcW w:w="1220" w:type="dxa"/>
            <w:vAlign w:val="bottom"/>
            <w:shd w:val="clear" w:color="auto" w:fill="FF160F"/>
          </w:tcPr>
          <w:p>
            <w:pPr>
              <w:spacing w:after="0"/>
              <w:rPr>
                <w:sz w:val="24"/>
                <w:szCs w:val="24"/>
                <w:color w:val="auto"/>
              </w:rPr>
            </w:pPr>
          </w:p>
        </w:tc>
      </w:tr>
      <w:tr>
        <w:trPr>
          <w:trHeight w:val="258"/>
        </w:trPr>
        <w:tc>
          <w:tcPr>
            <w:tcW w:w="4400" w:type="dxa"/>
            <w:vAlign w:val="bottom"/>
            <w:shd w:val="clear" w:color="auto" w:fill="FF160F"/>
          </w:tcPr>
          <w:p>
            <w:pPr>
              <w:ind w:left="40"/>
              <w:spacing w:after="0"/>
              <w:rPr>
                <w:sz w:val="20"/>
                <w:szCs w:val="20"/>
                <w:color w:val="auto"/>
              </w:rPr>
            </w:pPr>
            <w:r>
              <w:rPr>
                <w:rFonts w:ascii="Arial" w:cs="Arial" w:eastAsia="Arial" w:hAnsi="Arial"/>
                <w:sz w:val="18"/>
                <w:szCs w:val="18"/>
                <w:b w:val="1"/>
                <w:bCs w:val="1"/>
                <w:color w:val="FFFFFF"/>
              </w:rPr>
              <w:t>Name</w:t>
            </w:r>
          </w:p>
        </w:tc>
        <w:tc>
          <w:tcPr>
            <w:tcW w:w="360" w:type="dxa"/>
            <w:vAlign w:val="bottom"/>
            <w:shd w:val="clear" w:color="auto" w:fill="FF160F"/>
          </w:tcPr>
          <w:p>
            <w:pPr>
              <w:spacing w:after="0"/>
              <w:rPr>
                <w:sz w:val="22"/>
                <w:szCs w:val="22"/>
                <w:color w:val="auto"/>
              </w:rPr>
            </w:pPr>
          </w:p>
        </w:tc>
        <w:tc>
          <w:tcPr>
            <w:tcW w:w="132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Paid in Cash</w:t>
            </w:r>
          </w:p>
        </w:tc>
        <w:tc>
          <w:tcPr>
            <w:tcW w:w="1640" w:type="dxa"/>
            <w:vAlign w:val="bottom"/>
            <w:gridSpan w:val="2"/>
            <w:shd w:val="clear" w:color="auto" w:fill="FF160F"/>
          </w:tcPr>
          <w:p>
            <w:pPr>
              <w:jc w:val="right"/>
              <w:spacing w:after="0" w:line="258" w:lineRule="exact"/>
              <w:rPr>
                <w:sz w:val="20"/>
                <w:szCs w:val="20"/>
                <w:color w:val="auto"/>
              </w:rPr>
            </w:pPr>
            <w:r>
              <w:rPr>
                <w:rFonts w:ascii="Arial" w:cs="Arial" w:eastAsia="Arial" w:hAnsi="Arial"/>
                <w:sz w:val="18"/>
                <w:szCs w:val="18"/>
                <w:b w:val="1"/>
                <w:bCs w:val="1"/>
                <w:color w:val="FFFFFF"/>
              </w:rPr>
              <w:t>Paid in Shares</w:t>
            </w:r>
            <w:r>
              <w:rPr>
                <w:rFonts w:ascii="Arial" w:cs="Arial" w:eastAsia="Arial" w:hAnsi="Arial"/>
                <w:sz w:val="26"/>
                <w:szCs w:val="26"/>
                <w:b w:val="1"/>
                <w:bCs w:val="1"/>
                <w:color w:val="FFFFFF"/>
                <w:vertAlign w:val="superscript"/>
              </w:rPr>
              <w:t>(1)</w:t>
            </w:r>
          </w:p>
        </w:tc>
        <w:tc>
          <w:tcPr>
            <w:tcW w:w="400" w:type="dxa"/>
            <w:vAlign w:val="bottom"/>
            <w:shd w:val="clear" w:color="auto" w:fill="FF160F"/>
          </w:tcPr>
          <w:p>
            <w:pPr>
              <w:spacing w:after="0"/>
              <w:rPr>
                <w:sz w:val="22"/>
                <w:szCs w:val="22"/>
                <w:color w:val="auto"/>
              </w:rPr>
            </w:pPr>
          </w:p>
        </w:tc>
        <w:tc>
          <w:tcPr>
            <w:tcW w:w="124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Chair Fees</w:t>
            </w:r>
          </w:p>
        </w:tc>
        <w:tc>
          <w:tcPr>
            <w:tcW w:w="440" w:type="dxa"/>
            <w:vAlign w:val="bottom"/>
            <w:shd w:val="clear" w:color="auto" w:fill="FF160F"/>
          </w:tcPr>
          <w:p>
            <w:pPr>
              <w:spacing w:after="0"/>
              <w:rPr>
                <w:sz w:val="22"/>
                <w:szCs w:val="22"/>
                <w:color w:val="auto"/>
              </w:rPr>
            </w:pPr>
          </w:p>
        </w:tc>
        <w:tc>
          <w:tcPr>
            <w:tcW w:w="1220" w:type="dxa"/>
            <w:vAlign w:val="bottom"/>
            <w:shd w:val="clear" w:color="auto" w:fill="FF160F"/>
          </w:tcPr>
          <w:p>
            <w:pPr>
              <w:jc w:val="right"/>
              <w:ind w:right="30"/>
              <w:spacing w:after="0"/>
              <w:rPr>
                <w:sz w:val="20"/>
                <w:szCs w:val="20"/>
                <w:color w:val="auto"/>
              </w:rPr>
            </w:pPr>
            <w:r>
              <w:rPr>
                <w:rFonts w:ascii="Arial" w:cs="Arial" w:eastAsia="Arial" w:hAnsi="Arial"/>
                <w:sz w:val="18"/>
                <w:szCs w:val="18"/>
                <w:b w:val="1"/>
                <w:bCs w:val="1"/>
                <w:color w:val="FFFFFF"/>
              </w:rPr>
              <w:t>Total</w:t>
            </w:r>
          </w:p>
        </w:tc>
      </w:tr>
      <w:tr>
        <w:trPr>
          <w:trHeight w:val="288"/>
        </w:trPr>
        <w:tc>
          <w:tcPr>
            <w:tcW w:w="4400" w:type="dxa"/>
            <w:vAlign w:val="bottom"/>
          </w:tcPr>
          <w:p>
            <w:pPr>
              <w:ind w:left="40"/>
              <w:spacing w:after="0"/>
              <w:rPr>
                <w:sz w:val="20"/>
                <w:szCs w:val="20"/>
                <w:color w:val="auto"/>
              </w:rPr>
            </w:pPr>
            <w:r>
              <w:rPr>
                <w:rFonts w:ascii="Arial" w:cs="Arial" w:eastAsia="Arial" w:hAnsi="Arial"/>
                <w:sz w:val="18"/>
                <w:szCs w:val="18"/>
                <w:color w:val="auto"/>
              </w:rPr>
              <w:t>David W. Faeder</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135,000</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90,000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225,000</w:t>
            </w: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color w:val="auto"/>
              </w:rPr>
              <w:t>Elizabeth I. Holland</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80,000</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120,000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215,000</w:t>
            </w: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color w:val="auto"/>
              </w:rPr>
              <w:t>Nicole Y. Lamb-Hale</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80,000</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120,000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200,000</w:t>
            </w:r>
          </w:p>
        </w:tc>
      </w:tr>
      <w:tr>
        <w:trPr>
          <w:trHeight w:val="355"/>
        </w:trPr>
        <w:tc>
          <w:tcPr>
            <w:tcW w:w="4400" w:type="dxa"/>
            <w:vAlign w:val="bottom"/>
          </w:tcPr>
          <w:p>
            <w:pPr>
              <w:ind w:left="40"/>
              <w:spacing w:after="0"/>
              <w:rPr>
                <w:sz w:val="20"/>
                <w:szCs w:val="20"/>
                <w:color w:val="auto"/>
              </w:rPr>
            </w:pPr>
            <w:r>
              <w:rPr>
                <w:rFonts w:ascii="Arial" w:cs="Arial" w:eastAsia="Arial" w:hAnsi="Arial"/>
                <w:sz w:val="18"/>
                <w:szCs w:val="18"/>
                <w:color w:val="auto"/>
              </w:rPr>
              <w:t>Thomas A. McEachin</w:t>
            </w:r>
            <w:r>
              <w:rPr>
                <w:rFonts w:ascii="Arial" w:cs="Arial" w:eastAsia="Arial" w:hAnsi="Arial"/>
                <w:sz w:val="26"/>
                <w:szCs w:val="26"/>
                <w:color w:val="auto"/>
                <w:vertAlign w:val="superscript"/>
              </w:rPr>
              <w:t>(2)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20,164</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30,247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50,411</w:t>
            </w:r>
          </w:p>
        </w:tc>
      </w:tr>
      <w:tr>
        <w:trPr>
          <w:trHeight w:val="297"/>
        </w:trPr>
        <w:tc>
          <w:tcPr>
            <w:tcW w:w="4400" w:type="dxa"/>
            <w:vAlign w:val="bottom"/>
          </w:tcPr>
          <w:p>
            <w:pPr>
              <w:ind w:left="40"/>
              <w:spacing w:after="0" w:line="297" w:lineRule="exact"/>
              <w:rPr>
                <w:sz w:val="20"/>
                <w:szCs w:val="20"/>
                <w:color w:val="auto"/>
              </w:rPr>
            </w:pPr>
            <w:r>
              <w:rPr>
                <w:rFonts w:ascii="Arial" w:cs="Arial" w:eastAsia="Arial" w:hAnsi="Arial"/>
                <w:sz w:val="18"/>
                <w:szCs w:val="18"/>
                <w:color w:val="auto"/>
              </w:rPr>
              <w:t>Anthony P. Nader, III</w:t>
            </w:r>
            <w:r>
              <w:rPr>
                <w:rFonts w:ascii="Arial" w:cs="Arial" w:eastAsia="Arial" w:hAnsi="Arial"/>
                <w:sz w:val="26"/>
                <w:szCs w:val="26"/>
                <w:color w:val="auto"/>
                <w:vertAlign w:val="superscript"/>
              </w:rPr>
              <w:t>(3)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80,000</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120,000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3,781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203,781</w:t>
            </w:r>
          </w:p>
        </w:tc>
      </w:tr>
      <w:tr>
        <w:trPr>
          <w:trHeight w:val="297"/>
        </w:trPr>
        <w:tc>
          <w:tcPr>
            <w:tcW w:w="4400" w:type="dxa"/>
            <w:vAlign w:val="bottom"/>
          </w:tcPr>
          <w:p>
            <w:pPr>
              <w:ind w:left="40"/>
              <w:spacing w:after="0" w:line="297" w:lineRule="exact"/>
              <w:rPr>
                <w:sz w:val="20"/>
                <w:szCs w:val="20"/>
                <w:color w:val="auto"/>
              </w:rPr>
            </w:pPr>
            <w:r>
              <w:rPr>
                <w:rFonts w:ascii="Arial" w:cs="Arial" w:eastAsia="Arial" w:hAnsi="Arial"/>
                <w:sz w:val="18"/>
                <w:szCs w:val="18"/>
                <w:color w:val="auto"/>
              </w:rPr>
              <w:t>Mark S. Ordan</w:t>
            </w:r>
            <w:r>
              <w:rPr>
                <w:rFonts w:ascii="Arial" w:cs="Arial" w:eastAsia="Arial" w:hAnsi="Arial"/>
                <w:sz w:val="26"/>
                <w:szCs w:val="26"/>
                <w:color w:val="auto"/>
                <w:vertAlign w:val="superscript"/>
              </w:rPr>
              <w:t>(4)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149,589</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11,219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160,808</w:t>
            </w:r>
          </w:p>
        </w:tc>
      </w:tr>
      <w:tr>
        <w:trPr>
          <w:trHeight w:val="24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Gail P. Steinel</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80,000</w:t>
            </w:r>
          </w:p>
        </w:tc>
        <w:tc>
          <w:tcPr>
            <w:tcW w:w="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120,000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25,000</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225,000</w:t>
            </w:r>
          </w:p>
        </w:tc>
      </w:tr>
      <w:tr>
        <w:trPr>
          <w:trHeight w:val="280"/>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624,753</w:t>
            </w:r>
          </w:p>
        </w:tc>
        <w:tc>
          <w:tcPr>
            <w:tcW w:w="76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600,247</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55,000</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1,280,000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0" w:lineRule="exact"/>
        <w:rPr>
          <w:sz w:val="20"/>
          <w:szCs w:val="20"/>
          <w:color w:val="auto"/>
        </w:rPr>
      </w:pPr>
    </w:p>
    <w:p>
      <w:pPr>
        <w:ind w:left="540" w:hanging="424"/>
        <w:spacing w:after="0" w:line="205" w:lineRule="auto"/>
        <w:tabs>
          <w:tab w:leader="none" w:pos="540" w:val="left"/>
        </w:tabs>
        <w:numPr>
          <w:ilvl w:val="0"/>
          <w:numId w:val="42"/>
        </w:numPr>
        <w:rPr>
          <w:rFonts w:ascii="Arial" w:cs="Arial" w:eastAsia="Arial" w:hAnsi="Arial"/>
          <w:sz w:val="24"/>
          <w:szCs w:val="24"/>
          <w:color w:val="auto"/>
          <w:vertAlign w:val="superscript"/>
        </w:rPr>
      </w:pPr>
      <w:r>
        <w:rPr>
          <w:rFonts w:ascii="Arial" w:cs="Arial" w:eastAsia="Arial" w:hAnsi="Arial"/>
          <w:sz w:val="16"/>
          <w:szCs w:val="16"/>
          <w:color w:val="auto"/>
        </w:rPr>
        <w:t>Shares were issued on January 3, 2023 with the number of shares received by each Trustee determined by dividing the amount to be paid in shares by $101.04, the closing price of our shares on the NYSE on December 30, 2022.</w:t>
      </w:r>
    </w:p>
    <w:p>
      <w:pPr>
        <w:spacing w:after="0" w:line="1" w:lineRule="exact"/>
        <w:rPr>
          <w:rFonts w:ascii="Arial" w:cs="Arial" w:eastAsia="Arial" w:hAnsi="Arial"/>
          <w:sz w:val="24"/>
          <w:szCs w:val="24"/>
          <w:color w:val="auto"/>
          <w:vertAlign w:val="superscript"/>
        </w:rPr>
      </w:pPr>
    </w:p>
    <w:p>
      <w:pPr>
        <w:ind w:left="540" w:hanging="424"/>
        <w:spacing w:after="0" w:line="187" w:lineRule="auto"/>
        <w:tabs>
          <w:tab w:leader="none" w:pos="540" w:val="left"/>
        </w:tabs>
        <w:numPr>
          <w:ilvl w:val="0"/>
          <w:numId w:val="42"/>
        </w:numPr>
        <w:rPr>
          <w:rFonts w:ascii="Arial" w:cs="Arial" w:eastAsia="Arial" w:hAnsi="Arial"/>
          <w:sz w:val="21"/>
          <w:szCs w:val="21"/>
          <w:color w:val="auto"/>
          <w:vertAlign w:val="superscript"/>
        </w:rPr>
      </w:pPr>
      <w:r>
        <w:rPr>
          <w:rFonts w:ascii="Arial" w:cs="Arial" w:eastAsia="Arial" w:hAnsi="Arial"/>
          <w:sz w:val="14"/>
          <w:szCs w:val="14"/>
          <w:color w:val="auto"/>
        </w:rPr>
        <w:t>Prorated for partial year of service. Mr. McEachin joined the Board on October 1, 2022.</w:t>
      </w:r>
    </w:p>
    <w:p>
      <w:pPr>
        <w:ind w:left="540" w:hanging="424"/>
        <w:spacing w:after="0" w:line="187" w:lineRule="auto"/>
        <w:tabs>
          <w:tab w:leader="none" w:pos="540" w:val="left"/>
        </w:tabs>
        <w:numPr>
          <w:ilvl w:val="0"/>
          <w:numId w:val="42"/>
        </w:numPr>
        <w:rPr>
          <w:rFonts w:ascii="Arial" w:cs="Arial" w:eastAsia="Arial" w:hAnsi="Arial"/>
          <w:sz w:val="21"/>
          <w:szCs w:val="21"/>
          <w:color w:val="auto"/>
          <w:vertAlign w:val="superscript"/>
        </w:rPr>
      </w:pPr>
      <w:r>
        <w:rPr>
          <w:rFonts w:ascii="Arial" w:cs="Arial" w:eastAsia="Arial" w:hAnsi="Arial"/>
          <w:sz w:val="14"/>
          <w:szCs w:val="14"/>
          <w:color w:val="auto"/>
        </w:rPr>
        <w:t>Committee chair fee is pro-rated for partial year of service as chair of the NCGC beginning October 1, 2022.</w:t>
      </w:r>
    </w:p>
    <w:p>
      <w:pPr>
        <w:ind w:left="540" w:hanging="424"/>
        <w:spacing w:after="0" w:line="180" w:lineRule="auto"/>
        <w:tabs>
          <w:tab w:leader="none" w:pos="540" w:val="left"/>
        </w:tabs>
        <w:numPr>
          <w:ilvl w:val="0"/>
          <w:numId w:val="42"/>
        </w:numPr>
        <w:rPr>
          <w:rFonts w:ascii="Arial" w:cs="Arial" w:eastAsia="Arial" w:hAnsi="Arial"/>
          <w:sz w:val="23"/>
          <w:szCs w:val="23"/>
          <w:color w:val="auto"/>
          <w:vertAlign w:val="superscript"/>
        </w:rPr>
      </w:pPr>
      <w:r>
        <w:rPr>
          <w:rFonts w:ascii="Arial" w:cs="Arial" w:eastAsia="Arial" w:hAnsi="Arial"/>
          <w:sz w:val="16"/>
          <w:szCs w:val="16"/>
          <w:color w:val="auto"/>
        </w:rPr>
        <w:t>Prorated for partial year of service as a trustee and as chair of the NCGC ending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344170</wp:posOffset>
            </wp:positionV>
            <wp:extent cx="699516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Proposal 2: Approving our Executive Compensation</w:t>
      </w:r>
    </w:p>
    <w:p>
      <w:pPr>
        <w:spacing w:after="0" w:line="278"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We are seeking an advisory vote to approve our executive compensation for 2022. We have always held our “Say on Pay” vote annually and are asking our shareholders for input this year as to the frequency with which to hold that vote in the future. See Proposal 3: Approving Frequency of Say on Pay Vote starting on page 40. Although this “Say on Pay” vote is advisory and is not binding on our Board, our Compensation Committee will take into consideration the outcome of the vote when making future executive compensation decisions.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text of the resolution if Proposal 2 is passed is:</w:t>
      </w:r>
    </w:p>
    <w:p>
      <w:pPr>
        <w:spacing w:after="0" w:line="212" w:lineRule="exact"/>
        <w:rPr>
          <w:sz w:val="20"/>
          <w:szCs w:val="20"/>
          <w:color w:val="auto"/>
        </w:rPr>
      </w:pPr>
    </w:p>
    <w:p>
      <w:pPr>
        <w:ind w:left="440" w:right="20"/>
        <w:spacing w:after="0" w:line="271" w:lineRule="auto"/>
        <w:rPr>
          <w:sz w:val="20"/>
          <w:szCs w:val="20"/>
          <w:color w:val="auto"/>
        </w:rPr>
      </w:pPr>
      <w:r>
        <w:rPr>
          <w:rFonts w:ascii="Arial" w:cs="Arial" w:eastAsia="Arial" w:hAnsi="Arial"/>
          <w:sz w:val="18"/>
          <w:szCs w:val="18"/>
          <w:color w:val="auto"/>
        </w:rPr>
        <w:t>RESOLVED, that the shareholders of the Company hereby approve, on an advisory basis, the compensation of our NEOs as described in the CD&amp;A and the Executive Compensation section that follows as required by Item 402 of Regulation S-K.</w:t>
      </w:r>
    </w:p>
    <w:p>
      <w:pPr>
        <w:spacing w:after="0" w:line="15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15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Our Board has designed our current executive compensation program to appropriately link compensation realized by our named executive officers to our performance and properly align the interests of our named executive officers with those of our shareholders. The details of this compensation for 2022, and the reasons we awarded it, are described in the “Compensation Discussion and Analysis,” starting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858000" cy="4457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00" cy="445770"/>
                    </a:xfrm>
                    <a:prstGeom prst="rect">
                      <a:avLst/>
                    </a:prstGeom>
                    <a:noFill/>
                  </pic:spPr>
                </pic:pic>
              </a:graphicData>
            </a:graphic>
          </wp:anchor>
        </w:drawing>
      </w:r>
    </w:p>
    <w:p>
      <w:pPr>
        <w:spacing w:after="0" w:line="386" w:lineRule="exact"/>
        <w:rPr>
          <w:sz w:val="20"/>
          <w:szCs w:val="20"/>
          <w:color w:val="auto"/>
        </w:rPr>
      </w:pPr>
    </w:p>
    <w:p>
      <w:pPr>
        <w:ind w:left="1220"/>
        <w:spacing w:after="0"/>
        <w:rPr>
          <w:sz w:val="20"/>
          <w:szCs w:val="20"/>
          <w:color w:val="auto"/>
        </w:rPr>
      </w:pPr>
      <w:r>
        <w:rPr>
          <w:rFonts w:ascii="Arial" w:cs="Arial" w:eastAsia="Arial" w:hAnsi="Arial"/>
          <w:sz w:val="25"/>
          <w:szCs w:val="25"/>
          <w:color w:val="auto"/>
        </w:rPr>
        <w:t xml:space="preserve">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the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236220</wp:posOffset>
            </wp:positionV>
            <wp:extent cx="701230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369"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18</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020"/>
          </w:cols>
          <w:pgMar w:left="320" w:top="482" w:right="55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Compensation Discussion and Analysis</w:t>
      </w:r>
    </w:p>
    <w:p>
      <w:pPr>
        <w:spacing w:after="0" w:line="337"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4100" w:type="dxa"/>
            <w:vAlign w:val="bottom"/>
            <w:gridSpan w:val="27"/>
            <w:shd w:val="clear" w:color="auto" w:fill="FF160F"/>
          </w:tcPr>
          <w:p>
            <w:pPr>
              <w:spacing w:after="0"/>
              <w:rPr>
                <w:sz w:val="20"/>
                <w:szCs w:val="20"/>
                <w:color w:val="auto"/>
              </w:rPr>
            </w:pPr>
            <w:r>
              <w:rPr>
                <w:rFonts w:ascii="Arial" w:cs="Arial" w:eastAsia="Arial" w:hAnsi="Arial"/>
                <w:sz w:val="18"/>
                <w:szCs w:val="18"/>
                <w:b w:val="1"/>
                <w:bCs w:val="1"/>
                <w:color w:val="FFFFFF"/>
              </w:rPr>
              <w:t>CD&amp;A TABLE OF CONTENTS</w:t>
            </w:r>
          </w:p>
        </w:tc>
        <w:tc>
          <w:tcPr>
            <w:tcW w:w="1180" w:type="dxa"/>
            <w:vAlign w:val="bottom"/>
            <w:shd w:val="clear" w:color="auto" w:fill="FF160F"/>
          </w:tcPr>
          <w:p>
            <w:pPr>
              <w:jc w:val="right"/>
              <w:ind w:right="210"/>
              <w:spacing w:after="0"/>
              <w:rPr>
                <w:sz w:val="20"/>
                <w:szCs w:val="20"/>
                <w:color w:val="auto"/>
              </w:rPr>
            </w:pPr>
            <w:r>
              <w:rPr>
                <w:rFonts w:ascii="Arial" w:cs="Arial" w:eastAsia="Arial" w:hAnsi="Arial"/>
                <w:sz w:val="18"/>
                <w:szCs w:val="18"/>
                <w:b w:val="1"/>
                <w:bCs w:val="1"/>
                <w:color w:val="FFFFFF"/>
              </w:rPr>
              <w:t>Page #</w:t>
            </w:r>
          </w:p>
        </w:tc>
        <w:tc>
          <w:tcPr>
            <w:tcW w:w="0" w:type="dxa"/>
            <w:vAlign w:val="bottom"/>
          </w:tcPr>
          <w:p>
            <w:pPr>
              <w:spacing w:after="0"/>
              <w:rPr>
                <w:sz w:val="1"/>
                <w:szCs w:val="1"/>
                <w:color w:val="auto"/>
              </w:rPr>
            </w:pPr>
          </w:p>
        </w:tc>
      </w:tr>
      <w:tr>
        <w:trPr>
          <w:trHeight w:val="310"/>
        </w:trPr>
        <w:tc>
          <w:tcPr>
            <w:tcW w:w="4100" w:type="dxa"/>
            <w:vAlign w:val="bottom"/>
            <w:gridSpan w:val="27"/>
          </w:tcPr>
          <w:p>
            <w:pPr>
              <w:spacing w:after="0"/>
              <w:rPr>
                <w:sz w:val="20"/>
                <w:szCs w:val="20"/>
                <w:color w:val="auto"/>
              </w:rPr>
            </w:pPr>
            <w:r>
              <w:rPr>
                <w:rFonts w:ascii="Arial" w:cs="Arial" w:eastAsia="Arial" w:hAnsi="Arial"/>
                <w:sz w:val="18"/>
                <w:szCs w:val="18"/>
                <w:b w:val="1"/>
                <w:bCs w:val="1"/>
                <w:color w:val="0000EE"/>
              </w:rPr>
              <w:t>Introduction</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36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36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220" w:type="dxa"/>
            <w:vAlign w:val="bottom"/>
            <w:tcBorders>
              <w:bottom w:val="single" w:sz="8" w:color="FF160F"/>
            </w:tcBorders>
          </w:tcPr>
          <w:p>
            <w:pPr>
              <w:spacing w:after="0" w:line="20" w:lineRule="exact"/>
              <w:rPr>
                <w:sz w:val="1"/>
                <w:szCs w:val="1"/>
                <w:color w:val="auto"/>
              </w:rPr>
            </w:pPr>
          </w:p>
        </w:tc>
        <w:tc>
          <w:tcPr>
            <w:tcW w:w="20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34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7"/>
          </w:tcPr>
          <w:p>
            <w:pPr>
              <w:spacing w:after="0" w:line="156" w:lineRule="exact"/>
              <w:rPr>
                <w:sz w:val="20"/>
                <w:szCs w:val="20"/>
                <w:color w:val="auto"/>
              </w:rPr>
            </w:pPr>
            <w:r>
              <w:rPr>
                <w:rFonts w:ascii="Arial" w:cs="Arial" w:eastAsia="Arial" w:hAnsi="Arial"/>
                <w:sz w:val="18"/>
                <w:szCs w:val="18"/>
                <w:color w:val="0000EE"/>
              </w:rPr>
              <w:t xml:space="preserve">2022 Business Highlights </w:t>
            </w:r>
            <w:r>
              <w:rPr>
                <w:rFonts w:ascii="Arial" w:cs="Arial" w:eastAsia="Arial" w:hAnsi="Arial"/>
                <w:sz w:val="18"/>
                <w:szCs w:val="18"/>
                <w:color w:val="000000"/>
              </w:rPr>
              <w:t>supporting</w:t>
            </w:r>
          </w:p>
        </w:tc>
        <w:tc>
          <w:tcPr>
            <w:tcW w:w="1180" w:type="dxa"/>
            <w:vAlign w:val="bottom"/>
            <w:vMerge w:val="restart"/>
          </w:tcPr>
          <w:p>
            <w:pPr>
              <w:jc w:val="right"/>
              <w:ind w:right="2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1"/>
        </w:trPr>
        <w:tc>
          <w:tcPr>
            <w:tcW w:w="2020" w:type="dxa"/>
            <w:vAlign w:val="bottom"/>
            <w:tcBorders>
              <w:top w:val="single" w:sz="8" w:color="0000EE"/>
            </w:tcBorders>
            <w:gridSpan w:val="7"/>
          </w:tcPr>
          <w:p>
            <w:pPr>
              <w:ind w:left="180"/>
              <w:spacing w:after="0" w:line="191" w:lineRule="exact"/>
              <w:rPr>
                <w:sz w:val="20"/>
                <w:szCs w:val="20"/>
                <w:color w:val="auto"/>
              </w:rPr>
            </w:pPr>
            <w:r>
              <w:rPr>
                <w:rFonts w:ascii="Arial" w:cs="Arial" w:eastAsia="Arial" w:hAnsi="Arial"/>
                <w:sz w:val="18"/>
                <w:szCs w:val="18"/>
                <w:color w:val="auto"/>
                <w:w w:val="91"/>
              </w:rPr>
              <w:t>Compensation Decisions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00" w:type="dxa"/>
            <w:vAlign w:val="bottom"/>
            <w:gridSpan w:val="27"/>
          </w:tcPr>
          <w:p>
            <w:pPr>
              <w:spacing w:after="0" w:line="195" w:lineRule="exact"/>
              <w:rPr>
                <w:sz w:val="20"/>
                <w:szCs w:val="20"/>
                <w:color w:val="auto"/>
              </w:rPr>
            </w:pPr>
            <w:r>
              <w:rPr>
                <w:rFonts w:ascii="Arial" w:cs="Arial" w:eastAsia="Arial" w:hAnsi="Arial"/>
                <w:sz w:val="18"/>
                <w:szCs w:val="18"/>
                <w:color w:val="0000EE"/>
              </w:rPr>
              <w:t>Program Philosophy and Objectives</w:t>
            </w:r>
          </w:p>
        </w:tc>
        <w:tc>
          <w:tcPr>
            <w:tcW w:w="11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86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Executive Compensation Practices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44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Components of Compensation</w:t>
            </w:r>
          </w:p>
        </w:tc>
        <w:tc>
          <w:tcPr>
            <w:tcW w:w="360" w:type="dxa"/>
            <w:vAlign w:val="bottom"/>
            <w:tcBorders>
              <w:top w:val="single" w:sz="8" w:color="0000EE"/>
            </w:tcBorders>
            <w:gridSpan w:val="7"/>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4100" w:type="dxa"/>
            <w:vAlign w:val="bottom"/>
            <w:gridSpan w:val="27"/>
          </w:tcPr>
          <w:p>
            <w:pPr>
              <w:spacing w:after="0"/>
              <w:rPr>
                <w:sz w:val="20"/>
                <w:szCs w:val="20"/>
                <w:color w:val="auto"/>
              </w:rPr>
            </w:pPr>
            <w:r>
              <w:rPr>
                <w:rFonts w:ascii="Arial" w:cs="Arial" w:eastAsia="Arial" w:hAnsi="Arial"/>
                <w:sz w:val="18"/>
                <w:szCs w:val="18"/>
                <w:b w:val="1"/>
                <w:bCs w:val="1"/>
                <w:color w:val="0000EE"/>
              </w:rPr>
              <w:t>Compensation Setting Process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36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20" w:type="dxa"/>
            <w:vAlign w:val="bottom"/>
            <w:tcBorders>
              <w:top w:val="single" w:sz="8" w:color="0000EE"/>
              <w:bottom w:val="single" w:sz="8" w:color="FF160F"/>
            </w:tcBorders>
          </w:tcPr>
          <w:p>
            <w:pPr>
              <w:spacing w:after="0" w:line="20" w:lineRule="exact"/>
              <w:rPr>
                <w:sz w:val="1"/>
                <w:szCs w:val="1"/>
                <w:color w:val="auto"/>
              </w:rPr>
            </w:pPr>
          </w:p>
        </w:tc>
        <w:tc>
          <w:tcPr>
            <w:tcW w:w="20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34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7"/>
          </w:tcPr>
          <w:p>
            <w:pPr>
              <w:spacing w:after="0" w:line="156" w:lineRule="exact"/>
              <w:rPr>
                <w:sz w:val="20"/>
                <w:szCs w:val="20"/>
                <w:color w:val="auto"/>
              </w:rPr>
            </w:pPr>
            <w:r>
              <w:rPr>
                <w:rFonts w:ascii="Arial" w:cs="Arial" w:eastAsia="Arial" w:hAnsi="Arial"/>
                <w:sz w:val="18"/>
                <w:szCs w:val="18"/>
                <w:color w:val="0000EE"/>
              </w:rPr>
              <w:t>Annual Compensation Decision Making</w:t>
            </w: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314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Role of the Compensation Committee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300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Role of Management</w:t>
            </w:r>
          </w:p>
        </w:tc>
        <w:tc>
          <w:tcPr>
            <w:tcW w:w="8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6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Role of Independent</w:t>
            </w:r>
          </w:p>
        </w:tc>
        <w:tc>
          <w:tcPr>
            <w:tcW w:w="2420" w:type="dxa"/>
            <w:vAlign w:val="bottom"/>
            <w:gridSpan w:val="22"/>
          </w:tcPr>
          <w:p>
            <w:pPr>
              <w:spacing w:after="0" w:line="182" w:lineRule="exact"/>
              <w:rPr>
                <w:sz w:val="20"/>
                <w:szCs w:val="20"/>
                <w:color w:val="auto"/>
              </w:rPr>
            </w:pPr>
            <w:r>
              <w:rPr>
                <w:rFonts w:ascii="Arial" w:cs="Arial" w:eastAsia="Arial" w:hAnsi="Arial"/>
                <w:sz w:val="18"/>
                <w:szCs w:val="18"/>
                <w:color w:val="0000EE"/>
              </w:rPr>
              <w:t>Compensation Consultant</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3740" w:type="dxa"/>
            <w:vAlign w:val="bottom"/>
            <w:tcBorders>
              <w:top w:val="single" w:sz="8" w:color="0000EE"/>
            </w:tcBorders>
            <w:gridSpan w:val="25"/>
          </w:tcPr>
          <w:p>
            <w:pPr>
              <w:spacing w:after="0"/>
              <w:rPr>
                <w:sz w:val="20"/>
                <w:szCs w:val="20"/>
                <w:color w:val="auto"/>
              </w:rPr>
            </w:pPr>
            <w:r>
              <w:rPr>
                <w:rFonts w:ascii="Arial" w:cs="Arial" w:eastAsia="Arial" w:hAnsi="Arial"/>
                <w:sz w:val="18"/>
                <w:szCs w:val="18"/>
                <w:b w:val="1"/>
                <w:bCs w:val="1"/>
                <w:color w:val="0000EE"/>
              </w:rPr>
              <w:t>2022 Compensation Decisions</w:t>
            </w:r>
          </w:p>
        </w:tc>
        <w:tc>
          <w:tcPr>
            <w:tcW w:w="360" w:type="dxa"/>
            <w:vAlign w:val="bottom"/>
            <w:gridSpan w:val="2"/>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
        </w:trPr>
        <w:tc>
          <w:tcPr>
            <w:tcW w:w="36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20" w:type="dxa"/>
            <w:vAlign w:val="bottom"/>
            <w:tcBorders>
              <w:top w:val="single" w:sz="8" w:color="0000EE"/>
              <w:bottom w:val="single" w:sz="8" w:color="FF160F"/>
            </w:tcBorders>
          </w:tcPr>
          <w:p>
            <w:pPr>
              <w:spacing w:after="0" w:line="20" w:lineRule="exact"/>
              <w:rPr>
                <w:sz w:val="1"/>
                <w:szCs w:val="1"/>
                <w:color w:val="auto"/>
              </w:rPr>
            </w:pPr>
          </w:p>
        </w:tc>
        <w:tc>
          <w:tcPr>
            <w:tcW w:w="20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34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7"/>
          </w:tcPr>
          <w:p>
            <w:pPr>
              <w:spacing w:after="0" w:line="156" w:lineRule="exact"/>
              <w:rPr>
                <w:sz w:val="20"/>
                <w:szCs w:val="20"/>
                <w:color w:val="auto"/>
              </w:rPr>
            </w:pPr>
            <w:r>
              <w:rPr>
                <w:rFonts w:ascii="Arial" w:cs="Arial" w:eastAsia="Arial" w:hAnsi="Arial"/>
                <w:sz w:val="18"/>
                <w:szCs w:val="18"/>
                <w:color w:val="0000EE"/>
              </w:rPr>
              <w:t>Setting 2022 Target Compensation</w:t>
            </w: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278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Individual Elements of 2022 Pay</w:t>
            </w:r>
          </w:p>
        </w:tc>
        <w:tc>
          <w:tcPr>
            <w:tcW w:w="80" w:type="dxa"/>
            <w:vAlign w:val="bottom"/>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360" w:type="dxa"/>
            <w:vAlign w:val="bottom"/>
            <w:tcBorders>
              <w:top w:val="single" w:sz="8" w:color="0000EE"/>
            </w:tcBorders>
          </w:tcPr>
          <w:p>
            <w:pPr>
              <w:spacing w:after="0"/>
              <w:rPr>
                <w:sz w:val="15"/>
                <w:szCs w:val="15"/>
                <w:color w:val="auto"/>
              </w:rPr>
            </w:pPr>
          </w:p>
        </w:tc>
        <w:tc>
          <w:tcPr>
            <w:tcW w:w="7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i w:val="1"/>
                <w:iCs w:val="1"/>
                <w:color w:val="0000EE"/>
                <w:w w:val="98"/>
              </w:rPr>
              <w:t>Base Pay</w:t>
            </w:r>
          </w:p>
        </w:tc>
        <w:tc>
          <w:tcPr>
            <w:tcW w:w="1440" w:type="dxa"/>
            <w:vAlign w:val="bottom"/>
            <w:tcBorders>
              <w:top w:val="single" w:sz="8" w:color="0000EE"/>
            </w:tcBorders>
            <w:gridSpan w:val="9"/>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3740" w:type="dxa"/>
            <w:vAlign w:val="bottom"/>
            <w:gridSpan w:val="26"/>
          </w:tcPr>
          <w:p>
            <w:pPr>
              <w:spacing w:after="0" w:line="182" w:lineRule="exact"/>
              <w:rPr>
                <w:sz w:val="20"/>
                <w:szCs w:val="20"/>
                <w:color w:val="auto"/>
              </w:rPr>
            </w:pPr>
            <w:r>
              <w:rPr>
                <w:rFonts w:ascii="Arial" w:cs="Arial" w:eastAsia="Arial" w:hAnsi="Arial"/>
                <w:sz w:val="18"/>
                <w:szCs w:val="18"/>
                <w:i w:val="1"/>
                <w:iCs w:val="1"/>
                <w:color w:val="0000EE"/>
              </w:rPr>
              <w:t>Annual Bonus Program</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38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8"/>
                <w:szCs w:val="18"/>
                <w:i w:val="1"/>
                <w:iCs w:val="1"/>
                <w:color w:val="0000EE"/>
                <w:w w:val="98"/>
              </w:rPr>
              <w:t>Long-Term Incentive Program</w:t>
            </w:r>
          </w:p>
        </w:tc>
        <w:tc>
          <w:tcPr>
            <w:tcW w:w="1360" w:type="dxa"/>
            <w:vAlign w:val="bottom"/>
            <w:gridSpan w:val="11"/>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100" w:type="dxa"/>
            <w:vAlign w:val="bottom"/>
            <w:gridSpan w:val="27"/>
          </w:tcPr>
          <w:p>
            <w:pPr>
              <w:spacing w:after="0"/>
              <w:rPr>
                <w:sz w:val="20"/>
                <w:szCs w:val="20"/>
                <w:color w:val="auto"/>
              </w:rPr>
            </w:pPr>
            <w:r>
              <w:rPr>
                <w:rFonts w:ascii="Arial" w:cs="Arial" w:eastAsia="Arial" w:hAnsi="Arial"/>
                <w:sz w:val="18"/>
                <w:szCs w:val="18"/>
                <w:b w:val="1"/>
                <w:bCs w:val="1"/>
                <w:color w:val="0000EE"/>
              </w:rPr>
              <w:t>2022 NEO Performance Summary</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36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20" w:type="dxa"/>
            <w:vAlign w:val="bottom"/>
            <w:tcBorders>
              <w:top w:val="single" w:sz="8" w:color="0000EE"/>
              <w:bottom w:val="single" w:sz="8" w:color="FF160F"/>
            </w:tcBorders>
          </w:tcPr>
          <w:p>
            <w:pPr>
              <w:spacing w:after="0" w:line="20" w:lineRule="exact"/>
              <w:rPr>
                <w:sz w:val="1"/>
                <w:szCs w:val="1"/>
                <w:color w:val="auto"/>
              </w:rPr>
            </w:pPr>
          </w:p>
        </w:tc>
        <w:tc>
          <w:tcPr>
            <w:tcW w:w="20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34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00" w:type="dxa"/>
            <w:vAlign w:val="bottom"/>
            <w:gridSpan w:val="27"/>
          </w:tcPr>
          <w:p>
            <w:pPr>
              <w:spacing w:after="0"/>
              <w:rPr>
                <w:sz w:val="20"/>
                <w:szCs w:val="20"/>
                <w:color w:val="auto"/>
              </w:rPr>
            </w:pPr>
            <w:r>
              <w:rPr>
                <w:rFonts w:ascii="Arial" w:cs="Arial" w:eastAsia="Arial" w:hAnsi="Arial"/>
                <w:sz w:val="18"/>
                <w:szCs w:val="18"/>
                <w:b w:val="1"/>
                <w:bCs w:val="1"/>
                <w:color w:val="0000EE"/>
              </w:rPr>
              <w:t>Other Compensation Practices and Policies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0"/>
        </w:trPr>
        <w:tc>
          <w:tcPr>
            <w:tcW w:w="36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20" w:type="dxa"/>
            <w:vAlign w:val="bottom"/>
            <w:tcBorders>
              <w:top w:val="single" w:sz="8" w:color="0000EE"/>
              <w:bottom w:val="single" w:sz="8" w:color="FF160F"/>
            </w:tcBorders>
          </w:tcPr>
          <w:p>
            <w:pPr>
              <w:spacing w:after="0" w:line="20" w:lineRule="exact"/>
              <w:rPr>
                <w:sz w:val="1"/>
                <w:szCs w:val="1"/>
                <w:color w:val="auto"/>
              </w:rPr>
            </w:pPr>
          </w:p>
        </w:tc>
        <w:tc>
          <w:tcPr>
            <w:tcW w:w="20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34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Borders>
              <w:bottom w:val="single" w:sz="8" w:color="0000EE"/>
            </w:tcBorders>
            <w:gridSpan w:val="15"/>
          </w:tcPr>
          <w:p>
            <w:pPr>
              <w:spacing w:after="0" w:line="156" w:lineRule="exact"/>
              <w:rPr>
                <w:sz w:val="20"/>
                <w:szCs w:val="20"/>
                <w:color w:val="auto"/>
              </w:rPr>
            </w:pPr>
            <w:r>
              <w:rPr>
                <w:rFonts w:ascii="Arial" w:cs="Arial" w:eastAsia="Arial" w:hAnsi="Arial"/>
                <w:sz w:val="18"/>
                <w:szCs w:val="18"/>
                <w:color w:val="0000EE"/>
                <w:w w:val="99"/>
              </w:rPr>
              <w:t>Consideration of Say on Pay Vote</w:t>
            </w:r>
          </w:p>
        </w:tc>
        <w:tc>
          <w:tcPr>
            <w:tcW w:w="1400" w:type="dxa"/>
            <w:vAlign w:val="bottom"/>
            <w:gridSpan w:val="12"/>
          </w:tcPr>
          <w:p>
            <w:pPr>
              <w:spacing w:after="0"/>
              <w:rPr>
                <w:sz w:val="13"/>
                <w:szCs w:val="13"/>
                <w:color w:val="auto"/>
              </w:rPr>
            </w:pP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4100" w:type="dxa"/>
            <w:vAlign w:val="bottom"/>
            <w:gridSpan w:val="27"/>
          </w:tcPr>
          <w:p>
            <w:pPr>
              <w:spacing w:after="0" w:line="182" w:lineRule="exact"/>
              <w:rPr>
                <w:sz w:val="20"/>
                <w:szCs w:val="20"/>
                <w:color w:val="auto"/>
              </w:rPr>
            </w:pPr>
            <w:r>
              <w:rPr>
                <w:rFonts w:ascii="Arial" w:cs="Arial" w:eastAsia="Arial" w:hAnsi="Arial"/>
                <w:sz w:val="18"/>
                <w:szCs w:val="18"/>
                <w:color w:val="0000EE"/>
              </w:rPr>
              <w:t>No Hedging or Pledging of Our Shares</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4100" w:type="dxa"/>
            <w:vAlign w:val="bottom"/>
            <w:gridSpan w:val="27"/>
          </w:tcPr>
          <w:p>
            <w:pPr>
              <w:spacing w:after="0" w:line="182" w:lineRule="exact"/>
              <w:rPr>
                <w:sz w:val="20"/>
                <w:szCs w:val="20"/>
                <w:color w:val="auto"/>
              </w:rPr>
            </w:pPr>
            <w:r>
              <w:rPr>
                <w:rFonts w:ascii="Arial" w:cs="Arial" w:eastAsia="Arial" w:hAnsi="Arial"/>
                <w:sz w:val="18"/>
                <w:szCs w:val="18"/>
                <w:color w:val="0000EE"/>
              </w:rPr>
              <w:t>Severance and Change-in-Control Agreements</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6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Clawback Policy</w:t>
            </w:r>
          </w:p>
        </w:tc>
        <w:tc>
          <w:tcPr>
            <w:tcW w:w="34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3"/>
              </w:rPr>
              <w:t>Share Ownership</w:t>
            </w:r>
          </w:p>
        </w:tc>
        <w:tc>
          <w:tcPr>
            <w:tcW w:w="980" w:type="dxa"/>
            <w:vAlign w:val="bottom"/>
            <w:tcBorders>
              <w:bottom w:val="single" w:sz="8" w:color="0000EE"/>
            </w:tcBorders>
            <w:gridSpan w:val="6"/>
          </w:tcPr>
          <w:p>
            <w:pPr>
              <w:ind w:left="120"/>
              <w:spacing w:after="0" w:line="182" w:lineRule="exact"/>
              <w:rPr>
                <w:sz w:val="20"/>
                <w:szCs w:val="20"/>
                <w:color w:val="auto"/>
              </w:rPr>
            </w:pPr>
            <w:r>
              <w:rPr>
                <w:rFonts w:ascii="Arial" w:cs="Arial" w:eastAsia="Arial" w:hAnsi="Arial"/>
                <w:sz w:val="18"/>
                <w:szCs w:val="18"/>
                <w:color w:val="0000EE"/>
                <w:w w:val="98"/>
              </w:rPr>
              <w:t>Guidelines</w:t>
            </w:r>
          </w:p>
        </w:tc>
        <w:tc>
          <w:tcPr>
            <w:tcW w:w="1800" w:type="dxa"/>
            <w:vAlign w:val="bottom"/>
            <w:gridSpan w:val="17"/>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4100" w:type="dxa"/>
            <w:vAlign w:val="bottom"/>
            <w:gridSpan w:val="27"/>
          </w:tcPr>
          <w:p>
            <w:pPr>
              <w:spacing w:after="0" w:line="182" w:lineRule="exact"/>
              <w:rPr>
                <w:sz w:val="20"/>
                <w:szCs w:val="20"/>
                <w:color w:val="auto"/>
              </w:rPr>
            </w:pPr>
            <w:r>
              <w:rPr>
                <w:rFonts w:ascii="Arial" w:cs="Arial" w:eastAsia="Arial" w:hAnsi="Arial"/>
                <w:sz w:val="18"/>
                <w:szCs w:val="18"/>
                <w:color w:val="0000EE"/>
              </w:rPr>
              <w:t>Risk Assessment of Compensation Programs</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80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Equity Grant Practices</w:t>
            </w:r>
          </w:p>
        </w:tc>
        <w:tc>
          <w:tcPr>
            <w:tcW w:w="1820" w:type="dxa"/>
            <w:vAlign w:val="bottom"/>
            <w:tcBorders>
              <w:top w:val="single" w:sz="8" w:color="0000EE"/>
            </w:tcBorders>
            <w:gridSpan w:val="18"/>
          </w:tcPr>
          <w:p>
            <w:pPr>
              <w:spacing w:after="0"/>
              <w:rPr>
                <w:sz w:val="15"/>
                <w:szCs w:val="15"/>
                <w:color w:val="auto"/>
              </w:rPr>
            </w:pPr>
          </w:p>
        </w:tc>
        <w:tc>
          <w:tcPr>
            <w:tcW w:w="480" w:type="dxa"/>
            <w:vAlign w:val="bottom"/>
            <w:gridSpan w:val="3"/>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4100" w:type="dxa"/>
            <w:vAlign w:val="bottom"/>
            <w:gridSpan w:val="27"/>
          </w:tcPr>
          <w:p>
            <w:pPr>
              <w:spacing w:after="0" w:line="182" w:lineRule="exact"/>
              <w:rPr>
                <w:sz w:val="20"/>
                <w:szCs w:val="20"/>
                <w:color w:val="auto"/>
              </w:rPr>
            </w:pPr>
            <w:r>
              <w:rPr>
                <w:rFonts w:ascii="Arial" w:cs="Arial" w:eastAsia="Arial" w:hAnsi="Arial"/>
                <w:sz w:val="18"/>
                <w:szCs w:val="18"/>
                <w:color w:val="0000EE"/>
              </w:rPr>
              <w:t>Tax Deductibility of Executive Compensation</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24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Health and Welfare Benefits</w:t>
            </w:r>
          </w:p>
        </w:tc>
        <w:tc>
          <w:tcPr>
            <w:tcW w:w="1300" w:type="dxa"/>
            <w:vAlign w:val="bottom"/>
            <w:tcBorders>
              <w:top w:val="single" w:sz="8" w:color="0000EE"/>
            </w:tcBorders>
            <w:gridSpan w:val="14"/>
          </w:tcPr>
          <w:p>
            <w:pPr>
              <w:spacing w:after="0"/>
              <w:rPr>
                <w:sz w:val="15"/>
                <w:szCs w:val="15"/>
                <w:color w:val="auto"/>
              </w:rPr>
            </w:pPr>
          </w:p>
        </w:tc>
        <w:tc>
          <w:tcPr>
            <w:tcW w:w="560" w:type="dxa"/>
            <w:vAlign w:val="bottom"/>
            <w:gridSpan w:val="4"/>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4100" w:type="dxa"/>
            <w:vAlign w:val="bottom"/>
            <w:gridSpan w:val="27"/>
          </w:tcPr>
          <w:p>
            <w:pPr>
              <w:spacing w:after="0"/>
              <w:rPr>
                <w:sz w:val="20"/>
                <w:szCs w:val="20"/>
                <w:color w:val="auto"/>
              </w:rPr>
            </w:pPr>
            <w:r>
              <w:rPr>
                <w:rFonts w:ascii="Arial" w:cs="Arial" w:eastAsia="Arial" w:hAnsi="Arial"/>
                <w:sz w:val="18"/>
                <w:szCs w:val="18"/>
                <w:b w:val="1"/>
                <w:bCs w:val="1"/>
                <w:color w:val="0000EE"/>
              </w:rPr>
              <w:t>Compensation Committee Report</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36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20" w:type="dxa"/>
            <w:vAlign w:val="bottom"/>
            <w:tcBorders>
              <w:top w:val="single" w:sz="8" w:color="0000EE"/>
              <w:bottom w:val="single" w:sz="8" w:color="FF160F"/>
            </w:tcBorders>
          </w:tcPr>
          <w:p>
            <w:pPr>
              <w:spacing w:after="0" w:line="20" w:lineRule="exact"/>
              <w:rPr>
                <w:sz w:val="1"/>
                <w:szCs w:val="1"/>
                <w:color w:val="auto"/>
              </w:rPr>
            </w:pPr>
          </w:p>
        </w:tc>
        <w:tc>
          <w:tcPr>
            <w:tcW w:w="20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34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188595</wp:posOffset>
            </wp:positionV>
            <wp:extent cx="701230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-118745</wp:posOffset>
            </wp:positionV>
            <wp:extent cx="3420110" cy="3206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0110" cy="320611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DONALD C. WOOD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Chief Executive Officer</w:t>
      </w:r>
    </w:p>
    <w:p>
      <w:pPr>
        <w:ind w:left="200"/>
        <w:spacing w:after="0" w:line="234" w:lineRule="auto"/>
        <w:tabs>
          <w:tab w:leader="none" w:pos="1540" w:val="left"/>
        </w:tabs>
        <w:rPr>
          <w:sz w:val="20"/>
          <w:szCs w:val="20"/>
          <w:color w:val="auto"/>
        </w:rPr>
      </w:pPr>
      <w:r>
        <w:rPr>
          <w:rFonts w:ascii="Arial" w:cs="Arial" w:eastAsia="Arial" w:hAnsi="Arial"/>
          <w:sz w:val="18"/>
          <w:szCs w:val="18"/>
          <w:color w:val="auto"/>
        </w:rPr>
        <w:t>Age: 62</w:t>
      </w:r>
      <w:r>
        <w:rPr>
          <w:sz w:val="20"/>
          <w:szCs w:val="20"/>
          <w:color w:val="auto"/>
        </w:rPr>
        <w:tab/>
      </w:r>
      <w:r>
        <w:rPr>
          <w:rFonts w:ascii="Arial" w:cs="Arial" w:eastAsia="Arial" w:hAnsi="Arial"/>
          <w:sz w:val="18"/>
          <w:szCs w:val="18"/>
          <w:color w:val="auto"/>
        </w:rPr>
        <w:t>Joined Federal: 1998</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 position since: 2003</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JEFFREY S. BERKES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President and Chief Operating Officer</w:t>
      </w:r>
    </w:p>
    <w:p>
      <w:pPr>
        <w:ind w:left="200"/>
        <w:spacing w:after="0" w:line="234" w:lineRule="auto"/>
        <w:tabs>
          <w:tab w:leader="none" w:pos="1540" w:val="left"/>
        </w:tabs>
        <w:rPr>
          <w:sz w:val="20"/>
          <w:szCs w:val="20"/>
          <w:color w:val="auto"/>
        </w:rPr>
      </w:pPr>
      <w:r>
        <w:rPr>
          <w:rFonts w:ascii="Arial" w:cs="Arial" w:eastAsia="Arial" w:hAnsi="Arial"/>
          <w:sz w:val="18"/>
          <w:szCs w:val="18"/>
          <w:color w:val="auto"/>
        </w:rPr>
        <w:t>Age: 59</w:t>
      </w:r>
      <w:r>
        <w:rPr>
          <w:sz w:val="20"/>
          <w:szCs w:val="20"/>
          <w:color w:val="auto"/>
        </w:rPr>
        <w:tab/>
      </w:r>
      <w:r>
        <w:rPr>
          <w:rFonts w:ascii="Arial" w:cs="Arial" w:eastAsia="Arial" w:hAnsi="Arial"/>
          <w:sz w:val="18"/>
          <w:szCs w:val="18"/>
          <w:color w:val="auto"/>
        </w:rPr>
        <w:t>Joined Federal: 2000</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 position since: 2021</w:t>
      </w:r>
    </w:p>
    <w:p>
      <w:pPr>
        <w:spacing w:after="0" w:line="383" w:lineRule="exact"/>
        <w:rPr>
          <w:sz w:val="20"/>
          <w:szCs w:val="20"/>
          <w:color w:val="auto"/>
        </w:rPr>
      </w:pPr>
    </w:p>
    <w:p>
      <w:pPr>
        <w:ind w:left="200" w:right="500"/>
        <w:spacing w:after="0" w:line="245" w:lineRule="auto"/>
        <w:rPr>
          <w:sz w:val="20"/>
          <w:szCs w:val="20"/>
          <w:color w:val="auto"/>
        </w:rPr>
      </w:pPr>
      <w:r>
        <w:rPr>
          <w:rFonts w:ascii="Arial" w:cs="Arial" w:eastAsia="Arial" w:hAnsi="Arial"/>
          <w:sz w:val="18"/>
          <w:szCs w:val="18"/>
          <w:b w:val="1"/>
          <w:bCs w:val="1"/>
          <w:color w:val="auto"/>
        </w:rPr>
        <w:t xml:space="preserve">DANIEL GUGLIELMONE </w:t>
      </w:r>
      <w:r>
        <w:rPr>
          <w:rFonts w:ascii="Arial" w:cs="Arial" w:eastAsia="Arial" w:hAnsi="Arial"/>
          <w:sz w:val="18"/>
          <w:szCs w:val="18"/>
          <w:color w:val="auto"/>
        </w:rPr>
        <w:t>EVP-Chief Financial Officer and Treasurer</w:t>
      </w:r>
    </w:p>
    <w:p>
      <w:pPr>
        <w:ind w:left="200"/>
        <w:spacing w:after="0" w:line="235" w:lineRule="auto"/>
        <w:tabs>
          <w:tab w:leader="none" w:pos="1540" w:val="left"/>
        </w:tabs>
        <w:rPr>
          <w:sz w:val="20"/>
          <w:szCs w:val="20"/>
          <w:color w:val="auto"/>
        </w:rPr>
      </w:pPr>
      <w:r>
        <w:rPr>
          <w:rFonts w:ascii="Arial" w:cs="Arial" w:eastAsia="Arial" w:hAnsi="Arial"/>
          <w:sz w:val="18"/>
          <w:szCs w:val="18"/>
          <w:color w:val="auto"/>
        </w:rPr>
        <w:t>Age: 56</w:t>
      </w:r>
      <w:r>
        <w:rPr>
          <w:sz w:val="20"/>
          <w:szCs w:val="20"/>
          <w:color w:val="auto"/>
        </w:rPr>
        <w:tab/>
      </w:r>
      <w:r>
        <w:rPr>
          <w:rFonts w:ascii="Arial" w:cs="Arial" w:eastAsia="Arial" w:hAnsi="Arial"/>
          <w:sz w:val="18"/>
          <w:szCs w:val="18"/>
          <w:color w:val="auto"/>
        </w:rPr>
        <w:t>Joined Federal: 2016</w:t>
      </w:r>
    </w:p>
    <w:p>
      <w:pPr>
        <w:ind w:left="1540"/>
        <w:spacing w:after="0"/>
        <w:rPr>
          <w:sz w:val="20"/>
          <w:szCs w:val="20"/>
          <w:color w:val="auto"/>
        </w:rPr>
      </w:pPr>
      <w:r>
        <w:rPr>
          <w:rFonts w:ascii="Arial" w:cs="Arial" w:eastAsia="Arial" w:hAnsi="Arial"/>
          <w:sz w:val="18"/>
          <w:szCs w:val="18"/>
          <w:color w:val="auto"/>
        </w:rPr>
        <w:t>In position since: 2016</w:t>
      </w:r>
    </w:p>
    <w:p>
      <w:pPr>
        <w:spacing w:after="0" w:line="383" w:lineRule="exact"/>
        <w:rPr>
          <w:sz w:val="20"/>
          <w:szCs w:val="20"/>
          <w:color w:val="auto"/>
        </w:rPr>
      </w:pPr>
    </w:p>
    <w:p>
      <w:pPr>
        <w:ind w:left="200" w:right="920"/>
        <w:spacing w:after="0" w:line="245" w:lineRule="auto"/>
        <w:rPr>
          <w:sz w:val="20"/>
          <w:szCs w:val="20"/>
          <w:color w:val="auto"/>
        </w:rPr>
      </w:pPr>
      <w:r>
        <w:rPr>
          <w:rFonts w:ascii="Arial" w:cs="Arial" w:eastAsia="Arial" w:hAnsi="Arial"/>
          <w:sz w:val="18"/>
          <w:szCs w:val="18"/>
          <w:b w:val="1"/>
          <w:bCs w:val="1"/>
          <w:color w:val="auto"/>
        </w:rPr>
        <w:t xml:space="preserve">DAWN M. BECKER </w:t>
      </w:r>
      <w:r>
        <w:rPr>
          <w:rFonts w:ascii="Arial" w:cs="Arial" w:eastAsia="Arial" w:hAnsi="Arial"/>
          <w:sz w:val="18"/>
          <w:szCs w:val="18"/>
          <w:color w:val="auto"/>
        </w:rPr>
        <w:t>EVP-General Counsel and Secretary</w:t>
      </w:r>
    </w:p>
    <w:p>
      <w:pPr>
        <w:ind w:left="200"/>
        <w:spacing w:after="0" w:line="235" w:lineRule="auto"/>
        <w:tabs>
          <w:tab w:leader="none" w:pos="1540" w:val="left"/>
        </w:tabs>
        <w:rPr>
          <w:sz w:val="20"/>
          <w:szCs w:val="20"/>
          <w:color w:val="auto"/>
        </w:rPr>
      </w:pPr>
      <w:r>
        <w:rPr>
          <w:rFonts w:ascii="Arial" w:cs="Arial" w:eastAsia="Arial" w:hAnsi="Arial"/>
          <w:sz w:val="18"/>
          <w:szCs w:val="18"/>
          <w:color w:val="auto"/>
        </w:rPr>
        <w:t>Age: 59</w:t>
      </w:r>
      <w:r>
        <w:rPr>
          <w:sz w:val="20"/>
          <w:szCs w:val="20"/>
          <w:color w:val="auto"/>
        </w:rPr>
        <w:tab/>
      </w:r>
      <w:r>
        <w:rPr>
          <w:rFonts w:ascii="Arial" w:cs="Arial" w:eastAsia="Arial" w:hAnsi="Arial"/>
          <w:sz w:val="18"/>
          <w:szCs w:val="18"/>
          <w:color w:val="auto"/>
        </w:rPr>
        <w:t>Joined Federal: 1997</w:t>
      </w:r>
    </w:p>
    <w:p>
      <w:pPr>
        <w:ind w:left="1540"/>
        <w:spacing w:after="0"/>
        <w:rPr>
          <w:sz w:val="20"/>
          <w:szCs w:val="20"/>
          <w:color w:val="auto"/>
        </w:rPr>
      </w:pPr>
      <w:r>
        <w:rPr>
          <w:rFonts w:ascii="Arial" w:cs="Arial" w:eastAsia="Arial" w:hAnsi="Arial"/>
          <w:sz w:val="18"/>
          <w:szCs w:val="18"/>
          <w:color w:val="auto"/>
        </w:rPr>
        <w:t>In position since: 2002</w:t>
      </w:r>
    </w:p>
    <w:p>
      <w:pPr>
        <w:spacing w:after="0" w:line="2464" w:lineRule="exact"/>
        <w:rPr>
          <w:sz w:val="20"/>
          <w:szCs w:val="20"/>
          <w:color w:val="auto"/>
        </w:rPr>
      </w:pPr>
    </w:p>
    <w:p>
      <w:pPr>
        <w:sectPr>
          <w:pgSz w:w="11900" w:h="16838" w:orient="portrait"/>
          <w:cols w:equalWidth="0" w:num="2">
            <w:col w:w="6400" w:space="560"/>
            <w:col w:w="4060"/>
          </w:cols>
          <w:pgMar w:left="320" w:top="482" w:right="559" w:bottom="1440" w:gutter="0" w:footer="0" w:header="0"/>
          <w:type w:val="continuous"/>
        </w:sectPr>
      </w:pPr>
    </w:p>
    <w:p>
      <w:pPr>
        <w:spacing w:after="0" w:line="115"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19</w:t>
      </w:r>
    </w:p>
    <w:p>
      <w:pPr>
        <w:sectPr>
          <w:pgSz w:w="11900" w:h="16838" w:orient="portrait"/>
          <w:cols w:equalWidth="0" w:num="1">
            <w:col w:w="11020"/>
          </w:cols>
          <w:pgMar w:left="320" w:top="482" w:right="5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160F"/>
        </w:rPr>
        <w:t>I</w:t>
      </w:r>
      <w:r>
        <w:rPr>
          <w:rFonts w:ascii="Arial" w:cs="Arial" w:eastAsia="Arial" w:hAnsi="Arial"/>
          <w:sz w:val="17"/>
          <w:szCs w:val="17"/>
          <w:b w:val="1"/>
          <w:bCs w:val="1"/>
          <w:color w:val="FF160F"/>
        </w:rPr>
        <w:t>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1" w:lineRule="exact"/>
        <w:rPr>
          <w:sz w:val="20"/>
          <w:szCs w:val="20"/>
          <w:color w:val="auto"/>
        </w:rPr>
      </w:pPr>
    </w:p>
    <w:p>
      <w:pPr>
        <w:ind w:left="540" w:hanging="424"/>
        <w:spacing w:after="0"/>
        <w:tabs>
          <w:tab w:leader="none" w:pos="540" w:val="left"/>
        </w:tabs>
        <w:numPr>
          <w:ilvl w:val="0"/>
          <w:numId w:val="43"/>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2022 BUSINESS HIGHLIGHTS SUPPORTING COMPENSATION DECISIONS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accomplishments for the year ended December 31, 2022 that were considered in compensation decisions included the following:</w:t>
      </w:r>
    </w:p>
    <w:p>
      <w:pPr>
        <w:spacing w:after="0" w:line="239" w:lineRule="exact"/>
        <w:rPr>
          <w:sz w:val="20"/>
          <w:szCs w:val="20"/>
          <w:color w:val="auto"/>
        </w:rPr>
      </w:pPr>
    </w:p>
    <w:p>
      <w:pPr>
        <w:ind w:left="1700" w:right="480" w:firstLine="1616"/>
        <w:spacing w:after="0" w:line="237" w:lineRule="auto"/>
        <w:rPr>
          <w:sz w:val="20"/>
          <w:szCs w:val="20"/>
          <w:color w:val="auto"/>
        </w:rPr>
      </w:pPr>
      <w:r>
        <w:rPr>
          <w:rFonts w:ascii="Arial" w:cs="Arial" w:eastAsia="Arial" w:hAnsi="Arial"/>
          <w:sz w:val="18"/>
          <w:szCs w:val="18"/>
          <w:color w:val="auto"/>
        </w:rPr>
        <w:t xml:space="preserve">FFO per diluted share* of </w:t>
      </w:r>
      <w:r>
        <w:rPr>
          <w:rFonts w:ascii="Arial" w:cs="Arial" w:eastAsia="Arial" w:hAnsi="Arial"/>
          <w:sz w:val="18"/>
          <w:szCs w:val="18"/>
          <w:color w:val="FF160F"/>
        </w:rPr>
        <w:t>$6.32</w:t>
      </w:r>
      <w:r>
        <w:rPr>
          <w:rFonts w:ascii="Arial" w:cs="Arial" w:eastAsia="Arial" w:hAnsi="Arial"/>
          <w:sz w:val="18"/>
          <w:szCs w:val="18"/>
          <w:color w:val="auto"/>
        </w:rPr>
        <w:t xml:space="preserve"> representing growth of </w:t>
      </w:r>
      <w:r>
        <w:rPr>
          <w:rFonts w:ascii="Arial" w:cs="Arial" w:eastAsia="Arial" w:hAnsi="Arial"/>
          <w:sz w:val="18"/>
          <w:szCs w:val="18"/>
          <w:color w:val="FF160F"/>
        </w:rPr>
        <w:t>13.5%</w:t>
      </w:r>
      <w:r>
        <w:rPr>
          <w:rFonts w:ascii="Arial" w:cs="Arial" w:eastAsia="Arial" w:hAnsi="Arial"/>
          <w:sz w:val="18"/>
          <w:szCs w:val="18"/>
          <w:color w:val="auto"/>
        </w:rPr>
        <w:t xml:space="preserve"> over 2021 driven by improved </w:t>
      </w:r>
      <w:r>
        <w:rPr>
          <w:rFonts w:ascii="Arial" w:cs="Arial" w:eastAsia="Arial" w:hAnsi="Arial"/>
          <w:sz w:val="19"/>
          <w:szCs w:val="19"/>
          <w:color w:val="FFFFFF"/>
        </w:rPr>
        <w:t xml:space="preserve">FFO Per Share </w:t>
      </w:r>
      <w:r>
        <w:rPr>
          <w:rFonts w:ascii="Arial" w:cs="Arial" w:eastAsia="Arial" w:hAnsi="Arial"/>
          <w:sz w:val="17"/>
          <w:szCs w:val="17"/>
          <w:color w:val="000000"/>
        </w:rPr>
        <w:t>occupancy, increasing rents, strategic acquisitions, new projects coming on line, and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-254000</wp:posOffset>
            </wp:positionV>
            <wp:extent cx="6831965" cy="33858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3385820"/>
                    </a:xfrm>
                    <a:prstGeom prst="rect">
                      <a:avLst/>
                    </a:prstGeom>
                    <a:noFill/>
                  </pic:spPr>
                </pic:pic>
              </a:graphicData>
            </a:graphic>
          </wp:anchor>
        </w:drawing>
      </w:r>
    </w:p>
    <w:p>
      <w:pPr>
        <w:ind w:left="2060"/>
        <w:spacing w:after="0" w:line="233" w:lineRule="auto"/>
        <w:tabs>
          <w:tab w:leader="none" w:pos="3300" w:val="left"/>
        </w:tabs>
        <w:rPr>
          <w:sz w:val="20"/>
          <w:szCs w:val="20"/>
          <w:color w:val="auto"/>
        </w:rPr>
      </w:pPr>
      <w:r>
        <w:rPr>
          <w:rFonts w:ascii="Arial" w:cs="Arial" w:eastAsia="Arial" w:hAnsi="Arial"/>
          <w:sz w:val="20"/>
          <w:szCs w:val="20"/>
          <w:color w:val="FFFFFF"/>
        </w:rPr>
        <w:t>Growth</w:t>
      </w:r>
      <w:r>
        <w:rPr>
          <w:sz w:val="20"/>
          <w:szCs w:val="20"/>
          <w:color w:val="auto"/>
        </w:rPr>
        <w:tab/>
      </w:r>
      <w:r>
        <w:rPr>
          <w:rFonts w:ascii="Arial" w:cs="Arial" w:eastAsia="Arial" w:hAnsi="Arial"/>
          <w:sz w:val="18"/>
          <w:szCs w:val="18"/>
          <w:color w:val="auto"/>
        </w:rPr>
        <w:t>balance sheet management</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400"/>
        </w:trPr>
        <w:tc>
          <w:tcPr>
            <w:tcW w:w="14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shd w:val="clear" w:color="auto" w:fill="A5A5A5"/>
          </w:tcPr>
          <w:p>
            <w:pPr>
              <w:jc w:val="center"/>
              <w:spacing w:after="0"/>
              <w:rPr>
                <w:sz w:val="20"/>
                <w:szCs w:val="20"/>
                <w:color w:val="auto"/>
              </w:rPr>
            </w:pPr>
            <w:r>
              <w:rPr>
                <w:rFonts w:ascii="Arial" w:cs="Arial" w:eastAsia="Arial" w:hAnsi="Arial"/>
                <w:sz w:val="18"/>
                <w:szCs w:val="18"/>
                <w:color w:val="FFFFFF"/>
                <w:w w:val="99"/>
              </w:rPr>
              <w:t>Record Leasing</w:t>
            </w:r>
          </w:p>
        </w:tc>
        <w:tc>
          <w:tcPr>
            <w:tcW w:w="120" w:type="dxa"/>
            <w:vAlign w:val="bottom"/>
            <w:tcBorders>
              <w:top w:val="single" w:sz="8" w:color="auto"/>
            </w:tcBorders>
          </w:tcPr>
          <w:p>
            <w:pPr>
              <w:spacing w:after="0"/>
              <w:rPr>
                <w:sz w:val="24"/>
                <w:szCs w:val="24"/>
                <w:color w:val="auto"/>
              </w:rPr>
            </w:pPr>
          </w:p>
        </w:tc>
        <w:tc>
          <w:tcPr>
            <w:tcW w:w="7820" w:type="dxa"/>
            <w:vAlign w:val="bottom"/>
            <w:tcBorders>
              <w:top w:val="single" w:sz="8" w:color="auto"/>
            </w:tcBorders>
            <w:shd w:val="clear" w:color="auto" w:fill="F2F2F2"/>
          </w:tcPr>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color w:val="FF160F"/>
              </w:rPr>
              <w:t>475</w:t>
            </w:r>
            <w:r>
              <w:rPr>
                <w:rFonts w:ascii="Arial" w:cs="Arial" w:eastAsia="Arial" w:hAnsi="Arial"/>
                <w:sz w:val="18"/>
                <w:szCs w:val="18"/>
                <w:color w:val="auto"/>
              </w:rPr>
              <w:t xml:space="preserve"> new and renewal comparable space leases covering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2 million</w:t>
            </w:r>
            <w:r>
              <w:rPr>
                <w:rFonts w:ascii="Arial" w:cs="Arial" w:eastAsia="Arial" w:hAnsi="Arial"/>
                <w:sz w:val="18"/>
                <w:szCs w:val="18"/>
                <w:color w:val="auto"/>
              </w:rPr>
              <w:t xml:space="preserve"> square feet of space</w:t>
            </w:r>
          </w:p>
        </w:tc>
        <w:tc>
          <w:tcPr>
            <w:tcW w:w="0" w:type="dxa"/>
            <w:vAlign w:val="bottom"/>
          </w:tcPr>
          <w:p>
            <w:pPr>
              <w:spacing w:after="0"/>
              <w:rPr>
                <w:sz w:val="1"/>
                <w:szCs w:val="1"/>
                <w:color w:val="auto"/>
              </w:rPr>
            </w:pPr>
          </w:p>
        </w:tc>
      </w:tr>
      <w:tr>
        <w:trPr>
          <w:trHeight w:val="252"/>
        </w:trPr>
        <w:tc>
          <w:tcPr>
            <w:tcW w:w="1420" w:type="dxa"/>
            <w:vAlign w:val="bottom"/>
          </w:tcPr>
          <w:p>
            <w:pPr>
              <w:spacing w:after="0"/>
              <w:rPr>
                <w:sz w:val="21"/>
                <w:szCs w:val="21"/>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color w:val="FFFFFF"/>
              </w:rPr>
              <w:t>Activity</w:t>
            </w:r>
          </w:p>
        </w:tc>
        <w:tc>
          <w:tcPr>
            <w:tcW w:w="120" w:type="dxa"/>
            <w:vAlign w:val="bottom"/>
          </w:tcPr>
          <w:p>
            <w:pPr>
              <w:spacing w:after="0"/>
              <w:rPr>
                <w:sz w:val="21"/>
                <w:szCs w:val="21"/>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and more than $74 million of year 1 revenue</w:t>
            </w:r>
          </w:p>
        </w:tc>
        <w:tc>
          <w:tcPr>
            <w:tcW w:w="0" w:type="dxa"/>
            <w:vAlign w:val="bottom"/>
          </w:tcPr>
          <w:p>
            <w:pPr>
              <w:spacing w:after="0"/>
              <w:rPr>
                <w:sz w:val="1"/>
                <w:szCs w:val="1"/>
                <w:color w:val="auto"/>
              </w:rPr>
            </w:pPr>
          </w:p>
        </w:tc>
      </w:tr>
      <w:tr>
        <w:trPr>
          <w:trHeight w:val="198"/>
        </w:trPr>
        <w:tc>
          <w:tcPr>
            <w:tcW w:w="1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shd w:val="clear" w:color="auto" w:fill="A5A5A5"/>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420" w:type="dxa"/>
            <w:vAlign w:val="bottom"/>
          </w:tcPr>
          <w:p>
            <w:pPr>
              <w:spacing w:after="0"/>
              <w:rPr>
                <w:sz w:val="24"/>
                <w:szCs w:val="24"/>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color w:val="FFFFFF"/>
                <w:w w:val="98"/>
              </w:rPr>
              <w:t>Significant</w:t>
            </w:r>
          </w:p>
        </w:tc>
        <w:tc>
          <w:tcPr>
            <w:tcW w:w="120" w:type="dxa"/>
            <w:vAlign w:val="bottom"/>
          </w:tcPr>
          <w:p>
            <w:pPr>
              <w:spacing w:after="0"/>
              <w:rPr>
                <w:sz w:val="24"/>
                <w:szCs w:val="24"/>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w w:val="99"/>
              </w:rPr>
              <w:t xml:space="preserve">Achieved commercial occupancy of </w:t>
            </w:r>
            <w:r>
              <w:rPr>
                <w:rFonts w:ascii="Arial" w:cs="Arial" w:eastAsia="Arial" w:hAnsi="Arial"/>
                <w:sz w:val="18"/>
                <w:szCs w:val="18"/>
                <w:color w:val="FF160F"/>
                <w:w w:val="99"/>
              </w:rPr>
              <w:t>92.8%</w:t>
            </w:r>
            <w:r>
              <w:rPr>
                <w:rFonts w:ascii="Arial" w:cs="Arial" w:eastAsia="Arial" w:hAnsi="Arial"/>
                <w:sz w:val="18"/>
                <w:szCs w:val="18"/>
                <w:color w:val="auto"/>
                <w:w w:val="99"/>
              </w:rPr>
              <w:t xml:space="preserve">, an increase of more than </w:t>
            </w:r>
            <w:r>
              <w:rPr>
                <w:rFonts w:ascii="Arial" w:cs="Arial" w:eastAsia="Arial" w:hAnsi="Arial"/>
                <w:sz w:val="18"/>
                <w:szCs w:val="18"/>
                <w:color w:val="FF160F"/>
                <w:w w:val="99"/>
              </w:rPr>
              <w:t>3.3%</w:t>
            </w:r>
            <w:r>
              <w:rPr>
                <w:rFonts w:ascii="Arial" w:cs="Arial" w:eastAsia="Arial" w:hAnsi="Arial"/>
                <w:sz w:val="18"/>
                <w:szCs w:val="18"/>
                <w:color w:val="auto"/>
                <w:w w:val="99"/>
              </w:rPr>
              <w:t xml:space="preserve"> over the lowest level of</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660" w:type="dxa"/>
            <w:vAlign w:val="bottom"/>
            <w:shd w:val="clear" w:color="auto" w:fill="A5A5A5"/>
          </w:tcPr>
          <w:p>
            <w:pPr>
              <w:jc w:val="center"/>
              <w:spacing w:after="0" w:line="202" w:lineRule="exact"/>
              <w:rPr>
                <w:sz w:val="20"/>
                <w:szCs w:val="20"/>
                <w:color w:val="auto"/>
              </w:rPr>
            </w:pPr>
            <w:r>
              <w:rPr>
                <w:rFonts w:ascii="Arial" w:cs="Arial" w:eastAsia="Arial" w:hAnsi="Arial"/>
                <w:sz w:val="18"/>
                <w:szCs w:val="18"/>
                <w:color w:val="FFFFFF"/>
                <w:w w:val="99"/>
              </w:rPr>
              <w:t>Occupancy</w:t>
            </w:r>
          </w:p>
        </w:tc>
        <w:tc>
          <w:tcPr>
            <w:tcW w:w="120" w:type="dxa"/>
            <w:vAlign w:val="bottom"/>
          </w:tcPr>
          <w:p>
            <w:pPr>
              <w:spacing w:after="0"/>
              <w:rPr>
                <w:sz w:val="17"/>
                <w:szCs w:val="17"/>
                <w:color w:val="auto"/>
              </w:rPr>
            </w:pPr>
          </w:p>
        </w:tc>
        <w:tc>
          <w:tcPr>
            <w:tcW w:w="782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occupancy experienced in more than 15 years resulting from high level of COVID related tenant</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2"/>
                <w:szCs w:val="22"/>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color w:val="FFFFFF"/>
              </w:rPr>
              <w:t>Improvement</w:t>
            </w:r>
          </w:p>
        </w:tc>
        <w:tc>
          <w:tcPr>
            <w:tcW w:w="120" w:type="dxa"/>
            <w:vAlign w:val="bottom"/>
          </w:tcPr>
          <w:p>
            <w:pPr>
              <w:spacing w:after="0"/>
              <w:rPr>
                <w:sz w:val="22"/>
                <w:szCs w:val="22"/>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failures</w:t>
            </w:r>
          </w:p>
        </w:tc>
        <w:tc>
          <w:tcPr>
            <w:tcW w:w="0" w:type="dxa"/>
            <w:vAlign w:val="bottom"/>
          </w:tcPr>
          <w:p>
            <w:pPr>
              <w:spacing w:after="0"/>
              <w:rPr>
                <w:sz w:val="1"/>
                <w:szCs w:val="1"/>
                <w:color w:val="auto"/>
              </w:rPr>
            </w:pPr>
          </w:p>
        </w:tc>
      </w:tr>
      <w:tr>
        <w:trPr>
          <w:trHeight w:val="158"/>
        </w:trPr>
        <w:tc>
          <w:tcPr>
            <w:tcW w:w="14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shd w:val="clear" w:color="auto" w:fill="A5A5A5"/>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20" w:type="dxa"/>
            <w:vAlign w:val="bottom"/>
            <w:tcBorders>
              <w:bottom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1420" w:type="dxa"/>
            <w:vAlign w:val="bottom"/>
          </w:tcPr>
          <w:p>
            <w:pPr>
              <w:spacing w:after="0"/>
              <w:rPr>
                <w:sz w:val="24"/>
                <w:szCs w:val="24"/>
                <w:color w:val="auto"/>
              </w:rPr>
            </w:pPr>
          </w:p>
        </w:tc>
        <w:tc>
          <w:tcPr>
            <w:tcW w:w="1660" w:type="dxa"/>
            <w:vAlign w:val="bottom"/>
            <w:vMerge w:val="restart"/>
            <w:shd w:val="clear" w:color="auto" w:fill="A5A5A5"/>
          </w:tcPr>
          <w:p>
            <w:pPr>
              <w:jc w:val="center"/>
              <w:spacing w:after="0"/>
              <w:rPr>
                <w:sz w:val="20"/>
                <w:szCs w:val="20"/>
                <w:color w:val="auto"/>
              </w:rPr>
            </w:pPr>
            <w:r>
              <w:rPr>
                <w:rFonts w:ascii="Arial" w:cs="Arial" w:eastAsia="Arial" w:hAnsi="Arial"/>
                <w:sz w:val="18"/>
                <w:szCs w:val="18"/>
                <w:color w:val="FFFFFF"/>
              </w:rPr>
              <w:t>Productive</w:t>
            </w:r>
          </w:p>
        </w:tc>
        <w:tc>
          <w:tcPr>
            <w:tcW w:w="120" w:type="dxa"/>
            <w:vAlign w:val="bottom"/>
          </w:tcPr>
          <w:p>
            <w:pPr>
              <w:spacing w:after="0"/>
              <w:rPr>
                <w:sz w:val="24"/>
                <w:szCs w:val="24"/>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Raised </w:t>
            </w:r>
            <w:r>
              <w:rPr>
                <w:rFonts w:ascii="Arial" w:cs="Arial" w:eastAsia="Arial" w:hAnsi="Arial"/>
                <w:sz w:val="18"/>
                <w:szCs w:val="18"/>
                <w:color w:val="FF160F"/>
              </w:rPr>
              <w:t>$136M</w:t>
            </w:r>
            <w:r>
              <w:rPr>
                <w:rFonts w:ascii="Arial" w:cs="Arial" w:eastAsia="Arial" w:hAnsi="Arial"/>
                <w:sz w:val="18"/>
                <w:szCs w:val="18"/>
                <w:color w:val="auto"/>
              </w:rPr>
              <w:t xml:space="preserve"> through sale of non-strategic, slow growing assets and invested </w:t>
            </w:r>
            <w:r>
              <w:rPr>
                <w:rFonts w:ascii="Arial" w:cs="Arial" w:eastAsia="Arial" w:hAnsi="Arial"/>
                <w:sz w:val="18"/>
                <w:szCs w:val="18"/>
                <w:color w:val="FF160F"/>
              </w:rPr>
              <w:t>$526M</w:t>
            </w:r>
            <w:r>
              <w:rPr>
                <w:rFonts w:ascii="Arial" w:cs="Arial" w:eastAsia="Arial" w:hAnsi="Arial"/>
                <w:sz w:val="18"/>
                <w:szCs w:val="18"/>
                <w:color w:val="auto"/>
              </w:rPr>
              <w:t xml:space="preserve"> into more</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660" w:type="dxa"/>
            <w:vAlign w:val="bottom"/>
            <w:vMerge w:val="continue"/>
            <w:shd w:val="clear" w:color="auto" w:fill="A5A5A5"/>
          </w:tcPr>
          <w:p>
            <w:pPr>
              <w:spacing w:after="0"/>
              <w:rPr>
                <w:sz w:val="11"/>
                <w:szCs w:val="11"/>
                <w:color w:val="auto"/>
              </w:rPr>
            </w:pPr>
          </w:p>
        </w:tc>
        <w:tc>
          <w:tcPr>
            <w:tcW w:w="120" w:type="dxa"/>
            <w:vAlign w:val="bottom"/>
          </w:tcPr>
          <w:p>
            <w:pPr>
              <w:spacing w:after="0"/>
              <w:rPr>
                <w:sz w:val="11"/>
                <w:szCs w:val="11"/>
                <w:color w:val="auto"/>
              </w:rPr>
            </w:pPr>
          </w:p>
        </w:tc>
        <w:tc>
          <w:tcPr>
            <w:tcW w:w="7820" w:type="dxa"/>
            <w:vAlign w:val="bottom"/>
            <w:vMerge w:val="restart"/>
            <w:shd w:val="clear" w:color="auto" w:fill="F2F2F2"/>
          </w:tcPr>
          <w:p>
            <w:pPr>
              <w:spacing w:after="0" w:line="202" w:lineRule="exact"/>
              <w:rPr>
                <w:sz w:val="20"/>
                <w:szCs w:val="20"/>
                <w:color w:val="auto"/>
              </w:rPr>
            </w:pPr>
            <w:r>
              <w:rPr>
                <w:rFonts w:ascii="Arial" w:cs="Arial" w:eastAsia="Arial" w:hAnsi="Arial"/>
                <w:sz w:val="18"/>
                <w:szCs w:val="18"/>
                <w:color w:val="auto"/>
              </w:rPr>
              <w:t>productive, higher yielding, faster growing operating assets with potential for additional value</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660" w:type="dxa"/>
            <w:vAlign w:val="bottom"/>
            <w:vMerge w:val="restart"/>
            <w:shd w:val="clear" w:color="auto" w:fill="A5A5A5"/>
          </w:tcPr>
          <w:p>
            <w:pPr>
              <w:jc w:val="center"/>
              <w:spacing w:after="0"/>
              <w:rPr>
                <w:sz w:val="20"/>
                <w:szCs w:val="20"/>
                <w:color w:val="auto"/>
              </w:rPr>
            </w:pPr>
            <w:r>
              <w:rPr>
                <w:rFonts w:ascii="Arial" w:cs="Arial" w:eastAsia="Arial" w:hAnsi="Arial"/>
                <w:sz w:val="18"/>
                <w:szCs w:val="18"/>
                <w:color w:val="FFFFFF"/>
                <w:w w:val="99"/>
              </w:rPr>
              <w:t>Capital Recycling</w:t>
            </w:r>
          </w:p>
        </w:tc>
        <w:tc>
          <w:tcPr>
            <w:tcW w:w="120" w:type="dxa"/>
            <w:vAlign w:val="bottom"/>
          </w:tcPr>
          <w:p>
            <w:pPr>
              <w:spacing w:after="0"/>
              <w:rPr>
                <w:sz w:val="5"/>
                <w:szCs w:val="5"/>
                <w:color w:val="auto"/>
              </w:rPr>
            </w:pPr>
          </w:p>
        </w:tc>
        <w:tc>
          <w:tcPr>
            <w:tcW w:w="782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1660" w:type="dxa"/>
            <w:vAlign w:val="bottom"/>
            <w:vMerge w:val="continue"/>
            <w:shd w:val="clear" w:color="auto" w:fill="A5A5A5"/>
          </w:tcPr>
          <w:p>
            <w:pPr>
              <w:spacing w:after="0"/>
              <w:rPr>
                <w:sz w:val="14"/>
                <w:szCs w:val="14"/>
                <w:color w:val="auto"/>
              </w:rPr>
            </w:pPr>
          </w:p>
        </w:tc>
        <w:tc>
          <w:tcPr>
            <w:tcW w:w="120" w:type="dxa"/>
            <w:vAlign w:val="bottom"/>
          </w:tcPr>
          <w:p>
            <w:pPr>
              <w:spacing w:after="0"/>
              <w:rPr>
                <w:sz w:val="14"/>
                <w:szCs w:val="14"/>
                <w:color w:val="auto"/>
              </w:rPr>
            </w:pPr>
          </w:p>
        </w:tc>
        <w:tc>
          <w:tcPr>
            <w:tcW w:w="782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creation</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660" w:type="dxa"/>
            <w:vAlign w:val="bottom"/>
            <w:shd w:val="clear" w:color="auto" w:fill="A5A5A5"/>
          </w:tcPr>
          <w:p>
            <w:pPr>
              <w:spacing w:after="0"/>
              <w:rPr>
                <w:sz w:val="5"/>
                <w:szCs w:val="5"/>
                <w:color w:val="auto"/>
              </w:rPr>
            </w:pPr>
          </w:p>
        </w:tc>
        <w:tc>
          <w:tcPr>
            <w:tcW w:w="120" w:type="dxa"/>
            <w:vAlign w:val="bottom"/>
          </w:tcPr>
          <w:p>
            <w:pPr>
              <w:spacing w:after="0"/>
              <w:rPr>
                <w:sz w:val="5"/>
                <w:szCs w:val="5"/>
                <w:color w:val="auto"/>
              </w:rPr>
            </w:pPr>
          </w:p>
        </w:tc>
        <w:tc>
          <w:tcPr>
            <w:tcW w:w="782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shd w:val="clear" w:color="auto" w:fill="A5A5A5"/>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420" w:type="dxa"/>
            <w:vAlign w:val="bottom"/>
          </w:tcPr>
          <w:p>
            <w:pPr>
              <w:spacing w:after="0"/>
              <w:rPr>
                <w:sz w:val="24"/>
                <w:szCs w:val="24"/>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color w:val="FFFFFF"/>
                <w:w w:val="99"/>
              </w:rPr>
              <w:t>55th Year of</w:t>
            </w:r>
          </w:p>
        </w:tc>
        <w:tc>
          <w:tcPr>
            <w:tcW w:w="120" w:type="dxa"/>
            <w:vAlign w:val="bottom"/>
          </w:tcPr>
          <w:p>
            <w:pPr>
              <w:spacing w:after="0"/>
              <w:rPr>
                <w:sz w:val="24"/>
                <w:szCs w:val="24"/>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Raised the dividend on our common shares for the </w:t>
            </w:r>
            <w:r>
              <w:rPr>
                <w:rFonts w:ascii="Arial" w:cs="Arial" w:eastAsia="Arial" w:hAnsi="Arial"/>
                <w:sz w:val="18"/>
                <w:szCs w:val="18"/>
                <w:color w:val="FF160F"/>
              </w:rPr>
              <w:t>55th</w:t>
            </w:r>
            <w:r>
              <w:rPr>
                <w:rFonts w:ascii="Arial" w:cs="Arial" w:eastAsia="Arial" w:hAnsi="Arial"/>
                <w:sz w:val="18"/>
                <w:szCs w:val="18"/>
                <w:color w:val="auto"/>
              </w:rPr>
              <w:t xml:space="preserve"> consecutive year, a record in the REIT</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2"/>
                <w:szCs w:val="22"/>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color w:val="FFFFFF"/>
              </w:rPr>
              <w:t>Dividend Increases</w:t>
            </w:r>
          </w:p>
        </w:tc>
        <w:tc>
          <w:tcPr>
            <w:tcW w:w="120" w:type="dxa"/>
            <w:vAlign w:val="bottom"/>
          </w:tcPr>
          <w:p>
            <w:pPr>
              <w:spacing w:after="0"/>
              <w:rPr>
                <w:sz w:val="22"/>
                <w:szCs w:val="22"/>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industry, representing a compound annual growth rate of </w:t>
            </w:r>
            <w:r>
              <w:rPr>
                <w:rFonts w:ascii="Arial" w:cs="Arial" w:eastAsia="Arial" w:hAnsi="Arial"/>
                <w:sz w:val="18"/>
                <w:szCs w:val="18"/>
                <w:color w:val="FF160F"/>
              </w:rPr>
              <w:t>7%</w:t>
            </w:r>
            <w:r>
              <w:rPr>
                <w:rFonts w:ascii="Arial" w:cs="Arial" w:eastAsia="Arial" w:hAnsi="Arial"/>
                <w:sz w:val="18"/>
                <w:szCs w:val="18"/>
                <w:color w:val="auto"/>
              </w:rPr>
              <w:t xml:space="preserve"> over that 55-year period</w:t>
            </w:r>
          </w:p>
        </w:tc>
        <w:tc>
          <w:tcPr>
            <w:tcW w:w="0" w:type="dxa"/>
            <w:vAlign w:val="bottom"/>
          </w:tcPr>
          <w:p>
            <w:pPr>
              <w:spacing w:after="0"/>
              <w:rPr>
                <w:sz w:val="1"/>
                <w:szCs w:val="1"/>
                <w:color w:val="auto"/>
              </w:rPr>
            </w:pPr>
          </w:p>
        </w:tc>
      </w:tr>
      <w:tr>
        <w:trPr>
          <w:trHeight w:val="172"/>
        </w:trPr>
        <w:tc>
          <w:tcPr>
            <w:tcW w:w="1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shd w:val="clear" w:color="auto" w:fill="A5A5A5"/>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20" w:type="dxa"/>
            <w:vAlign w:val="bottom"/>
            <w:tcBorders>
              <w:bottom w:val="single" w:sz="8" w:color="auto"/>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1420" w:type="dxa"/>
            <w:vAlign w:val="bottom"/>
          </w:tcPr>
          <w:p>
            <w:pPr>
              <w:spacing w:after="0"/>
              <w:rPr>
                <w:sz w:val="24"/>
                <w:szCs w:val="24"/>
                <w:color w:val="auto"/>
              </w:rPr>
            </w:pPr>
          </w:p>
        </w:tc>
        <w:tc>
          <w:tcPr>
            <w:tcW w:w="1660" w:type="dxa"/>
            <w:vAlign w:val="bottom"/>
            <w:shd w:val="clear" w:color="auto" w:fill="A5A5A5"/>
          </w:tcPr>
          <w:p>
            <w:pPr>
              <w:spacing w:after="0"/>
              <w:rPr>
                <w:sz w:val="24"/>
                <w:szCs w:val="24"/>
                <w:color w:val="auto"/>
              </w:rPr>
            </w:pPr>
          </w:p>
        </w:tc>
        <w:tc>
          <w:tcPr>
            <w:tcW w:w="120" w:type="dxa"/>
            <w:vAlign w:val="bottom"/>
          </w:tcPr>
          <w:p>
            <w:pPr>
              <w:spacing w:after="0"/>
              <w:rPr>
                <w:sz w:val="24"/>
                <w:szCs w:val="24"/>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Achieved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22%</w:t>
            </w:r>
            <w:r>
              <w:rPr>
                <w:rFonts w:ascii="Arial" w:cs="Arial" w:eastAsia="Arial" w:hAnsi="Arial"/>
                <w:sz w:val="18"/>
                <w:szCs w:val="18"/>
                <w:color w:val="auto"/>
              </w:rPr>
              <w:t xml:space="preserve"> decrease in Scope 1 and 2 GHG emissions through 2021 versus 2019 baseline</w:t>
            </w:r>
          </w:p>
        </w:tc>
        <w:tc>
          <w:tcPr>
            <w:tcW w:w="0" w:type="dxa"/>
            <w:vAlign w:val="bottom"/>
          </w:tcPr>
          <w:p>
            <w:pPr>
              <w:spacing w:after="0"/>
              <w:rPr>
                <w:sz w:val="1"/>
                <w:szCs w:val="1"/>
                <w:color w:val="auto"/>
              </w:rPr>
            </w:pPr>
          </w:p>
        </w:tc>
      </w:tr>
      <w:tr>
        <w:trPr>
          <w:trHeight w:val="208"/>
        </w:trPr>
        <w:tc>
          <w:tcPr>
            <w:tcW w:w="1420" w:type="dxa"/>
            <w:vAlign w:val="bottom"/>
          </w:tcPr>
          <w:p>
            <w:pPr>
              <w:spacing w:after="0"/>
              <w:rPr>
                <w:sz w:val="18"/>
                <w:szCs w:val="18"/>
                <w:color w:val="auto"/>
              </w:rPr>
            </w:pPr>
          </w:p>
        </w:tc>
        <w:tc>
          <w:tcPr>
            <w:tcW w:w="1660" w:type="dxa"/>
            <w:vAlign w:val="bottom"/>
            <w:shd w:val="clear" w:color="auto" w:fill="A5A5A5"/>
          </w:tcPr>
          <w:p>
            <w:pPr>
              <w:jc w:val="center"/>
              <w:spacing w:after="0"/>
              <w:rPr>
                <w:sz w:val="20"/>
                <w:szCs w:val="20"/>
                <w:color w:val="auto"/>
              </w:rPr>
            </w:pPr>
            <w:r>
              <w:rPr>
                <w:rFonts w:ascii="Arial" w:cs="Arial" w:eastAsia="Arial" w:hAnsi="Arial"/>
                <w:sz w:val="18"/>
                <w:szCs w:val="18"/>
                <w:color w:val="FFFFFF"/>
                <w:w w:val="99"/>
              </w:rPr>
              <w:t>Sustainability**</w:t>
            </w:r>
          </w:p>
        </w:tc>
        <w:tc>
          <w:tcPr>
            <w:tcW w:w="120" w:type="dxa"/>
            <w:vAlign w:val="bottom"/>
          </w:tcPr>
          <w:p>
            <w:pPr>
              <w:spacing w:after="0"/>
              <w:rPr>
                <w:sz w:val="18"/>
                <w:szCs w:val="18"/>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w w:val="99"/>
              </w:rPr>
              <w:t>in alignment with our 2030 GHG reduction target set in accordance with the Science-Based Target</w:t>
            </w: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p>
        </w:tc>
        <w:tc>
          <w:tcPr>
            <w:tcW w:w="1660" w:type="dxa"/>
            <w:vAlign w:val="bottom"/>
            <w:shd w:val="clear" w:color="auto" w:fill="A5A5A5"/>
          </w:tcPr>
          <w:p>
            <w:pPr>
              <w:spacing w:after="0"/>
              <w:rPr>
                <w:sz w:val="20"/>
                <w:szCs w:val="20"/>
                <w:color w:val="auto"/>
              </w:rPr>
            </w:pPr>
          </w:p>
        </w:tc>
        <w:tc>
          <w:tcPr>
            <w:tcW w:w="120" w:type="dxa"/>
            <w:vAlign w:val="bottom"/>
          </w:tcPr>
          <w:p>
            <w:pPr>
              <w:spacing w:after="0"/>
              <w:rPr>
                <w:sz w:val="20"/>
                <w:szCs w:val="20"/>
                <w:color w:val="auto"/>
              </w:rPr>
            </w:pPr>
          </w:p>
        </w:tc>
        <w:tc>
          <w:tcPr>
            <w:tcW w:w="7820" w:type="dxa"/>
            <w:vAlign w:val="bottom"/>
            <w:shd w:val="clear" w:color="auto" w:fill="F2F2F2"/>
          </w:tcPr>
          <w:p>
            <w:pPr>
              <w:spacing w:after="0"/>
              <w:rPr>
                <w:sz w:val="20"/>
                <w:szCs w:val="20"/>
                <w:color w:val="auto"/>
              </w:rPr>
            </w:pPr>
            <w:r>
              <w:rPr>
                <w:rFonts w:ascii="Arial" w:cs="Arial" w:eastAsia="Arial" w:hAnsi="Arial"/>
                <w:sz w:val="18"/>
                <w:szCs w:val="18"/>
                <w:color w:val="auto"/>
              </w:rPr>
              <w:t>initiative</w:t>
            </w:r>
          </w:p>
        </w:tc>
        <w:tc>
          <w:tcPr>
            <w:tcW w:w="0" w:type="dxa"/>
            <w:vAlign w:val="bottom"/>
          </w:tcPr>
          <w:p>
            <w:pPr>
              <w:spacing w:after="0"/>
              <w:rPr>
                <w:sz w:val="1"/>
                <w:szCs w:val="1"/>
                <w:color w:val="auto"/>
              </w:rPr>
            </w:pPr>
          </w:p>
        </w:tc>
      </w:tr>
      <w:tr>
        <w:trPr>
          <w:trHeight w:val="193"/>
        </w:trPr>
        <w:tc>
          <w:tcPr>
            <w:tcW w:w="1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shd w:val="clear" w:color="auto" w:fill="A5A5A5"/>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-2811145</wp:posOffset>
            </wp:positionV>
            <wp:extent cx="419735" cy="420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000000"/>
                        </a:clrFrom>
                        <a:clrTo>
                          <a:srgbClr val="000000">
                            <a:alpha val="0"/>
                          </a:srgbClr>
                        </a:clrTo>
                      </a:clrChange>
                      <a:extLst>
                        <a:ext uri="{28A0092B-C50C-407E-A947-70E740481C1C}"/>
                      </a:extLst>
                    </a:blip>
                    <a:srcRect/>
                    <a:stretch>
                      <a:fillRect/>
                    </a:stretch>
                  </pic:blipFill>
                  <pic:spPr bwMode="auto">
                    <a:xfrm>
                      <a:off x="0" y="0"/>
                      <a:ext cx="419735" cy="42037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-2811145</wp:posOffset>
            </wp:positionV>
            <wp:extent cx="419735" cy="420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419735" cy="42037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-2271395</wp:posOffset>
            </wp:positionV>
            <wp:extent cx="522605" cy="4972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000000"/>
                        </a:clrFrom>
                        <a:clrTo>
                          <a:srgbClr val="000000">
                            <a:alpha val="0"/>
                          </a:srgbClr>
                        </a:clrTo>
                      </a:clrChange>
                      <a:extLst>
                        <a:ext uri="{28A0092B-C50C-407E-A947-70E740481C1C}"/>
                      </a:extLst>
                    </a:blip>
                    <a:srcRect/>
                    <a:stretch>
                      <a:fillRect/>
                    </a:stretch>
                  </pic:blipFill>
                  <pic:spPr bwMode="auto">
                    <a:xfrm>
                      <a:off x="0" y="0"/>
                      <a:ext cx="522605" cy="49720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-2271395</wp:posOffset>
            </wp:positionV>
            <wp:extent cx="522605" cy="4972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22605" cy="49720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-1610995</wp:posOffset>
            </wp:positionV>
            <wp:extent cx="394335" cy="394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000000"/>
                        </a:clrFrom>
                        <a:clrTo>
                          <a:srgbClr val="000000">
                            <a:alpha val="0"/>
                          </a:srgbClr>
                        </a:clrTo>
                      </a:clrChange>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-1610995</wp:posOffset>
            </wp:positionV>
            <wp:extent cx="394335" cy="394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-1105535</wp:posOffset>
            </wp:positionV>
            <wp:extent cx="565785" cy="4800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000000"/>
                        </a:clrFrom>
                        <a:clrTo>
                          <a:srgbClr val="000000">
                            <a:alpha val="0"/>
                          </a:srgbClr>
                        </a:clrTo>
                      </a:clrChange>
                      <a:extLst>
                        <a:ext uri="{28A0092B-C50C-407E-A947-70E740481C1C}"/>
                      </a:extLst>
                    </a:blip>
                    <a:srcRect/>
                    <a:stretch>
                      <a:fillRect/>
                    </a:stretch>
                  </pic:blipFill>
                  <pic:spPr bwMode="auto">
                    <a:xfrm>
                      <a:off x="0" y="0"/>
                      <a:ext cx="565785" cy="4800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-1105535</wp:posOffset>
            </wp:positionV>
            <wp:extent cx="565785" cy="4800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565785" cy="48006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-530860</wp:posOffset>
            </wp:positionV>
            <wp:extent cx="436880" cy="436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000000"/>
                        </a:clrFrom>
                        <a:clrTo>
                          <a:srgbClr val="000000">
                            <a:alpha val="0"/>
                          </a:srgbClr>
                        </a:clrTo>
                      </a:clrChange>
                      <a:extLst>
                        <a:ext uri="{28A0092B-C50C-407E-A947-70E740481C1C}"/>
                      </a:extLst>
                    </a:blip>
                    <a:srcRect/>
                    <a:stretch>
                      <a:fillRect/>
                    </a:stretch>
                  </pic:blipFill>
                  <pic:spPr bwMode="auto">
                    <a:xfrm>
                      <a:off x="0" y="0"/>
                      <a:ext cx="436880" cy="43688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-530860</wp:posOffset>
            </wp:positionV>
            <wp:extent cx="436880" cy="436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436880" cy="436880"/>
                    </a:xfrm>
                    <a:prstGeom prst="rect">
                      <a:avLst/>
                    </a:prstGeom>
                    <a:noFill/>
                  </pic:spPr>
                </pic:pic>
              </a:graphicData>
            </a:graphic>
          </wp:anchor>
        </w:drawing>
      </w:r>
    </w:p>
    <w:p>
      <w:pPr>
        <w:spacing w:after="0" w:line="204" w:lineRule="exact"/>
        <w:rPr>
          <w:sz w:val="20"/>
          <w:szCs w:val="20"/>
          <w:color w:val="auto"/>
        </w:rPr>
      </w:pPr>
    </w:p>
    <w:p>
      <w:pPr>
        <w:ind w:left="540" w:hanging="424"/>
        <w:spacing w:after="0" w:line="245"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FFO per diluted share (“FFO per share”) is a non-GAAP financial measure that we consider significant in our business. See Appendix A for a reconciliation of FFO per share to net income.</w:t>
      </w: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pages 3 - 4 for more information on sustainability initiatives and achievements.</w:t>
      </w:r>
    </w:p>
    <w:p>
      <w:pPr>
        <w:spacing w:after="0" w:line="221" w:lineRule="exact"/>
        <w:rPr>
          <w:sz w:val="20"/>
          <w:szCs w:val="20"/>
          <w:color w:val="auto"/>
        </w:rPr>
      </w:pPr>
    </w:p>
    <w:p>
      <w:pPr>
        <w:ind w:left="540" w:hanging="424"/>
        <w:spacing w:after="0"/>
        <w:tabs>
          <w:tab w:leader="none" w:pos="540" w:val="left"/>
        </w:tabs>
        <w:numPr>
          <w:ilvl w:val="0"/>
          <w:numId w:val="46"/>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PROGRAM PHILOSOPHY AND OBJECTIVES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Our executive compensation philosophy and practices reflect a commitment to paying for performance – both short-term and long-term. Our programs are designed to attract, retain, motivate and reward talented, experienced executives to successfully manage our business, execute our strategy and drive shareholder value. We have three key objectives within this philosophy:</w:t>
      </w:r>
    </w:p>
    <w:p>
      <w:pPr>
        <w:spacing w:after="0" w:line="196"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 a strong link between pay and performance</w:t>
      </w:r>
    </w:p>
    <w:p>
      <w:pPr>
        <w:spacing w:after="0" w:line="13" w:lineRule="exact"/>
        <w:rPr>
          <w:rFonts w:ascii="Arial" w:cs="Arial" w:eastAsia="Arial" w:hAnsi="Arial"/>
          <w:sz w:val="18"/>
          <w:szCs w:val="18"/>
          <w:color w:val="auto"/>
        </w:rPr>
      </w:pPr>
    </w:p>
    <w:p>
      <w:pPr>
        <w:ind w:left="1080" w:hanging="424"/>
        <w:spacing w:after="0" w:line="234"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Align the financial interest of our NEOs with our shareholders, particularly over the longer term</w:t>
      </w: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Reinforce business strategies and objectives and drive sustained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92075</wp:posOffset>
            </wp:positionV>
            <wp:extent cx="701230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43"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20</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4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EXECUTIVE COMPENSATION PRACTICES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key governance elements related to our compensation programs:</w:t>
      </w:r>
    </w:p>
    <w:p>
      <w:pPr>
        <w:sectPr>
          <w:pgSz w:w="11900" w:h="16838" w:orient="portrait"/>
          <w:cols w:equalWidth="0" w:num="1">
            <w:col w:w="11140"/>
          </w:cols>
          <w:pgMar w:left="320" w:top="482" w:right="439" w:bottom="1440" w:gutter="0" w:footer="0" w:header="0"/>
        </w:sectPr>
      </w:pPr>
    </w:p>
    <w:p>
      <w:pPr>
        <w:spacing w:after="0" w:line="25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What We Do</w:t>
      </w:r>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Maintain a pay mix that is heavily performance-based</w:t>
      </w:r>
    </w:p>
    <w:p>
      <w:pPr>
        <w:spacing w:after="0" w:line="320" w:lineRule="exact"/>
        <w:rPr>
          <w:sz w:val="20"/>
          <w:szCs w:val="20"/>
          <w:color w:val="auto"/>
        </w:rPr>
      </w:pPr>
    </w:p>
    <w:p>
      <w:pPr>
        <w:ind w:left="800" w:right="700"/>
        <w:spacing w:after="0" w:line="271" w:lineRule="auto"/>
        <w:rPr>
          <w:sz w:val="20"/>
          <w:szCs w:val="20"/>
          <w:color w:val="auto"/>
        </w:rPr>
      </w:pPr>
      <w:r>
        <w:rPr>
          <w:rFonts w:ascii="Arial" w:cs="Arial" w:eastAsia="Arial" w:hAnsi="Arial"/>
          <w:sz w:val="18"/>
          <w:szCs w:val="18"/>
          <w:color w:val="auto"/>
        </w:rPr>
        <w:t>Align compensation with company and individual performance</w:t>
      </w:r>
    </w:p>
    <w:p>
      <w:pPr>
        <w:spacing w:after="0" w:line="154" w:lineRule="exact"/>
        <w:rPr>
          <w:sz w:val="20"/>
          <w:szCs w:val="20"/>
          <w:color w:val="auto"/>
        </w:rPr>
      </w:pPr>
    </w:p>
    <w:p>
      <w:pPr>
        <w:ind w:left="800" w:right="900"/>
        <w:spacing w:after="0" w:line="271" w:lineRule="auto"/>
        <w:rPr>
          <w:sz w:val="20"/>
          <w:szCs w:val="20"/>
          <w:color w:val="auto"/>
        </w:rPr>
      </w:pPr>
      <w:r>
        <w:rPr>
          <w:rFonts w:ascii="Arial" w:cs="Arial" w:eastAsia="Arial" w:hAnsi="Arial"/>
          <w:sz w:val="18"/>
          <w:szCs w:val="18"/>
          <w:color w:val="auto"/>
        </w:rPr>
        <w:t>Seek annual shareholder advisory approval of executive compensation</w:t>
      </w:r>
    </w:p>
    <w:p>
      <w:pPr>
        <w:spacing w:after="0" w:line="154" w:lineRule="exact"/>
        <w:rPr>
          <w:sz w:val="20"/>
          <w:szCs w:val="20"/>
          <w:color w:val="auto"/>
        </w:rPr>
      </w:pPr>
    </w:p>
    <w:p>
      <w:pPr>
        <w:ind w:left="800" w:right="260"/>
        <w:spacing w:after="0" w:line="253" w:lineRule="auto"/>
        <w:rPr>
          <w:sz w:val="20"/>
          <w:szCs w:val="20"/>
          <w:color w:val="auto"/>
        </w:rPr>
      </w:pPr>
      <w:r>
        <w:rPr>
          <w:rFonts w:ascii="Arial" w:cs="Arial" w:eastAsia="Arial" w:hAnsi="Arial"/>
          <w:sz w:val="18"/>
          <w:szCs w:val="18"/>
          <w:color w:val="auto"/>
        </w:rPr>
        <w:t>Maintain strong stock ownership guidelines of 7x base salary for our CEO and 2.5x base salary plus annual bonus for our other NEOs</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Maintain incentive compensation clawback policy</w:t>
      </w:r>
    </w:p>
    <w:p>
      <w:pPr>
        <w:spacing w:after="0" w:line="33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Conduct annual compensation risk assessment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-118745</wp:posOffset>
            </wp:positionV>
            <wp:extent cx="6995160" cy="25203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2520315"/>
                    </a:xfrm>
                    <a:prstGeom prst="rect">
                      <a:avLst/>
                    </a:prstGeom>
                    <a:noFill/>
                  </pic:spPr>
                </pic:pic>
              </a:graphicData>
            </a:graphic>
          </wp:anchor>
        </w:drawing>
      </w:r>
    </w:p>
    <w:p>
      <w:pPr>
        <w:spacing w:after="0" w:line="192" w:lineRule="exact"/>
        <w:rPr>
          <w:sz w:val="20"/>
          <w:szCs w:val="20"/>
          <w:color w:val="auto"/>
        </w:rPr>
      </w:pPr>
    </w:p>
    <w:p>
      <w:pPr>
        <w:ind w:left="540" w:right="480"/>
        <w:spacing w:after="0" w:line="271" w:lineRule="auto"/>
        <w:rPr>
          <w:sz w:val="20"/>
          <w:szCs w:val="20"/>
          <w:color w:val="auto"/>
        </w:rPr>
      </w:pPr>
      <w:r>
        <w:rPr>
          <w:rFonts w:ascii="Arial" w:cs="Arial" w:eastAsia="Arial" w:hAnsi="Arial"/>
          <w:sz w:val="18"/>
          <w:szCs w:val="18"/>
          <w:color w:val="auto"/>
        </w:rPr>
        <w:t>Have employment agreements with our NEOs with required fixed compensation increases</w:t>
      </w:r>
    </w:p>
    <w:p>
      <w:pPr>
        <w:spacing w:after="0" w:line="24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Grant options below fair market value or reprice options</w:t>
      </w: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Permit hedging or pledging of our shares</w:t>
      </w:r>
    </w:p>
    <w:p>
      <w:pPr>
        <w:spacing w:after="0" w:line="200" w:lineRule="exact"/>
        <w:rPr>
          <w:sz w:val="20"/>
          <w:szCs w:val="20"/>
          <w:color w:val="auto"/>
        </w:rPr>
      </w:pPr>
    </w:p>
    <w:p>
      <w:pPr>
        <w:spacing w:after="0" w:line="214" w:lineRule="exact"/>
        <w:rPr>
          <w:sz w:val="20"/>
          <w:szCs w:val="20"/>
          <w:color w:val="auto"/>
        </w:rPr>
      </w:pPr>
    </w:p>
    <w:p>
      <w:pPr>
        <w:ind w:left="540" w:right="140"/>
        <w:spacing w:after="0" w:line="271" w:lineRule="auto"/>
        <w:rPr>
          <w:sz w:val="20"/>
          <w:szCs w:val="20"/>
          <w:color w:val="auto"/>
        </w:rPr>
      </w:pPr>
      <w:r>
        <w:rPr>
          <w:rFonts w:ascii="Arial" w:cs="Arial" w:eastAsia="Arial" w:hAnsi="Arial"/>
          <w:sz w:val="18"/>
          <w:szCs w:val="18"/>
          <w:color w:val="auto"/>
        </w:rPr>
        <w:t>Provide perquisites that are not made available to all of our employees</w:t>
      </w:r>
    </w:p>
    <w:p>
      <w:pPr>
        <w:spacing w:after="0" w:line="1262" w:lineRule="exact"/>
        <w:rPr>
          <w:sz w:val="20"/>
          <w:szCs w:val="20"/>
          <w:color w:val="auto"/>
        </w:rPr>
      </w:pPr>
    </w:p>
    <w:p>
      <w:pPr>
        <w:sectPr>
          <w:pgSz w:w="11900" w:h="16838" w:orient="portrait"/>
          <w:cols w:equalWidth="0" w:num="2">
            <w:col w:w="5360" w:space="720"/>
            <w:col w:w="5060"/>
          </w:cols>
          <w:pgMar w:left="320" w:top="482" w:right="439" w:bottom="1440" w:gutter="0" w:footer="0" w:header="0"/>
          <w:type w:val="continuous"/>
        </w:sectPr>
      </w:pPr>
    </w:p>
    <w:p>
      <w:pPr>
        <w:spacing w:after="0" w:line="106" w:lineRule="exact"/>
        <w:rPr>
          <w:sz w:val="20"/>
          <w:szCs w:val="20"/>
          <w:color w:val="auto"/>
        </w:rPr>
      </w:pPr>
    </w:p>
    <w:p>
      <w:pPr>
        <w:ind w:left="540" w:hanging="424"/>
        <w:spacing w:after="0"/>
        <w:tabs>
          <w:tab w:leader="none" w:pos="540" w:val="left"/>
        </w:tabs>
        <w:numPr>
          <w:ilvl w:val="0"/>
          <w:numId w:val="4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COMPONENTS OF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out the three components of our compensation plan as well as key information about each component.</w:t>
      </w: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1440" w:type="dxa"/>
            <w:vAlign w:val="bottom"/>
            <w:tcBorders>
              <w:top w:val="single" w:sz="8" w:color="auto"/>
              <w:left w:val="single" w:sz="8" w:color="auto"/>
            </w:tcBorders>
            <w:shd w:val="clear" w:color="auto" w:fill="E5E5E5"/>
          </w:tcPr>
          <w:p>
            <w:pPr>
              <w:spacing w:after="0"/>
              <w:rPr>
                <w:sz w:val="19"/>
                <w:szCs w:val="19"/>
                <w:color w:val="auto"/>
              </w:rPr>
            </w:pPr>
          </w:p>
        </w:tc>
        <w:tc>
          <w:tcPr>
            <w:tcW w:w="160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6"/>
                <w:szCs w:val="16"/>
                <w:b w:val="1"/>
                <w:bCs w:val="1"/>
                <w:color w:val="auto"/>
              </w:rPr>
              <w:t>Pay Component</w:t>
            </w:r>
          </w:p>
        </w:tc>
        <w:tc>
          <w:tcPr>
            <w:tcW w:w="760" w:type="dxa"/>
            <w:vAlign w:val="bottom"/>
            <w:tcBorders>
              <w:top w:val="single" w:sz="8" w:color="auto"/>
              <w:bottom w:val="single" w:sz="8" w:color="auto"/>
            </w:tcBorders>
            <w:shd w:val="clear" w:color="auto" w:fill="E5E5E5"/>
          </w:tcPr>
          <w:p>
            <w:pPr>
              <w:ind w:left="180"/>
              <w:spacing w:after="0"/>
              <w:rPr>
                <w:sz w:val="20"/>
                <w:szCs w:val="20"/>
                <w:color w:val="auto"/>
              </w:rPr>
            </w:pPr>
            <w:r>
              <w:rPr>
                <w:rFonts w:ascii="Arial" w:cs="Arial" w:eastAsia="Arial" w:hAnsi="Arial"/>
                <w:sz w:val="16"/>
                <w:szCs w:val="16"/>
                <w:b w:val="1"/>
                <w:bCs w:val="1"/>
                <w:color w:val="auto"/>
              </w:rPr>
              <w:t>Time</w:t>
            </w:r>
          </w:p>
        </w:tc>
        <w:tc>
          <w:tcPr>
            <w:tcW w:w="200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6"/>
                <w:szCs w:val="16"/>
                <w:b w:val="1"/>
                <w:bCs w:val="1"/>
                <w:color w:val="auto"/>
              </w:rPr>
              <w:t>Metric</w:t>
            </w:r>
          </w:p>
        </w:tc>
        <w:tc>
          <w:tcPr>
            <w:tcW w:w="2320" w:type="dxa"/>
            <w:vAlign w:val="bottom"/>
            <w:tcBorders>
              <w:top w:val="single" w:sz="8" w:color="auto"/>
              <w:bottom w:val="single" w:sz="8" w:color="auto"/>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Purpose</w:t>
            </w:r>
          </w:p>
        </w:tc>
        <w:tc>
          <w:tcPr>
            <w:tcW w:w="194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6"/>
                <w:szCs w:val="16"/>
                <w:b w:val="1"/>
                <w:bCs w:val="1"/>
                <w:color w:val="auto"/>
              </w:rPr>
              <w:t>Impact</w:t>
            </w:r>
          </w:p>
        </w:tc>
        <w:tc>
          <w:tcPr>
            <w:tcW w:w="80" w:type="dxa"/>
            <w:vAlign w:val="bottom"/>
            <w:tcBorders>
              <w:top w:val="single" w:sz="8" w:color="auto"/>
              <w:bottom w:val="single" w:sz="8" w:color="auto"/>
            </w:tcBorders>
            <w:shd w:val="clear" w:color="auto" w:fill="E5E5E5"/>
          </w:tcPr>
          <w:p>
            <w:pPr>
              <w:spacing w:after="0"/>
              <w:rPr>
                <w:sz w:val="19"/>
                <w:szCs w:val="19"/>
                <w:color w:val="auto"/>
              </w:rPr>
            </w:pPr>
          </w:p>
        </w:tc>
        <w:tc>
          <w:tcPr>
            <w:tcW w:w="880" w:type="dxa"/>
            <w:vAlign w:val="bottom"/>
            <w:tcBorders>
              <w:top w:val="single" w:sz="8" w:color="auto"/>
              <w:bottom w:val="single" w:sz="8" w:color="auto"/>
            </w:tcBorders>
            <w:shd w:val="clear" w:color="auto" w:fill="E5E5E5"/>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r>
      <w:tr>
        <w:trPr>
          <w:trHeight w:val="148"/>
        </w:trPr>
        <w:tc>
          <w:tcPr>
            <w:tcW w:w="1440" w:type="dxa"/>
            <w:vAlign w:val="bottom"/>
          </w:tcPr>
          <w:p>
            <w:pPr>
              <w:spacing w:after="0" w:line="148" w:lineRule="exact"/>
              <w:rPr>
                <w:sz w:val="20"/>
                <w:szCs w:val="20"/>
                <w:color w:val="auto"/>
              </w:rPr>
            </w:pPr>
            <w:r>
              <w:rPr>
                <w:rFonts w:ascii="Arial" w:cs="Arial" w:eastAsia="Arial" w:hAnsi="Arial"/>
                <w:sz w:val="16"/>
                <w:szCs w:val="16"/>
                <w:color w:val="FFFFFF"/>
                <w:w w:val="98"/>
              </w:rPr>
              <w:t>Annual / Short-Term</w:t>
            </w:r>
          </w:p>
        </w:tc>
        <w:tc>
          <w:tcPr>
            <w:tcW w:w="1600" w:type="dxa"/>
            <w:vAlign w:val="bottom"/>
          </w:tcPr>
          <w:p>
            <w:pPr>
              <w:ind w:left="80"/>
              <w:spacing w:after="0" w:line="148" w:lineRule="exact"/>
              <w:rPr>
                <w:sz w:val="20"/>
                <w:szCs w:val="20"/>
                <w:color w:val="auto"/>
              </w:rPr>
            </w:pPr>
            <w:r>
              <w:rPr>
                <w:rFonts w:ascii="Arial" w:cs="Arial" w:eastAsia="Arial" w:hAnsi="Arial"/>
                <w:sz w:val="16"/>
                <w:szCs w:val="16"/>
                <w:b w:val="1"/>
                <w:bCs w:val="1"/>
                <w:color w:val="auto"/>
              </w:rPr>
              <w:t>Base Pay</w:t>
            </w:r>
          </w:p>
        </w:tc>
        <w:tc>
          <w:tcPr>
            <w:tcW w:w="760" w:type="dxa"/>
            <w:vAlign w:val="bottom"/>
          </w:tcPr>
          <w:p>
            <w:pPr>
              <w:ind w:left="180"/>
              <w:spacing w:after="0" w:line="148" w:lineRule="exact"/>
              <w:rPr>
                <w:sz w:val="20"/>
                <w:szCs w:val="20"/>
                <w:color w:val="auto"/>
              </w:rPr>
            </w:pPr>
            <w:r>
              <w:rPr>
                <w:rFonts w:ascii="Arial" w:cs="Arial" w:eastAsia="Arial" w:hAnsi="Arial"/>
                <w:sz w:val="16"/>
                <w:szCs w:val="16"/>
                <w:color w:val="auto"/>
              </w:rPr>
              <w:t>1 year</w:t>
            </w:r>
          </w:p>
        </w:tc>
        <w:tc>
          <w:tcPr>
            <w:tcW w:w="2000" w:type="dxa"/>
            <w:vAlign w:val="bottom"/>
          </w:tcPr>
          <w:p>
            <w:pPr>
              <w:ind w:left="140"/>
              <w:spacing w:after="0" w:line="148" w:lineRule="exact"/>
              <w:rPr>
                <w:sz w:val="20"/>
                <w:szCs w:val="20"/>
                <w:color w:val="auto"/>
              </w:rPr>
            </w:pPr>
            <w:r>
              <w:rPr>
                <w:rFonts w:ascii="Arial" w:cs="Arial" w:eastAsia="Arial" w:hAnsi="Arial"/>
                <w:sz w:val="16"/>
                <w:szCs w:val="16"/>
                <w:color w:val="auto"/>
              </w:rPr>
              <w:t>Individual performance</w:t>
            </w:r>
          </w:p>
        </w:tc>
        <w:tc>
          <w:tcPr>
            <w:tcW w:w="2320" w:type="dxa"/>
            <w:vAlign w:val="bottom"/>
          </w:tcPr>
          <w:p>
            <w:pPr>
              <w:ind w:left="240"/>
              <w:spacing w:after="0" w:line="148" w:lineRule="exact"/>
              <w:rPr>
                <w:sz w:val="20"/>
                <w:szCs w:val="20"/>
                <w:color w:val="auto"/>
              </w:rPr>
            </w:pPr>
            <w:r>
              <w:rPr>
                <w:rFonts w:ascii="Arial" w:cs="Arial" w:eastAsia="Arial" w:hAnsi="Arial"/>
                <w:sz w:val="16"/>
                <w:szCs w:val="16"/>
                <w:color w:val="auto"/>
              </w:rPr>
              <w:t>To provide fair and</w:t>
            </w:r>
          </w:p>
        </w:tc>
        <w:tc>
          <w:tcPr>
            <w:tcW w:w="1940" w:type="dxa"/>
            <w:vAlign w:val="bottom"/>
          </w:tcPr>
          <w:p>
            <w:pPr>
              <w:ind w:left="100"/>
              <w:spacing w:after="0" w:line="148" w:lineRule="exact"/>
              <w:rPr>
                <w:sz w:val="20"/>
                <w:szCs w:val="20"/>
                <w:color w:val="auto"/>
              </w:rPr>
            </w:pPr>
            <w:r>
              <w:rPr>
                <w:rFonts w:ascii="Arial" w:cs="Arial" w:eastAsia="Arial" w:hAnsi="Arial"/>
                <w:sz w:val="16"/>
                <w:szCs w:val="16"/>
                <w:color w:val="auto"/>
              </w:rPr>
              <w:t>Attract and retain talent</w:t>
            </w:r>
          </w:p>
        </w:tc>
        <w:tc>
          <w:tcPr>
            <w:tcW w:w="80" w:type="dxa"/>
            <w:vAlign w:val="bottom"/>
            <w:shd w:val="clear" w:color="auto" w:fill="000000"/>
          </w:tcPr>
          <w:p>
            <w:pPr>
              <w:spacing w:after="0"/>
              <w:rPr>
                <w:sz w:val="12"/>
                <w:szCs w:val="12"/>
                <w:color w:val="auto"/>
              </w:rPr>
            </w:pPr>
          </w:p>
        </w:tc>
        <w:tc>
          <w:tcPr>
            <w:tcW w:w="880" w:type="dxa"/>
            <w:vAlign w:val="bottom"/>
            <w:shd w:val="clear" w:color="auto" w:fill="000000"/>
          </w:tcPr>
          <w:p>
            <w:pPr>
              <w:ind w:left="240"/>
              <w:spacing w:after="0" w:line="148" w:lineRule="exact"/>
              <w:rPr>
                <w:sz w:val="20"/>
                <w:szCs w:val="20"/>
                <w:color w:val="auto"/>
              </w:rPr>
            </w:pPr>
            <w:r>
              <w:rPr>
                <w:rFonts w:ascii="Arial" w:cs="Arial" w:eastAsia="Arial" w:hAnsi="Arial"/>
                <w:sz w:val="16"/>
                <w:szCs w:val="16"/>
                <w:color w:val="FFFFFF"/>
              </w:rPr>
              <w:t>Fixed</w:t>
            </w:r>
          </w:p>
        </w:tc>
        <w:tc>
          <w:tcPr>
            <w:tcW w:w="20" w:type="dxa"/>
            <w:vAlign w:val="bottom"/>
          </w:tcPr>
          <w:p>
            <w:pPr>
              <w:spacing w:after="0"/>
              <w:rPr>
                <w:sz w:val="12"/>
                <w:szCs w:val="12"/>
                <w:color w:val="auto"/>
              </w:rPr>
            </w:pPr>
          </w:p>
        </w:tc>
      </w:tr>
      <w:tr>
        <w:trPr>
          <w:trHeight w:val="189"/>
        </w:trPr>
        <w:tc>
          <w:tcPr>
            <w:tcW w:w="1440" w:type="dxa"/>
            <w:vAlign w:val="bottom"/>
          </w:tcPr>
          <w:p>
            <w:pPr>
              <w:spacing w:after="0"/>
              <w:rPr>
                <w:sz w:val="16"/>
                <w:szCs w:val="16"/>
                <w:color w:val="auto"/>
              </w:rPr>
            </w:pPr>
          </w:p>
        </w:tc>
        <w:tc>
          <w:tcPr>
            <w:tcW w:w="1600" w:type="dxa"/>
            <w:vAlign w:val="bottom"/>
          </w:tcPr>
          <w:p>
            <w:pPr>
              <w:ind w:left="80"/>
              <w:spacing w:after="0"/>
              <w:rPr>
                <w:sz w:val="20"/>
                <w:szCs w:val="20"/>
                <w:color w:val="auto"/>
              </w:rPr>
            </w:pPr>
            <w:r>
              <w:rPr>
                <w:rFonts w:ascii="Arial" w:cs="Arial" w:eastAsia="Arial" w:hAnsi="Arial"/>
                <w:sz w:val="16"/>
                <w:szCs w:val="16"/>
                <w:color w:val="auto"/>
              </w:rPr>
              <w:t>See p. 23 for more</w:t>
            </w:r>
          </w:p>
        </w:tc>
        <w:tc>
          <w:tcPr>
            <w:tcW w:w="7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320" w:type="dxa"/>
            <w:vAlign w:val="bottom"/>
          </w:tcPr>
          <w:p>
            <w:pPr>
              <w:ind w:left="240"/>
              <w:spacing w:after="0"/>
              <w:rPr>
                <w:sz w:val="20"/>
                <w:szCs w:val="20"/>
                <w:color w:val="auto"/>
              </w:rPr>
            </w:pPr>
            <w:r>
              <w:rPr>
                <w:rFonts w:ascii="Arial" w:cs="Arial" w:eastAsia="Arial" w:hAnsi="Arial"/>
                <w:sz w:val="16"/>
                <w:szCs w:val="16"/>
                <w:color w:val="auto"/>
              </w:rPr>
              <w:t>competitive compensation</w:t>
            </w:r>
          </w:p>
        </w:tc>
        <w:tc>
          <w:tcPr>
            <w:tcW w:w="194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8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440" w:type="dxa"/>
            <w:vAlign w:val="bottom"/>
          </w:tcPr>
          <w:p>
            <w:pPr>
              <w:spacing w:after="0"/>
              <w:rPr>
                <w:sz w:val="16"/>
                <w:szCs w:val="16"/>
                <w:color w:val="auto"/>
              </w:rPr>
            </w:pPr>
          </w:p>
        </w:tc>
        <w:tc>
          <w:tcPr>
            <w:tcW w:w="1600" w:type="dxa"/>
            <w:vAlign w:val="bottom"/>
          </w:tcPr>
          <w:p>
            <w:pPr>
              <w:ind w:left="80"/>
              <w:spacing w:after="0"/>
              <w:rPr>
                <w:sz w:val="20"/>
                <w:szCs w:val="20"/>
                <w:color w:val="auto"/>
              </w:rPr>
            </w:pPr>
            <w:r>
              <w:rPr>
                <w:rFonts w:ascii="Arial" w:cs="Arial" w:eastAsia="Arial" w:hAnsi="Arial"/>
                <w:sz w:val="16"/>
                <w:szCs w:val="16"/>
                <w:color w:val="auto"/>
              </w:rPr>
              <w:t>information</w:t>
            </w:r>
          </w:p>
        </w:tc>
        <w:tc>
          <w:tcPr>
            <w:tcW w:w="7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320" w:type="dxa"/>
            <w:vAlign w:val="bottom"/>
          </w:tcPr>
          <w:p>
            <w:pPr>
              <w:ind w:left="240"/>
              <w:spacing w:after="0"/>
              <w:rPr>
                <w:sz w:val="20"/>
                <w:szCs w:val="20"/>
                <w:color w:val="auto"/>
              </w:rPr>
            </w:pPr>
            <w:r>
              <w:rPr>
                <w:rFonts w:ascii="Arial" w:cs="Arial" w:eastAsia="Arial" w:hAnsi="Arial"/>
                <w:sz w:val="16"/>
                <w:szCs w:val="16"/>
                <w:color w:val="auto"/>
              </w:rPr>
              <w:t>for individual performance</w:t>
            </w:r>
          </w:p>
        </w:tc>
        <w:tc>
          <w:tcPr>
            <w:tcW w:w="194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8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320" w:type="dxa"/>
            <w:vAlign w:val="bottom"/>
          </w:tcPr>
          <w:p>
            <w:pPr>
              <w:ind w:left="240"/>
              <w:spacing w:after="0"/>
              <w:rPr>
                <w:sz w:val="20"/>
                <w:szCs w:val="20"/>
                <w:color w:val="auto"/>
              </w:rPr>
            </w:pPr>
            <w:r>
              <w:rPr>
                <w:rFonts w:ascii="Arial" w:cs="Arial" w:eastAsia="Arial" w:hAnsi="Arial"/>
                <w:sz w:val="16"/>
                <w:szCs w:val="16"/>
                <w:color w:val="auto"/>
              </w:rPr>
              <w:t>and level of responsibility of</w:t>
            </w:r>
          </w:p>
        </w:tc>
        <w:tc>
          <w:tcPr>
            <w:tcW w:w="194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8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44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position held</w:t>
            </w:r>
          </w:p>
        </w:tc>
        <w:tc>
          <w:tcPr>
            <w:tcW w:w="1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shd w:val="clear" w:color="auto" w:fill="000000"/>
          </w:tcPr>
          <w:p>
            <w:pPr>
              <w:spacing w:after="0"/>
              <w:rPr>
                <w:sz w:val="17"/>
                <w:szCs w:val="17"/>
                <w:color w:val="auto"/>
              </w:rPr>
            </w:pPr>
          </w:p>
        </w:tc>
        <w:tc>
          <w:tcPr>
            <w:tcW w:w="880" w:type="dxa"/>
            <w:vAlign w:val="bottom"/>
            <w:tcBorders>
              <w:bottom w:val="single" w:sz="8" w:color="auto"/>
            </w:tcBorders>
            <w:shd w:val="clear" w:color="auto" w:fill="000000"/>
          </w:tcPr>
          <w:p>
            <w:pPr>
              <w:spacing w:after="0"/>
              <w:rPr>
                <w:sz w:val="17"/>
                <w:szCs w:val="17"/>
                <w:color w:val="auto"/>
              </w:rPr>
            </w:pPr>
          </w:p>
        </w:tc>
        <w:tc>
          <w:tcPr>
            <w:tcW w:w="20" w:type="dxa"/>
            <w:vAlign w:val="bottom"/>
          </w:tcPr>
          <w:p>
            <w:pPr>
              <w:spacing w:after="0"/>
              <w:rPr>
                <w:sz w:val="17"/>
                <w:szCs w:val="17"/>
                <w:color w:val="auto"/>
              </w:rPr>
            </w:pPr>
          </w:p>
        </w:tc>
      </w:tr>
      <w:tr>
        <w:trPr>
          <w:trHeight w:val="34"/>
        </w:trPr>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FF160F"/>
          </w:tcPr>
          <w:p>
            <w:pPr>
              <w:spacing w:after="0"/>
              <w:rPr>
                <w:sz w:val="2"/>
                <w:szCs w:val="2"/>
                <w:color w:val="auto"/>
              </w:rPr>
            </w:pPr>
          </w:p>
        </w:tc>
        <w:tc>
          <w:tcPr>
            <w:tcW w:w="880" w:type="dxa"/>
            <w:vAlign w:val="bottom"/>
            <w:shd w:val="clear" w:color="auto" w:fill="FF160F"/>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6459855</wp:posOffset>
            </wp:positionH>
            <wp:positionV relativeFrom="paragraph">
              <wp:posOffset>-33655</wp:posOffset>
            </wp:positionV>
            <wp:extent cx="608330" cy="1491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8330" cy="1491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-642620</wp:posOffset>
            </wp:positionV>
            <wp:extent cx="916940" cy="13633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16940" cy="13633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75"/>
        </w:trPr>
        <w:tc>
          <w:tcPr>
            <w:tcW w:w="1440" w:type="dxa"/>
            <w:vAlign w:val="bottom"/>
          </w:tcPr>
          <w:p>
            <w:pPr>
              <w:spacing w:after="0"/>
              <w:rPr>
                <w:sz w:val="15"/>
                <w:szCs w:val="15"/>
                <w:color w:val="auto"/>
              </w:rPr>
            </w:pPr>
          </w:p>
        </w:tc>
        <w:tc>
          <w:tcPr>
            <w:tcW w:w="1720" w:type="dxa"/>
            <w:vAlign w:val="bottom"/>
          </w:tcPr>
          <w:p>
            <w:pPr>
              <w:ind w:left="80"/>
              <w:spacing w:after="0" w:line="175" w:lineRule="exact"/>
              <w:rPr>
                <w:sz w:val="20"/>
                <w:szCs w:val="20"/>
                <w:color w:val="auto"/>
              </w:rPr>
            </w:pPr>
            <w:r>
              <w:rPr>
                <w:rFonts w:ascii="Arial" w:cs="Arial" w:eastAsia="Arial" w:hAnsi="Arial"/>
                <w:sz w:val="16"/>
                <w:szCs w:val="16"/>
                <w:b w:val="1"/>
                <w:bCs w:val="1"/>
                <w:color w:val="auto"/>
              </w:rPr>
              <w:t>Annual Performance</w:t>
            </w:r>
          </w:p>
        </w:tc>
        <w:tc>
          <w:tcPr>
            <w:tcW w:w="680" w:type="dxa"/>
            <w:vAlign w:val="bottom"/>
          </w:tcPr>
          <w:p>
            <w:pPr>
              <w:ind w:left="60"/>
              <w:spacing w:after="0" w:line="175" w:lineRule="exact"/>
              <w:rPr>
                <w:sz w:val="20"/>
                <w:szCs w:val="20"/>
                <w:color w:val="auto"/>
              </w:rPr>
            </w:pPr>
            <w:r>
              <w:rPr>
                <w:rFonts w:ascii="Arial" w:cs="Arial" w:eastAsia="Arial" w:hAnsi="Arial"/>
                <w:sz w:val="16"/>
                <w:szCs w:val="16"/>
                <w:color w:val="auto"/>
              </w:rPr>
              <w:t>1 year</w:t>
            </w:r>
          </w:p>
        </w:tc>
        <w:tc>
          <w:tcPr>
            <w:tcW w:w="2080" w:type="dxa"/>
            <w:vAlign w:val="bottom"/>
          </w:tcPr>
          <w:p>
            <w:pPr>
              <w:ind w:left="100"/>
              <w:spacing w:after="0" w:line="175" w:lineRule="exact"/>
              <w:rPr>
                <w:sz w:val="20"/>
                <w:szCs w:val="20"/>
                <w:color w:val="auto"/>
              </w:rPr>
            </w:pPr>
            <w:r>
              <w:rPr>
                <w:rFonts w:ascii="Arial" w:cs="Arial" w:eastAsia="Arial" w:hAnsi="Arial"/>
                <w:sz w:val="16"/>
                <w:szCs w:val="16"/>
                <w:color w:val="auto"/>
              </w:rPr>
              <w:t>FFO per share</w:t>
            </w:r>
          </w:p>
        </w:tc>
        <w:tc>
          <w:tcPr>
            <w:tcW w:w="2220" w:type="dxa"/>
            <w:vAlign w:val="bottom"/>
          </w:tcPr>
          <w:p>
            <w:pPr>
              <w:ind w:left="120"/>
              <w:spacing w:after="0" w:line="175" w:lineRule="exact"/>
              <w:rPr>
                <w:sz w:val="20"/>
                <w:szCs w:val="20"/>
                <w:color w:val="auto"/>
              </w:rPr>
            </w:pPr>
            <w:r>
              <w:rPr>
                <w:rFonts w:ascii="Arial" w:cs="Arial" w:eastAsia="Arial" w:hAnsi="Arial"/>
                <w:sz w:val="16"/>
                <w:szCs w:val="16"/>
                <w:color w:val="auto"/>
              </w:rPr>
              <w:t>To provide performance</w:t>
            </w:r>
          </w:p>
        </w:tc>
        <w:tc>
          <w:tcPr>
            <w:tcW w:w="1920" w:type="dxa"/>
            <w:vAlign w:val="bottom"/>
          </w:tcPr>
          <w:p>
            <w:pPr>
              <w:ind w:left="80"/>
              <w:spacing w:after="0" w:line="175" w:lineRule="exact"/>
              <w:rPr>
                <w:sz w:val="20"/>
                <w:szCs w:val="20"/>
                <w:color w:val="auto"/>
              </w:rPr>
            </w:pPr>
            <w:r>
              <w:rPr>
                <w:rFonts w:ascii="Arial" w:cs="Arial" w:eastAsia="Arial" w:hAnsi="Arial"/>
                <w:sz w:val="16"/>
                <w:szCs w:val="16"/>
                <w:color w:val="auto"/>
              </w:rPr>
              <w:t>Drive near-term</w:t>
            </w:r>
          </w:p>
        </w:tc>
      </w:tr>
      <w:tr>
        <w:trPr>
          <w:trHeight w:val="189"/>
        </w:trPr>
        <w:tc>
          <w:tcPr>
            <w:tcW w:w="1440" w:type="dxa"/>
            <w:vAlign w:val="bottom"/>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6"/>
                <w:szCs w:val="16"/>
                <w:b w:val="1"/>
                <w:bCs w:val="1"/>
                <w:color w:val="auto"/>
              </w:rPr>
              <w:t>Bonus</w:t>
            </w:r>
          </w:p>
        </w:tc>
        <w:tc>
          <w:tcPr>
            <w:tcW w:w="680" w:type="dxa"/>
            <w:vAlign w:val="bottom"/>
          </w:tcPr>
          <w:p>
            <w:pPr>
              <w:spacing w:after="0"/>
              <w:rPr>
                <w:sz w:val="16"/>
                <w:szCs w:val="16"/>
                <w:color w:val="auto"/>
              </w:rPr>
            </w:pPr>
          </w:p>
        </w:tc>
        <w:tc>
          <w:tcPr>
            <w:tcW w:w="2080" w:type="dxa"/>
            <w:vAlign w:val="bottom"/>
          </w:tcPr>
          <w:p>
            <w:pPr>
              <w:ind w:left="100"/>
              <w:spacing w:after="0"/>
              <w:rPr>
                <w:sz w:val="20"/>
                <w:szCs w:val="20"/>
                <w:color w:val="auto"/>
              </w:rPr>
            </w:pPr>
            <w:r>
              <w:rPr>
                <w:rFonts w:ascii="Arial" w:cs="Arial" w:eastAsia="Arial" w:hAnsi="Arial"/>
                <w:sz w:val="16"/>
                <w:szCs w:val="16"/>
                <w:color w:val="auto"/>
              </w:rPr>
              <w:t>Individual performance</w:t>
            </w:r>
          </w:p>
        </w:tc>
        <w:tc>
          <w:tcPr>
            <w:tcW w:w="2220" w:type="dxa"/>
            <w:vAlign w:val="bottom"/>
          </w:tcPr>
          <w:p>
            <w:pPr>
              <w:ind w:left="120"/>
              <w:spacing w:after="0"/>
              <w:rPr>
                <w:sz w:val="20"/>
                <w:szCs w:val="20"/>
                <w:color w:val="auto"/>
              </w:rPr>
            </w:pPr>
            <w:r>
              <w:rPr>
                <w:rFonts w:ascii="Arial" w:cs="Arial" w:eastAsia="Arial" w:hAnsi="Arial"/>
                <w:sz w:val="16"/>
                <w:szCs w:val="16"/>
                <w:color w:val="auto"/>
              </w:rPr>
              <w:t>based annual cash awards</w:t>
            </w:r>
          </w:p>
        </w:tc>
        <w:tc>
          <w:tcPr>
            <w:tcW w:w="1920" w:type="dxa"/>
            <w:vAlign w:val="bottom"/>
          </w:tcPr>
          <w:p>
            <w:pPr>
              <w:ind w:left="80"/>
              <w:spacing w:after="0"/>
              <w:rPr>
                <w:sz w:val="20"/>
                <w:szCs w:val="20"/>
                <w:color w:val="auto"/>
              </w:rPr>
            </w:pPr>
            <w:r>
              <w:rPr>
                <w:rFonts w:ascii="Arial" w:cs="Arial" w:eastAsia="Arial" w:hAnsi="Arial"/>
                <w:sz w:val="16"/>
                <w:szCs w:val="16"/>
                <w:color w:val="auto"/>
              </w:rPr>
              <w:t>corporate and individual</w:t>
            </w:r>
          </w:p>
        </w:tc>
      </w:tr>
      <w:tr>
        <w:trPr>
          <w:trHeight w:val="189"/>
        </w:trPr>
        <w:tc>
          <w:tcPr>
            <w:tcW w:w="1440" w:type="dxa"/>
            <w:vAlign w:val="bottom"/>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6"/>
                <w:szCs w:val="16"/>
                <w:color w:val="auto"/>
              </w:rPr>
              <w:t>See p. 23 for more</w:t>
            </w:r>
          </w:p>
        </w:tc>
        <w:tc>
          <w:tcPr>
            <w:tcW w:w="6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Arial" w:cs="Arial" w:eastAsia="Arial" w:hAnsi="Arial"/>
                <w:sz w:val="16"/>
                <w:szCs w:val="16"/>
                <w:color w:val="auto"/>
              </w:rPr>
              <w:t>to motivate and reward</w:t>
            </w:r>
          </w:p>
        </w:tc>
        <w:tc>
          <w:tcPr>
            <w:tcW w:w="1920" w:type="dxa"/>
            <w:vAlign w:val="bottom"/>
          </w:tcPr>
          <w:p>
            <w:pPr>
              <w:ind w:left="80"/>
              <w:spacing w:after="0"/>
              <w:rPr>
                <w:sz w:val="20"/>
                <w:szCs w:val="20"/>
                <w:color w:val="auto"/>
              </w:rPr>
            </w:pPr>
            <w:r>
              <w:rPr>
                <w:rFonts w:ascii="Arial" w:cs="Arial" w:eastAsia="Arial" w:hAnsi="Arial"/>
                <w:sz w:val="16"/>
                <w:szCs w:val="16"/>
                <w:color w:val="auto"/>
              </w:rPr>
              <w:t>performance goals</w:t>
            </w:r>
          </w:p>
        </w:tc>
      </w:tr>
      <w:tr>
        <w:trPr>
          <w:trHeight w:val="189"/>
        </w:trPr>
        <w:tc>
          <w:tcPr>
            <w:tcW w:w="1440" w:type="dxa"/>
            <w:vAlign w:val="bottom"/>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6"/>
                <w:szCs w:val="16"/>
                <w:color w:val="auto"/>
              </w:rPr>
              <w:t>information</w:t>
            </w:r>
          </w:p>
        </w:tc>
        <w:tc>
          <w:tcPr>
            <w:tcW w:w="6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Arial" w:cs="Arial" w:eastAsia="Arial" w:hAnsi="Arial"/>
                <w:sz w:val="16"/>
                <w:szCs w:val="16"/>
                <w:color w:val="auto"/>
              </w:rPr>
              <w:t>employees for achieving our</w:t>
            </w:r>
          </w:p>
        </w:tc>
        <w:tc>
          <w:tcPr>
            <w:tcW w:w="1920" w:type="dxa"/>
            <w:vAlign w:val="bottom"/>
          </w:tcPr>
          <w:p>
            <w:pPr>
              <w:spacing w:after="0"/>
              <w:rPr>
                <w:sz w:val="16"/>
                <w:szCs w:val="16"/>
                <w:color w:val="auto"/>
              </w:rPr>
            </w:pPr>
          </w:p>
        </w:tc>
      </w:tr>
      <w:tr>
        <w:trPr>
          <w:trHeight w:val="189"/>
        </w:trPr>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ind w:left="120"/>
              <w:spacing w:after="0"/>
              <w:rPr>
                <w:sz w:val="20"/>
                <w:szCs w:val="20"/>
                <w:color w:val="auto"/>
              </w:rPr>
            </w:pPr>
            <w:r>
              <w:rPr>
                <w:rFonts w:ascii="Arial" w:cs="Arial" w:eastAsia="Arial" w:hAnsi="Arial"/>
                <w:sz w:val="16"/>
                <w:szCs w:val="16"/>
                <w:color w:val="auto"/>
              </w:rPr>
              <w:t>short-term business</w:t>
            </w:r>
          </w:p>
        </w:tc>
        <w:tc>
          <w:tcPr>
            <w:tcW w:w="1920" w:type="dxa"/>
            <w:vAlign w:val="bottom"/>
          </w:tcPr>
          <w:p>
            <w:pPr>
              <w:spacing w:after="0"/>
              <w:rPr>
                <w:sz w:val="16"/>
                <w:szCs w:val="16"/>
                <w:color w:val="auto"/>
              </w:rPr>
            </w:pPr>
          </w:p>
        </w:tc>
      </w:tr>
      <w:tr>
        <w:trPr>
          <w:trHeight w:val="203"/>
        </w:trPr>
        <w:tc>
          <w:tcPr>
            <w:tcW w:w="1440" w:type="dxa"/>
            <w:vAlign w:val="bottom"/>
            <w:tcBorders>
              <w:bottom w:val="single" w:sz="8" w:color="FF160F"/>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objectives</w:t>
            </w:r>
          </w:p>
        </w:tc>
        <w:tc>
          <w:tcPr>
            <w:tcW w:w="1920" w:type="dxa"/>
            <w:vAlign w:val="bottom"/>
            <w:tcBorders>
              <w:bottom w:val="single" w:sz="8" w:color="auto"/>
            </w:tcBorders>
          </w:tcPr>
          <w:p>
            <w:pPr>
              <w:spacing w:after="0"/>
              <w:rPr>
                <w:sz w:val="17"/>
                <w:szCs w:val="17"/>
                <w:color w:val="auto"/>
              </w:rPr>
            </w:pPr>
          </w:p>
        </w:tc>
      </w:tr>
      <w:tr>
        <w:trPr>
          <w:trHeight w:val="168"/>
        </w:trPr>
        <w:tc>
          <w:tcPr>
            <w:tcW w:w="1440" w:type="dxa"/>
            <w:vAlign w:val="bottom"/>
            <w:shd w:val="clear" w:color="auto" w:fill="FF160F"/>
          </w:tcPr>
          <w:p>
            <w:pPr>
              <w:ind w:left="340"/>
              <w:spacing w:after="0" w:line="168" w:lineRule="exact"/>
              <w:rPr>
                <w:sz w:val="20"/>
                <w:szCs w:val="20"/>
                <w:color w:val="auto"/>
              </w:rPr>
            </w:pPr>
            <w:r>
              <w:rPr>
                <w:rFonts w:ascii="Arial" w:cs="Arial" w:eastAsia="Arial" w:hAnsi="Arial"/>
                <w:sz w:val="16"/>
                <w:szCs w:val="16"/>
                <w:color w:val="FFFFFF"/>
              </w:rPr>
              <w:t>Long-Term</w:t>
            </w:r>
          </w:p>
        </w:tc>
        <w:tc>
          <w:tcPr>
            <w:tcW w:w="172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Equity Incentive</w:t>
            </w:r>
          </w:p>
        </w:tc>
        <w:tc>
          <w:tcPr>
            <w:tcW w:w="680" w:type="dxa"/>
            <w:vAlign w:val="bottom"/>
          </w:tcPr>
          <w:p>
            <w:pPr>
              <w:ind w:left="60"/>
              <w:spacing w:after="0" w:line="168" w:lineRule="exact"/>
              <w:rPr>
                <w:sz w:val="20"/>
                <w:szCs w:val="20"/>
                <w:color w:val="auto"/>
              </w:rPr>
            </w:pPr>
            <w:r>
              <w:rPr>
                <w:rFonts w:ascii="Arial" w:cs="Arial" w:eastAsia="Arial" w:hAnsi="Arial"/>
                <w:sz w:val="16"/>
                <w:szCs w:val="16"/>
                <w:color w:val="auto"/>
              </w:rPr>
              <w:t>3 years</w:t>
            </w:r>
          </w:p>
        </w:tc>
        <w:tc>
          <w:tcPr>
            <w:tcW w:w="2080" w:type="dxa"/>
            <w:vAlign w:val="bottom"/>
          </w:tcPr>
          <w:p>
            <w:pPr>
              <w:ind w:left="100"/>
              <w:spacing w:after="0" w:line="168" w:lineRule="exact"/>
              <w:rPr>
                <w:sz w:val="20"/>
                <w:szCs w:val="20"/>
                <w:color w:val="auto"/>
              </w:rPr>
            </w:pPr>
            <w:r>
              <w:rPr>
                <w:rFonts w:ascii="Arial" w:cs="Arial" w:eastAsia="Arial" w:hAnsi="Arial"/>
                <w:sz w:val="16"/>
                <w:szCs w:val="16"/>
                <w:color w:val="auto"/>
              </w:rPr>
              <w:t>Relative total shareholder</w:t>
            </w:r>
          </w:p>
        </w:tc>
        <w:tc>
          <w:tcPr>
            <w:tcW w:w="2220" w:type="dxa"/>
            <w:vAlign w:val="bottom"/>
          </w:tcPr>
          <w:p>
            <w:pPr>
              <w:ind w:left="120"/>
              <w:spacing w:after="0" w:line="168" w:lineRule="exact"/>
              <w:rPr>
                <w:sz w:val="20"/>
                <w:szCs w:val="20"/>
                <w:color w:val="auto"/>
              </w:rPr>
            </w:pPr>
            <w:r>
              <w:rPr>
                <w:rFonts w:ascii="Arial" w:cs="Arial" w:eastAsia="Arial" w:hAnsi="Arial"/>
                <w:sz w:val="16"/>
                <w:szCs w:val="16"/>
                <w:color w:val="auto"/>
              </w:rPr>
              <w:t>To provide performance-</w:t>
            </w:r>
          </w:p>
        </w:tc>
        <w:tc>
          <w:tcPr>
            <w:tcW w:w="1920" w:type="dxa"/>
            <w:vAlign w:val="bottom"/>
          </w:tcPr>
          <w:p>
            <w:pPr>
              <w:ind w:left="80"/>
              <w:spacing w:after="0" w:line="168" w:lineRule="exact"/>
              <w:rPr>
                <w:sz w:val="20"/>
                <w:szCs w:val="20"/>
                <w:color w:val="auto"/>
              </w:rPr>
            </w:pPr>
            <w:r>
              <w:rPr>
                <w:rFonts w:ascii="Arial" w:cs="Arial" w:eastAsia="Arial" w:hAnsi="Arial"/>
                <w:sz w:val="16"/>
                <w:szCs w:val="16"/>
                <w:color w:val="auto"/>
              </w:rPr>
              <w:t>Drive medium-term</w:t>
            </w:r>
          </w:p>
        </w:tc>
      </w:tr>
      <w:tr>
        <w:trPr>
          <w:trHeight w:val="189"/>
        </w:trPr>
        <w:tc>
          <w:tcPr>
            <w:tcW w:w="1440" w:type="dxa"/>
            <w:vAlign w:val="bottom"/>
            <w:shd w:val="clear" w:color="auto" w:fill="FF160F"/>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6"/>
                <w:szCs w:val="16"/>
                <w:color w:val="auto"/>
              </w:rPr>
              <w:t>See p. 24 for more</w:t>
            </w:r>
          </w:p>
        </w:tc>
        <w:tc>
          <w:tcPr>
            <w:tcW w:w="680" w:type="dxa"/>
            <w:vAlign w:val="bottom"/>
          </w:tcPr>
          <w:p>
            <w:pPr>
              <w:spacing w:after="0"/>
              <w:rPr>
                <w:sz w:val="16"/>
                <w:szCs w:val="16"/>
                <w:color w:val="auto"/>
              </w:rPr>
            </w:pPr>
          </w:p>
        </w:tc>
        <w:tc>
          <w:tcPr>
            <w:tcW w:w="2080" w:type="dxa"/>
            <w:vAlign w:val="bottom"/>
          </w:tcPr>
          <w:p>
            <w:pPr>
              <w:ind w:left="100"/>
              <w:spacing w:after="0"/>
              <w:rPr>
                <w:sz w:val="20"/>
                <w:szCs w:val="20"/>
                <w:color w:val="auto"/>
              </w:rPr>
            </w:pPr>
            <w:r>
              <w:rPr>
                <w:rFonts w:ascii="Arial" w:cs="Arial" w:eastAsia="Arial" w:hAnsi="Arial"/>
                <w:sz w:val="16"/>
                <w:szCs w:val="16"/>
                <w:color w:val="auto"/>
              </w:rPr>
              <w:t>return (34%)</w:t>
            </w:r>
          </w:p>
        </w:tc>
        <w:tc>
          <w:tcPr>
            <w:tcW w:w="2220" w:type="dxa"/>
            <w:vAlign w:val="bottom"/>
          </w:tcPr>
          <w:p>
            <w:pPr>
              <w:ind w:left="120"/>
              <w:spacing w:after="0"/>
              <w:rPr>
                <w:sz w:val="20"/>
                <w:szCs w:val="20"/>
                <w:color w:val="auto"/>
              </w:rPr>
            </w:pPr>
            <w:r>
              <w:rPr>
                <w:rFonts w:ascii="Arial" w:cs="Arial" w:eastAsia="Arial" w:hAnsi="Arial"/>
                <w:sz w:val="16"/>
                <w:szCs w:val="16"/>
                <w:color w:val="auto"/>
              </w:rPr>
              <w:t>based equity compensation</w:t>
            </w:r>
          </w:p>
        </w:tc>
        <w:tc>
          <w:tcPr>
            <w:tcW w:w="1920" w:type="dxa"/>
            <w:vAlign w:val="bottom"/>
          </w:tcPr>
          <w:p>
            <w:pPr>
              <w:ind w:left="80"/>
              <w:spacing w:after="0"/>
              <w:rPr>
                <w:sz w:val="20"/>
                <w:szCs w:val="20"/>
                <w:color w:val="auto"/>
              </w:rPr>
            </w:pPr>
            <w:r>
              <w:rPr>
                <w:rFonts w:ascii="Arial" w:cs="Arial" w:eastAsia="Arial" w:hAnsi="Arial"/>
                <w:sz w:val="16"/>
                <w:szCs w:val="16"/>
                <w:color w:val="auto"/>
              </w:rPr>
              <w:t>performance goals and</w:t>
            </w:r>
          </w:p>
        </w:tc>
      </w:tr>
      <w:tr>
        <w:trPr>
          <w:trHeight w:val="189"/>
        </w:trPr>
        <w:tc>
          <w:tcPr>
            <w:tcW w:w="1440" w:type="dxa"/>
            <w:vAlign w:val="bottom"/>
            <w:shd w:val="clear" w:color="auto" w:fill="FF160F"/>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6"/>
                <w:szCs w:val="16"/>
                <w:color w:val="auto"/>
              </w:rPr>
              <w:t>information</w:t>
            </w:r>
          </w:p>
        </w:tc>
        <w:tc>
          <w:tcPr>
            <w:tcW w:w="680" w:type="dxa"/>
            <w:vAlign w:val="bottom"/>
          </w:tcPr>
          <w:p>
            <w:pPr>
              <w:spacing w:after="0"/>
              <w:rPr>
                <w:sz w:val="16"/>
                <w:szCs w:val="16"/>
                <w:color w:val="auto"/>
              </w:rPr>
            </w:pPr>
          </w:p>
        </w:tc>
        <w:tc>
          <w:tcPr>
            <w:tcW w:w="2080" w:type="dxa"/>
            <w:vAlign w:val="bottom"/>
          </w:tcPr>
          <w:p>
            <w:pPr>
              <w:ind w:left="100"/>
              <w:spacing w:after="0"/>
              <w:rPr>
                <w:sz w:val="20"/>
                <w:szCs w:val="20"/>
                <w:color w:val="auto"/>
              </w:rPr>
            </w:pPr>
            <w:r>
              <w:rPr>
                <w:rFonts w:ascii="Arial" w:cs="Arial" w:eastAsia="Arial" w:hAnsi="Arial"/>
                <w:sz w:val="16"/>
                <w:szCs w:val="16"/>
                <w:color w:val="auto"/>
              </w:rPr>
              <w:t>FFO multiple premium</w:t>
            </w:r>
          </w:p>
        </w:tc>
        <w:tc>
          <w:tcPr>
            <w:tcW w:w="2220" w:type="dxa"/>
            <w:vAlign w:val="bottom"/>
          </w:tcPr>
          <w:p>
            <w:pPr>
              <w:ind w:left="120"/>
              <w:spacing w:after="0"/>
              <w:rPr>
                <w:sz w:val="20"/>
                <w:szCs w:val="20"/>
                <w:color w:val="auto"/>
              </w:rPr>
            </w:pPr>
            <w:r>
              <w:rPr>
                <w:rFonts w:ascii="Arial" w:cs="Arial" w:eastAsia="Arial" w:hAnsi="Arial"/>
                <w:sz w:val="16"/>
                <w:szCs w:val="16"/>
                <w:color w:val="auto"/>
              </w:rPr>
              <w:t>in the form of restricted</w:t>
            </w:r>
          </w:p>
        </w:tc>
        <w:tc>
          <w:tcPr>
            <w:tcW w:w="1920" w:type="dxa"/>
            <w:vAlign w:val="bottom"/>
          </w:tcPr>
          <w:p>
            <w:pPr>
              <w:ind w:left="80"/>
              <w:spacing w:after="0"/>
              <w:rPr>
                <w:sz w:val="20"/>
                <w:szCs w:val="20"/>
                <w:color w:val="auto"/>
              </w:rPr>
            </w:pPr>
            <w:r>
              <w:rPr>
                <w:rFonts w:ascii="Arial" w:cs="Arial" w:eastAsia="Arial" w:hAnsi="Arial"/>
                <w:sz w:val="16"/>
                <w:szCs w:val="16"/>
                <w:color w:val="auto"/>
              </w:rPr>
              <w:t>retain talent</w:t>
            </w:r>
          </w:p>
        </w:tc>
      </w:tr>
      <w:tr>
        <w:trPr>
          <w:trHeight w:val="189"/>
        </w:trPr>
        <w:tc>
          <w:tcPr>
            <w:tcW w:w="1440" w:type="dxa"/>
            <w:vAlign w:val="bottom"/>
            <w:shd w:val="clear" w:color="auto" w:fill="FF160F"/>
          </w:tcPr>
          <w:p>
            <w:pPr>
              <w:spacing w:after="0"/>
              <w:rPr>
                <w:sz w:val="16"/>
                <w:szCs w:val="16"/>
                <w:color w:val="auto"/>
              </w:rPr>
            </w:pPr>
          </w:p>
        </w:tc>
        <w:tc>
          <w:tcPr>
            <w:tcW w:w="1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80" w:type="dxa"/>
            <w:vAlign w:val="bottom"/>
          </w:tcPr>
          <w:p>
            <w:pPr>
              <w:ind w:left="100"/>
              <w:spacing w:after="0"/>
              <w:rPr>
                <w:sz w:val="20"/>
                <w:szCs w:val="20"/>
                <w:color w:val="auto"/>
              </w:rPr>
            </w:pPr>
            <w:r>
              <w:rPr>
                <w:rFonts w:ascii="Arial" w:cs="Arial" w:eastAsia="Arial" w:hAnsi="Arial"/>
                <w:sz w:val="16"/>
                <w:szCs w:val="16"/>
                <w:color w:val="auto"/>
              </w:rPr>
              <w:t>(33%)</w:t>
            </w:r>
          </w:p>
        </w:tc>
        <w:tc>
          <w:tcPr>
            <w:tcW w:w="2220" w:type="dxa"/>
            <w:vAlign w:val="bottom"/>
          </w:tcPr>
          <w:p>
            <w:pPr>
              <w:ind w:left="120"/>
              <w:spacing w:after="0"/>
              <w:rPr>
                <w:sz w:val="20"/>
                <w:szCs w:val="20"/>
                <w:color w:val="auto"/>
              </w:rPr>
            </w:pPr>
            <w:r>
              <w:rPr>
                <w:rFonts w:ascii="Arial" w:cs="Arial" w:eastAsia="Arial" w:hAnsi="Arial"/>
                <w:sz w:val="16"/>
                <w:szCs w:val="16"/>
                <w:color w:val="auto"/>
              </w:rPr>
              <w:t>shares to drive longer-term</w:t>
            </w:r>
          </w:p>
        </w:tc>
        <w:tc>
          <w:tcPr>
            <w:tcW w:w="1920" w:type="dxa"/>
            <w:vAlign w:val="bottom"/>
          </w:tcPr>
          <w:p>
            <w:pPr>
              <w:spacing w:after="0"/>
              <w:rPr>
                <w:sz w:val="16"/>
                <w:szCs w:val="16"/>
                <w:color w:val="auto"/>
              </w:rPr>
            </w:pPr>
          </w:p>
        </w:tc>
      </w:tr>
      <w:tr>
        <w:trPr>
          <w:trHeight w:val="189"/>
        </w:trPr>
        <w:tc>
          <w:tcPr>
            <w:tcW w:w="1440" w:type="dxa"/>
            <w:vAlign w:val="bottom"/>
            <w:shd w:val="clear" w:color="auto" w:fill="FF160F"/>
          </w:tcPr>
          <w:p>
            <w:pPr>
              <w:spacing w:after="0"/>
              <w:rPr>
                <w:sz w:val="16"/>
                <w:szCs w:val="16"/>
                <w:color w:val="auto"/>
              </w:rPr>
            </w:pPr>
          </w:p>
        </w:tc>
        <w:tc>
          <w:tcPr>
            <w:tcW w:w="1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80" w:type="dxa"/>
            <w:vAlign w:val="bottom"/>
          </w:tcPr>
          <w:p>
            <w:pPr>
              <w:ind w:left="100"/>
              <w:spacing w:after="0"/>
              <w:rPr>
                <w:sz w:val="20"/>
                <w:szCs w:val="20"/>
                <w:color w:val="auto"/>
              </w:rPr>
            </w:pPr>
            <w:r>
              <w:rPr>
                <w:rFonts w:ascii="Arial" w:cs="Arial" w:eastAsia="Arial" w:hAnsi="Arial"/>
                <w:sz w:val="16"/>
                <w:szCs w:val="16"/>
                <w:color w:val="auto"/>
              </w:rPr>
              <w:t>Return on invested capital</w:t>
            </w:r>
          </w:p>
        </w:tc>
        <w:tc>
          <w:tcPr>
            <w:tcW w:w="2220" w:type="dxa"/>
            <w:vAlign w:val="bottom"/>
          </w:tcPr>
          <w:p>
            <w:pPr>
              <w:ind w:left="120"/>
              <w:spacing w:after="0"/>
              <w:rPr>
                <w:sz w:val="20"/>
                <w:szCs w:val="20"/>
                <w:color w:val="auto"/>
              </w:rPr>
            </w:pPr>
            <w:r>
              <w:rPr>
                <w:rFonts w:ascii="Arial" w:cs="Arial" w:eastAsia="Arial" w:hAnsi="Arial"/>
                <w:sz w:val="16"/>
                <w:szCs w:val="16"/>
                <w:color w:val="auto"/>
              </w:rPr>
              <w:t>business objectives</w:t>
            </w:r>
          </w:p>
        </w:tc>
        <w:tc>
          <w:tcPr>
            <w:tcW w:w="1920" w:type="dxa"/>
            <w:vAlign w:val="bottom"/>
          </w:tcPr>
          <w:p>
            <w:pPr>
              <w:spacing w:after="0"/>
              <w:rPr>
                <w:sz w:val="16"/>
                <w:szCs w:val="16"/>
                <w:color w:val="auto"/>
              </w:rPr>
            </w:pPr>
          </w:p>
        </w:tc>
      </w:tr>
      <w:tr>
        <w:trPr>
          <w:trHeight w:val="217"/>
        </w:trPr>
        <w:tc>
          <w:tcPr>
            <w:tcW w:w="1440" w:type="dxa"/>
            <w:vAlign w:val="bottom"/>
            <w:shd w:val="clear" w:color="auto" w:fill="FF160F"/>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Arial" w:cs="Arial" w:eastAsia="Arial" w:hAnsi="Arial"/>
                <w:sz w:val="16"/>
                <w:szCs w:val="16"/>
                <w:color w:val="auto"/>
              </w:rPr>
              <w:t>(33%)</w:t>
            </w:r>
          </w:p>
        </w:tc>
        <w:tc>
          <w:tcPr>
            <w:tcW w:w="222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179705</wp:posOffset>
            </wp:positionV>
            <wp:extent cx="6995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line="285" w:lineRule="auto"/>
        <w:rPr>
          <w:sz w:val="20"/>
          <w:szCs w:val="20"/>
          <w:color w:val="auto"/>
        </w:rPr>
      </w:pPr>
      <w:r>
        <w:rPr>
          <w:rFonts w:ascii="Arial" w:cs="Arial" w:eastAsia="Arial" w:hAnsi="Arial"/>
          <w:sz w:val="16"/>
          <w:szCs w:val="16"/>
          <w:color w:val="FFFFFF"/>
        </w:rPr>
        <w:t>Variable / At risk</w:t>
      </w:r>
    </w:p>
    <w:p>
      <w:pPr>
        <w:spacing w:after="0" w:line="2058" w:lineRule="exact"/>
        <w:rPr>
          <w:sz w:val="20"/>
          <w:szCs w:val="20"/>
          <w:color w:val="auto"/>
        </w:rPr>
      </w:pPr>
    </w:p>
    <w:p>
      <w:pPr>
        <w:sectPr>
          <w:pgSz w:w="11900" w:h="16838" w:orient="portrait"/>
          <w:cols w:equalWidth="0" w:num="2">
            <w:col w:w="10180" w:space="80"/>
            <w:col w:w="880"/>
          </w:cols>
          <w:pgMar w:left="320" w:top="482" w:right="439" w:bottom="1440" w:gutter="0" w:footer="0" w:header="0"/>
          <w:type w:val="continuous"/>
        </w:sectPr>
      </w:pPr>
    </w:p>
    <w:p>
      <w:pPr>
        <w:spacing w:after="0" w:line="96"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160F"/>
        </w:rPr>
        <w:t>C</w:t>
      </w:r>
      <w:r>
        <w:rPr>
          <w:rFonts w:ascii="Arial" w:cs="Arial" w:eastAsia="Arial" w:hAnsi="Arial"/>
          <w:sz w:val="17"/>
          <w:szCs w:val="17"/>
          <w:b w:val="1"/>
          <w:bCs w:val="1"/>
          <w:color w:val="FF160F"/>
        </w:rPr>
        <w:t>OMPENSATION</w:t>
      </w:r>
      <w:r>
        <w:rPr>
          <w:rFonts w:ascii="Arial" w:cs="Arial" w:eastAsia="Arial" w:hAnsi="Arial"/>
          <w:sz w:val="22"/>
          <w:szCs w:val="22"/>
          <w:b w:val="1"/>
          <w:bCs w:val="1"/>
          <w:color w:val="FF160F"/>
        </w:rPr>
        <w:t xml:space="preserve"> S</w:t>
      </w:r>
      <w:r>
        <w:rPr>
          <w:rFonts w:ascii="Arial" w:cs="Arial" w:eastAsia="Arial" w:hAnsi="Arial"/>
          <w:sz w:val="17"/>
          <w:szCs w:val="17"/>
          <w:b w:val="1"/>
          <w:bCs w:val="1"/>
          <w:color w:val="FF160F"/>
        </w:rPr>
        <w:t>ETTING</w:t>
      </w:r>
      <w:r>
        <w:rPr>
          <w:rFonts w:ascii="Arial" w:cs="Arial" w:eastAsia="Arial" w:hAnsi="Arial"/>
          <w:sz w:val="22"/>
          <w:szCs w:val="22"/>
          <w:b w:val="1"/>
          <w:bCs w:val="1"/>
          <w:color w:val="FF160F"/>
        </w:rPr>
        <w:t xml:space="preserve"> P</w:t>
      </w:r>
      <w:r>
        <w:rPr>
          <w:rFonts w:ascii="Arial" w:cs="Arial" w:eastAsia="Arial" w:hAnsi="Arial"/>
          <w:sz w:val="17"/>
          <w:szCs w:val="17"/>
          <w:b w:val="1"/>
          <w:bCs w:val="1"/>
          <w:color w:val="FF160F"/>
        </w:rPr>
        <w:t>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1" w:lineRule="exact"/>
        <w:rPr>
          <w:sz w:val="20"/>
          <w:szCs w:val="20"/>
          <w:color w:val="auto"/>
        </w:rPr>
      </w:pPr>
    </w:p>
    <w:p>
      <w:pPr>
        <w:ind w:left="540" w:hanging="424"/>
        <w:spacing w:after="0"/>
        <w:tabs>
          <w:tab w:leader="none" w:pos="540" w:val="left"/>
        </w:tabs>
        <w:numPr>
          <w:ilvl w:val="0"/>
          <w:numId w:val="5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ANNUAL COMPENSATION DECISION MAKING</w:t>
      </w:r>
    </w:p>
    <w:p>
      <w:pPr>
        <w:spacing w:after="0" w:line="212"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Our Compensation Committee develops and executes our executive compensation program on behalf of the Board, including creating compensation programs and policies, setting target compensation levels for our NEOs, setting performance metrics for incentive compensation plans, establishing expectations for individual NEO performance and determining payouts of incentive compensation for completed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79375</wp:posOffset>
            </wp:positionV>
            <wp:extent cx="701230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21</w:t>
      </w:r>
    </w:p>
    <w:p>
      <w:pPr>
        <w:sectPr>
          <w:pgSz w:w="11900" w:h="16838" w:orient="portrait"/>
          <w:cols w:equalWidth="0" w:num="1">
            <w:col w:w="11140"/>
          </w:cols>
          <w:pgMar w:left="320" w:top="482"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 setting NEO compensation, the Compensation Committee considers competitive market data for similar jobs and job levels in the market, Company performance measured against financial metrics and targets established by the Compensation Committee, general business climate and each individual’s experience, knowledge, skills and personal contributions.</w:t>
      </w:r>
    </w:p>
    <w:p>
      <w:pPr>
        <w:spacing w:after="0" w:line="196" w:lineRule="exact"/>
        <w:rPr>
          <w:sz w:val="20"/>
          <w:szCs w:val="20"/>
          <w:color w:val="auto"/>
        </w:rPr>
      </w:pPr>
    </w:p>
    <w:p>
      <w:pPr>
        <w:ind w:left="540" w:hanging="424"/>
        <w:spacing w:after="0"/>
        <w:tabs>
          <w:tab w:leader="none" w:pos="540" w:val="left"/>
        </w:tabs>
        <w:numPr>
          <w:ilvl w:val="0"/>
          <w:numId w:val="51"/>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ROLE OF THE COMPENSATION COMMITTEE</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Compensation Committee approves all final compensation arrangements for our NEOs including final payouts under our incentive compensation programs. It also oversees an annual evaluation of our CEO’s performance by all of our independent Trustees.</w:t>
      </w:r>
    </w:p>
    <w:p>
      <w:pPr>
        <w:spacing w:after="0" w:line="181" w:lineRule="exact"/>
        <w:rPr>
          <w:sz w:val="20"/>
          <w:szCs w:val="20"/>
          <w:color w:val="auto"/>
        </w:rPr>
      </w:pPr>
    </w:p>
    <w:p>
      <w:pPr>
        <w:ind w:left="540" w:hanging="424"/>
        <w:spacing w:after="0"/>
        <w:tabs>
          <w:tab w:leader="none" w:pos="540" w:val="left"/>
        </w:tabs>
        <w:numPr>
          <w:ilvl w:val="0"/>
          <w:numId w:val="52"/>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ROLE OF MANAGEMENT</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Our CEO makes recommendations to the Compensation Committee regarding compensation for our NEOs (other than himself) taking into account Company performance, each executive’s personal contributions to the Company’s accomplishments and relevant market data.</w:t>
      </w:r>
    </w:p>
    <w:p>
      <w:pPr>
        <w:spacing w:after="0" w:line="181" w:lineRule="exact"/>
        <w:rPr>
          <w:sz w:val="20"/>
          <w:szCs w:val="20"/>
          <w:color w:val="auto"/>
        </w:rPr>
      </w:pPr>
    </w:p>
    <w:p>
      <w:pPr>
        <w:ind w:left="540" w:hanging="424"/>
        <w:spacing w:after="0"/>
        <w:tabs>
          <w:tab w:leader="none" w:pos="540" w:val="left"/>
        </w:tabs>
        <w:numPr>
          <w:ilvl w:val="0"/>
          <w:numId w:val="53"/>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ROLE OF INDEPENDENT COMPENSATION CONSULTANT</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Compensation Committee retained Semler Brossy Consulting Group (“SBCG”) to provide market compensation information for each of our NEOs for 2022. SBCG provided independent advice to the Compensation Committee and did not provide any services to management. The Compensation Committee reviewed the independence of SBCG and determined that there were no conflicts that would compromise SBCG’s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156845</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160F"/>
        </w:rPr>
        <w:t>2022 C</w:t>
      </w:r>
      <w:r>
        <w:rPr>
          <w:rFonts w:ascii="Arial" w:cs="Arial" w:eastAsia="Arial" w:hAnsi="Arial"/>
          <w:sz w:val="17"/>
          <w:szCs w:val="17"/>
          <w:b w:val="1"/>
          <w:bCs w:val="1"/>
          <w:color w:val="FF160F"/>
        </w:rPr>
        <w:t>OMPENSATION</w:t>
      </w:r>
      <w:r>
        <w:rPr>
          <w:rFonts w:ascii="Arial" w:cs="Arial" w:eastAsia="Arial" w:hAnsi="Arial"/>
          <w:sz w:val="22"/>
          <w:szCs w:val="22"/>
          <w:b w:val="1"/>
          <w:bCs w:val="1"/>
          <w:color w:val="FF160F"/>
        </w:rPr>
        <w:t xml:space="preserve"> D</w:t>
      </w:r>
      <w:r>
        <w:rPr>
          <w:rFonts w:ascii="Arial" w:cs="Arial" w:eastAsia="Arial" w:hAnsi="Arial"/>
          <w:sz w:val="17"/>
          <w:szCs w:val="17"/>
          <w:b w:val="1"/>
          <w:bCs w:val="1"/>
          <w:color w:val="FF160F"/>
        </w:rPr>
        <w:t>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1" w:lineRule="exact"/>
        <w:rPr>
          <w:sz w:val="20"/>
          <w:szCs w:val="20"/>
          <w:color w:val="auto"/>
        </w:rPr>
      </w:pPr>
    </w:p>
    <w:p>
      <w:pPr>
        <w:ind w:left="540" w:hanging="424"/>
        <w:spacing w:after="0"/>
        <w:tabs>
          <w:tab w:leader="none" w:pos="540" w:val="left"/>
        </w:tabs>
        <w:numPr>
          <w:ilvl w:val="0"/>
          <w:numId w:val="54"/>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SETTING 2022 TARGET COMPENSATION</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Compensation Committee determined target compensation for each NEO by considering numerous individual factors for each NEO, including job responsibilities and skill sets, performance in their position, importance to achieving our corporate objectives, retention risk, ability to replace the role, previously issued equity awards and tenure with the Company. The Compensation Committee then considered the market data and report provided by SBCG to ensure that the total target compensation was competitive for the market.</w:t>
      </w:r>
    </w:p>
    <w:p>
      <w:pPr>
        <w:spacing w:after="0" w:line="174" w:lineRule="exact"/>
        <w:rPr>
          <w:sz w:val="20"/>
          <w:szCs w:val="20"/>
          <w:color w:val="auto"/>
        </w:rPr>
      </w:pPr>
    </w:p>
    <w:p>
      <w:pPr>
        <w:jc w:val="both"/>
        <w:ind w:left="120"/>
        <w:spacing w:after="0" w:line="226" w:lineRule="auto"/>
        <w:rPr>
          <w:sz w:val="20"/>
          <w:szCs w:val="20"/>
          <w:color w:val="auto"/>
        </w:rPr>
      </w:pPr>
      <w:r>
        <w:rPr>
          <w:rFonts w:ascii="Arial" w:cs="Arial" w:eastAsia="Arial" w:hAnsi="Arial"/>
          <w:sz w:val="18"/>
          <w:szCs w:val="18"/>
          <w:color w:val="auto"/>
        </w:rPr>
        <w:t>Based on the market data provided by SBCG which showed that the target compensation of our NEOs was generally positioned between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and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percentiles of the data sets, the Compensation Committee elected to increase the target compensation for each of our NEOs. The Compensation Committee did not set target compensation to meet any particular benchmark level, however, it did use the median of the market data provided by SBCG to help guide its 2022 decisions. After taking into the account the factors identified above, including the value of previously issued but unvested equity awards and the need to provide competitive compensation to motivate and retain our talent, the Compensation Committee set 2022 target compensation for our NEOs as shown below. Each of these targets is within +/-10% of the median target compensation as compared to the market data provided by SBCG for that NEO’s position.</w:t>
      </w:r>
    </w:p>
    <w:p>
      <w:pPr>
        <w:spacing w:after="0" w:line="228" w:lineRule="exact"/>
        <w:rPr>
          <w:sz w:val="20"/>
          <w:szCs w:val="20"/>
          <w:color w:val="auto"/>
        </w:rPr>
      </w:pPr>
    </w:p>
    <w:tbl>
      <w:tblPr>
        <w:tblLayout w:type="fixed"/>
        <w:tblInd w:w="110" w:type="dxa"/>
        <w:tblCellMar>
          <w:top w:w="0" w:type="dxa"/>
          <w:left w:w="0" w:type="dxa"/>
          <w:bottom w:w="0" w:type="dxa"/>
          <w:right w:w="0" w:type="dxa"/>
        </w:tblCellMar>
      </w:tblPr>
      <w:tr>
        <w:trPr>
          <w:trHeight w:val="189"/>
        </w:trPr>
        <w:tc>
          <w:tcPr>
            <w:tcW w:w="1380" w:type="dxa"/>
            <w:vAlign w:val="bottom"/>
            <w:tcBorders>
              <w:left w:val="single" w:sz="8" w:color="FF160F"/>
            </w:tcBorders>
            <w:shd w:val="clear" w:color="auto" w:fill="FF160F"/>
          </w:tcPr>
          <w:p>
            <w:pPr>
              <w:spacing w:after="0"/>
              <w:rPr>
                <w:sz w:val="16"/>
                <w:szCs w:val="16"/>
                <w:color w:val="auto"/>
              </w:rPr>
            </w:pPr>
          </w:p>
        </w:tc>
        <w:tc>
          <w:tcPr>
            <w:tcW w:w="1960" w:type="dxa"/>
            <w:vAlign w:val="bottom"/>
            <w:shd w:val="clear" w:color="auto" w:fill="FF160F"/>
          </w:tcPr>
          <w:p>
            <w:pPr>
              <w:spacing w:after="0"/>
              <w:rPr>
                <w:sz w:val="16"/>
                <w:szCs w:val="16"/>
                <w:color w:val="auto"/>
              </w:rPr>
            </w:pPr>
          </w:p>
        </w:tc>
        <w:tc>
          <w:tcPr>
            <w:tcW w:w="1080" w:type="dxa"/>
            <w:vAlign w:val="bottom"/>
            <w:shd w:val="clear" w:color="auto" w:fill="FF160F"/>
          </w:tcPr>
          <w:p>
            <w:pPr>
              <w:spacing w:after="0"/>
              <w:rPr>
                <w:sz w:val="16"/>
                <w:szCs w:val="16"/>
                <w:color w:val="auto"/>
              </w:rPr>
            </w:pPr>
          </w:p>
        </w:tc>
        <w:tc>
          <w:tcPr>
            <w:tcW w:w="2560" w:type="dxa"/>
            <w:vAlign w:val="bottom"/>
            <w:gridSpan w:val="3"/>
            <w:shd w:val="clear" w:color="auto" w:fill="FF160F"/>
          </w:tcPr>
          <w:p>
            <w:pPr>
              <w:jc w:val="right"/>
              <w:ind w:right="319"/>
              <w:spacing w:after="0"/>
              <w:rPr>
                <w:sz w:val="20"/>
                <w:szCs w:val="20"/>
                <w:color w:val="auto"/>
              </w:rPr>
            </w:pPr>
            <w:r>
              <w:rPr>
                <w:rFonts w:ascii="Arial" w:cs="Arial" w:eastAsia="Arial" w:hAnsi="Arial"/>
                <w:sz w:val="16"/>
                <w:szCs w:val="16"/>
                <w:b w:val="1"/>
                <w:bCs w:val="1"/>
                <w:color w:val="FFFFFF"/>
              </w:rPr>
              <w:t>Target Annual Bonus</w:t>
            </w:r>
          </w:p>
        </w:tc>
        <w:tc>
          <w:tcPr>
            <w:tcW w:w="1680" w:type="dxa"/>
            <w:vAlign w:val="bottom"/>
            <w:gridSpan w:val="2"/>
            <w:shd w:val="clear" w:color="auto" w:fill="FF160F"/>
          </w:tcPr>
          <w:p>
            <w:pPr>
              <w:ind w:left="440"/>
              <w:spacing w:after="0"/>
              <w:rPr>
                <w:sz w:val="20"/>
                <w:szCs w:val="20"/>
                <w:color w:val="auto"/>
              </w:rPr>
            </w:pPr>
            <w:r>
              <w:rPr>
                <w:rFonts w:ascii="Arial" w:cs="Arial" w:eastAsia="Arial" w:hAnsi="Arial"/>
                <w:sz w:val="16"/>
                <w:szCs w:val="16"/>
                <w:b w:val="1"/>
                <w:bCs w:val="1"/>
                <w:color w:val="FFFFFF"/>
              </w:rPr>
              <w:t>Target Long-</w:t>
            </w:r>
          </w:p>
        </w:tc>
        <w:tc>
          <w:tcPr>
            <w:tcW w:w="400" w:type="dxa"/>
            <w:vAlign w:val="bottom"/>
            <w:shd w:val="clear" w:color="auto" w:fill="FF160F"/>
          </w:tcPr>
          <w:p>
            <w:pPr>
              <w:spacing w:after="0"/>
              <w:rPr>
                <w:sz w:val="16"/>
                <w:szCs w:val="16"/>
                <w:color w:val="auto"/>
              </w:rPr>
            </w:pPr>
          </w:p>
        </w:tc>
        <w:tc>
          <w:tcPr>
            <w:tcW w:w="860" w:type="dxa"/>
            <w:vAlign w:val="bottom"/>
            <w:shd w:val="clear" w:color="auto" w:fill="FF160F"/>
          </w:tcPr>
          <w:p>
            <w:pPr>
              <w:jc w:val="right"/>
              <w:ind w:right="279"/>
              <w:spacing w:after="0"/>
              <w:rPr>
                <w:sz w:val="20"/>
                <w:szCs w:val="20"/>
                <w:color w:val="auto"/>
              </w:rPr>
            </w:pPr>
            <w:r>
              <w:rPr>
                <w:rFonts w:ascii="Arial" w:cs="Arial" w:eastAsia="Arial" w:hAnsi="Arial"/>
                <w:sz w:val="16"/>
                <w:szCs w:val="16"/>
                <w:b w:val="1"/>
                <w:bCs w:val="1"/>
                <w:color w:val="FFFFFF"/>
              </w:rPr>
              <w:t>Total</w:t>
            </w:r>
          </w:p>
        </w:tc>
        <w:tc>
          <w:tcPr>
            <w:tcW w:w="1120" w:type="dxa"/>
            <w:vAlign w:val="bottom"/>
          </w:tcPr>
          <w:p>
            <w:pPr>
              <w:spacing w:after="0"/>
              <w:rPr>
                <w:sz w:val="16"/>
                <w:szCs w:val="16"/>
                <w:color w:val="auto"/>
              </w:rPr>
            </w:pPr>
          </w:p>
        </w:tc>
      </w:tr>
      <w:tr>
        <w:trPr>
          <w:trHeight w:val="203"/>
        </w:trPr>
        <w:tc>
          <w:tcPr>
            <w:tcW w:w="1380" w:type="dxa"/>
            <w:vAlign w:val="bottom"/>
            <w:tcBorders>
              <w:left w:val="single" w:sz="8" w:color="FF160F"/>
            </w:tcBorders>
            <w:shd w:val="clear" w:color="auto" w:fill="FF160F"/>
          </w:tcPr>
          <w:p>
            <w:pPr>
              <w:spacing w:after="0"/>
              <w:rPr>
                <w:sz w:val="17"/>
                <w:szCs w:val="17"/>
                <w:color w:val="auto"/>
              </w:rPr>
            </w:pPr>
          </w:p>
        </w:tc>
        <w:tc>
          <w:tcPr>
            <w:tcW w:w="1960" w:type="dxa"/>
            <w:vAlign w:val="bottom"/>
            <w:shd w:val="clear" w:color="auto" w:fill="FF160F"/>
          </w:tcPr>
          <w:p>
            <w:pPr>
              <w:spacing w:after="0"/>
              <w:rPr>
                <w:sz w:val="17"/>
                <w:szCs w:val="17"/>
                <w:color w:val="auto"/>
              </w:rPr>
            </w:pPr>
          </w:p>
        </w:tc>
        <w:tc>
          <w:tcPr>
            <w:tcW w:w="1080" w:type="dxa"/>
            <w:vAlign w:val="bottom"/>
            <w:shd w:val="clear" w:color="auto" w:fill="FF160F"/>
          </w:tcPr>
          <w:p>
            <w:pPr>
              <w:jc w:val="right"/>
              <w:ind w:right="259"/>
              <w:spacing w:after="0"/>
              <w:rPr>
                <w:sz w:val="20"/>
                <w:szCs w:val="20"/>
                <w:color w:val="auto"/>
              </w:rPr>
            </w:pPr>
            <w:r>
              <w:rPr>
                <w:rFonts w:ascii="Arial" w:cs="Arial" w:eastAsia="Arial" w:hAnsi="Arial"/>
                <w:sz w:val="16"/>
                <w:szCs w:val="16"/>
                <w:b w:val="1"/>
                <w:bCs w:val="1"/>
                <w:color w:val="FFFFFF"/>
              </w:rPr>
              <w:t>Base Pay</w:t>
            </w:r>
          </w:p>
        </w:tc>
        <w:tc>
          <w:tcPr>
            <w:tcW w:w="1320" w:type="dxa"/>
            <w:vAlign w:val="bottom"/>
            <w:shd w:val="clear" w:color="auto" w:fill="FF160F"/>
          </w:tcPr>
          <w:p>
            <w:pPr>
              <w:jc w:val="right"/>
              <w:ind w:right="279"/>
              <w:spacing w:after="0"/>
              <w:rPr>
                <w:sz w:val="20"/>
                <w:szCs w:val="20"/>
                <w:color w:val="auto"/>
              </w:rPr>
            </w:pPr>
            <w:r>
              <w:rPr>
                <w:rFonts w:ascii="Arial" w:cs="Arial" w:eastAsia="Arial" w:hAnsi="Arial"/>
                <w:sz w:val="16"/>
                <w:szCs w:val="16"/>
                <w:b w:val="1"/>
                <w:bCs w:val="1"/>
                <w:color w:val="FFFFFF"/>
              </w:rPr>
              <w:t>% of Base</w:t>
            </w:r>
          </w:p>
        </w:tc>
        <w:tc>
          <w:tcPr>
            <w:tcW w:w="340" w:type="dxa"/>
            <w:vAlign w:val="bottom"/>
            <w:shd w:val="clear" w:color="auto" w:fill="FF160F"/>
          </w:tcPr>
          <w:p>
            <w:pPr>
              <w:spacing w:after="0"/>
              <w:rPr>
                <w:sz w:val="17"/>
                <w:szCs w:val="17"/>
                <w:color w:val="auto"/>
              </w:rPr>
            </w:pPr>
          </w:p>
        </w:tc>
        <w:tc>
          <w:tcPr>
            <w:tcW w:w="900" w:type="dxa"/>
            <w:vAlign w:val="bottom"/>
            <w:shd w:val="clear" w:color="auto" w:fill="FF160F"/>
          </w:tcPr>
          <w:p>
            <w:pPr>
              <w:jc w:val="right"/>
              <w:ind w:right="159"/>
              <w:spacing w:after="0"/>
              <w:rPr>
                <w:sz w:val="20"/>
                <w:szCs w:val="20"/>
                <w:color w:val="auto"/>
              </w:rPr>
            </w:pPr>
            <w:r>
              <w:rPr>
                <w:rFonts w:ascii="Arial" w:cs="Arial" w:eastAsia="Arial" w:hAnsi="Arial"/>
                <w:sz w:val="16"/>
                <w:szCs w:val="16"/>
                <w:b w:val="1"/>
                <w:bCs w:val="1"/>
                <w:color w:val="FFFFFF"/>
              </w:rPr>
              <w:t>Amount</w:t>
            </w:r>
          </w:p>
        </w:tc>
        <w:tc>
          <w:tcPr>
            <w:tcW w:w="1680" w:type="dxa"/>
            <w:vAlign w:val="bottom"/>
            <w:gridSpan w:val="2"/>
            <w:shd w:val="clear" w:color="auto" w:fill="FF160F"/>
          </w:tcPr>
          <w:p>
            <w:pPr>
              <w:ind w:left="360"/>
              <w:spacing w:after="0"/>
              <w:rPr>
                <w:sz w:val="20"/>
                <w:szCs w:val="20"/>
                <w:color w:val="auto"/>
              </w:rPr>
            </w:pPr>
            <w:r>
              <w:rPr>
                <w:rFonts w:ascii="Arial" w:cs="Arial" w:eastAsia="Arial" w:hAnsi="Arial"/>
                <w:sz w:val="16"/>
                <w:szCs w:val="16"/>
                <w:b w:val="1"/>
                <w:bCs w:val="1"/>
                <w:color w:val="FFFFFF"/>
              </w:rPr>
              <w:t>Term Incentive</w:t>
            </w:r>
          </w:p>
        </w:tc>
        <w:tc>
          <w:tcPr>
            <w:tcW w:w="1260" w:type="dxa"/>
            <w:vAlign w:val="bottom"/>
            <w:gridSpan w:val="2"/>
            <w:shd w:val="clear" w:color="auto" w:fill="FF160F"/>
          </w:tcPr>
          <w:p>
            <w:pPr>
              <w:jc w:val="right"/>
              <w:ind w:right="19"/>
              <w:spacing w:after="0"/>
              <w:rPr>
                <w:sz w:val="20"/>
                <w:szCs w:val="20"/>
                <w:color w:val="auto"/>
              </w:rPr>
            </w:pPr>
            <w:r>
              <w:rPr>
                <w:rFonts w:ascii="Arial" w:cs="Arial" w:eastAsia="Arial" w:hAnsi="Arial"/>
                <w:sz w:val="16"/>
                <w:szCs w:val="16"/>
                <w:b w:val="1"/>
                <w:bCs w:val="1"/>
                <w:color w:val="FFFFFF"/>
              </w:rPr>
              <w:t>2022 Target</w:t>
            </w:r>
          </w:p>
        </w:tc>
        <w:tc>
          <w:tcPr>
            <w:tcW w:w="1120" w:type="dxa"/>
            <w:vAlign w:val="bottom"/>
          </w:tcPr>
          <w:p>
            <w:pPr>
              <w:spacing w:after="0"/>
              <w:rPr>
                <w:sz w:val="17"/>
                <w:szCs w:val="17"/>
                <w:color w:val="auto"/>
              </w:rPr>
            </w:pPr>
          </w:p>
        </w:tc>
      </w:tr>
      <w:tr>
        <w:trPr>
          <w:trHeight w:val="175"/>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Don Wood</w:t>
            </w:r>
          </w:p>
        </w:tc>
        <w:tc>
          <w:tcPr>
            <w:tcW w:w="19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1,000,000</w:t>
            </w:r>
          </w:p>
        </w:tc>
        <w:tc>
          <w:tcPr>
            <w:tcW w:w="132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150%</w:t>
            </w: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1,500,000</w:t>
            </w:r>
          </w:p>
        </w:tc>
        <w:tc>
          <w:tcPr>
            <w:tcW w:w="600" w:type="dxa"/>
            <w:vAlign w:val="bottom"/>
          </w:tcPr>
          <w:p>
            <w:pPr>
              <w:ind w:left="360"/>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6,000,000</w:t>
            </w:r>
          </w:p>
        </w:tc>
        <w:tc>
          <w:tcPr>
            <w:tcW w:w="4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8,500,000</w:t>
            </w:r>
          </w:p>
        </w:tc>
        <w:tc>
          <w:tcPr>
            <w:tcW w:w="1120" w:type="dxa"/>
            <w:vAlign w:val="bottom"/>
          </w:tcPr>
          <w:p>
            <w:pPr>
              <w:spacing w:after="0"/>
              <w:rPr>
                <w:sz w:val="15"/>
                <w:szCs w:val="15"/>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Jeff Berkes</w:t>
            </w: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650,000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650,000</w:t>
            </w:r>
          </w:p>
        </w:tc>
        <w:tc>
          <w:tcPr>
            <w:tcW w:w="600" w:type="dxa"/>
            <w:vAlign w:val="bottom"/>
          </w:tcPr>
          <w:p>
            <w:pPr>
              <w:ind w:left="3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1,000,000</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2,300,000</w:t>
            </w:r>
          </w:p>
        </w:tc>
        <w:tc>
          <w:tcPr>
            <w:tcW w:w="1120" w:type="dxa"/>
            <w:vAlign w:val="bottom"/>
          </w:tcPr>
          <w:p>
            <w:pPr>
              <w:spacing w:after="0"/>
              <w:rPr>
                <w:sz w:val="16"/>
                <w:szCs w:val="16"/>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Dan Guglielmone</w:t>
            </w: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575,000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575,000</w:t>
            </w:r>
          </w:p>
        </w:tc>
        <w:tc>
          <w:tcPr>
            <w:tcW w:w="600" w:type="dxa"/>
            <w:vAlign w:val="bottom"/>
          </w:tcPr>
          <w:p>
            <w:pPr>
              <w:ind w:left="3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1,000,000</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2,150,000</w:t>
            </w:r>
          </w:p>
        </w:tc>
        <w:tc>
          <w:tcPr>
            <w:tcW w:w="1120" w:type="dxa"/>
            <w:vAlign w:val="bottom"/>
          </w:tcPr>
          <w:p>
            <w:pPr>
              <w:spacing w:after="0"/>
              <w:rPr>
                <w:sz w:val="16"/>
                <w:szCs w:val="16"/>
                <w:color w:val="auto"/>
              </w:rPr>
            </w:pP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Dawn Becker</w:t>
            </w: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575,000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575,000</w:t>
            </w:r>
          </w:p>
        </w:tc>
        <w:tc>
          <w:tcPr>
            <w:tcW w:w="600" w:type="dxa"/>
            <w:vAlign w:val="bottom"/>
          </w:tcPr>
          <w:p>
            <w:pPr>
              <w:ind w:left="3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1,000,000</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2,150,000</w:t>
            </w:r>
          </w:p>
        </w:tc>
        <w:tc>
          <w:tcPr>
            <w:tcW w:w="1120" w:type="dxa"/>
            <w:vAlign w:val="bottom"/>
          </w:tcPr>
          <w:p>
            <w:pPr>
              <w:spacing w:after="0"/>
              <w:rPr>
                <w:sz w:val="18"/>
                <w:szCs w:val="18"/>
                <w:color w:val="auto"/>
              </w:rPr>
            </w:pPr>
          </w:p>
        </w:tc>
      </w:tr>
      <w:tr>
        <w:trPr>
          <w:trHeight w:val="144"/>
        </w:trPr>
        <w:tc>
          <w:tcPr>
            <w:tcW w:w="13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169"/>
        </w:trPr>
        <w:tc>
          <w:tcPr>
            <w:tcW w:w="1380" w:type="dxa"/>
            <w:vAlign w:val="bottom"/>
            <w:tcBorders>
              <w:left w:val="single" w:sz="8" w:color="auto"/>
              <w:bottom w:val="single" w:sz="8" w:color="auto"/>
            </w:tcBorders>
            <w:shd w:val="clear" w:color="auto" w:fill="EAEFED"/>
          </w:tcPr>
          <w:p>
            <w:pPr>
              <w:ind w:left="240"/>
              <w:spacing w:after="0"/>
              <w:rPr>
                <w:sz w:val="20"/>
                <w:szCs w:val="20"/>
                <w:color w:val="auto"/>
              </w:rPr>
            </w:pPr>
            <w:r>
              <w:rPr>
                <w:rFonts w:ascii="Arial" w:cs="Arial" w:eastAsia="Arial" w:hAnsi="Arial"/>
                <w:sz w:val="14"/>
                <w:szCs w:val="14"/>
                <w:color w:val="FF160F"/>
              </w:rPr>
              <w:t>Federal Realty</w:t>
            </w:r>
          </w:p>
        </w:tc>
        <w:tc>
          <w:tcPr>
            <w:tcW w:w="1960" w:type="dxa"/>
            <w:vAlign w:val="bottom"/>
            <w:tcBorders>
              <w:bottom w:val="single" w:sz="8" w:color="auto"/>
            </w:tcBorders>
            <w:shd w:val="clear" w:color="auto" w:fill="EAEFED"/>
          </w:tcPr>
          <w:p>
            <w:pPr>
              <w:jc w:val="right"/>
              <w:ind w:right="21"/>
              <w:spacing w:after="0"/>
              <w:rPr>
                <w:sz w:val="20"/>
                <w:szCs w:val="20"/>
                <w:color w:val="auto"/>
              </w:rPr>
            </w:pPr>
            <w:r>
              <w:rPr>
                <w:rFonts w:ascii="Arial" w:cs="Arial" w:eastAsia="Arial" w:hAnsi="Arial"/>
                <w:sz w:val="14"/>
                <w:szCs w:val="14"/>
                <w:color w:val="auto"/>
              </w:rPr>
              <w:t>2023 Proxy Statement  22</w:t>
            </w:r>
          </w:p>
        </w:tc>
        <w:tc>
          <w:tcPr>
            <w:tcW w:w="1080" w:type="dxa"/>
            <w:vAlign w:val="bottom"/>
            <w:tcBorders>
              <w:bottom w:val="single" w:sz="8" w:color="auto"/>
            </w:tcBorders>
            <w:shd w:val="clear" w:color="auto" w:fill="EAEFED"/>
          </w:tcPr>
          <w:p>
            <w:pPr>
              <w:spacing w:after="0"/>
              <w:rPr>
                <w:sz w:val="14"/>
                <w:szCs w:val="14"/>
                <w:color w:val="auto"/>
              </w:rPr>
            </w:pPr>
          </w:p>
        </w:tc>
        <w:tc>
          <w:tcPr>
            <w:tcW w:w="1320" w:type="dxa"/>
            <w:vAlign w:val="bottom"/>
            <w:tcBorders>
              <w:bottom w:val="single" w:sz="8" w:color="auto"/>
            </w:tcBorders>
            <w:shd w:val="clear" w:color="auto" w:fill="EAEFED"/>
          </w:tcPr>
          <w:p>
            <w:pPr>
              <w:spacing w:after="0"/>
              <w:rPr>
                <w:sz w:val="14"/>
                <w:szCs w:val="14"/>
                <w:color w:val="auto"/>
              </w:rPr>
            </w:pPr>
          </w:p>
        </w:tc>
        <w:tc>
          <w:tcPr>
            <w:tcW w:w="340" w:type="dxa"/>
            <w:vAlign w:val="bottom"/>
            <w:tcBorders>
              <w:bottom w:val="single" w:sz="8" w:color="auto"/>
            </w:tcBorders>
            <w:shd w:val="clear" w:color="auto" w:fill="EAEFED"/>
          </w:tcPr>
          <w:p>
            <w:pPr>
              <w:spacing w:after="0"/>
              <w:rPr>
                <w:sz w:val="14"/>
                <w:szCs w:val="14"/>
                <w:color w:val="auto"/>
              </w:rPr>
            </w:pPr>
          </w:p>
        </w:tc>
        <w:tc>
          <w:tcPr>
            <w:tcW w:w="900" w:type="dxa"/>
            <w:vAlign w:val="bottom"/>
            <w:tcBorders>
              <w:bottom w:val="single" w:sz="8" w:color="auto"/>
            </w:tcBorders>
            <w:shd w:val="clear" w:color="auto" w:fill="EAEFED"/>
          </w:tcPr>
          <w:p>
            <w:pPr>
              <w:spacing w:after="0"/>
              <w:rPr>
                <w:sz w:val="14"/>
                <w:szCs w:val="14"/>
                <w:color w:val="auto"/>
              </w:rPr>
            </w:pPr>
          </w:p>
        </w:tc>
        <w:tc>
          <w:tcPr>
            <w:tcW w:w="600" w:type="dxa"/>
            <w:vAlign w:val="bottom"/>
            <w:tcBorders>
              <w:bottom w:val="single" w:sz="8" w:color="auto"/>
            </w:tcBorders>
            <w:shd w:val="clear" w:color="auto" w:fill="EAEFED"/>
          </w:tcPr>
          <w:p>
            <w:pPr>
              <w:spacing w:after="0"/>
              <w:rPr>
                <w:sz w:val="14"/>
                <w:szCs w:val="14"/>
                <w:color w:val="auto"/>
              </w:rPr>
            </w:pPr>
          </w:p>
        </w:tc>
        <w:tc>
          <w:tcPr>
            <w:tcW w:w="1080" w:type="dxa"/>
            <w:vAlign w:val="bottom"/>
            <w:tcBorders>
              <w:bottom w:val="single" w:sz="8" w:color="auto"/>
            </w:tcBorders>
            <w:shd w:val="clear" w:color="auto" w:fill="EAEFED"/>
          </w:tcPr>
          <w:p>
            <w:pPr>
              <w:spacing w:after="0"/>
              <w:rPr>
                <w:sz w:val="14"/>
                <w:szCs w:val="14"/>
                <w:color w:val="auto"/>
              </w:rPr>
            </w:pPr>
          </w:p>
        </w:tc>
        <w:tc>
          <w:tcPr>
            <w:tcW w:w="400" w:type="dxa"/>
            <w:vAlign w:val="bottom"/>
            <w:tcBorders>
              <w:bottom w:val="single" w:sz="8" w:color="auto"/>
            </w:tcBorders>
            <w:shd w:val="clear" w:color="auto" w:fill="EAEFED"/>
          </w:tcPr>
          <w:p>
            <w:pPr>
              <w:spacing w:after="0"/>
              <w:rPr>
                <w:sz w:val="14"/>
                <w:szCs w:val="14"/>
                <w:color w:val="auto"/>
              </w:rPr>
            </w:pPr>
          </w:p>
        </w:tc>
        <w:tc>
          <w:tcPr>
            <w:tcW w:w="860" w:type="dxa"/>
            <w:vAlign w:val="bottom"/>
            <w:tcBorders>
              <w:bottom w:val="single" w:sz="8" w:color="auto"/>
            </w:tcBorders>
            <w:shd w:val="clear" w:color="auto" w:fill="EAEFED"/>
          </w:tcPr>
          <w:p>
            <w:pPr>
              <w:spacing w:after="0"/>
              <w:rPr>
                <w:sz w:val="14"/>
                <w:szCs w:val="14"/>
                <w:color w:val="auto"/>
              </w:rPr>
            </w:pPr>
          </w:p>
        </w:tc>
        <w:tc>
          <w:tcPr>
            <w:tcW w:w="1120" w:type="dxa"/>
            <w:vAlign w:val="bottom"/>
            <w:tcBorders>
              <w:bottom w:val="single" w:sz="8" w:color="auto"/>
              <w:right w:val="single" w:sz="8" w:color="auto"/>
            </w:tcBorders>
            <w:shd w:val="clear" w:color="auto" w:fill="EAEFED"/>
          </w:tcPr>
          <w:p>
            <w:pPr>
              <w:spacing w:after="0"/>
              <w:rPr>
                <w:sz w:val="14"/>
                <w:szCs w:val="14"/>
                <w:color w:val="auto"/>
              </w:rPr>
            </w:pPr>
          </w:p>
        </w:tc>
      </w:tr>
    </w:tbl>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These target pay packages are heavily weighted to components that are paid based on both company and individual performance which creates significant alignment between our NEOs and shareholders.</w:t>
      </w:r>
    </w:p>
    <w:p>
      <w:pPr>
        <w:spacing w:after="0" w:line="182" w:lineRule="exact"/>
        <w:rPr>
          <w:sz w:val="20"/>
          <w:szCs w:val="20"/>
          <w:color w:val="auto"/>
        </w:rPr>
      </w:pPr>
    </w:p>
    <w:tbl>
      <w:tblPr>
        <w:tblLayout w:type="fixed"/>
        <w:tblInd w:w="240" w:type="dxa"/>
        <w:tblCellMar>
          <w:top w:w="0" w:type="dxa"/>
          <w:left w:w="0" w:type="dxa"/>
          <w:bottom w:w="0" w:type="dxa"/>
          <w:right w:w="0" w:type="dxa"/>
        </w:tblCellMar>
      </w:tblPr>
      <w:tr>
        <w:trPr>
          <w:trHeight w:val="208"/>
        </w:trPr>
        <w:tc>
          <w:tcPr>
            <w:tcW w:w="980" w:type="dxa"/>
            <w:vAlign w:val="bottom"/>
          </w:tcPr>
          <w:p>
            <w:pPr>
              <w:jc w:val="center"/>
              <w:ind w:right="44"/>
              <w:spacing w:after="0"/>
              <w:rPr>
                <w:sz w:val="20"/>
                <w:szCs w:val="20"/>
                <w:color w:val="auto"/>
              </w:rPr>
            </w:pPr>
            <w:r>
              <w:rPr>
                <w:rFonts w:ascii="Arial" w:cs="Arial" w:eastAsia="Arial" w:hAnsi="Arial"/>
                <w:sz w:val="15"/>
                <w:szCs w:val="15"/>
                <w:b w:val="1"/>
                <w:bCs w:val="1"/>
                <w:color w:val="auto"/>
              </w:rPr>
              <w:t>CEO Pay</w:t>
            </w:r>
          </w:p>
        </w:tc>
        <w:tc>
          <w:tcPr>
            <w:tcW w:w="1800" w:type="dxa"/>
            <w:vAlign w:val="bottom"/>
            <w:gridSpan w:val="2"/>
          </w:tcPr>
          <w:p>
            <w:pPr>
              <w:jc w:val="center"/>
              <w:ind w:right="120"/>
              <w:spacing w:after="0"/>
              <w:rPr>
                <w:sz w:val="20"/>
                <w:szCs w:val="20"/>
                <w:color w:val="auto"/>
              </w:rPr>
            </w:pPr>
            <w:r>
              <w:rPr>
                <w:rFonts w:ascii="Arial" w:cs="Arial" w:eastAsia="Arial" w:hAnsi="Arial"/>
                <w:sz w:val="15"/>
                <w:szCs w:val="15"/>
                <w:color w:val="auto"/>
                <w:w w:val="99"/>
              </w:rPr>
              <w:t>Base Pay</w:t>
            </w:r>
          </w:p>
        </w:tc>
        <w:tc>
          <w:tcPr>
            <w:tcW w:w="2620" w:type="dxa"/>
            <w:vAlign w:val="bottom"/>
            <w:gridSpan w:val="3"/>
          </w:tcPr>
          <w:p>
            <w:pPr>
              <w:jc w:val="center"/>
              <w:ind w:right="1240"/>
              <w:spacing w:after="0"/>
              <w:rPr>
                <w:sz w:val="20"/>
                <w:szCs w:val="20"/>
                <w:color w:val="auto"/>
              </w:rPr>
            </w:pPr>
            <w:r>
              <w:rPr>
                <w:rFonts w:ascii="Arial" w:cs="Arial" w:eastAsia="Arial" w:hAnsi="Arial"/>
                <w:sz w:val="15"/>
                <w:szCs w:val="15"/>
                <w:color w:val="auto"/>
              </w:rPr>
              <w:t>Annual Bonus</w:t>
            </w:r>
          </w:p>
        </w:tc>
        <w:tc>
          <w:tcPr>
            <w:tcW w:w="760" w:type="dxa"/>
            <w:vAlign w:val="bottom"/>
          </w:tcPr>
          <w:p>
            <w:pPr>
              <w:spacing w:after="0"/>
              <w:rPr>
                <w:sz w:val="18"/>
                <w:szCs w:val="18"/>
                <w:color w:val="auto"/>
              </w:rPr>
            </w:pPr>
          </w:p>
        </w:tc>
        <w:tc>
          <w:tcPr>
            <w:tcW w:w="4740" w:type="dxa"/>
            <w:vAlign w:val="bottom"/>
          </w:tcPr>
          <w:p>
            <w:pPr>
              <w:jc w:val="center"/>
              <w:ind w:right="1584"/>
              <w:spacing w:after="0"/>
              <w:rPr>
                <w:sz w:val="20"/>
                <w:szCs w:val="20"/>
                <w:color w:val="auto"/>
              </w:rPr>
            </w:pPr>
            <w:r>
              <w:rPr>
                <w:rFonts w:ascii="Arial" w:cs="Arial" w:eastAsia="Arial" w:hAnsi="Arial"/>
                <w:sz w:val="15"/>
                <w:szCs w:val="15"/>
                <w:color w:val="auto"/>
                <w:w w:val="98"/>
              </w:rPr>
              <w:t>Long-Term</w:t>
            </w:r>
          </w:p>
        </w:tc>
        <w:tc>
          <w:tcPr>
            <w:tcW w:w="0" w:type="dxa"/>
            <w:vAlign w:val="bottom"/>
          </w:tcPr>
          <w:p>
            <w:pPr>
              <w:spacing w:after="0"/>
              <w:rPr>
                <w:sz w:val="1"/>
                <w:szCs w:val="1"/>
                <w:color w:val="auto"/>
              </w:rPr>
            </w:pPr>
          </w:p>
        </w:tc>
      </w:tr>
      <w:tr>
        <w:trPr>
          <w:trHeight w:val="114"/>
        </w:trPr>
        <w:tc>
          <w:tcPr>
            <w:tcW w:w="980" w:type="dxa"/>
            <w:vAlign w:val="bottom"/>
            <w:vMerge w:val="restart"/>
          </w:tcPr>
          <w:p>
            <w:pPr>
              <w:jc w:val="center"/>
              <w:ind w:right="44"/>
              <w:spacing w:after="0"/>
              <w:rPr>
                <w:sz w:val="20"/>
                <w:szCs w:val="20"/>
                <w:color w:val="auto"/>
              </w:rPr>
            </w:pPr>
            <w:r>
              <w:rPr>
                <w:rFonts w:ascii="Arial" w:cs="Arial" w:eastAsia="Arial" w:hAnsi="Arial"/>
                <w:sz w:val="15"/>
                <w:szCs w:val="15"/>
                <w:b w:val="1"/>
                <w:bCs w:val="1"/>
                <w:color w:val="auto"/>
              </w:rPr>
              <w:t>Mix</w:t>
            </w:r>
          </w:p>
        </w:tc>
        <w:tc>
          <w:tcPr>
            <w:tcW w:w="1440" w:type="dxa"/>
            <w:vAlign w:val="bottom"/>
            <w:tcBorders>
              <w:top w:val="single" w:sz="8" w:color="E5E5E5"/>
            </w:tcBorders>
            <w:shd w:val="clear" w:color="auto" w:fill="E5E5E5"/>
          </w:tcPr>
          <w:p>
            <w:pPr>
              <w:jc w:val="right"/>
              <w:ind w:right="366"/>
              <w:spacing w:after="0" w:line="114" w:lineRule="exact"/>
              <w:rPr>
                <w:sz w:val="20"/>
                <w:szCs w:val="20"/>
                <w:color w:val="auto"/>
              </w:rPr>
            </w:pPr>
            <w:r>
              <w:rPr>
                <w:rFonts w:ascii="Arial" w:cs="Arial" w:eastAsia="Arial" w:hAnsi="Arial"/>
                <w:sz w:val="13"/>
                <w:szCs w:val="13"/>
                <w:b w:val="1"/>
                <w:bCs w:val="1"/>
                <w:color w:val="auto"/>
              </w:rPr>
              <w:t>12%</w:t>
            </w:r>
          </w:p>
        </w:tc>
        <w:tc>
          <w:tcPr>
            <w:tcW w:w="360" w:type="dxa"/>
            <w:vAlign w:val="bottom"/>
            <w:tcBorders>
              <w:top w:val="single" w:sz="8" w:color="CCCCCC"/>
            </w:tcBorders>
            <w:shd w:val="clear" w:color="auto" w:fill="CCCCCC"/>
          </w:tcPr>
          <w:p>
            <w:pPr>
              <w:spacing w:after="0"/>
              <w:rPr>
                <w:sz w:val="9"/>
                <w:szCs w:val="9"/>
                <w:color w:val="auto"/>
              </w:rPr>
            </w:pPr>
          </w:p>
        </w:tc>
        <w:tc>
          <w:tcPr>
            <w:tcW w:w="1620" w:type="dxa"/>
            <w:vAlign w:val="bottom"/>
            <w:tcBorders>
              <w:top w:val="single" w:sz="8" w:color="CCCCCC"/>
            </w:tcBorders>
            <w:gridSpan w:val="2"/>
            <w:shd w:val="clear" w:color="auto" w:fill="CCCCCC"/>
          </w:tcPr>
          <w:p>
            <w:pPr>
              <w:jc w:val="right"/>
              <w:ind w:right="704"/>
              <w:spacing w:after="0" w:line="114" w:lineRule="exact"/>
              <w:rPr>
                <w:sz w:val="20"/>
                <w:szCs w:val="20"/>
                <w:color w:val="auto"/>
              </w:rPr>
            </w:pPr>
            <w:r>
              <w:rPr>
                <w:rFonts w:ascii="Arial" w:cs="Arial" w:eastAsia="Arial" w:hAnsi="Arial"/>
                <w:sz w:val="13"/>
                <w:szCs w:val="13"/>
                <w:b w:val="1"/>
                <w:bCs w:val="1"/>
                <w:color w:val="auto"/>
              </w:rPr>
              <w:t>18%</w:t>
            </w:r>
          </w:p>
        </w:tc>
        <w:tc>
          <w:tcPr>
            <w:tcW w:w="1000" w:type="dxa"/>
            <w:vAlign w:val="bottom"/>
            <w:tcBorders>
              <w:top w:val="single" w:sz="8" w:color="FF160F"/>
            </w:tcBorders>
            <w:shd w:val="clear" w:color="auto" w:fill="FF160F"/>
          </w:tcPr>
          <w:p>
            <w:pPr>
              <w:spacing w:after="0"/>
              <w:rPr>
                <w:sz w:val="9"/>
                <w:szCs w:val="9"/>
                <w:color w:val="auto"/>
              </w:rPr>
            </w:pPr>
          </w:p>
        </w:tc>
        <w:tc>
          <w:tcPr>
            <w:tcW w:w="5500" w:type="dxa"/>
            <w:vAlign w:val="bottom"/>
            <w:tcBorders>
              <w:top w:val="single" w:sz="8" w:color="FF160F"/>
            </w:tcBorders>
            <w:gridSpan w:val="2"/>
            <w:shd w:val="clear" w:color="auto" w:fill="FF160F"/>
          </w:tcPr>
          <w:p>
            <w:pPr>
              <w:jc w:val="right"/>
              <w:ind w:right="2964"/>
              <w:spacing w:after="0" w:line="114" w:lineRule="exact"/>
              <w:rPr>
                <w:sz w:val="20"/>
                <w:szCs w:val="20"/>
                <w:color w:val="auto"/>
              </w:rPr>
            </w:pPr>
            <w:r>
              <w:rPr>
                <w:rFonts w:ascii="Arial" w:cs="Arial" w:eastAsia="Arial" w:hAnsi="Arial"/>
                <w:sz w:val="13"/>
                <w:szCs w:val="13"/>
                <w:b w:val="1"/>
                <w:bCs w:val="1"/>
                <w:color w:val="FFFFFF"/>
              </w:rPr>
              <w:t>70%</w:t>
            </w:r>
          </w:p>
        </w:tc>
        <w:tc>
          <w:tcPr>
            <w:tcW w:w="0" w:type="dxa"/>
            <w:vAlign w:val="bottom"/>
          </w:tcPr>
          <w:p>
            <w:pPr>
              <w:spacing w:after="0"/>
              <w:rPr>
                <w:sz w:val="1"/>
                <w:szCs w:val="1"/>
                <w:color w:val="auto"/>
              </w:rPr>
            </w:pPr>
          </w:p>
        </w:tc>
      </w:tr>
      <w:tr>
        <w:trPr>
          <w:trHeight w:val="97"/>
        </w:trPr>
        <w:tc>
          <w:tcPr>
            <w:tcW w:w="98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360" w:type="dxa"/>
            <w:vAlign w:val="bottom"/>
            <w:shd w:val="clear" w:color="auto" w:fill="000000"/>
          </w:tcPr>
          <w:p>
            <w:pPr>
              <w:spacing w:after="0"/>
              <w:rPr>
                <w:sz w:val="8"/>
                <w:szCs w:val="8"/>
                <w:color w:val="auto"/>
              </w:rPr>
            </w:pPr>
          </w:p>
        </w:tc>
        <w:tc>
          <w:tcPr>
            <w:tcW w:w="520" w:type="dxa"/>
            <w:vAlign w:val="bottom"/>
            <w:shd w:val="clear" w:color="auto" w:fill="000000"/>
          </w:tcPr>
          <w:p>
            <w:pPr>
              <w:spacing w:after="0"/>
              <w:rPr>
                <w:sz w:val="8"/>
                <w:szCs w:val="8"/>
                <w:color w:val="auto"/>
              </w:rPr>
            </w:pPr>
          </w:p>
        </w:tc>
        <w:tc>
          <w:tcPr>
            <w:tcW w:w="1100" w:type="dxa"/>
            <w:vAlign w:val="bottom"/>
            <w:shd w:val="clear" w:color="auto" w:fill="000000"/>
          </w:tcPr>
          <w:p>
            <w:pPr>
              <w:spacing w:after="0"/>
              <w:rPr>
                <w:sz w:val="8"/>
                <w:szCs w:val="8"/>
                <w:color w:val="auto"/>
              </w:rPr>
            </w:pPr>
          </w:p>
        </w:tc>
        <w:tc>
          <w:tcPr>
            <w:tcW w:w="1000" w:type="dxa"/>
            <w:vAlign w:val="bottom"/>
            <w:shd w:val="clear" w:color="auto" w:fill="000000"/>
          </w:tcPr>
          <w:p>
            <w:pPr>
              <w:spacing w:after="0"/>
              <w:rPr>
                <w:sz w:val="8"/>
                <w:szCs w:val="8"/>
                <w:color w:val="auto"/>
              </w:rPr>
            </w:pPr>
          </w:p>
        </w:tc>
        <w:tc>
          <w:tcPr>
            <w:tcW w:w="5500" w:type="dxa"/>
            <w:vAlign w:val="bottom"/>
            <w:gridSpan w:val="2"/>
            <w:vMerge w:val="restart"/>
            <w:shd w:val="clear" w:color="auto" w:fill="000000"/>
          </w:tcPr>
          <w:p>
            <w:pPr>
              <w:ind w:left="140"/>
              <w:spacing w:after="0" w:line="162" w:lineRule="exact"/>
              <w:rPr>
                <w:sz w:val="20"/>
                <w:szCs w:val="20"/>
                <w:color w:val="auto"/>
              </w:rPr>
            </w:pPr>
            <w:r>
              <w:rPr>
                <w:rFonts w:ascii="Arial" w:cs="Arial" w:eastAsia="Arial" w:hAnsi="Arial"/>
                <w:sz w:val="15"/>
                <w:szCs w:val="15"/>
                <w:b w:val="1"/>
                <w:bCs w:val="1"/>
                <w:color w:val="FFFFFF"/>
              </w:rPr>
              <w:t>88% Performance-Based At Risk</w:t>
            </w:r>
          </w:p>
        </w:tc>
        <w:tc>
          <w:tcPr>
            <w:tcW w:w="0" w:type="dxa"/>
            <w:vAlign w:val="bottom"/>
          </w:tcPr>
          <w:p>
            <w:pPr>
              <w:spacing w:after="0"/>
              <w:rPr>
                <w:sz w:val="1"/>
                <w:szCs w:val="1"/>
                <w:color w:val="auto"/>
              </w:rPr>
            </w:pPr>
          </w:p>
        </w:tc>
      </w:tr>
      <w:tr>
        <w:trPr>
          <w:trHeight w:val="66"/>
        </w:trPr>
        <w:tc>
          <w:tcPr>
            <w:tcW w:w="9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5500" w:type="dxa"/>
            <w:vAlign w:val="bottom"/>
            <w:gridSpan w:val="2"/>
            <w:vMerge w:val="continue"/>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86"/>
        </w:trPr>
        <w:tc>
          <w:tcPr>
            <w:tcW w:w="980" w:type="dxa"/>
            <w:vAlign w:val="bottom"/>
          </w:tcPr>
          <w:p>
            <w:pPr>
              <w:jc w:val="center"/>
              <w:ind w:right="44"/>
              <w:spacing w:after="0"/>
              <w:rPr>
                <w:sz w:val="20"/>
                <w:szCs w:val="20"/>
                <w:color w:val="auto"/>
              </w:rPr>
            </w:pPr>
            <w:r>
              <w:rPr>
                <w:rFonts w:ascii="Arial" w:cs="Arial" w:eastAsia="Arial" w:hAnsi="Arial"/>
                <w:sz w:val="15"/>
                <w:szCs w:val="15"/>
                <w:b w:val="1"/>
                <w:bCs w:val="1"/>
                <w:color w:val="auto"/>
                <w:w w:val="97"/>
              </w:rPr>
              <w:t>Average</w:t>
            </w:r>
          </w:p>
        </w:tc>
        <w:tc>
          <w:tcPr>
            <w:tcW w:w="1800" w:type="dxa"/>
            <w:vAlign w:val="bottom"/>
            <w:gridSpan w:val="2"/>
          </w:tcPr>
          <w:p>
            <w:pPr>
              <w:jc w:val="center"/>
              <w:ind w:left="686"/>
              <w:spacing w:after="0"/>
              <w:rPr>
                <w:sz w:val="20"/>
                <w:szCs w:val="20"/>
                <w:color w:val="auto"/>
              </w:rPr>
            </w:pPr>
            <w:r>
              <w:rPr>
                <w:rFonts w:ascii="Arial" w:cs="Arial" w:eastAsia="Arial" w:hAnsi="Arial"/>
                <w:sz w:val="15"/>
                <w:szCs w:val="15"/>
                <w:color w:val="auto"/>
                <w:w w:val="99"/>
              </w:rPr>
              <w:t>Base Pay</w:t>
            </w:r>
          </w:p>
        </w:tc>
        <w:tc>
          <w:tcPr>
            <w:tcW w:w="520" w:type="dxa"/>
            <w:vAlign w:val="bottom"/>
          </w:tcPr>
          <w:p>
            <w:pPr>
              <w:spacing w:after="0"/>
              <w:rPr>
                <w:sz w:val="24"/>
                <w:szCs w:val="24"/>
                <w:color w:val="auto"/>
              </w:rPr>
            </w:pPr>
          </w:p>
        </w:tc>
        <w:tc>
          <w:tcPr>
            <w:tcW w:w="2100" w:type="dxa"/>
            <w:vAlign w:val="bottom"/>
            <w:gridSpan w:val="2"/>
          </w:tcPr>
          <w:p>
            <w:pPr>
              <w:jc w:val="center"/>
              <w:ind w:left="804"/>
              <w:spacing w:after="0"/>
              <w:rPr>
                <w:sz w:val="20"/>
                <w:szCs w:val="20"/>
                <w:color w:val="auto"/>
              </w:rPr>
            </w:pPr>
            <w:r>
              <w:rPr>
                <w:rFonts w:ascii="Arial" w:cs="Arial" w:eastAsia="Arial" w:hAnsi="Arial"/>
                <w:sz w:val="15"/>
                <w:szCs w:val="15"/>
                <w:color w:val="auto"/>
              </w:rPr>
              <w:t>Annual Bonus</w:t>
            </w:r>
          </w:p>
        </w:tc>
        <w:tc>
          <w:tcPr>
            <w:tcW w:w="760" w:type="dxa"/>
            <w:vAlign w:val="bottom"/>
          </w:tcPr>
          <w:p>
            <w:pPr>
              <w:spacing w:after="0"/>
              <w:rPr>
                <w:sz w:val="24"/>
                <w:szCs w:val="24"/>
                <w:color w:val="auto"/>
              </w:rPr>
            </w:pPr>
          </w:p>
        </w:tc>
        <w:tc>
          <w:tcPr>
            <w:tcW w:w="4740" w:type="dxa"/>
            <w:vAlign w:val="bottom"/>
          </w:tcPr>
          <w:p>
            <w:pPr>
              <w:jc w:val="center"/>
              <w:ind w:left="24"/>
              <w:spacing w:after="0"/>
              <w:rPr>
                <w:sz w:val="20"/>
                <w:szCs w:val="20"/>
                <w:color w:val="auto"/>
              </w:rPr>
            </w:pPr>
            <w:r>
              <w:rPr>
                <w:rFonts w:ascii="Arial" w:cs="Arial" w:eastAsia="Arial" w:hAnsi="Arial"/>
                <w:sz w:val="15"/>
                <w:szCs w:val="15"/>
                <w:color w:val="auto"/>
                <w:w w:val="98"/>
              </w:rPr>
              <w:t>Long-Term</w:t>
            </w:r>
          </w:p>
        </w:tc>
        <w:tc>
          <w:tcPr>
            <w:tcW w:w="0" w:type="dxa"/>
            <w:vAlign w:val="bottom"/>
          </w:tcPr>
          <w:p>
            <w:pPr>
              <w:spacing w:after="0"/>
              <w:rPr>
                <w:sz w:val="1"/>
                <w:szCs w:val="1"/>
                <w:color w:val="auto"/>
              </w:rPr>
            </w:pPr>
          </w:p>
        </w:tc>
      </w:tr>
      <w:tr>
        <w:trPr>
          <w:trHeight w:val="181"/>
        </w:trPr>
        <w:tc>
          <w:tcPr>
            <w:tcW w:w="98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rPr>
              <w:t>Other NEOs</w:t>
            </w:r>
          </w:p>
        </w:tc>
        <w:tc>
          <w:tcPr>
            <w:tcW w:w="1440" w:type="dxa"/>
            <w:vAlign w:val="bottom"/>
            <w:shd w:val="clear" w:color="auto" w:fill="E5E5E5"/>
          </w:tcPr>
          <w:p>
            <w:pPr>
              <w:jc w:val="right"/>
              <w:spacing w:after="0" w:line="162" w:lineRule="exact"/>
              <w:rPr>
                <w:sz w:val="20"/>
                <w:szCs w:val="20"/>
                <w:color w:val="auto"/>
              </w:rPr>
            </w:pPr>
            <w:r>
              <w:rPr>
                <w:rFonts w:ascii="Arial" w:cs="Arial" w:eastAsia="Arial" w:hAnsi="Arial"/>
                <w:sz w:val="15"/>
                <w:szCs w:val="15"/>
                <w:b w:val="1"/>
                <w:bCs w:val="1"/>
                <w:color w:val="auto"/>
              </w:rPr>
              <w:t>27%</w:t>
            </w:r>
          </w:p>
        </w:tc>
        <w:tc>
          <w:tcPr>
            <w:tcW w:w="36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2100" w:type="dxa"/>
            <w:vAlign w:val="bottom"/>
            <w:gridSpan w:val="2"/>
            <w:shd w:val="clear" w:color="auto" w:fill="CCCCCC"/>
          </w:tcPr>
          <w:p>
            <w:pPr>
              <w:jc w:val="right"/>
              <w:ind w:right="460"/>
              <w:spacing w:after="0" w:line="162" w:lineRule="exact"/>
              <w:rPr>
                <w:sz w:val="20"/>
                <w:szCs w:val="20"/>
                <w:color w:val="auto"/>
              </w:rPr>
            </w:pPr>
            <w:r>
              <w:rPr>
                <w:rFonts w:ascii="Arial" w:cs="Arial" w:eastAsia="Arial" w:hAnsi="Arial"/>
                <w:sz w:val="15"/>
                <w:szCs w:val="15"/>
                <w:b w:val="1"/>
                <w:bCs w:val="1"/>
                <w:color w:val="auto"/>
              </w:rPr>
              <w:t>27%</w:t>
            </w:r>
          </w:p>
        </w:tc>
        <w:tc>
          <w:tcPr>
            <w:tcW w:w="760" w:type="dxa"/>
            <w:vAlign w:val="bottom"/>
            <w:shd w:val="clear" w:color="auto" w:fill="CCCCCC"/>
          </w:tcPr>
          <w:p>
            <w:pPr>
              <w:spacing w:after="0"/>
              <w:rPr>
                <w:sz w:val="15"/>
                <w:szCs w:val="15"/>
                <w:color w:val="auto"/>
              </w:rPr>
            </w:pPr>
          </w:p>
        </w:tc>
        <w:tc>
          <w:tcPr>
            <w:tcW w:w="4740" w:type="dxa"/>
            <w:vAlign w:val="bottom"/>
            <w:shd w:val="clear" w:color="auto" w:fill="FF160F"/>
          </w:tcPr>
          <w:p>
            <w:pPr>
              <w:jc w:val="right"/>
              <w:ind w:right="2084"/>
              <w:spacing w:after="0" w:line="162" w:lineRule="exact"/>
              <w:rPr>
                <w:sz w:val="20"/>
                <w:szCs w:val="20"/>
                <w:color w:val="auto"/>
              </w:rPr>
            </w:pPr>
            <w:r>
              <w:rPr>
                <w:rFonts w:ascii="Arial" w:cs="Arial" w:eastAsia="Arial" w:hAnsi="Arial"/>
                <w:sz w:val="15"/>
                <w:szCs w:val="15"/>
                <w:b w:val="1"/>
                <w:bCs w:val="1"/>
                <w:color w:val="FFFFFF"/>
              </w:rPr>
              <w:t>46%</w:t>
            </w:r>
          </w:p>
        </w:tc>
        <w:tc>
          <w:tcPr>
            <w:tcW w:w="0" w:type="dxa"/>
            <w:vAlign w:val="bottom"/>
          </w:tcPr>
          <w:p>
            <w:pPr>
              <w:spacing w:after="0"/>
              <w:rPr>
                <w:sz w:val="1"/>
                <w:szCs w:val="1"/>
                <w:color w:val="auto"/>
              </w:rPr>
            </w:pPr>
          </w:p>
        </w:tc>
      </w:tr>
      <w:tr>
        <w:trPr>
          <w:trHeight w:val="162"/>
        </w:trPr>
        <w:tc>
          <w:tcPr>
            <w:tcW w:w="98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rPr>
              <w:t>Pay Mix</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5500" w:type="dxa"/>
            <w:vAlign w:val="bottom"/>
            <w:gridSpan w:val="2"/>
            <w:shd w:val="clear" w:color="auto" w:fill="000000"/>
          </w:tcPr>
          <w:p>
            <w:pPr>
              <w:ind w:left="580"/>
              <w:spacing w:after="0" w:line="162" w:lineRule="exact"/>
              <w:rPr>
                <w:sz w:val="20"/>
                <w:szCs w:val="20"/>
                <w:color w:val="auto"/>
              </w:rPr>
            </w:pPr>
            <w:r>
              <w:rPr>
                <w:rFonts w:ascii="Arial" w:cs="Arial" w:eastAsia="Arial" w:hAnsi="Arial"/>
                <w:sz w:val="15"/>
                <w:szCs w:val="15"/>
                <w:b w:val="1"/>
                <w:bCs w:val="1"/>
                <w:color w:val="FFFFFF"/>
              </w:rPr>
              <w:t>73% Performance-Based At Risk</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hanging="424"/>
        <w:spacing w:after="0"/>
        <w:tabs>
          <w:tab w:leader="none" w:pos="540" w:val="left"/>
        </w:tabs>
        <w:numPr>
          <w:ilvl w:val="0"/>
          <w:numId w:val="55"/>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INDIVIDUAL ELEMENTS OF 2022 PAY</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Pay</w:t>
      </w:r>
    </w:p>
    <w:p>
      <w:pPr>
        <w:spacing w:after="0" w:line="210"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base pay levels established for each of our NEOs represent a modest portion of each individual’s total compensation package and the Compensation Committee believes them to be competitive and appropriate based on the market data provided by SBCG. Each NEO received a base pay increase in 2022 with this being the first increase for Mr. Wood since 2016 and the first increase for each of Mr. Guglielmone and Ms. Becker since 2019. The base pay increase for Mr. Berkes was part of the continued adjustment of his overall compensation package to market levels for his position which he was promoted into in 2021.</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Bonus Program</w:t>
      </w:r>
    </w:p>
    <w:p>
      <w:pPr>
        <w:spacing w:after="0" w:line="21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bonus plan is an annual cash incentive program designed to reward achievement for the current year based on achieving a level of FFO per share that the Committee has determined is necessary for the Company to achieve its business objectives for the year. The Compensation Committee has determined that FFO per share is the appropriate measure to use for our annual bonus program because it is a key annual metric used by investors, the Board and management to evaluate the Company’s annual performance and it reflects the full range of decision making and execution for the Company for the year. The Compensation Committee sets the required performance level for FFO per share at the beginning of each year with levels reflecting performance that ranges from acceptable at the threshold level to exceptional at the stretch level based on budgets reviewed by the entire Board. Approximately 95% of our employees participate in this annual bonus plan.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340" w:type="dxa"/>
            <w:vAlign w:val="bottom"/>
            <w:shd w:val="clear" w:color="auto" w:fill="FF160F"/>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3"/>
            <w:shd w:val="clear" w:color="auto" w:fill="FF160F"/>
          </w:tcPr>
          <w:p>
            <w:pPr>
              <w:ind w:left="900"/>
              <w:spacing w:after="0"/>
              <w:rPr>
                <w:sz w:val="20"/>
                <w:szCs w:val="20"/>
                <w:color w:val="auto"/>
              </w:rPr>
            </w:pPr>
            <w:r>
              <w:rPr>
                <w:rFonts w:ascii="Arial" w:cs="Arial" w:eastAsia="Arial" w:hAnsi="Arial"/>
                <w:sz w:val="16"/>
                <w:szCs w:val="16"/>
                <w:b w:val="1"/>
                <w:bCs w:val="1"/>
                <w:color w:val="FFFFFF"/>
              </w:rPr>
              <w:t>Performance Levels</w:t>
            </w:r>
          </w:p>
        </w:tc>
        <w:tc>
          <w:tcPr>
            <w:tcW w:w="280" w:type="dxa"/>
            <w:vAlign w:val="bottom"/>
          </w:tcPr>
          <w:p>
            <w:pPr>
              <w:spacing w:after="0"/>
              <w:rPr>
                <w:sz w:val="16"/>
                <w:szCs w:val="16"/>
                <w:color w:val="auto"/>
              </w:rPr>
            </w:pPr>
          </w:p>
        </w:tc>
        <w:tc>
          <w:tcPr>
            <w:tcW w:w="720" w:type="dxa"/>
            <w:vAlign w:val="bottom"/>
            <w:shd w:val="clear" w:color="auto" w:fill="FF160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34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Performance Goal</w:t>
            </w:r>
          </w:p>
        </w:tc>
        <w:tc>
          <w:tcPr>
            <w:tcW w:w="300" w:type="dxa"/>
            <w:vAlign w:val="bottom"/>
          </w:tcPr>
          <w:p>
            <w:pPr>
              <w:spacing w:after="0"/>
              <w:rPr>
                <w:sz w:val="17"/>
                <w:szCs w:val="17"/>
                <w:color w:val="auto"/>
              </w:rPr>
            </w:pPr>
          </w:p>
        </w:tc>
        <w:tc>
          <w:tcPr>
            <w:tcW w:w="1100" w:type="dxa"/>
            <w:vAlign w:val="bottom"/>
            <w:shd w:val="clear" w:color="auto" w:fill="FF160F"/>
          </w:tcPr>
          <w:p>
            <w:pPr>
              <w:ind w:left="140"/>
              <w:spacing w:after="0"/>
              <w:rPr>
                <w:sz w:val="20"/>
                <w:szCs w:val="20"/>
                <w:color w:val="auto"/>
              </w:rPr>
            </w:pPr>
            <w:r>
              <w:rPr>
                <w:rFonts w:ascii="Arial" w:cs="Arial" w:eastAsia="Arial" w:hAnsi="Arial"/>
                <w:sz w:val="16"/>
                <w:szCs w:val="16"/>
                <w:b w:val="1"/>
                <w:bCs w:val="1"/>
                <w:color w:val="FFFFFF"/>
              </w:rPr>
              <w:t>Threshold</w:t>
            </w:r>
          </w:p>
        </w:tc>
        <w:tc>
          <w:tcPr>
            <w:tcW w:w="880" w:type="dxa"/>
            <w:vAlign w:val="bottom"/>
            <w:tcBorders>
              <w:right w:val="single" w:sz="8" w:color="FF160F"/>
            </w:tcBorders>
            <w:shd w:val="clear" w:color="auto" w:fill="FF160F"/>
          </w:tcPr>
          <w:p>
            <w:pPr>
              <w:jc w:val="right"/>
              <w:ind w:right="139"/>
              <w:spacing w:after="0"/>
              <w:rPr>
                <w:sz w:val="20"/>
                <w:szCs w:val="20"/>
                <w:color w:val="auto"/>
              </w:rPr>
            </w:pPr>
            <w:r>
              <w:rPr>
                <w:rFonts w:ascii="Arial" w:cs="Arial" w:eastAsia="Arial" w:hAnsi="Arial"/>
                <w:sz w:val="16"/>
                <w:szCs w:val="16"/>
                <w:b w:val="1"/>
                <w:bCs w:val="1"/>
                <w:color w:val="FFFFFF"/>
              </w:rPr>
              <w:t>Target</w:t>
            </w:r>
          </w:p>
        </w:tc>
        <w:tc>
          <w:tcPr>
            <w:tcW w:w="1280" w:type="dxa"/>
            <w:vAlign w:val="bottom"/>
            <w:shd w:val="clear" w:color="auto" w:fill="FF160F"/>
          </w:tcPr>
          <w:p>
            <w:pPr>
              <w:jc w:val="center"/>
              <w:ind w:left="79"/>
              <w:spacing w:after="0"/>
              <w:rPr>
                <w:sz w:val="20"/>
                <w:szCs w:val="20"/>
                <w:color w:val="auto"/>
              </w:rPr>
            </w:pPr>
            <w:r>
              <w:rPr>
                <w:rFonts w:ascii="Arial" w:cs="Arial" w:eastAsia="Arial" w:hAnsi="Arial"/>
                <w:sz w:val="16"/>
                <w:szCs w:val="16"/>
                <w:b w:val="1"/>
                <w:bCs w:val="1"/>
                <w:color w:val="FFFFFF"/>
              </w:rPr>
              <w:t>Stretch</w:t>
            </w:r>
          </w:p>
        </w:tc>
        <w:tc>
          <w:tcPr>
            <w:tcW w:w="280" w:type="dxa"/>
            <w:vAlign w:val="bottom"/>
          </w:tcPr>
          <w:p>
            <w:pPr>
              <w:spacing w:after="0"/>
              <w:rPr>
                <w:sz w:val="17"/>
                <w:szCs w:val="17"/>
                <w:color w:val="auto"/>
              </w:rPr>
            </w:pPr>
          </w:p>
        </w:tc>
        <w:tc>
          <w:tcPr>
            <w:tcW w:w="720" w:type="dxa"/>
            <w:vAlign w:val="bottom"/>
            <w:shd w:val="clear" w:color="auto" w:fill="FF160F"/>
          </w:tcPr>
          <w:p>
            <w:pPr>
              <w:ind w:left="160"/>
              <w:spacing w:after="0"/>
              <w:rPr>
                <w:sz w:val="20"/>
                <w:szCs w:val="20"/>
                <w:color w:val="auto"/>
              </w:rPr>
            </w:pPr>
            <w:r>
              <w:rPr>
                <w:rFonts w:ascii="Arial" w:cs="Arial" w:eastAsia="Arial" w:hAnsi="Arial"/>
                <w:sz w:val="16"/>
                <w:szCs w:val="16"/>
                <w:b w:val="1"/>
                <w:bCs w:val="1"/>
                <w:color w:val="FFFFFF"/>
              </w:rPr>
              <w:t>Actual</w:t>
            </w:r>
          </w:p>
        </w:tc>
        <w:tc>
          <w:tcPr>
            <w:tcW w:w="20" w:type="dxa"/>
            <w:vAlign w:val="bottom"/>
          </w:tcPr>
          <w:p>
            <w:pPr>
              <w:spacing w:after="0"/>
              <w:rPr>
                <w:sz w:val="17"/>
                <w:szCs w:val="17"/>
                <w:color w:val="auto"/>
              </w:rPr>
            </w:pPr>
          </w:p>
        </w:tc>
      </w:tr>
      <w:tr>
        <w:trPr>
          <w:trHeight w:val="189"/>
        </w:trPr>
        <w:tc>
          <w:tcPr>
            <w:tcW w:w="5340" w:type="dxa"/>
            <w:vAlign w:val="bottom"/>
            <w:shd w:val="clear" w:color="auto" w:fill="E5E5E5"/>
          </w:tcPr>
          <w:p>
            <w:pPr>
              <w:spacing w:after="0"/>
              <w:rPr>
                <w:sz w:val="20"/>
                <w:szCs w:val="20"/>
                <w:color w:val="auto"/>
              </w:rPr>
            </w:pPr>
            <w:r>
              <w:rPr>
                <w:rFonts w:ascii="Arial" w:cs="Arial" w:eastAsia="Arial" w:hAnsi="Arial"/>
                <w:sz w:val="16"/>
                <w:szCs w:val="16"/>
                <w:i w:val="1"/>
                <w:iCs w:val="1"/>
                <w:color w:val="auto"/>
              </w:rPr>
              <w:t>Payout as Percentage of Target</w:t>
            </w:r>
          </w:p>
        </w:tc>
        <w:tc>
          <w:tcPr>
            <w:tcW w:w="300" w:type="dxa"/>
            <w:vAlign w:val="bottom"/>
          </w:tcPr>
          <w:p>
            <w:pPr>
              <w:spacing w:after="0"/>
              <w:rPr>
                <w:sz w:val="16"/>
                <w:szCs w:val="16"/>
                <w:color w:val="auto"/>
              </w:rPr>
            </w:pPr>
          </w:p>
        </w:tc>
        <w:tc>
          <w:tcPr>
            <w:tcW w:w="1100" w:type="dxa"/>
            <w:vAlign w:val="bottom"/>
            <w:shd w:val="clear" w:color="auto" w:fill="E5E5E5"/>
          </w:tcPr>
          <w:p>
            <w:pPr>
              <w:jc w:val="right"/>
              <w:ind w:right="279"/>
              <w:spacing w:after="0"/>
              <w:rPr>
                <w:sz w:val="20"/>
                <w:szCs w:val="20"/>
                <w:color w:val="auto"/>
              </w:rPr>
            </w:pPr>
            <w:r>
              <w:rPr>
                <w:rFonts w:ascii="Arial" w:cs="Arial" w:eastAsia="Arial" w:hAnsi="Arial"/>
                <w:sz w:val="16"/>
                <w:szCs w:val="16"/>
                <w:i w:val="1"/>
                <w:iCs w:val="1"/>
                <w:color w:val="auto"/>
              </w:rPr>
              <w:t>75%</w:t>
            </w:r>
          </w:p>
        </w:tc>
        <w:tc>
          <w:tcPr>
            <w:tcW w:w="880" w:type="dxa"/>
            <w:vAlign w:val="bottom"/>
            <w:tcBorders>
              <w:right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i w:val="1"/>
                <w:iCs w:val="1"/>
                <w:color w:val="auto"/>
              </w:rPr>
              <w:t>100%</w:t>
            </w:r>
          </w:p>
        </w:tc>
        <w:tc>
          <w:tcPr>
            <w:tcW w:w="1280" w:type="dxa"/>
            <w:vAlign w:val="bottom"/>
            <w:shd w:val="clear" w:color="auto" w:fill="E5E5E5"/>
          </w:tcPr>
          <w:p>
            <w:pPr>
              <w:jc w:val="center"/>
              <w:ind w:left="99"/>
              <w:spacing w:after="0"/>
              <w:rPr>
                <w:sz w:val="20"/>
                <w:szCs w:val="20"/>
                <w:color w:val="auto"/>
              </w:rPr>
            </w:pPr>
            <w:r>
              <w:rPr>
                <w:rFonts w:ascii="Arial" w:cs="Arial" w:eastAsia="Arial" w:hAnsi="Arial"/>
                <w:sz w:val="16"/>
                <w:szCs w:val="16"/>
                <w:i w:val="1"/>
                <w:iCs w:val="1"/>
                <w:color w:val="auto"/>
              </w:rPr>
              <w:t>125%</w:t>
            </w:r>
          </w:p>
        </w:tc>
        <w:tc>
          <w:tcPr>
            <w:tcW w:w="280" w:type="dxa"/>
            <w:vAlign w:val="bottom"/>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340" w:type="dxa"/>
            <w:vAlign w:val="bottom"/>
          </w:tcPr>
          <w:p>
            <w:pPr>
              <w:spacing w:after="0"/>
              <w:rPr>
                <w:sz w:val="20"/>
                <w:szCs w:val="20"/>
                <w:color w:val="auto"/>
              </w:rPr>
            </w:pPr>
            <w:r>
              <w:rPr>
                <w:rFonts w:ascii="Arial" w:cs="Arial" w:eastAsia="Arial" w:hAnsi="Arial"/>
                <w:sz w:val="16"/>
                <w:szCs w:val="16"/>
                <w:color w:val="auto"/>
              </w:rPr>
              <w:t>FFO per share</w:t>
            </w:r>
          </w:p>
        </w:tc>
        <w:tc>
          <w:tcPr>
            <w:tcW w:w="300" w:type="dxa"/>
            <w:vAlign w:val="bottom"/>
          </w:tcPr>
          <w:p>
            <w:pPr>
              <w:spacing w:after="0"/>
              <w:rPr>
                <w:sz w:val="16"/>
                <w:szCs w:val="16"/>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$5.80</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$5.92</w:t>
            </w:r>
          </w:p>
        </w:tc>
        <w:tc>
          <w:tcPr>
            <w:tcW w:w="12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9"/>
              </w:rPr>
              <w:t>$6.06</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w:t>
            </w:r>
          </w:p>
        </w:tc>
        <w:tc>
          <w:tcPr>
            <w:tcW w:w="20" w:type="dxa"/>
            <w:vAlign w:val="bottom"/>
            <w:tcBorders>
              <w:bottom w:val="single" w:sz="8" w:color="auto"/>
            </w:tcBorders>
          </w:tcPr>
          <w:p>
            <w:pPr>
              <w:spacing w:after="0"/>
              <w:rPr>
                <w:sz w:val="16"/>
                <w:szCs w:val="16"/>
                <w:color w:val="auto"/>
              </w:rPr>
            </w:pPr>
          </w:p>
        </w:tc>
      </w:tr>
      <w:tr>
        <w:trPr>
          <w:trHeight w:val="183"/>
        </w:trPr>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28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6"/>
                <w:szCs w:val="16"/>
                <w:b w:val="1"/>
                <w:bCs w:val="1"/>
                <w:color w:val="auto"/>
              </w:rPr>
              <w:t>Final Payout</w:t>
            </w:r>
          </w:p>
        </w:tc>
        <w:tc>
          <w:tcPr>
            <w:tcW w:w="10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125.0%</w:t>
            </w:r>
          </w:p>
        </w:tc>
        <w:tc>
          <w:tcPr>
            <w:tcW w:w="20" w:type="dxa"/>
            <w:vAlign w:val="bottom"/>
            <w:tcBorders>
              <w:bottom w:val="single" w:sz="8" w:color="auto"/>
            </w:tcBorders>
            <w:shd w:val="clear" w:color="auto" w:fill="000000"/>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-505460</wp:posOffset>
            </wp:positionV>
            <wp:extent cx="20656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77"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When set in February 2022, the achievement levels of FFO per share represented approximately 4%, 6.25% and nearly 9% year-over-year growth at the threshold, target and stretch levels, respectively, with threshold performance exceeding prior year actual results. These growth levels were consistent with pre-pandemic expectations and reflected all known and anticipated operating conditions at the time. The significant outperformance from expectations was driven primarily by our team’s achievement of a record level of top line revenue. This record revenue was largely attributable to better than expected increases in occupancy and rental rates, fewer tenant failures, lower levels of bad debt and higher supplemental rent payments made by tenants based on the strength of their sales.</w:t>
      </w:r>
    </w:p>
    <w:p>
      <w:pPr>
        <w:spacing w:after="0" w:line="17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Each NEO had a maximum potential bonus opportunity established as a percentage of base pay combined with the performance level achieved by the Company. Our NEOs are entitled to receive 25% of the final bonus amount solely based on Company performance. The remaining 75% is earned based on the Compensation Committee’s assessment of each individual’s performance and whether that NEO achieved the objectives set out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79375</wp:posOffset>
            </wp:positionV>
            <wp:extent cx="701230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23</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Company within that NEO’s area of responsibility. Based on a review of each individual’s performance and the considerations outlined in detail on pages 26-27, the Compensation Committee elected to award each of our NEOs the full amount of the individual performance portion of his/her bonus potential.</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940" w:type="dxa"/>
            <w:vAlign w:val="bottom"/>
            <w:shd w:val="clear" w:color="auto" w:fill="FF160F"/>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shd w:val="clear" w:color="auto" w:fill="FF160F"/>
          </w:tcPr>
          <w:p>
            <w:pPr>
              <w:spacing w:after="0"/>
              <w:rPr>
                <w:sz w:val="16"/>
                <w:szCs w:val="16"/>
                <w:color w:val="auto"/>
              </w:rPr>
            </w:pPr>
          </w:p>
        </w:tc>
        <w:tc>
          <w:tcPr>
            <w:tcW w:w="260" w:type="dxa"/>
            <w:vAlign w:val="bottom"/>
            <w:shd w:val="clear" w:color="auto" w:fill="FF160F"/>
          </w:tcPr>
          <w:p>
            <w:pPr>
              <w:spacing w:after="0"/>
              <w:rPr>
                <w:sz w:val="16"/>
                <w:szCs w:val="16"/>
                <w:color w:val="auto"/>
              </w:rPr>
            </w:pPr>
          </w:p>
        </w:tc>
        <w:tc>
          <w:tcPr>
            <w:tcW w:w="880" w:type="dxa"/>
            <w:vAlign w:val="bottom"/>
            <w:shd w:val="clear" w:color="auto" w:fill="FF160F"/>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shd w:val="clear" w:color="auto" w:fill="FF160F"/>
          </w:tcPr>
          <w:p>
            <w:pPr>
              <w:spacing w:after="0"/>
              <w:rPr>
                <w:sz w:val="16"/>
                <w:szCs w:val="16"/>
                <w:color w:val="auto"/>
              </w:rPr>
            </w:pPr>
          </w:p>
        </w:tc>
        <w:tc>
          <w:tcPr>
            <w:tcW w:w="940" w:type="dxa"/>
            <w:vAlign w:val="bottom"/>
            <w:shd w:val="clear" w:color="auto" w:fill="FF160F"/>
          </w:tcPr>
          <w:p>
            <w:pPr>
              <w:jc w:val="center"/>
              <w:ind w:right="79"/>
              <w:spacing w:after="0"/>
              <w:rPr>
                <w:sz w:val="20"/>
                <w:szCs w:val="20"/>
                <w:color w:val="auto"/>
              </w:rPr>
            </w:pPr>
            <w:r>
              <w:rPr>
                <w:rFonts w:ascii="Arial" w:cs="Arial" w:eastAsia="Arial" w:hAnsi="Arial"/>
                <w:sz w:val="16"/>
                <w:szCs w:val="16"/>
                <w:b w:val="1"/>
                <w:bCs w:val="1"/>
                <w:color w:val="FFFFFF"/>
              </w:rPr>
              <w:t>Actual</w:t>
            </w:r>
          </w:p>
        </w:tc>
        <w:tc>
          <w:tcPr>
            <w:tcW w:w="220" w:type="dxa"/>
            <w:vAlign w:val="bottom"/>
          </w:tcPr>
          <w:p>
            <w:pPr>
              <w:spacing w:after="0"/>
              <w:rPr>
                <w:sz w:val="16"/>
                <w:szCs w:val="16"/>
                <w:color w:val="auto"/>
              </w:rPr>
            </w:pPr>
          </w:p>
        </w:tc>
        <w:tc>
          <w:tcPr>
            <w:tcW w:w="240" w:type="dxa"/>
            <w:vAlign w:val="bottom"/>
            <w:shd w:val="clear" w:color="auto" w:fill="FF160F"/>
          </w:tcPr>
          <w:p>
            <w:pPr>
              <w:spacing w:after="0"/>
              <w:rPr>
                <w:sz w:val="16"/>
                <w:szCs w:val="16"/>
                <w:color w:val="auto"/>
              </w:rPr>
            </w:pPr>
          </w:p>
        </w:tc>
        <w:tc>
          <w:tcPr>
            <w:tcW w:w="960" w:type="dxa"/>
            <w:vAlign w:val="bottom"/>
            <w:shd w:val="clear" w:color="auto" w:fill="FF160F"/>
          </w:tcPr>
          <w:p>
            <w:pPr>
              <w:spacing w:after="0"/>
              <w:rPr>
                <w:sz w:val="16"/>
                <w:szCs w:val="16"/>
                <w:color w:val="auto"/>
              </w:rPr>
            </w:pPr>
          </w:p>
        </w:tc>
        <w:tc>
          <w:tcPr>
            <w:tcW w:w="1260" w:type="dxa"/>
            <w:vAlign w:val="bottom"/>
            <w:gridSpan w:val="2"/>
            <w:shd w:val="clear" w:color="auto" w:fill="FF160F"/>
          </w:tcPr>
          <w:p>
            <w:pPr>
              <w:ind w:left="80"/>
              <w:spacing w:after="0"/>
              <w:rPr>
                <w:sz w:val="20"/>
                <w:szCs w:val="20"/>
                <w:color w:val="auto"/>
              </w:rPr>
            </w:pPr>
            <w:r>
              <w:rPr>
                <w:rFonts w:ascii="Arial" w:cs="Arial" w:eastAsia="Arial" w:hAnsi="Arial"/>
                <w:sz w:val="16"/>
                <w:szCs w:val="16"/>
                <w:b w:val="1"/>
                <w:bCs w:val="1"/>
                <w:color w:val="FFFFFF"/>
              </w:rPr>
              <w:t>Actual Earned</w:t>
            </w:r>
          </w:p>
        </w:tc>
        <w:tc>
          <w:tcPr>
            <w:tcW w:w="260" w:type="dxa"/>
            <w:vAlign w:val="bottom"/>
            <w:shd w:val="clear" w:color="auto" w:fill="FF160F"/>
          </w:tcPr>
          <w:p>
            <w:pPr>
              <w:spacing w:after="0"/>
              <w:rPr>
                <w:sz w:val="16"/>
                <w:szCs w:val="16"/>
                <w:color w:val="auto"/>
              </w:rPr>
            </w:pPr>
          </w:p>
        </w:tc>
        <w:tc>
          <w:tcPr>
            <w:tcW w:w="860" w:type="dxa"/>
            <w:vAlign w:val="bottom"/>
            <w:shd w:val="clear" w:color="auto" w:fill="FF160F"/>
          </w:tcPr>
          <w:p>
            <w:pPr>
              <w:spacing w:after="0"/>
              <w:rPr>
                <w:sz w:val="16"/>
                <w:szCs w:val="16"/>
                <w:color w:val="auto"/>
              </w:rPr>
            </w:pPr>
          </w:p>
        </w:tc>
      </w:tr>
      <w:tr>
        <w:trPr>
          <w:trHeight w:val="188"/>
        </w:trPr>
        <w:tc>
          <w:tcPr>
            <w:tcW w:w="1940" w:type="dxa"/>
            <w:vAlign w:val="bottom"/>
            <w:shd w:val="clear" w:color="auto" w:fill="FF160F"/>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shd w:val="clear" w:color="auto" w:fill="FF160F"/>
          </w:tcPr>
          <w:p>
            <w:pPr>
              <w:jc w:val="right"/>
              <w:ind w:right="439"/>
              <w:spacing w:after="0"/>
              <w:rPr>
                <w:sz w:val="20"/>
                <w:szCs w:val="20"/>
                <w:color w:val="auto"/>
              </w:rPr>
            </w:pPr>
            <w:r>
              <w:rPr>
                <w:rFonts w:ascii="Arial" w:cs="Arial" w:eastAsia="Arial" w:hAnsi="Arial"/>
                <w:sz w:val="16"/>
                <w:szCs w:val="16"/>
                <w:b w:val="1"/>
                <w:bCs w:val="1"/>
                <w:color w:val="FFFFFF"/>
              </w:rPr>
              <w:t>Target</w:t>
            </w:r>
          </w:p>
        </w:tc>
        <w:tc>
          <w:tcPr>
            <w:tcW w:w="260" w:type="dxa"/>
            <w:vAlign w:val="bottom"/>
            <w:shd w:val="clear" w:color="auto" w:fill="FF160F"/>
          </w:tcPr>
          <w:p>
            <w:pPr>
              <w:spacing w:after="0"/>
              <w:rPr>
                <w:sz w:val="16"/>
                <w:szCs w:val="16"/>
                <w:color w:val="auto"/>
              </w:rPr>
            </w:pPr>
          </w:p>
        </w:tc>
        <w:tc>
          <w:tcPr>
            <w:tcW w:w="880" w:type="dxa"/>
            <w:vAlign w:val="bottom"/>
            <w:shd w:val="clear" w:color="auto" w:fill="FF160F"/>
          </w:tcPr>
          <w:p>
            <w:pPr>
              <w:jc w:val="right"/>
              <w:ind w:right="239"/>
              <w:spacing w:after="0"/>
              <w:rPr>
                <w:sz w:val="20"/>
                <w:szCs w:val="20"/>
                <w:color w:val="auto"/>
              </w:rPr>
            </w:pPr>
            <w:r>
              <w:rPr>
                <w:rFonts w:ascii="Arial" w:cs="Arial" w:eastAsia="Arial" w:hAnsi="Arial"/>
                <w:sz w:val="16"/>
                <w:szCs w:val="16"/>
                <w:b w:val="1"/>
                <w:bCs w:val="1"/>
                <w:color w:val="FFFFFF"/>
              </w:rPr>
              <w:t>Target</w:t>
            </w:r>
          </w:p>
        </w:tc>
        <w:tc>
          <w:tcPr>
            <w:tcW w:w="220" w:type="dxa"/>
            <w:vAlign w:val="bottom"/>
          </w:tcPr>
          <w:p>
            <w:pPr>
              <w:spacing w:after="0"/>
              <w:rPr>
                <w:sz w:val="16"/>
                <w:szCs w:val="16"/>
                <w:color w:val="auto"/>
              </w:rPr>
            </w:pPr>
          </w:p>
        </w:tc>
        <w:tc>
          <w:tcPr>
            <w:tcW w:w="240" w:type="dxa"/>
            <w:vAlign w:val="bottom"/>
            <w:shd w:val="clear" w:color="auto" w:fill="FF160F"/>
          </w:tcPr>
          <w:p>
            <w:pPr>
              <w:spacing w:after="0"/>
              <w:rPr>
                <w:sz w:val="16"/>
                <w:szCs w:val="16"/>
                <w:color w:val="auto"/>
              </w:rPr>
            </w:pPr>
          </w:p>
        </w:tc>
        <w:tc>
          <w:tcPr>
            <w:tcW w:w="940" w:type="dxa"/>
            <w:vAlign w:val="bottom"/>
            <w:shd w:val="clear" w:color="auto" w:fill="FF160F"/>
          </w:tcPr>
          <w:p>
            <w:pPr>
              <w:jc w:val="center"/>
              <w:ind w:right="79"/>
              <w:spacing w:after="0"/>
              <w:rPr>
                <w:sz w:val="20"/>
                <w:szCs w:val="20"/>
                <w:color w:val="auto"/>
              </w:rPr>
            </w:pPr>
            <w:r>
              <w:rPr>
                <w:rFonts w:ascii="Arial" w:cs="Arial" w:eastAsia="Arial" w:hAnsi="Arial"/>
                <w:sz w:val="16"/>
                <w:szCs w:val="16"/>
                <w:b w:val="1"/>
                <w:bCs w:val="1"/>
                <w:color w:val="FFFFFF"/>
              </w:rPr>
              <w:t>Maximum</w:t>
            </w:r>
          </w:p>
        </w:tc>
        <w:tc>
          <w:tcPr>
            <w:tcW w:w="220" w:type="dxa"/>
            <w:vAlign w:val="bottom"/>
          </w:tcPr>
          <w:p>
            <w:pPr>
              <w:spacing w:after="0"/>
              <w:rPr>
                <w:sz w:val="16"/>
                <w:szCs w:val="16"/>
                <w:color w:val="auto"/>
              </w:rPr>
            </w:pPr>
          </w:p>
        </w:tc>
        <w:tc>
          <w:tcPr>
            <w:tcW w:w="240" w:type="dxa"/>
            <w:vAlign w:val="bottom"/>
            <w:shd w:val="clear" w:color="auto" w:fill="FF160F"/>
          </w:tcPr>
          <w:p>
            <w:pPr>
              <w:spacing w:after="0"/>
              <w:rPr>
                <w:sz w:val="16"/>
                <w:szCs w:val="16"/>
                <w:color w:val="auto"/>
              </w:rPr>
            </w:pPr>
          </w:p>
        </w:tc>
        <w:tc>
          <w:tcPr>
            <w:tcW w:w="960" w:type="dxa"/>
            <w:vAlign w:val="bottom"/>
            <w:shd w:val="clear" w:color="auto" w:fill="FF160F"/>
          </w:tcPr>
          <w:p>
            <w:pPr>
              <w:jc w:val="right"/>
              <w:ind w:right="119"/>
              <w:spacing w:after="0"/>
              <w:rPr>
                <w:sz w:val="20"/>
                <w:szCs w:val="20"/>
                <w:color w:val="auto"/>
              </w:rPr>
            </w:pPr>
            <w:r>
              <w:rPr>
                <w:rFonts w:ascii="Arial" w:cs="Arial" w:eastAsia="Arial" w:hAnsi="Arial"/>
                <w:sz w:val="16"/>
                <w:szCs w:val="16"/>
                <w:b w:val="1"/>
                <w:bCs w:val="1"/>
                <w:color w:val="FFFFFF"/>
              </w:rPr>
              <w:t>Company</w:t>
            </w:r>
          </w:p>
        </w:tc>
        <w:tc>
          <w:tcPr>
            <w:tcW w:w="240" w:type="dxa"/>
            <w:vAlign w:val="bottom"/>
            <w:shd w:val="clear" w:color="auto" w:fill="FF160F"/>
          </w:tcPr>
          <w:p>
            <w:pPr>
              <w:spacing w:after="0"/>
              <w:rPr>
                <w:sz w:val="16"/>
                <w:szCs w:val="16"/>
                <w:color w:val="auto"/>
              </w:rPr>
            </w:pPr>
          </w:p>
        </w:tc>
        <w:tc>
          <w:tcPr>
            <w:tcW w:w="1020" w:type="dxa"/>
            <w:vAlign w:val="bottom"/>
            <w:shd w:val="clear" w:color="auto" w:fill="FF160F"/>
          </w:tcPr>
          <w:p>
            <w:pPr>
              <w:jc w:val="right"/>
              <w:ind w:right="179"/>
              <w:spacing w:after="0"/>
              <w:rPr>
                <w:sz w:val="20"/>
                <w:szCs w:val="20"/>
                <w:color w:val="auto"/>
              </w:rPr>
            </w:pPr>
            <w:r>
              <w:rPr>
                <w:rFonts w:ascii="Arial" w:cs="Arial" w:eastAsia="Arial" w:hAnsi="Arial"/>
                <w:sz w:val="16"/>
                <w:szCs w:val="16"/>
                <w:b w:val="1"/>
                <w:bCs w:val="1"/>
                <w:color w:val="FFFFFF"/>
                <w:w w:val="99"/>
              </w:rPr>
              <w:t>Individual</w:t>
            </w:r>
          </w:p>
        </w:tc>
        <w:tc>
          <w:tcPr>
            <w:tcW w:w="260" w:type="dxa"/>
            <w:vAlign w:val="bottom"/>
            <w:shd w:val="clear" w:color="auto" w:fill="FF160F"/>
          </w:tcPr>
          <w:p>
            <w:pPr>
              <w:spacing w:after="0"/>
              <w:rPr>
                <w:sz w:val="16"/>
                <w:szCs w:val="16"/>
                <w:color w:val="auto"/>
              </w:rPr>
            </w:pPr>
          </w:p>
        </w:tc>
        <w:tc>
          <w:tcPr>
            <w:tcW w:w="860" w:type="dxa"/>
            <w:vAlign w:val="bottom"/>
            <w:shd w:val="clear" w:color="auto" w:fill="FF160F"/>
          </w:tcPr>
          <w:p>
            <w:pPr>
              <w:jc w:val="right"/>
              <w:ind w:right="279"/>
              <w:spacing w:after="0"/>
              <w:rPr>
                <w:sz w:val="20"/>
                <w:szCs w:val="20"/>
                <w:color w:val="auto"/>
              </w:rPr>
            </w:pPr>
            <w:r>
              <w:rPr>
                <w:rFonts w:ascii="Arial" w:cs="Arial" w:eastAsia="Arial" w:hAnsi="Arial"/>
                <w:sz w:val="16"/>
                <w:szCs w:val="16"/>
                <w:b w:val="1"/>
                <w:bCs w:val="1"/>
                <w:color w:val="FFFFFF"/>
              </w:rPr>
              <w:t>Total</w:t>
            </w:r>
          </w:p>
        </w:tc>
      </w:tr>
      <w:tr>
        <w:trPr>
          <w:trHeight w:val="217"/>
        </w:trPr>
        <w:tc>
          <w:tcPr>
            <w:tcW w:w="194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NEO</w:t>
            </w:r>
          </w:p>
        </w:tc>
        <w:tc>
          <w:tcPr>
            <w:tcW w:w="220" w:type="dxa"/>
            <w:vAlign w:val="bottom"/>
          </w:tcPr>
          <w:p>
            <w:pPr>
              <w:spacing w:after="0"/>
              <w:rPr>
                <w:sz w:val="18"/>
                <w:szCs w:val="18"/>
                <w:color w:val="auto"/>
              </w:rPr>
            </w:pPr>
          </w:p>
        </w:tc>
        <w:tc>
          <w:tcPr>
            <w:tcW w:w="1400" w:type="dxa"/>
            <w:vAlign w:val="bottom"/>
            <w:shd w:val="clear" w:color="auto" w:fill="FF160F"/>
          </w:tcPr>
          <w:p>
            <w:pPr>
              <w:jc w:val="right"/>
              <w:ind w:right="159"/>
              <w:spacing w:after="0"/>
              <w:rPr>
                <w:sz w:val="20"/>
                <w:szCs w:val="20"/>
                <w:color w:val="auto"/>
              </w:rPr>
            </w:pPr>
            <w:r>
              <w:rPr>
                <w:rFonts w:ascii="Arial" w:cs="Arial" w:eastAsia="Arial" w:hAnsi="Arial"/>
                <w:sz w:val="16"/>
                <w:szCs w:val="16"/>
                <w:b w:val="1"/>
                <w:bCs w:val="1"/>
                <w:color w:val="FFFFFF"/>
              </w:rPr>
              <w:t>(% Base Pay)</w:t>
            </w:r>
          </w:p>
        </w:tc>
        <w:tc>
          <w:tcPr>
            <w:tcW w:w="260" w:type="dxa"/>
            <w:vAlign w:val="bottom"/>
            <w:shd w:val="clear" w:color="auto" w:fill="FF160F"/>
          </w:tcPr>
          <w:p>
            <w:pPr>
              <w:spacing w:after="0"/>
              <w:rPr>
                <w:sz w:val="18"/>
                <w:szCs w:val="18"/>
                <w:color w:val="auto"/>
              </w:rPr>
            </w:pPr>
          </w:p>
        </w:tc>
        <w:tc>
          <w:tcPr>
            <w:tcW w:w="880" w:type="dxa"/>
            <w:vAlign w:val="bottom"/>
            <w:shd w:val="clear" w:color="auto" w:fill="FF160F"/>
          </w:tcPr>
          <w:p>
            <w:pPr>
              <w:jc w:val="right"/>
              <w:ind w:right="379"/>
              <w:spacing w:after="0"/>
              <w:rPr>
                <w:sz w:val="20"/>
                <w:szCs w:val="20"/>
                <w:color w:val="auto"/>
              </w:rPr>
            </w:pPr>
            <w:r>
              <w:rPr>
                <w:rFonts w:ascii="Arial" w:cs="Arial" w:eastAsia="Arial" w:hAnsi="Arial"/>
                <w:sz w:val="16"/>
                <w:szCs w:val="16"/>
                <w:b w:val="1"/>
                <w:bCs w:val="1"/>
                <w:color w:val="FFFFFF"/>
              </w:rPr>
              <w:t>($)</w:t>
            </w:r>
          </w:p>
        </w:tc>
        <w:tc>
          <w:tcPr>
            <w:tcW w:w="220" w:type="dxa"/>
            <w:vAlign w:val="bottom"/>
          </w:tcPr>
          <w:p>
            <w:pPr>
              <w:spacing w:after="0"/>
              <w:rPr>
                <w:sz w:val="18"/>
                <w:szCs w:val="18"/>
                <w:color w:val="auto"/>
              </w:rPr>
            </w:pPr>
          </w:p>
        </w:tc>
        <w:tc>
          <w:tcPr>
            <w:tcW w:w="240" w:type="dxa"/>
            <w:vAlign w:val="bottom"/>
            <w:shd w:val="clear" w:color="auto" w:fill="FF160F"/>
          </w:tcPr>
          <w:p>
            <w:pPr>
              <w:spacing w:after="0"/>
              <w:rPr>
                <w:sz w:val="18"/>
                <w:szCs w:val="18"/>
                <w:color w:val="auto"/>
              </w:rPr>
            </w:pPr>
          </w:p>
        </w:tc>
        <w:tc>
          <w:tcPr>
            <w:tcW w:w="940" w:type="dxa"/>
            <w:vAlign w:val="bottom"/>
            <w:shd w:val="clear" w:color="auto" w:fill="FF160F"/>
          </w:tcPr>
          <w:p>
            <w:pPr>
              <w:jc w:val="center"/>
              <w:ind w:right="79"/>
              <w:spacing w:after="0"/>
              <w:rPr>
                <w:sz w:val="20"/>
                <w:szCs w:val="20"/>
                <w:color w:val="auto"/>
              </w:rPr>
            </w:pPr>
            <w:r>
              <w:rPr>
                <w:rFonts w:ascii="Arial" w:cs="Arial" w:eastAsia="Arial" w:hAnsi="Arial"/>
                <w:sz w:val="16"/>
                <w:szCs w:val="16"/>
                <w:b w:val="1"/>
                <w:bCs w:val="1"/>
                <w:color w:val="FFFFFF"/>
              </w:rPr>
              <w:t>Payout</w:t>
            </w:r>
          </w:p>
        </w:tc>
        <w:tc>
          <w:tcPr>
            <w:tcW w:w="220" w:type="dxa"/>
            <w:vAlign w:val="bottom"/>
          </w:tcPr>
          <w:p>
            <w:pPr>
              <w:spacing w:after="0"/>
              <w:rPr>
                <w:sz w:val="18"/>
                <w:szCs w:val="18"/>
                <w:color w:val="auto"/>
              </w:rPr>
            </w:pPr>
          </w:p>
        </w:tc>
        <w:tc>
          <w:tcPr>
            <w:tcW w:w="1200" w:type="dxa"/>
            <w:vAlign w:val="bottom"/>
            <w:gridSpan w:val="2"/>
            <w:shd w:val="clear" w:color="auto" w:fill="FF160F"/>
          </w:tcPr>
          <w:p>
            <w:pPr>
              <w:ind w:left="140"/>
              <w:spacing w:after="0"/>
              <w:rPr>
                <w:sz w:val="20"/>
                <w:szCs w:val="20"/>
                <w:color w:val="auto"/>
              </w:rPr>
            </w:pPr>
            <w:r>
              <w:rPr>
                <w:rFonts w:ascii="Arial" w:cs="Arial" w:eastAsia="Arial" w:hAnsi="Arial"/>
                <w:sz w:val="16"/>
                <w:szCs w:val="16"/>
                <w:b w:val="1"/>
                <w:bCs w:val="1"/>
                <w:color w:val="FFFFFF"/>
              </w:rPr>
              <w:t>Performance</w:t>
            </w:r>
          </w:p>
        </w:tc>
        <w:tc>
          <w:tcPr>
            <w:tcW w:w="1260" w:type="dxa"/>
            <w:vAlign w:val="bottom"/>
            <w:gridSpan w:val="2"/>
            <w:shd w:val="clear" w:color="auto" w:fill="FF160F"/>
          </w:tcPr>
          <w:p>
            <w:pPr>
              <w:ind w:left="140"/>
              <w:spacing w:after="0"/>
              <w:rPr>
                <w:sz w:val="20"/>
                <w:szCs w:val="20"/>
                <w:color w:val="auto"/>
              </w:rPr>
            </w:pPr>
            <w:r>
              <w:rPr>
                <w:rFonts w:ascii="Arial" w:cs="Arial" w:eastAsia="Arial" w:hAnsi="Arial"/>
                <w:sz w:val="16"/>
                <w:szCs w:val="16"/>
                <w:b w:val="1"/>
                <w:bCs w:val="1"/>
                <w:color w:val="FFFFFF"/>
              </w:rPr>
              <w:t>Performance</w:t>
            </w:r>
          </w:p>
        </w:tc>
        <w:tc>
          <w:tcPr>
            <w:tcW w:w="260" w:type="dxa"/>
            <w:vAlign w:val="bottom"/>
            <w:shd w:val="clear" w:color="auto" w:fill="FF160F"/>
          </w:tcPr>
          <w:p>
            <w:pPr>
              <w:spacing w:after="0"/>
              <w:rPr>
                <w:sz w:val="18"/>
                <w:szCs w:val="18"/>
                <w:color w:val="auto"/>
              </w:rPr>
            </w:pPr>
          </w:p>
        </w:tc>
        <w:tc>
          <w:tcPr>
            <w:tcW w:w="860" w:type="dxa"/>
            <w:vAlign w:val="bottom"/>
            <w:shd w:val="clear" w:color="auto" w:fill="FF160F"/>
          </w:tcPr>
          <w:p>
            <w:pPr>
              <w:jc w:val="right"/>
              <w:ind w:right="299"/>
              <w:spacing w:after="0"/>
              <w:rPr>
                <w:sz w:val="20"/>
                <w:szCs w:val="20"/>
                <w:color w:val="auto"/>
              </w:rPr>
            </w:pPr>
            <w:r>
              <w:rPr>
                <w:rFonts w:ascii="Arial" w:cs="Arial" w:eastAsia="Arial" w:hAnsi="Arial"/>
                <w:sz w:val="16"/>
                <w:szCs w:val="16"/>
                <w:b w:val="1"/>
                <w:bCs w:val="1"/>
                <w:color w:val="FFFFFF"/>
              </w:rPr>
              <w:t>Paid</w:t>
            </w: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Mr. Wood</w:t>
            </w:r>
          </w:p>
        </w:tc>
        <w:tc>
          <w:tcPr>
            <w:tcW w:w="220" w:type="dxa"/>
            <w:vAlign w:val="bottom"/>
          </w:tcPr>
          <w:p>
            <w:pPr>
              <w:spacing w:after="0"/>
              <w:rPr>
                <w:sz w:val="15"/>
                <w:szCs w:val="15"/>
                <w:color w:val="auto"/>
              </w:rPr>
            </w:pPr>
          </w:p>
        </w:tc>
        <w:tc>
          <w:tcPr>
            <w:tcW w:w="14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150%</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1,500,000</w:t>
            </w:r>
          </w:p>
        </w:tc>
        <w:tc>
          <w:tcPr>
            <w:tcW w:w="220" w:type="dxa"/>
            <w:vAlign w:val="bottom"/>
          </w:tcPr>
          <w:p>
            <w:pPr>
              <w:spacing w:after="0"/>
              <w:rPr>
                <w:sz w:val="15"/>
                <w:szCs w:val="15"/>
                <w:color w:val="auto"/>
              </w:rPr>
            </w:pPr>
          </w:p>
        </w:tc>
        <w:tc>
          <w:tcPr>
            <w:tcW w:w="2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1,875,000</w:t>
            </w:r>
          </w:p>
        </w:tc>
        <w:tc>
          <w:tcPr>
            <w:tcW w:w="220" w:type="dxa"/>
            <w:vAlign w:val="bottom"/>
          </w:tcPr>
          <w:p>
            <w:pPr>
              <w:spacing w:after="0"/>
              <w:rPr>
                <w:sz w:val="15"/>
                <w:szCs w:val="15"/>
                <w:color w:val="auto"/>
              </w:rPr>
            </w:pPr>
          </w:p>
        </w:tc>
        <w:tc>
          <w:tcPr>
            <w:tcW w:w="24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468,750</w:t>
            </w:r>
          </w:p>
        </w:tc>
        <w:tc>
          <w:tcPr>
            <w:tcW w:w="240" w:type="dxa"/>
            <w:vAlign w:val="bottom"/>
          </w:tcPr>
          <w:p>
            <w:pPr>
              <w:ind w:left="140"/>
              <w:spacing w:after="0" w:line="175"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line="175" w:lineRule="exact"/>
              <w:rPr>
                <w:sz w:val="20"/>
                <w:szCs w:val="20"/>
                <w:color w:val="auto"/>
              </w:rPr>
            </w:pPr>
            <w:r>
              <w:rPr>
                <w:rFonts w:ascii="Arial" w:cs="Arial" w:eastAsia="Arial" w:hAnsi="Arial"/>
                <w:sz w:val="16"/>
                <w:szCs w:val="16"/>
                <w:color w:val="auto"/>
              </w:rPr>
              <w:t>1,406,250</w:t>
            </w:r>
          </w:p>
        </w:tc>
        <w:tc>
          <w:tcPr>
            <w:tcW w:w="26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1,875,000</w:t>
            </w:r>
          </w:p>
        </w:tc>
      </w:tr>
      <w:tr>
        <w:trPr>
          <w:trHeight w:val="189"/>
        </w:trPr>
        <w:tc>
          <w:tcPr>
            <w:tcW w:w="2160" w:type="dxa"/>
            <w:vAlign w:val="bottom"/>
            <w:gridSpan w:val="2"/>
          </w:tcPr>
          <w:p>
            <w:pPr>
              <w:spacing w:after="0"/>
              <w:rPr>
                <w:sz w:val="20"/>
                <w:szCs w:val="20"/>
                <w:color w:val="auto"/>
              </w:rPr>
            </w:pPr>
            <w:r>
              <w:rPr>
                <w:rFonts w:ascii="Arial" w:cs="Arial" w:eastAsia="Arial" w:hAnsi="Arial"/>
                <w:sz w:val="16"/>
                <w:szCs w:val="16"/>
                <w:color w:val="auto"/>
              </w:rPr>
              <w:t>Mr. Berkes</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650,000</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812,500</w:t>
            </w:r>
          </w:p>
        </w:tc>
        <w:tc>
          <w:tcPr>
            <w:tcW w:w="4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203,125</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609,375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812,500</w:t>
            </w:r>
          </w:p>
        </w:tc>
      </w:tr>
      <w:tr>
        <w:trPr>
          <w:trHeight w:val="189"/>
        </w:trPr>
        <w:tc>
          <w:tcPr>
            <w:tcW w:w="2160" w:type="dxa"/>
            <w:vAlign w:val="bottom"/>
            <w:gridSpan w:val="2"/>
          </w:tcPr>
          <w:p>
            <w:pPr>
              <w:spacing w:after="0"/>
              <w:rPr>
                <w:sz w:val="20"/>
                <w:szCs w:val="20"/>
                <w:color w:val="auto"/>
              </w:rPr>
            </w:pPr>
            <w:r>
              <w:rPr>
                <w:rFonts w:ascii="Arial" w:cs="Arial" w:eastAsia="Arial" w:hAnsi="Arial"/>
                <w:sz w:val="16"/>
                <w:szCs w:val="16"/>
                <w:color w:val="auto"/>
              </w:rPr>
              <w:t>Mr. Guglielmone</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575,000</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718,750</w:t>
            </w:r>
          </w:p>
        </w:tc>
        <w:tc>
          <w:tcPr>
            <w:tcW w:w="4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179,688</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539,063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718,750</w:t>
            </w:r>
          </w:p>
        </w:tc>
      </w:tr>
      <w:tr>
        <w:trPr>
          <w:trHeight w:val="215"/>
        </w:trPr>
        <w:tc>
          <w:tcPr>
            <w:tcW w:w="2160" w:type="dxa"/>
            <w:vAlign w:val="bottom"/>
            <w:gridSpan w:val="2"/>
          </w:tcPr>
          <w:p>
            <w:pPr>
              <w:spacing w:after="0"/>
              <w:rPr>
                <w:sz w:val="20"/>
                <w:szCs w:val="20"/>
                <w:color w:val="auto"/>
              </w:rPr>
            </w:pPr>
            <w:r>
              <w:rPr>
                <w:rFonts w:ascii="Arial" w:cs="Arial" w:eastAsia="Arial" w:hAnsi="Arial"/>
                <w:sz w:val="16"/>
                <w:szCs w:val="16"/>
                <w:color w:val="auto"/>
              </w:rPr>
              <w:t>Ms . Becker</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575,000</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718,750</w:t>
            </w:r>
          </w:p>
        </w:tc>
        <w:tc>
          <w:tcPr>
            <w:tcW w:w="4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179,688</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539,063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718,750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-744220</wp:posOffset>
            </wp:positionV>
            <wp:extent cx="21602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NEOs have the option to receive up to 25% of the final bonus payout in the form of shares that vest equally over three years with accelerated vesting on death, disability, change in control and termination without cause. In consideration of the extended payment period for this portion of the bonus already earned, the employee receives shares valued at 120% of the portion of the annual bonus he/she elects to receive in shares. This option is made available to all participants in our annual bonus plan at the level of Director and above. The cash portion of the 2022 annual bonus is reflected in the “Non-Equity Incentive Plan Compensation” column in the Summary Compensation Table in this proxy statement. The portion of the annual bonus paid in shares will be included in the “Stock Awards” column in the Summary Compensation Table and the Grants of Plan-Based Awards Table in next year’s proxy statement.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Incentive Program</w:t>
      </w:r>
    </w:p>
    <w:p>
      <w:pPr>
        <w:spacing w:after="0" w:line="210"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largest portion of compensation for each of our NEOs comes from our equity based long-term incentive program that aligns the interests of our NEOs with shareholders by incentivizing our NEOs to identify and accomplish medium and longer-term business objectives that generate value through share price appreciation, dividend growth and prudent capital allocation decisions. Performance for purposes of our long-term incentive program is measured against the following preset metrics.</w:t>
      </w:r>
    </w:p>
    <w:p>
      <w:pPr>
        <w:spacing w:after="0" w:line="220" w:lineRule="exact"/>
        <w:rPr>
          <w:sz w:val="20"/>
          <w:szCs w:val="20"/>
          <w:color w:val="auto"/>
        </w:rPr>
      </w:pPr>
    </w:p>
    <w:tbl>
      <w:tblPr>
        <w:tblLayout w:type="fixed"/>
        <w:tblInd w:w="110" w:type="dxa"/>
        <w:tblCellMar>
          <w:top w:w="0" w:type="dxa"/>
          <w:left w:w="0" w:type="dxa"/>
          <w:bottom w:w="0" w:type="dxa"/>
          <w:right w:w="0" w:type="dxa"/>
        </w:tblCellMar>
      </w:tblPr>
      <w:tr>
        <w:trPr>
          <w:trHeight w:val="230"/>
        </w:trPr>
        <w:tc>
          <w:tcPr>
            <w:tcW w:w="1460" w:type="dxa"/>
            <w:vAlign w:val="bottom"/>
            <w:tcBorders>
              <w:left w:val="single" w:sz="8" w:color="FF160F"/>
            </w:tcBorders>
            <w:shd w:val="clear" w:color="auto" w:fill="FF160F"/>
          </w:tcPr>
          <w:p>
            <w:pPr>
              <w:ind w:left="20"/>
              <w:spacing w:after="0"/>
              <w:rPr>
                <w:sz w:val="20"/>
                <w:szCs w:val="20"/>
                <w:color w:val="auto"/>
              </w:rPr>
            </w:pPr>
            <w:r>
              <w:rPr>
                <w:rFonts w:ascii="Arial" w:cs="Arial" w:eastAsia="Arial" w:hAnsi="Arial"/>
                <w:sz w:val="18"/>
                <w:szCs w:val="18"/>
                <w:b w:val="1"/>
                <w:bCs w:val="1"/>
                <w:color w:val="FFFFFF"/>
              </w:rPr>
              <w:t>Plan Metric</w:t>
            </w:r>
          </w:p>
        </w:tc>
        <w:tc>
          <w:tcPr>
            <w:tcW w:w="1540" w:type="dxa"/>
            <w:vAlign w:val="bottom"/>
            <w:shd w:val="clear" w:color="auto" w:fill="FF160F"/>
          </w:tcPr>
          <w:p>
            <w:pPr>
              <w:spacing w:after="0"/>
              <w:rPr>
                <w:sz w:val="19"/>
                <w:szCs w:val="19"/>
                <w:color w:val="auto"/>
              </w:rPr>
            </w:pPr>
          </w:p>
        </w:tc>
        <w:tc>
          <w:tcPr>
            <w:tcW w:w="980" w:type="dxa"/>
            <w:vAlign w:val="bottom"/>
            <w:shd w:val="clear" w:color="auto" w:fill="FF160F"/>
          </w:tcPr>
          <w:p>
            <w:pPr>
              <w:spacing w:after="0"/>
              <w:rPr>
                <w:sz w:val="19"/>
                <w:szCs w:val="19"/>
                <w:color w:val="auto"/>
              </w:rPr>
            </w:pPr>
          </w:p>
        </w:tc>
        <w:tc>
          <w:tcPr>
            <w:tcW w:w="340" w:type="dxa"/>
            <w:vAlign w:val="bottom"/>
          </w:tcPr>
          <w:p>
            <w:pPr>
              <w:spacing w:after="0"/>
              <w:rPr>
                <w:sz w:val="19"/>
                <w:szCs w:val="19"/>
                <w:color w:val="auto"/>
              </w:rPr>
            </w:pPr>
          </w:p>
        </w:tc>
        <w:tc>
          <w:tcPr>
            <w:tcW w:w="6720" w:type="dxa"/>
            <w:vAlign w:val="bottom"/>
            <w:tcBorders>
              <w:right w:val="single" w:sz="8" w:color="FF160F"/>
            </w:tcBorders>
            <w:shd w:val="clear" w:color="auto" w:fill="FF160F"/>
          </w:tcPr>
          <w:p>
            <w:pPr>
              <w:ind w:left="120"/>
              <w:spacing w:after="0"/>
              <w:rPr>
                <w:sz w:val="20"/>
                <w:szCs w:val="20"/>
                <w:color w:val="auto"/>
              </w:rPr>
            </w:pPr>
            <w:r>
              <w:rPr>
                <w:rFonts w:ascii="Arial" w:cs="Arial" w:eastAsia="Arial" w:hAnsi="Arial"/>
                <w:sz w:val="18"/>
                <w:szCs w:val="18"/>
                <w:b w:val="1"/>
                <w:bCs w:val="1"/>
                <w:color w:val="FFFFFF"/>
              </w:rPr>
              <w:t>Description</w:t>
            </w:r>
          </w:p>
        </w:tc>
        <w:tc>
          <w:tcPr>
            <w:tcW w:w="20" w:type="dxa"/>
            <w:vAlign w:val="bottom"/>
          </w:tcPr>
          <w:p>
            <w:pPr>
              <w:spacing w:after="0"/>
              <w:rPr>
                <w:sz w:val="19"/>
                <w:szCs w:val="19"/>
                <w:color w:val="auto"/>
              </w:rPr>
            </w:pPr>
          </w:p>
        </w:tc>
      </w:tr>
      <w:tr>
        <w:trPr>
          <w:trHeight w:val="184"/>
        </w:trPr>
        <w:tc>
          <w:tcPr>
            <w:tcW w:w="3000" w:type="dxa"/>
            <w:vAlign w:val="bottom"/>
            <w:tcBorders>
              <w:left w:val="single" w:sz="8" w:color="E5E5E5"/>
            </w:tcBorders>
            <w:gridSpan w:val="2"/>
            <w:shd w:val="clear" w:color="auto" w:fill="E5E5E5"/>
          </w:tcPr>
          <w:p>
            <w:pPr>
              <w:ind w:left="120"/>
              <w:spacing w:after="0" w:line="183" w:lineRule="exact"/>
              <w:rPr>
                <w:sz w:val="20"/>
                <w:szCs w:val="20"/>
                <w:color w:val="auto"/>
              </w:rPr>
            </w:pPr>
            <w:r>
              <w:rPr>
                <w:rFonts w:ascii="Arial" w:cs="Arial" w:eastAsia="Arial" w:hAnsi="Arial"/>
                <w:sz w:val="18"/>
                <w:szCs w:val="18"/>
                <w:color w:val="auto"/>
              </w:rPr>
              <w:t>Relative Total Shareholder Return</w:t>
            </w:r>
          </w:p>
        </w:tc>
        <w:tc>
          <w:tcPr>
            <w:tcW w:w="980" w:type="dxa"/>
            <w:vAlign w:val="bottom"/>
            <w:shd w:val="clear" w:color="auto" w:fill="E5E5E5"/>
          </w:tcPr>
          <w:p>
            <w:pPr>
              <w:spacing w:after="0"/>
              <w:rPr>
                <w:sz w:val="15"/>
                <w:szCs w:val="15"/>
                <w:color w:val="auto"/>
              </w:rPr>
            </w:pPr>
          </w:p>
        </w:tc>
        <w:tc>
          <w:tcPr>
            <w:tcW w:w="340" w:type="dxa"/>
            <w:vAlign w:val="bottom"/>
          </w:tcPr>
          <w:p>
            <w:pPr>
              <w:spacing w:after="0"/>
              <w:rPr>
                <w:sz w:val="15"/>
                <w:szCs w:val="15"/>
                <w:color w:val="auto"/>
              </w:rPr>
            </w:pPr>
          </w:p>
        </w:tc>
        <w:tc>
          <w:tcPr>
            <w:tcW w:w="6720" w:type="dxa"/>
            <w:vAlign w:val="bottom"/>
          </w:tcPr>
          <w:p>
            <w:pPr>
              <w:ind w:left="120"/>
              <w:spacing w:after="0" w:line="183" w:lineRule="exact"/>
              <w:rPr>
                <w:sz w:val="20"/>
                <w:szCs w:val="20"/>
                <w:color w:val="auto"/>
              </w:rPr>
            </w:pPr>
            <w:r>
              <w:rPr>
                <w:rFonts w:ascii="Arial" w:cs="Arial" w:eastAsia="Arial" w:hAnsi="Arial"/>
                <w:sz w:val="18"/>
                <w:szCs w:val="18"/>
                <w:color w:val="auto"/>
              </w:rPr>
              <w:t>Compares  our  total  shareholder  return,  taking  into  account  share  price</w:t>
            </w:r>
          </w:p>
        </w:tc>
        <w:tc>
          <w:tcPr>
            <w:tcW w:w="20" w:type="dxa"/>
            <w:vAlign w:val="bottom"/>
          </w:tcPr>
          <w:p>
            <w:pPr>
              <w:spacing w:after="0"/>
              <w:rPr>
                <w:sz w:val="15"/>
                <w:szCs w:val="15"/>
                <w:color w:val="auto"/>
              </w:rPr>
            </w:pPr>
          </w:p>
        </w:tc>
      </w:tr>
      <w:tr>
        <w:trPr>
          <w:trHeight w:val="203"/>
        </w:trPr>
        <w:tc>
          <w:tcPr>
            <w:tcW w:w="1460" w:type="dxa"/>
            <w:vAlign w:val="bottom"/>
            <w:tcBorders>
              <w:left w:val="single" w:sz="8" w:color="E5E5E5"/>
            </w:tcBorders>
            <w:shd w:val="clear" w:color="auto" w:fill="E5E5E5"/>
          </w:tcPr>
          <w:p>
            <w:pPr>
              <w:ind w:left="120"/>
              <w:spacing w:after="0" w:line="202" w:lineRule="exact"/>
              <w:rPr>
                <w:sz w:val="20"/>
                <w:szCs w:val="20"/>
                <w:color w:val="auto"/>
              </w:rPr>
            </w:pPr>
            <w:r>
              <w:rPr>
                <w:rFonts w:ascii="Arial" w:cs="Arial" w:eastAsia="Arial" w:hAnsi="Arial"/>
                <w:sz w:val="18"/>
                <w:szCs w:val="18"/>
                <w:color w:val="auto"/>
              </w:rPr>
              <w:t>(34% weighting)</w:t>
            </w: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appreciation and assuming reinvestment of dividends, against the total return</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achieved by the Bloomberg REIT Shopping Center Index (“BBRESHOP”) which is</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comprised of publicly traded companies that own and operate open air shopping</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centers. The Compensation Committee believes that the BBRESHOP provides an</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appropriate  basis  to  compare  our  performance  against  similarly  situated</w:t>
            </w:r>
          </w:p>
        </w:tc>
      </w:tr>
      <w:tr>
        <w:trPr>
          <w:trHeight w:val="221"/>
        </w:trPr>
        <w:tc>
          <w:tcPr>
            <w:tcW w:w="1460" w:type="dxa"/>
            <w:vAlign w:val="bottom"/>
            <w:tcBorders>
              <w:left w:val="single" w:sz="8" w:color="E5E5E5"/>
            </w:tcBorders>
            <w:shd w:val="clear" w:color="auto" w:fill="E5E5E5"/>
          </w:tcPr>
          <w:p>
            <w:pPr>
              <w:spacing w:after="0"/>
              <w:rPr>
                <w:sz w:val="19"/>
                <w:szCs w:val="19"/>
                <w:color w:val="auto"/>
              </w:rPr>
            </w:pPr>
          </w:p>
        </w:tc>
        <w:tc>
          <w:tcPr>
            <w:tcW w:w="154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34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companies.</w:t>
            </w:r>
          </w:p>
        </w:tc>
      </w:tr>
      <w:tr>
        <w:trPr>
          <w:trHeight w:val="177"/>
        </w:trPr>
        <w:tc>
          <w:tcPr>
            <w:tcW w:w="3000" w:type="dxa"/>
            <w:vAlign w:val="bottom"/>
            <w:tcBorders>
              <w:top w:val="single" w:sz="8" w:color="auto"/>
              <w:left w:val="single" w:sz="8" w:color="E5E5E5"/>
            </w:tcBorders>
            <w:gridSpan w:val="2"/>
            <w:shd w:val="clear" w:color="auto" w:fill="E5E5E5"/>
          </w:tcPr>
          <w:p>
            <w:pPr>
              <w:ind w:left="120"/>
              <w:spacing w:after="0" w:line="177" w:lineRule="exact"/>
              <w:rPr>
                <w:sz w:val="20"/>
                <w:szCs w:val="20"/>
                <w:color w:val="auto"/>
              </w:rPr>
            </w:pPr>
            <w:r>
              <w:rPr>
                <w:rFonts w:ascii="Arial" w:cs="Arial" w:eastAsia="Arial" w:hAnsi="Arial"/>
                <w:sz w:val="18"/>
                <w:szCs w:val="18"/>
                <w:color w:val="auto"/>
              </w:rPr>
              <w:t>FFO Multiple Premium</w:t>
            </w:r>
          </w:p>
        </w:tc>
        <w:tc>
          <w:tcPr>
            <w:tcW w:w="980" w:type="dxa"/>
            <w:vAlign w:val="bottom"/>
            <w:tcBorders>
              <w:top w:val="single" w:sz="8" w:color="auto"/>
            </w:tcBorders>
            <w:shd w:val="clear" w:color="auto" w:fill="E5E5E5"/>
          </w:tcPr>
          <w:p>
            <w:pPr>
              <w:spacing w:after="0"/>
              <w:rPr>
                <w:sz w:val="15"/>
                <w:szCs w:val="15"/>
                <w:color w:val="auto"/>
              </w:rPr>
            </w:pPr>
          </w:p>
        </w:tc>
        <w:tc>
          <w:tcPr>
            <w:tcW w:w="340" w:type="dxa"/>
            <w:vAlign w:val="bottom"/>
          </w:tcPr>
          <w:p>
            <w:pPr>
              <w:spacing w:after="0"/>
              <w:rPr>
                <w:sz w:val="15"/>
                <w:szCs w:val="15"/>
                <w:color w:val="auto"/>
              </w:rPr>
            </w:pPr>
          </w:p>
        </w:tc>
        <w:tc>
          <w:tcPr>
            <w:tcW w:w="6720" w:type="dxa"/>
            <w:vAlign w:val="bottom"/>
            <w:tcBorders>
              <w:top w:val="single" w:sz="8" w:color="auto"/>
            </w:tcBorders>
          </w:tcPr>
          <w:p>
            <w:pPr>
              <w:ind w:left="120"/>
              <w:spacing w:after="0" w:line="177" w:lineRule="exact"/>
              <w:rPr>
                <w:sz w:val="20"/>
                <w:szCs w:val="20"/>
                <w:color w:val="auto"/>
              </w:rPr>
            </w:pPr>
            <w:r>
              <w:rPr>
                <w:rFonts w:ascii="Arial" w:cs="Arial" w:eastAsia="Arial" w:hAnsi="Arial"/>
                <w:sz w:val="18"/>
                <w:szCs w:val="18"/>
                <w:color w:val="auto"/>
              </w:rPr>
              <w:t>Compares the FFO multiple at which the Company is trading at the end of the</w:t>
            </w:r>
          </w:p>
        </w:tc>
        <w:tc>
          <w:tcPr>
            <w:tcW w:w="20" w:type="dxa"/>
            <w:vAlign w:val="bottom"/>
          </w:tcPr>
          <w:p>
            <w:pPr>
              <w:spacing w:after="0"/>
              <w:rPr>
                <w:sz w:val="15"/>
                <w:szCs w:val="15"/>
                <w:color w:val="auto"/>
              </w:rPr>
            </w:pPr>
          </w:p>
        </w:tc>
      </w:tr>
      <w:tr>
        <w:trPr>
          <w:trHeight w:val="203"/>
        </w:trPr>
        <w:tc>
          <w:tcPr>
            <w:tcW w:w="1460" w:type="dxa"/>
            <w:vAlign w:val="bottom"/>
            <w:tcBorders>
              <w:left w:val="single" w:sz="8" w:color="E5E5E5"/>
            </w:tcBorders>
            <w:shd w:val="clear" w:color="auto" w:fill="E5E5E5"/>
          </w:tcPr>
          <w:p>
            <w:pPr>
              <w:ind w:left="120"/>
              <w:spacing w:after="0" w:line="202" w:lineRule="exact"/>
              <w:rPr>
                <w:sz w:val="20"/>
                <w:szCs w:val="20"/>
                <w:color w:val="auto"/>
              </w:rPr>
            </w:pPr>
            <w:r>
              <w:rPr>
                <w:rFonts w:ascii="Arial" w:cs="Arial" w:eastAsia="Arial" w:hAnsi="Arial"/>
                <w:sz w:val="18"/>
                <w:szCs w:val="18"/>
                <w:color w:val="auto"/>
              </w:rPr>
              <w:t>(33% weighting)</w:t>
            </w: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performance period against the average FFO multiple at which all other public</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shopping center companies (other than the Company) are trading at that time. The</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FFO multiples are provided by a third party investment bank and it serves as a</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measure of investor expectations of our long-term growth potential and confidence</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 our management team versus other publicly traded open air shopping center</w:t>
            </w:r>
          </w:p>
        </w:tc>
      </w:tr>
      <w:tr>
        <w:trPr>
          <w:trHeight w:val="221"/>
        </w:trPr>
        <w:tc>
          <w:tcPr>
            <w:tcW w:w="1460" w:type="dxa"/>
            <w:vAlign w:val="bottom"/>
            <w:tcBorders>
              <w:left w:val="single" w:sz="8" w:color="E5E5E5"/>
            </w:tcBorders>
            <w:shd w:val="clear" w:color="auto" w:fill="E5E5E5"/>
          </w:tcPr>
          <w:p>
            <w:pPr>
              <w:spacing w:after="0"/>
              <w:rPr>
                <w:sz w:val="19"/>
                <w:szCs w:val="19"/>
                <w:color w:val="auto"/>
              </w:rPr>
            </w:pPr>
          </w:p>
        </w:tc>
        <w:tc>
          <w:tcPr>
            <w:tcW w:w="154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34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companies.</w:t>
            </w:r>
          </w:p>
        </w:tc>
      </w:tr>
      <w:tr>
        <w:trPr>
          <w:trHeight w:val="177"/>
        </w:trPr>
        <w:tc>
          <w:tcPr>
            <w:tcW w:w="3000" w:type="dxa"/>
            <w:vAlign w:val="bottom"/>
            <w:tcBorders>
              <w:top w:val="single" w:sz="8" w:color="auto"/>
              <w:left w:val="single" w:sz="8" w:color="E5E5E5"/>
            </w:tcBorders>
            <w:gridSpan w:val="2"/>
            <w:shd w:val="clear" w:color="auto" w:fill="E5E5E5"/>
          </w:tcPr>
          <w:p>
            <w:pPr>
              <w:ind w:left="120"/>
              <w:spacing w:after="0" w:line="177" w:lineRule="exact"/>
              <w:rPr>
                <w:sz w:val="20"/>
                <w:szCs w:val="20"/>
                <w:color w:val="auto"/>
              </w:rPr>
            </w:pPr>
            <w:r>
              <w:rPr>
                <w:rFonts w:ascii="Arial" w:cs="Arial" w:eastAsia="Arial" w:hAnsi="Arial"/>
                <w:sz w:val="18"/>
                <w:szCs w:val="18"/>
                <w:color w:val="auto"/>
              </w:rPr>
              <w:t>Return on Invested Capital</w:t>
            </w:r>
          </w:p>
        </w:tc>
        <w:tc>
          <w:tcPr>
            <w:tcW w:w="980" w:type="dxa"/>
            <w:vAlign w:val="bottom"/>
            <w:tcBorders>
              <w:top w:val="single" w:sz="8" w:color="auto"/>
            </w:tcBorders>
            <w:shd w:val="clear" w:color="auto" w:fill="E5E5E5"/>
          </w:tcPr>
          <w:p>
            <w:pPr>
              <w:spacing w:after="0"/>
              <w:rPr>
                <w:sz w:val="15"/>
                <w:szCs w:val="15"/>
                <w:color w:val="auto"/>
              </w:rPr>
            </w:pPr>
          </w:p>
        </w:tc>
        <w:tc>
          <w:tcPr>
            <w:tcW w:w="340" w:type="dxa"/>
            <w:vAlign w:val="bottom"/>
          </w:tcPr>
          <w:p>
            <w:pPr>
              <w:spacing w:after="0"/>
              <w:rPr>
                <w:sz w:val="15"/>
                <w:szCs w:val="15"/>
                <w:color w:val="auto"/>
              </w:rPr>
            </w:pPr>
          </w:p>
        </w:tc>
        <w:tc>
          <w:tcPr>
            <w:tcW w:w="6720" w:type="dxa"/>
            <w:vAlign w:val="bottom"/>
            <w:tcBorders>
              <w:top w:val="single" w:sz="8" w:color="auto"/>
            </w:tcBorders>
          </w:tcPr>
          <w:p>
            <w:pPr>
              <w:ind w:left="120"/>
              <w:spacing w:after="0" w:line="177" w:lineRule="exact"/>
              <w:rPr>
                <w:sz w:val="20"/>
                <w:szCs w:val="20"/>
                <w:color w:val="auto"/>
              </w:rPr>
            </w:pPr>
            <w:r>
              <w:rPr>
                <w:rFonts w:ascii="Arial" w:cs="Arial" w:eastAsia="Arial" w:hAnsi="Arial"/>
                <w:sz w:val="18"/>
                <w:szCs w:val="18"/>
                <w:color w:val="auto"/>
              </w:rPr>
              <w:t>Reflects how effectively we have allocated our shareholders’ capital during the</w:t>
            </w:r>
          </w:p>
        </w:tc>
        <w:tc>
          <w:tcPr>
            <w:tcW w:w="20" w:type="dxa"/>
            <w:vAlign w:val="bottom"/>
          </w:tcPr>
          <w:p>
            <w:pPr>
              <w:spacing w:after="0"/>
              <w:rPr>
                <w:sz w:val="15"/>
                <w:szCs w:val="15"/>
                <w:color w:val="auto"/>
              </w:rPr>
            </w:pPr>
          </w:p>
        </w:tc>
      </w:tr>
      <w:tr>
        <w:trPr>
          <w:trHeight w:val="202"/>
        </w:trPr>
        <w:tc>
          <w:tcPr>
            <w:tcW w:w="1460" w:type="dxa"/>
            <w:vAlign w:val="bottom"/>
            <w:tcBorders>
              <w:left w:val="single" w:sz="8" w:color="E5E5E5"/>
            </w:tcBorders>
            <w:shd w:val="clear" w:color="auto" w:fill="E5E5E5"/>
          </w:tcPr>
          <w:p>
            <w:pPr>
              <w:ind w:left="120"/>
              <w:spacing w:after="0" w:line="202" w:lineRule="exact"/>
              <w:rPr>
                <w:sz w:val="20"/>
                <w:szCs w:val="20"/>
                <w:color w:val="auto"/>
              </w:rPr>
            </w:pPr>
            <w:r>
              <w:rPr>
                <w:rFonts w:ascii="Arial" w:cs="Arial" w:eastAsia="Arial" w:hAnsi="Arial"/>
                <w:sz w:val="18"/>
                <w:szCs w:val="18"/>
                <w:color w:val="auto"/>
              </w:rPr>
              <w:t>(33% weighting)</w:t>
            </w: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3-year performance period and incentivizes sound, long-term investment decisions</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focused on generating strong future shareholder returns. The metric encompasses</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all aspects of capital allocation decisions. Required performance levels are</w:t>
            </w:r>
          </w:p>
        </w:tc>
      </w:tr>
      <w:tr>
        <w:trPr>
          <w:trHeight w:val="203"/>
        </w:trPr>
        <w:tc>
          <w:tcPr>
            <w:tcW w:w="1460" w:type="dxa"/>
            <w:vAlign w:val="bottom"/>
            <w:tcBorders>
              <w:left w:val="single" w:sz="8" w:color="E5E5E5"/>
            </w:tcBorders>
            <w:shd w:val="clear" w:color="auto" w:fill="E5E5E5"/>
          </w:tcPr>
          <w:p>
            <w:pPr>
              <w:spacing w:after="0"/>
              <w:rPr>
                <w:sz w:val="17"/>
                <w:szCs w:val="17"/>
                <w:color w:val="auto"/>
              </w:rPr>
            </w:pPr>
          </w:p>
        </w:tc>
        <w:tc>
          <w:tcPr>
            <w:tcW w:w="15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established to reflect changing market expectations as we acquire, sell and</w:t>
            </w:r>
          </w:p>
        </w:tc>
      </w:tr>
      <w:tr>
        <w:trPr>
          <w:trHeight w:val="221"/>
        </w:trPr>
        <w:tc>
          <w:tcPr>
            <w:tcW w:w="1460" w:type="dxa"/>
            <w:vAlign w:val="bottom"/>
            <w:tcBorders>
              <w:left w:val="single" w:sz="8" w:color="E5E5E5"/>
            </w:tcBorders>
            <w:shd w:val="clear" w:color="auto" w:fill="E5E5E5"/>
          </w:tcPr>
          <w:p>
            <w:pPr>
              <w:spacing w:after="0"/>
              <w:rPr>
                <w:sz w:val="19"/>
                <w:szCs w:val="19"/>
                <w:color w:val="auto"/>
              </w:rPr>
            </w:pPr>
          </w:p>
        </w:tc>
        <w:tc>
          <w:tcPr>
            <w:tcW w:w="154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34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develop assets.</w:t>
            </w:r>
          </w:p>
        </w:tc>
      </w:tr>
      <w:tr>
        <w:trPr>
          <w:trHeight w:val="155"/>
        </w:trPr>
        <w:tc>
          <w:tcPr>
            <w:tcW w:w="14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69"/>
        </w:trPr>
        <w:tc>
          <w:tcPr>
            <w:tcW w:w="1460" w:type="dxa"/>
            <w:vAlign w:val="bottom"/>
            <w:tcBorders>
              <w:left w:val="single" w:sz="8" w:color="auto"/>
              <w:bottom w:val="single" w:sz="8" w:color="auto"/>
            </w:tcBorders>
            <w:shd w:val="clear" w:color="auto" w:fill="EAEFED"/>
          </w:tcPr>
          <w:p>
            <w:pPr>
              <w:ind w:left="240"/>
              <w:spacing w:after="0"/>
              <w:rPr>
                <w:sz w:val="20"/>
                <w:szCs w:val="20"/>
                <w:color w:val="auto"/>
              </w:rPr>
            </w:pPr>
            <w:r>
              <w:rPr>
                <w:rFonts w:ascii="Arial" w:cs="Arial" w:eastAsia="Arial" w:hAnsi="Arial"/>
                <w:sz w:val="14"/>
                <w:szCs w:val="14"/>
                <w:color w:val="FF160F"/>
              </w:rPr>
              <w:t>Federal Realty</w:t>
            </w:r>
          </w:p>
        </w:tc>
        <w:tc>
          <w:tcPr>
            <w:tcW w:w="1540" w:type="dxa"/>
            <w:vAlign w:val="bottom"/>
            <w:tcBorders>
              <w:bottom w:val="single" w:sz="8" w:color="auto"/>
            </w:tcBorders>
            <w:shd w:val="clear" w:color="auto" w:fill="EAEFED"/>
          </w:tcPr>
          <w:p>
            <w:pPr>
              <w:ind w:left="40"/>
              <w:spacing w:after="0"/>
              <w:rPr>
                <w:sz w:val="20"/>
                <w:szCs w:val="20"/>
                <w:color w:val="auto"/>
              </w:rPr>
            </w:pPr>
            <w:r>
              <w:rPr>
                <w:rFonts w:ascii="Arial" w:cs="Arial" w:eastAsia="Arial" w:hAnsi="Arial"/>
                <w:sz w:val="14"/>
                <w:szCs w:val="14"/>
                <w:color w:val="auto"/>
              </w:rPr>
              <w:t>2023 Proxy Statement</w:t>
            </w:r>
          </w:p>
        </w:tc>
        <w:tc>
          <w:tcPr>
            <w:tcW w:w="980" w:type="dxa"/>
            <w:vAlign w:val="bottom"/>
            <w:tcBorders>
              <w:bottom w:val="single" w:sz="8" w:color="auto"/>
            </w:tcBorders>
            <w:shd w:val="clear" w:color="auto" w:fill="EAEFED"/>
          </w:tcPr>
          <w:p>
            <w:pPr>
              <w:jc w:val="right"/>
              <w:ind w:right="668"/>
              <w:spacing w:after="0"/>
              <w:rPr>
                <w:sz w:val="20"/>
                <w:szCs w:val="20"/>
                <w:color w:val="auto"/>
              </w:rPr>
            </w:pPr>
            <w:r>
              <w:rPr>
                <w:rFonts w:ascii="Arial" w:cs="Arial" w:eastAsia="Arial" w:hAnsi="Arial"/>
                <w:sz w:val="14"/>
                <w:szCs w:val="14"/>
                <w:color w:val="auto"/>
              </w:rPr>
              <w:t>24</w:t>
            </w:r>
          </w:p>
        </w:tc>
        <w:tc>
          <w:tcPr>
            <w:tcW w:w="340" w:type="dxa"/>
            <w:vAlign w:val="bottom"/>
            <w:tcBorders>
              <w:bottom w:val="single" w:sz="8" w:color="auto"/>
            </w:tcBorders>
            <w:shd w:val="clear" w:color="auto" w:fill="EAEFED"/>
          </w:tcPr>
          <w:p>
            <w:pPr>
              <w:spacing w:after="0"/>
              <w:rPr>
                <w:sz w:val="14"/>
                <w:szCs w:val="14"/>
                <w:color w:val="auto"/>
              </w:rPr>
            </w:pPr>
          </w:p>
        </w:tc>
        <w:tc>
          <w:tcPr>
            <w:tcW w:w="6720" w:type="dxa"/>
            <w:vAlign w:val="bottom"/>
            <w:tcBorders>
              <w:bottom w:val="single" w:sz="8" w:color="auto"/>
              <w:right w:val="single" w:sz="8" w:color="auto"/>
            </w:tcBorders>
            <w:shd w:val="clear" w:color="auto" w:fill="EAEFED"/>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bl>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required performance levels for each of these metrics and the actual performance achieved for the 3-year performance period from 2020 through 2022 is set forth below.</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040" w:type="dxa"/>
            <w:vAlign w:val="bottom"/>
            <w:shd w:val="clear" w:color="auto" w:fill="FF160F"/>
          </w:tcPr>
          <w:p>
            <w:pPr>
              <w:spacing w:after="0"/>
              <w:rPr>
                <w:sz w:val="16"/>
                <w:szCs w:val="16"/>
                <w:color w:val="auto"/>
              </w:rPr>
            </w:pPr>
          </w:p>
        </w:tc>
        <w:tc>
          <w:tcPr>
            <w:tcW w:w="1040" w:type="dxa"/>
            <w:vAlign w:val="bottom"/>
            <w:shd w:val="clear" w:color="auto" w:fill="FF160F"/>
          </w:tcPr>
          <w:p>
            <w:pPr>
              <w:spacing w:after="0"/>
              <w:rPr>
                <w:sz w:val="16"/>
                <w:szCs w:val="16"/>
                <w:color w:val="auto"/>
              </w:rPr>
            </w:pPr>
          </w:p>
        </w:tc>
        <w:tc>
          <w:tcPr>
            <w:tcW w:w="220" w:type="dxa"/>
            <w:vAlign w:val="bottom"/>
          </w:tcPr>
          <w:p>
            <w:pPr>
              <w:spacing w:after="0"/>
              <w:rPr>
                <w:sz w:val="16"/>
                <w:szCs w:val="16"/>
                <w:color w:val="auto"/>
              </w:rPr>
            </w:pPr>
          </w:p>
        </w:tc>
        <w:tc>
          <w:tcPr>
            <w:tcW w:w="3640" w:type="dxa"/>
            <w:vAlign w:val="bottom"/>
            <w:gridSpan w:val="3"/>
            <w:shd w:val="clear" w:color="auto" w:fill="FF160F"/>
          </w:tcPr>
          <w:p>
            <w:pPr>
              <w:jc w:val="center"/>
              <w:spacing w:after="0"/>
              <w:rPr>
                <w:sz w:val="20"/>
                <w:szCs w:val="20"/>
                <w:color w:val="auto"/>
              </w:rPr>
            </w:pPr>
            <w:r>
              <w:rPr>
                <w:rFonts w:ascii="Arial" w:cs="Arial" w:eastAsia="Arial" w:hAnsi="Arial"/>
                <w:sz w:val="16"/>
                <w:szCs w:val="16"/>
                <w:b w:val="1"/>
                <w:bCs w:val="1"/>
                <w:color w:val="FFFFFF"/>
                <w:w w:val="99"/>
              </w:rPr>
              <w:t>Performance Targets</w:t>
            </w:r>
          </w:p>
        </w:tc>
        <w:tc>
          <w:tcPr>
            <w:tcW w:w="220" w:type="dxa"/>
            <w:vAlign w:val="bottom"/>
            <w:tcBorders>
              <w:right w:val="single" w:sz="8" w:color="FF160F"/>
            </w:tcBorders>
          </w:tcPr>
          <w:p>
            <w:pPr>
              <w:spacing w:after="0"/>
              <w:rPr>
                <w:sz w:val="16"/>
                <w:szCs w:val="16"/>
                <w:color w:val="auto"/>
              </w:rPr>
            </w:pPr>
          </w:p>
        </w:tc>
        <w:tc>
          <w:tcPr>
            <w:tcW w:w="1860" w:type="dxa"/>
            <w:vAlign w:val="bottom"/>
            <w:gridSpan w:val="2"/>
            <w:shd w:val="clear" w:color="auto" w:fill="FF160F"/>
          </w:tcPr>
          <w:p>
            <w:pPr>
              <w:ind w:left="440"/>
              <w:spacing w:after="0"/>
              <w:rPr>
                <w:sz w:val="20"/>
                <w:szCs w:val="20"/>
                <w:color w:val="auto"/>
              </w:rPr>
            </w:pPr>
            <w:r>
              <w:rPr>
                <w:rFonts w:ascii="Arial" w:cs="Arial" w:eastAsia="Arial" w:hAnsi="Arial"/>
                <w:sz w:val="16"/>
                <w:szCs w:val="16"/>
                <w:b w:val="1"/>
                <w:bCs w:val="1"/>
                <w:color w:val="FFFFFF"/>
              </w:rPr>
              <w:t>Payout Factor</w:t>
            </w:r>
          </w:p>
        </w:tc>
        <w:tc>
          <w:tcPr>
            <w:tcW w:w="20" w:type="dxa"/>
            <w:vAlign w:val="bottom"/>
          </w:tcPr>
          <w:p>
            <w:pPr>
              <w:spacing w:after="0"/>
              <w:rPr>
                <w:sz w:val="16"/>
                <w:szCs w:val="16"/>
                <w:color w:val="auto"/>
              </w:rPr>
            </w:pPr>
          </w:p>
        </w:tc>
      </w:tr>
      <w:tr>
        <w:trPr>
          <w:trHeight w:val="203"/>
        </w:trPr>
        <w:tc>
          <w:tcPr>
            <w:tcW w:w="404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Performance Goal</w:t>
            </w:r>
          </w:p>
        </w:tc>
        <w:tc>
          <w:tcPr>
            <w:tcW w:w="1040" w:type="dxa"/>
            <w:vAlign w:val="bottom"/>
            <w:shd w:val="clear" w:color="auto" w:fill="FF160F"/>
          </w:tcPr>
          <w:p>
            <w:pPr>
              <w:jc w:val="right"/>
              <w:ind w:right="59"/>
              <w:spacing w:after="0"/>
              <w:rPr>
                <w:sz w:val="20"/>
                <w:szCs w:val="20"/>
                <w:color w:val="auto"/>
              </w:rPr>
            </w:pPr>
            <w:r>
              <w:rPr>
                <w:rFonts w:ascii="Arial" w:cs="Arial" w:eastAsia="Arial" w:hAnsi="Arial"/>
                <w:sz w:val="16"/>
                <w:szCs w:val="16"/>
                <w:b w:val="1"/>
                <w:bCs w:val="1"/>
                <w:color w:val="FFFFFF"/>
                <w:shd w:val="clear" w:color="auto" w:fill="FF160F"/>
              </w:rPr>
              <w:t>Weighting</w:t>
            </w:r>
          </w:p>
        </w:tc>
        <w:tc>
          <w:tcPr>
            <w:tcW w:w="220" w:type="dxa"/>
            <w:vAlign w:val="bottom"/>
          </w:tcPr>
          <w:p>
            <w:pPr>
              <w:spacing w:after="0"/>
              <w:rPr>
                <w:sz w:val="17"/>
                <w:szCs w:val="17"/>
                <w:color w:val="auto"/>
              </w:rPr>
            </w:pPr>
          </w:p>
        </w:tc>
        <w:tc>
          <w:tcPr>
            <w:tcW w:w="120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Threshold</w:t>
            </w:r>
          </w:p>
        </w:tc>
        <w:tc>
          <w:tcPr>
            <w:tcW w:w="1240" w:type="dxa"/>
            <w:vAlign w:val="bottom"/>
            <w:shd w:val="clear" w:color="auto" w:fill="FF160F"/>
          </w:tcPr>
          <w:p>
            <w:pPr>
              <w:ind w:left="360"/>
              <w:spacing w:after="0"/>
              <w:rPr>
                <w:sz w:val="20"/>
                <w:szCs w:val="20"/>
                <w:color w:val="auto"/>
              </w:rPr>
            </w:pPr>
            <w:r>
              <w:rPr>
                <w:rFonts w:ascii="Arial" w:cs="Arial" w:eastAsia="Arial" w:hAnsi="Arial"/>
                <w:sz w:val="16"/>
                <w:szCs w:val="16"/>
                <w:b w:val="1"/>
                <w:bCs w:val="1"/>
                <w:color w:val="FFFFFF"/>
              </w:rPr>
              <w:t>Target</w:t>
            </w:r>
          </w:p>
        </w:tc>
        <w:tc>
          <w:tcPr>
            <w:tcW w:w="120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Stretch</w:t>
            </w:r>
          </w:p>
        </w:tc>
        <w:tc>
          <w:tcPr>
            <w:tcW w:w="220" w:type="dxa"/>
            <w:vAlign w:val="bottom"/>
            <w:tcBorders>
              <w:right w:val="single" w:sz="8" w:color="FF160F"/>
            </w:tcBorders>
          </w:tcPr>
          <w:p>
            <w:pPr>
              <w:spacing w:after="0"/>
              <w:rPr>
                <w:sz w:val="17"/>
                <w:szCs w:val="17"/>
                <w:color w:val="auto"/>
              </w:rPr>
            </w:pPr>
          </w:p>
        </w:tc>
        <w:tc>
          <w:tcPr>
            <w:tcW w:w="1860" w:type="dxa"/>
            <w:vAlign w:val="bottom"/>
            <w:gridSpan w:val="2"/>
            <w:shd w:val="clear" w:color="auto" w:fill="FF160F"/>
          </w:tcPr>
          <w:p>
            <w:pPr>
              <w:ind w:left="120"/>
              <w:spacing w:after="0"/>
              <w:rPr>
                <w:sz w:val="20"/>
                <w:szCs w:val="20"/>
                <w:color w:val="auto"/>
              </w:rPr>
            </w:pPr>
            <w:r>
              <w:rPr>
                <w:rFonts w:ascii="Arial" w:cs="Arial" w:eastAsia="Arial" w:hAnsi="Arial"/>
                <w:sz w:val="16"/>
                <w:szCs w:val="16"/>
                <w:b w:val="1"/>
                <w:bCs w:val="1"/>
                <w:color w:val="FFFFFF"/>
                <w:shd w:val="clear" w:color="auto" w:fill="FF160F"/>
              </w:rPr>
              <w:t>Unweighted Weighted</w:t>
            </w:r>
          </w:p>
        </w:tc>
        <w:tc>
          <w:tcPr>
            <w:tcW w:w="20" w:type="dxa"/>
            <w:vAlign w:val="bottom"/>
          </w:tcPr>
          <w:p>
            <w:pPr>
              <w:spacing w:after="0"/>
              <w:rPr>
                <w:sz w:val="17"/>
                <w:szCs w:val="17"/>
                <w:color w:val="auto"/>
              </w:rPr>
            </w:pPr>
          </w:p>
        </w:tc>
      </w:tr>
      <w:tr>
        <w:trPr>
          <w:trHeight w:val="189"/>
        </w:trPr>
        <w:tc>
          <w:tcPr>
            <w:tcW w:w="4040" w:type="dxa"/>
            <w:vAlign w:val="bottom"/>
            <w:shd w:val="clear" w:color="auto" w:fill="E5E5E5"/>
          </w:tcPr>
          <w:p>
            <w:pPr>
              <w:spacing w:after="0"/>
              <w:rPr>
                <w:sz w:val="20"/>
                <w:szCs w:val="20"/>
                <w:color w:val="auto"/>
              </w:rPr>
            </w:pPr>
            <w:r>
              <w:rPr>
                <w:rFonts w:ascii="Arial" w:cs="Arial" w:eastAsia="Arial" w:hAnsi="Arial"/>
                <w:sz w:val="16"/>
                <w:szCs w:val="16"/>
                <w:i w:val="1"/>
                <w:iCs w:val="1"/>
                <w:color w:val="auto"/>
              </w:rPr>
              <w:t>Payout as Percentage of Target</w:t>
            </w:r>
          </w:p>
        </w:tc>
        <w:tc>
          <w:tcPr>
            <w:tcW w:w="104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shd w:val="clear" w:color="auto" w:fill="E5E5E5"/>
          </w:tcPr>
          <w:p>
            <w:pPr>
              <w:jc w:val="right"/>
              <w:ind w:right="319"/>
              <w:spacing w:after="0"/>
              <w:rPr>
                <w:sz w:val="20"/>
                <w:szCs w:val="20"/>
                <w:color w:val="auto"/>
              </w:rPr>
            </w:pPr>
            <w:r>
              <w:rPr>
                <w:rFonts w:ascii="Arial" w:cs="Arial" w:eastAsia="Arial" w:hAnsi="Arial"/>
                <w:sz w:val="16"/>
                <w:szCs w:val="16"/>
                <w:i w:val="1"/>
                <w:iCs w:val="1"/>
                <w:color w:val="auto"/>
              </w:rPr>
              <w:t>50%</w:t>
            </w:r>
          </w:p>
        </w:tc>
        <w:tc>
          <w:tcPr>
            <w:tcW w:w="1240" w:type="dxa"/>
            <w:vAlign w:val="bottom"/>
            <w:shd w:val="clear" w:color="auto" w:fill="E5E5E5"/>
          </w:tcPr>
          <w:p>
            <w:pPr>
              <w:jc w:val="right"/>
              <w:ind w:right="319"/>
              <w:spacing w:after="0"/>
              <w:rPr>
                <w:sz w:val="20"/>
                <w:szCs w:val="20"/>
                <w:color w:val="auto"/>
              </w:rPr>
            </w:pPr>
            <w:r>
              <w:rPr>
                <w:rFonts w:ascii="Arial" w:cs="Arial" w:eastAsia="Arial" w:hAnsi="Arial"/>
                <w:sz w:val="16"/>
                <w:szCs w:val="16"/>
                <w:i w:val="1"/>
                <w:iCs w:val="1"/>
                <w:color w:val="auto"/>
              </w:rPr>
              <w:t>100%</w:t>
            </w:r>
          </w:p>
        </w:tc>
        <w:tc>
          <w:tcPr>
            <w:tcW w:w="1200" w:type="dxa"/>
            <w:vAlign w:val="bottom"/>
            <w:shd w:val="clear" w:color="auto" w:fill="E5E5E5"/>
          </w:tcPr>
          <w:p>
            <w:pPr>
              <w:jc w:val="right"/>
              <w:ind w:right="279"/>
              <w:spacing w:after="0"/>
              <w:rPr>
                <w:sz w:val="20"/>
                <w:szCs w:val="20"/>
                <w:color w:val="auto"/>
              </w:rPr>
            </w:pPr>
            <w:r>
              <w:rPr>
                <w:rFonts w:ascii="Arial" w:cs="Arial" w:eastAsia="Arial" w:hAnsi="Arial"/>
                <w:sz w:val="16"/>
                <w:szCs w:val="16"/>
                <w:i w:val="1"/>
                <w:iCs w:val="1"/>
                <w:color w:val="auto"/>
              </w:rPr>
              <w:t>150%</w:t>
            </w:r>
          </w:p>
        </w:tc>
        <w:tc>
          <w:tcPr>
            <w:tcW w:w="220" w:type="dxa"/>
            <w:vAlign w:val="bottom"/>
            <w:tcBorders>
              <w:right w:val="single" w:sz="8" w:color="E5E5E5"/>
            </w:tcBorders>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4040" w:type="dxa"/>
            <w:vAlign w:val="bottom"/>
          </w:tcPr>
          <w:p>
            <w:pPr>
              <w:spacing w:after="0" w:line="175" w:lineRule="exact"/>
              <w:rPr>
                <w:sz w:val="20"/>
                <w:szCs w:val="20"/>
                <w:color w:val="auto"/>
              </w:rPr>
            </w:pPr>
            <w:r>
              <w:rPr>
                <w:rFonts w:ascii="Arial" w:cs="Arial" w:eastAsia="Arial" w:hAnsi="Arial"/>
                <w:sz w:val="16"/>
                <w:szCs w:val="16"/>
                <w:color w:val="auto"/>
              </w:rPr>
              <w:t>Relative Total TSR</w:t>
            </w:r>
          </w:p>
        </w:tc>
        <w:tc>
          <w:tcPr>
            <w:tcW w:w="1040" w:type="dxa"/>
            <w:vAlign w:val="bottom"/>
          </w:tcPr>
          <w:p>
            <w:pPr>
              <w:jc w:val="right"/>
              <w:ind w:right="199"/>
              <w:spacing w:after="0" w:line="175" w:lineRule="exact"/>
              <w:rPr>
                <w:sz w:val="20"/>
                <w:szCs w:val="20"/>
                <w:color w:val="auto"/>
              </w:rPr>
            </w:pPr>
            <w:r>
              <w:rPr>
                <w:rFonts w:ascii="Arial" w:cs="Arial" w:eastAsia="Arial" w:hAnsi="Arial"/>
                <w:sz w:val="16"/>
                <w:szCs w:val="16"/>
                <w:color w:val="auto"/>
              </w:rPr>
              <w:t>34%</w:t>
            </w:r>
          </w:p>
        </w:tc>
        <w:tc>
          <w:tcPr>
            <w:tcW w:w="22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Arial" w:cs="Arial" w:eastAsia="Arial" w:hAnsi="Arial"/>
                <w:sz w:val="16"/>
                <w:szCs w:val="16"/>
                <w:color w:val="auto"/>
              </w:rPr>
              <w:t>5% &lt; Index</w:t>
            </w:r>
          </w:p>
        </w:tc>
        <w:tc>
          <w:tcPr>
            <w:tcW w:w="1240" w:type="dxa"/>
            <w:vAlign w:val="bottom"/>
          </w:tcPr>
          <w:p>
            <w:pPr>
              <w:jc w:val="center"/>
              <w:spacing w:after="0" w:line="175" w:lineRule="exact"/>
              <w:rPr>
                <w:sz w:val="20"/>
                <w:szCs w:val="20"/>
                <w:color w:val="auto"/>
              </w:rPr>
            </w:pPr>
            <w:r>
              <w:rPr>
                <w:rFonts w:ascii="Arial" w:cs="Arial" w:eastAsia="Arial" w:hAnsi="Arial"/>
                <w:sz w:val="16"/>
                <w:szCs w:val="16"/>
                <w:color w:val="auto"/>
              </w:rPr>
              <w:t>Index</w:t>
            </w:r>
          </w:p>
        </w:tc>
        <w:tc>
          <w:tcPr>
            <w:tcW w:w="1200" w:type="dxa"/>
            <w:vAlign w:val="bottom"/>
          </w:tcPr>
          <w:p>
            <w:pPr>
              <w:jc w:val="center"/>
              <w:spacing w:after="0" w:line="175" w:lineRule="exact"/>
              <w:rPr>
                <w:sz w:val="20"/>
                <w:szCs w:val="20"/>
                <w:color w:val="auto"/>
              </w:rPr>
            </w:pPr>
            <w:r>
              <w:rPr>
                <w:rFonts w:ascii="Arial" w:cs="Arial" w:eastAsia="Arial" w:hAnsi="Arial"/>
                <w:sz w:val="16"/>
                <w:szCs w:val="16"/>
                <w:color w:val="auto"/>
              </w:rPr>
              <w:t>5% &gt; Index</w:t>
            </w:r>
          </w:p>
        </w:tc>
        <w:tc>
          <w:tcPr>
            <w:tcW w:w="220" w:type="dxa"/>
            <w:vAlign w:val="bottom"/>
          </w:tcPr>
          <w:p>
            <w:pPr>
              <w:spacing w:after="0"/>
              <w:rPr>
                <w:sz w:val="15"/>
                <w:szCs w:val="15"/>
                <w:color w:val="auto"/>
              </w:rPr>
            </w:pPr>
          </w:p>
        </w:tc>
        <w:tc>
          <w:tcPr>
            <w:tcW w:w="1160" w:type="dxa"/>
            <w:vAlign w:val="bottom"/>
          </w:tcPr>
          <w:p>
            <w:pPr>
              <w:jc w:val="center"/>
              <w:spacing w:after="0" w:line="175" w:lineRule="exact"/>
              <w:rPr>
                <w:sz w:val="20"/>
                <w:szCs w:val="20"/>
                <w:color w:val="auto"/>
              </w:rPr>
            </w:pPr>
            <w:r>
              <w:rPr>
                <w:rFonts w:ascii="Arial" w:cs="Arial" w:eastAsia="Arial" w:hAnsi="Arial"/>
                <w:sz w:val="16"/>
                <w:szCs w:val="16"/>
                <w:color w:val="auto"/>
              </w:rPr>
              <w:t>0%</w:t>
            </w:r>
          </w:p>
        </w:tc>
        <w:tc>
          <w:tcPr>
            <w:tcW w:w="700" w:type="dxa"/>
            <w:vAlign w:val="bottom"/>
          </w:tcPr>
          <w:p>
            <w:pPr>
              <w:jc w:val="center"/>
              <w:spacing w:after="0" w:line="175" w:lineRule="exact"/>
              <w:rPr>
                <w:sz w:val="20"/>
                <w:szCs w:val="20"/>
                <w:color w:val="auto"/>
              </w:rPr>
            </w:pPr>
            <w:r>
              <w:rPr>
                <w:rFonts w:ascii="Arial" w:cs="Arial" w:eastAsia="Arial" w:hAnsi="Arial"/>
                <w:sz w:val="16"/>
                <w:szCs w:val="16"/>
                <w:color w:val="auto"/>
              </w:rPr>
              <w:t>0.0%</w:t>
            </w:r>
          </w:p>
        </w:tc>
        <w:tc>
          <w:tcPr>
            <w:tcW w:w="20" w:type="dxa"/>
            <w:vAlign w:val="bottom"/>
          </w:tcPr>
          <w:p>
            <w:pPr>
              <w:spacing w:after="0"/>
              <w:rPr>
                <w:sz w:val="15"/>
                <w:szCs w:val="15"/>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6"/>
                <w:szCs w:val="16"/>
                <w:color w:val="auto"/>
              </w:rPr>
              <w:t>FFO Multiple Premium</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5% Premium</w:t>
            </w:r>
          </w:p>
        </w:tc>
        <w:tc>
          <w:tcPr>
            <w:tcW w:w="1240" w:type="dxa"/>
            <w:vAlign w:val="bottom"/>
          </w:tcPr>
          <w:p>
            <w:pPr>
              <w:jc w:val="center"/>
              <w:spacing w:after="0"/>
              <w:rPr>
                <w:sz w:val="20"/>
                <w:szCs w:val="20"/>
                <w:color w:val="auto"/>
              </w:rPr>
            </w:pPr>
            <w:r>
              <w:rPr>
                <w:rFonts w:ascii="Arial" w:cs="Arial" w:eastAsia="Arial" w:hAnsi="Arial"/>
                <w:sz w:val="16"/>
                <w:szCs w:val="16"/>
                <w:color w:val="auto"/>
              </w:rPr>
              <w:t>15% Premium</w:t>
            </w:r>
          </w:p>
        </w:tc>
        <w:tc>
          <w:tcPr>
            <w:tcW w:w="1200" w:type="dxa"/>
            <w:vAlign w:val="bottom"/>
          </w:tcPr>
          <w:p>
            <w:pPr>
              <w:jc w:val="center"/>
              <w:spacing w:after="0"/>
              <w:rPr>
                <w:sz w:val="20"/>
                <w:szCs w:val="20"/>
                <w:color w:val="auto"/>
              </w:rPr>
            </w:pPr>
            <w:r>
              <w:rPr>
                <w:rFonts w:ascii="Arial" w:cs="Arial" w:eastAsia="Arial" w:hAnsi="Arial"/>
                <w:sz w:val="16"/>
                <w:szCs w:val="16"/>
                <w:color w:val="auto"/>
              </w:rPr>
              <w:t>20% Premium</w:t>
            </w:r>
          </w:p>
        </w:tc>
        <w:tc>
          <w:tcPr>
            <w:tcW w:w="1380" w:type="dxa"/>
            <w:vAlign w:val="bottom"/>
            <w:gridSpan w:val="2"/>
          </w:tcPr>
          <w:p>
            <w:pPr>
              <w:jc w:val="center"/>
              <w:ind w:left="159"/>
              <w:spacing w:after="0"/>
              <w:rPr>
                <w:sz w:val="20"/>
                <w:szCs w:val="20"/>
                <w:color w:val="auto"/>
              </w:rPr>
            </w:pPr>
            <w:r>
              <w:rPr>
                <w:rFonts w:ascii="Arial" w:cs="Arial" w:eastAsia="Arial" w:hAnsi="Arial"/>
                <w:sz w:val="16"/>
                <w:szCs w:val="16"/>
                <w:color w:val="auto"/>
              </w:rPr>
              <w:t>150%</w:t>
            </w:r>
          </w:p>
        </w:tc>
        <w:tc>
          <w:tcPr>
            <w:tcW w:w="700" w:type="dxa"/>
            <w:vAlign w:val="bottom"/>
          </w:tcPr>
          <w:p>
            <w:pPr>
              <w:jc w:val="center"/>
              <w:spacing w:after="0"/>
              <w:rPr>
                <w:sz w:val="20"/>
                <w:szCs w:val="20"/>
                <w:color w:val="auto"/>
              </w:rPr>
            </w:pPr>
            <w:r>
              <w:rPr>
                <w:rFonts w:ascii="Arial" w:cs="Arial" w:eastAsia="Arial" w:hAnsi="Arial"/>
                <w:sz w:val="16"/>
                <w:szCs w:val="16"/>
                <w:color w:val="auto"/>
              </w:rPr>
              <w:t>49.5%</w:t>
            </w:r>
          </w:p>
        </w:tc>
        <w:tc>
          <w:tcPr>
            <w:tcW w:w="20" w:type="dxa"/>
            <w:vAlign w:val="bottom"/>
          </w:tcPr>
          <w:p>
            <w:pPr>
              <w:spacing w:after="0"/>
              <w:rPr>
                <w:sz w:val="16"/>
                <w:szCs w:val="16"/>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Return on Invested Capital</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33%</w:t>
            </w:r>
          </w:p>
        </w:tc>
        <w:tc>
          <w:tcPr>
            <w:tcW w:w="1420" w:type="dxa"/>
            <w:vAlign w:val="bottom"/>
            <w:gridSpan w:val="2"/>
          </w:tcPr>
          <w:p>
            <w:pPr>
              <w:jc w:val="right"/>
              <w:ind w:right="259"/>
              <w:spacing w:after="0"/>
              <w:rPr>
                <w:sz w:val="20"/>
                <w:szCs w:val="20"/>
                <w:color w:val="auto"/>
              </w:rPr>
            </w:pPr>
            <w:r>
              <w:rPr>
                <w:rFonts w:ascii="Arial" w:cs="Arial" w:eastAsia="Arial" w:hAnsi="Arial"/>
                <w:sz w:val="16"/>
                <w:szCs w:val="16"/>
                <w:color w:val="auto"/>
              </w:rPr>
              <w:t>6.00%</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6.25%</w:t>
            </w: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6.50%</w:t>
            </w:r>
          </w:p>
        </w:tc>
        <w:tc>
          <w:tcPr>
            <w:tcW w:w="1380" w:type="dxa"/>
            <w:vAlign w:val="bottom"/>
            <w:gridSpan w:val="2"/>
          </w:tcPr>
          <w:p>
            <w:pPr>
              <w:jc w:val="center"/>
              <w:ind w:left="159"/>
              <w:spacing w:after="0"/>
              <w:rPr>
                <w:sz w:val="20"/>
                <w:szCs w:val="20"/>
                <w:color w:val="auto"/>
              </w:rPr>
            </w:pPr>
            <w:r>
              <w:rPr>
                <w:rFonts w:ascii="Arial" w:cs="Arial" w:eastAsia="Arial" w:hAnsi="Arial"/>
                <w:sz w:val="16"/>
                <w:szCs w:val="16"/>
                <w:color w:val="auto"/>
              </w:rPr>
              <w:t>150%</w:t>
            </w:r>
          </w:p>
        </w:tc>
        <w:tc>
          <w:tcPr>
            <w:tcW w:w="700" w:type="dxa"/>
            <w:vAlign w:val="bottom"/>
          </w:tcPr>
          <w:p>
            <w:pPr>
              <w:jc w:val="center"/>
              <w:spacing w:after="0"/>
              <w:rPr>
                <w:sz w:val="20"/>
                <w:szCs w:val="20"/>
                <w:color w:val="auto"/>
              </w:rPr>
            </w:pPr>
            <w:r>
              <w:rPr>
                <w:rFonts w:ascii="Arial" w:cs="Arial" w:eastAsia="Arial" w:hAnsi="Arial"/>
                <w:sz w:val="16"/>
                <w:szCs w:val="16"/>
                <w:color w:val="auto"/>
              </w:rPr>
              <w:t>49.5%</w:t>
            </w:r>
          </w:p>
        </w:tc>
        <w:tc>
          <w:tcPr>
            <w:tcW w:w="20" w:type="dxa"/>
            <w:vAlign w:val="bottom"/>
          </w:tcPr>
          <w:p>
            <w:pPr>
              <w:spacing w:after="0"/>
              <w:rPr>
                <w:sz w:val="17"/>
                <w:szCs w:val="17"/>
                <w:color w:val="auto"/>
              </w:rPr>
            </w:pPr>
          </w:p>
        </w:tc>
      </w:tr>
      <w:tr>
        <w:trPr>
          <w:trHeight w:val="183"/>
        </w:trPr>
        <w:tc>
          <w:tcPr>
            <w:tcW w:w="4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Final Payout</w:t>
            </w:r>
          </w:p>
        </w:tc>
        <w:tc>
          <w:tcPr>
            <w:tcW w:w="7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99.0%</w:t>
            </w:r>
          </w:p>
        </w:tc>
        <w:tc>
          <w:tcPr>
            <w:tcW w:w="20" w:type="dxa"/>
            <w:vAlign w:val="bottom"/>
            <w:tcBorders>
              <w:top w:val="single" w:sz="8" w:color="auto"/>
              <w:bottom w:val="single" w:sz="8" w:color="auto"/>
            </w:tcBorders>
            <w:shd w:val="clear" w:color="auto" w:fill="000000"/>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-745490</wp:posOffset>
            </wp:positionV>
            <wp:extent cx="35572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7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Compensation Committee has the right to increase or decrease each NEO’s award under our long-term incentive program by up to 20% to reflect individual performance and chose not to exercise that discretion for any of our NEOs in 2022. See the discussions on pages 26-27 for the factors considered by the Compensation Committee in determining the final long-term incentive awards payable to our NEOs for the 2020 through 2022 performance period.</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equity awards under our long-term incentive program are paid in the form of restricted shares that are issued after completion of the 3-year performance period and then vest equally over an additional period of 3 years from the date they are earned and issued. As a result, each NEO is required to hold all of their earned shares for 1 year after they have been earned, two-thirds of their earned shares for 2 years after they are earned and one-third of their earned shares for 3 years after they are earned.</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360" w:type="dxa"/>
            <w:vAlign w:val="bottom"/>
            <w:shd w:val="clear" w:color="auto" w:fill="FF160F"/>
          </w:tcPr>
          <w:p>
            <w:pPr>
              <w:ind w:left="1320"/>
              <w:spacing w:after="0"/>
              <w:rPr>
                <w:sz w:val="20"/>
                <w:szCs w:val="20"/>
                <w:color w:val="auto"/>
              </w:rPr>
            </w:pPr>
            <w:r>
              <w:rPr>
                <w:rFonts w:ascii="Arial" w:cs="Arial" w:eastAsia="Arial" w:hAnsi="Arial"/>
                <w:sz w:val="18"/>
                <w:szCs w:val="18"/>
                <w:b w:val="1"/>
                <w:bCs w:val="1"/>
                <w:color w:val="FFFFFF"/>
              </w:rPr>
              <w:t>Performance Period</w:t>
            </w:r>
          </w:p>
        </w:tc>
        <w:tc>
          <w:tcPr>
            <w:tcW w:w="3040" w:type="dxa"/>
            <w:vAlign w:val="bottom"/>
            <w:shd w:val="clear" w:color="auto" w:fill="FF160F"/>
          </w:tcPr>
          <w:p>
            <w:pPr>
              <w:ind w:left="760"/>
              <w:spacing w:after="0"/>
              <w:rPr>
                <w:sz w:val="20"/>
                <w:szCs w:val="20"/>
                <w:color w:val="auto"/>
              </w:rPr>
            </w:pPr>
            <w:r>
              <w:rPr>
                <w:rFonts w:ascii="Arial" w:cs="Arial" w:eastAsia="Arial" w:hAnsi="Arial"/>
                <w:sz w:val="18"/>
                <w:szCs w:val="18"/>
                <w:b w:val="1"/>
                <w:bCs w:val="1"/>
                <w:color w:val="FFFFFF"/>
              </w:rPr>
              <w:t>Award Earned</w:t>
            </w:r>
          </w:p>
        </w:tc>
        <w:tc>
          <w:tcPr>
            <w:tcW w:w="3620" w:type="dxa"/>
            <w:vAlign w:val="bottom"/>
            <w:shd w:val="clear" w:color="auto" w:fill="FF160F"/>
          </w:tcPr>
          <w:p>
            <w:pPr>
              <w:ind w:left="1100"/>
              <w:spacing w:after="0"/>
              <w:rPr>
                <w:sz w:val="20"/>
                <w:szCs w:val="20"/>
                <w:color w:val="auto"/>
              </w:rPr>
            </w:pPr>
            <w:r>
              <w:rPr>
                <w:rFonts w:ascii="Arial" w:cs="Arial" w:eastAsia="Arial" w:hAnsi="Arial"/>
                <w:sz w:val="18"/>
                <w:szCs w:val="18"/>
                <w:b w:val="1"/>
                <w:bCs w:val="1"/>
                <w:color w:val="FFFFFF"/>
              </w:rPr>
              <w:t>Shares Vest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0</wp:posOffset>
            </wp:positionV>
            <wp:extent cx="5186045" cy="3346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60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actual number of shares awarded to each of our NEOs is determined by dividing the amount of the award by the closing price of our shares on the NYSE on the date the awards are made.</w:t>
      </w:r>
    </w:p>
    <w:p>
      <w:pPr>
        <w:spacing w:after="0" w:line="15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There is no amount included in the Summary Compensation Table or Grants of Plan-Based Awards Table in this proxy statement for long-term incentive awards earned for the 2020-2022 performance period. Those amounts will be included in next year’s proxy statement. The long-term incentive awards included in the Summary Compensation Table and the Grants of Plan-Based Awards Table for our NEOs in this proxy statement relate to awards made in February 2022 for the 3-year performance period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79375</wp:posOffset>
            </wp:positionV>
            <wp:extent cx="701230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25</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160F"/>
        </w:rPr>
        <w:t>2022 N</w:t>
      </w:r>
      <w:r>
        <w:rPr>
          <w:rFonts w:ascii="Arial" w:cs="Arial" w:eastAsia="Arial" w:hAnsi="Arial"/>
          <w:sz w:val="17"/>
          <w:szCs w:val="17"/>
          <w:b w:val="1"/>
          <w:bCs w:val="1"/>
          <w:color w:val="FF160F"/>
        </w:rPr>
        <w:t>EO</w:t>
      </w:r>
      <w:r>
        <w:rPr>
          <w:rFonts w:ascii="Arial" w:cs="Arial" w:eastAsia="Arial" w:hAnsi="Arial"/>
          <w:sz w:val="22"/>
          <w:szCs w:val="22"/>
          <w:b w:val="1"/>
          <w:bCs w:val="1"/>
          <w:color w:val="FF160F"/>
        </w:rPr>
        <w:t xml:space="preserve"> P</w:t>
      </w:r>
      <w:r>
        <w:rPr>
          <w:rFonts w:ascii="Arial" w:cs="Arial" w:eastAsia="Arial" w:hAnsi="Arial"/>
          <w:sz w:val="17"/>
          <w:szCs w:val="17"/>
          <w:b w:val="1"/>
          <w:bCs w:val="1"/>
          <w:color w:val="FF160F"/>
        </w:rPr>
        <w:t>ERFORMANCE</w:t>
      </w:r>
      <w:r>
        <w:rPr>
          <w:rFonts w:ascii="Arial" w:cs="Arial" w:eastAsia="Arial" w:hAnsi="Arial"/>
          <w:sz w:val="22"/>
          <w:szCs w:val="22"/>
          <w:b w:val="1"/>
          <w:bCs w:val="1"/>
          <w:color w:val="FF160F"/>
        </w:rPr>
        <w:t xml:space="preserve"> S</w:t>
      </w:r>
      <w:r>
        <w:rPr>
          <w:rFonts w:ascii="Arial" w:cs="Arial" w:eastAsia="Arial" w:hAnsi="Arial"/>
          <w:sz w:val="17"/>
          <w:szCs w:val="17"/>
          <w:b w:val="1"/>
          <w:bCs w:val="1"/>
          <w:color w:val="FF160F"/>
        </w:rPr>
        <w:t>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Listed below are the individual performance achievements for each of our NEOs that the Compensation Committee considered to be instrumental in its determination to award each of our NEO’s the full amount of compensation he or she was eligible to receive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28721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287210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Donald C. Wood</w:t>
      </w:r>
    </w:p>
    <w:p>
      <w:pPr>
        <w:spacing w:after="0" w:line="1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2022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Base Pay</w:t>
            </w:r>
          </w:p>
        </w:tc>
        <w:tc>
          <w:tcPr>
            <w:tcW w:w="64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90"/>
        </w:trPr>
        <w:tc>
          <w:tcPr>
            <w:tcW w:w="25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Annual Bonus</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$1,875</w:t>
            </w:r>
          </w:p>
        </w:tc>
      </w:tr>
      <w:tr>
        <w:trPr>
          <w:trHeight w:val="220"/>
        </w:trPr>
        <w:tc>
          <w:tcPr>
            <w:tcW w:w="2520" w:type="dxa"/>
            <w:vAlign w:val="bottom"/>
            <w:tcBorders>
              <w:bottom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Long-Term Equity</w:t>
            </w:r>
          </w:p>
        </w:tc>
        <w:tc>
          <w:tcPr>
            <w:tcW w:w="6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$5,940</w:t>
            </w:r>
          </w:p>
        </w:tc>
      </w:tr>
      <w:tr>
        <w:trPr>
          <w:trHeight w:val="184"/>
        </w:trPr>
        <w:tc>
          <w:tcPr>
            <w:tcW w:w="2520" w:type="dxa"/>
            <w:vAlign w:val="bottom"/>
            <w:tcBorders>
              <w:top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$8,815</w:t>
            </w:r>
          </w:p>
        </w:tc>
      </w:tr>
      <w:tr>
        <w:trPr>
          <w:trHeight w:val="193"/>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Total as % of Target</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104%</w:t>
            </w:r>
          </w:p>
        </w:tc>
      </w:tr>
      <w:tr>
        <w:trPr>
          <w:trHeight w:val="1034"/>
        </w:trPr>
        <w:tc>
          <w:tcPr>
            <w:tcW w:w="252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2091690" cy="27863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91690" cy="2786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66"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Mr. Wood is responsible for setting and overseeing the Company’s strategic direction and priorities, delivering both short- and long-term financial results, setting the culture for the Company and setting direction for all aspects of corporate responsibility.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40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17745" cy="240030"/>
                    </a:xfrm>
                    <a:prstGeom prst="rect">
                      <a:avLst/>
                    </a:prstGeom>
                    <a:noFill/>
                  </pic:spPr>
                </pic:pic>
              </a:graphicData>
            </a:graphic>
          </wp:anchor>
        </w:drawing>
      </w:r>
    </w:p>
    <w:p>
      <w:pPr>
        <w:spacing w:after="0" w:line="123" w:lineRule="exact"/>
        <w:rPr>
          <w:sz w:val="20"/>
          <w:szCs w:val="20"/>
          <w:color w:val="auto"/>
        </w:rPr>
      </w:pPr>
    </w:p>
    <w:p>
      <w:pPr>
        <w:ind w:right="860"/>
        <w:spacing w:after="0" w:line="23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efforts to execute on our long-term strategy and objectives </w:t>
      </w:r>
      <w:r>
        <w:rPr>
          <w:rFonts w:ascii="MS PGothic" w:cs="MS PGothic" w:eastAsia="MS PGothic" w:hAnsi="MS PGothic"/>
          <w:sz w:val="18"/>
          <w:szCs w:val="18"/>
          <w:color w:val="auto"/>
        </w:rPr>
        <w:t>✓</w:t>
      </w:r>
      <w:r>
        <w:rPr>
          <w:rFonts w:ascii="Arial" w:cs="Arial" w:eastAsia="Arial" w:hAnsi="Arial"/>
          <w:sz w:val="18"/>
          <w:szCs w:val="18"/>
          <w:color w:val="auto"/>
        </w:rPr>
        <w:t xml:space="preserve">   Led our overall efforts that drove record level top line revenue</w:t>
      </w:r>
    </w:p>
    <w:p>
      <w:pPr>
        <w:spacing w:after="0" w:line="1" w:lineRule="exact"/>
        <w:rPr>
          <w:sz w:val="20"/>
          <w:szCs w:val="20"/>
          <w:color w:val="auto"/>
        </w:rPr>
      </w:pPr>
    </w:p>
    <w:p>
      <w:pPr>
        <w:ind w:right="1000"/>
        <w:spacing w:after="0" w:line="21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our strong leasing activity and significant increase in portfolio occupancy </w:t>
      </w:r>
      <w:r>
        <w:rPr>
          <w:rFonts w:ascii="MS PGothic" w:cs="MS PGothic" w:eastAsia="MS PGothic" w:hAnsi="MS PGothic"/>
          <w:sz w:val="18"/>
          <w:szCs w:val="18"/>
          <w:color w:val="auto"/>
        </w:rPr>
        <w:t>✓</w:t>
      </w:r>
      <w:r>
        <w:rPr>
          <w:rFonts w:ascii="Arial" w:cs="Arial" w:eastAsia="Arial" w:hAnsi="Arial"/>
          <w:sz w:val="18"/>
          <w:szCs w:val="18"/>
          <w:color w:val="auto"/>
        </w:rPr>
        <w:t xml:space="preserve">   Led our diversity, equity and inclusion initiatives</w:t>
      </w:r>
    </w:p>
    <w:p>
      <w:pPr>
        <w:spacing w:after="0" w:line="1" w:lineRule="exact"/>
        <w:rPr>
          <w:sz w:val="20"/>
          <w:szCs w:val="20"/>
          <w:color w:val="auto"/>
        </w:rPr>
      </w:pPr>
    </w:p>
    <w:p>
      <w:pPr>
        <w:ind w:left="360" w:right="18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continued advancement of overall strategy and objectives on environmental, social and governance initiatives</w:t>
      </w:r>
    </w:p>
    <w:p>
      <w:pPr>
        <w:spacing w:after="0" w:line="1" w:lineRule="exact"/>
        <w:rPr>
          <w:sz w:val="20"/>
          <w:szCs w:val="20"/>
          <w:color w:val="auto"/>
        </w:rPr>
      </w:pPr>
    </w:p>
    <w:p>
      <w:pPr>
        <w:ind w:left="360" w:right="52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decisions on capital recycling intended to create significant future value for our shareholders</w:t>
      </w:r>
    </w:p>
    <w:p>
      <w:pPr>
        <w:spacing w:after="0" w:line="1" w:lineRule="exact"/>
        <w:rPr>
          <w:sz w:val="20"/>
          <w:szCs w:val="20"/>
          <w:color w:val="auto"/>
        </w:rPr>
      </w:pPr>
    </w:p>
    <w:p>
      <w:pPr>
        <w:ind w:left="360" w:right="480" w:hanging="359"/>
        <w:spacing w:after="0" w:line="22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establishment of ESG initiatives as high level corporate priorities to support our overall business objectives</w:t>
      </w:r>
    </w:p>
    <w:p>
      <w:pPr>
        <w:spacing w:after="0" w:line="548" w:lineRule="exact"/>
        <w:rPr>
          <w:sz w:val="20"/>
          <w:szCs w:val="20"/>
          <w:color w:val="auto"/>
        </w:rPr>
      </w:pPr>
    </w:p>
    <w:p>
      <w:pPr>
        <w:sectPr>
          <w:pgSz w:w="11900" w:h="16838" w:orient="portrait"/>
          <w:cols w:equalWidth="0" w:num="2">
            <w:col w:w="3280" w:space="380"/>
            <w:col w:w="7460"/>
          </w:cols>
          <w:pgMar w:left="320" w:top="48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Jeffrey S. Berkes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2022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Base Pay</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650</w:t>
            </w:r>
          </w:p>
        </w:tc>
      </w:tr>
      <w:tr>
        <w:trPr>
          <w:trHeight w:val="190"/>
        </w:trPr>
        <w:tc>
          <w:tcPr>
            <w:tcW w:w="25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Annual Bonus</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813</w:t>
            </w:r>
          </w:p>
        </w:tc>
      </w:tr>
      <w:tr>
        <w:trPr>
          <w:trHeight w:val="220"/>
        </w:trPr>
        <w:tc>
          <w:tcPr>
            <w:tcW w:w="2520" w:type="dxa"/>
            <w:vAlign w:val="bottom"/>
            <w:tcBorders>
              <w:bottom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Long-Term Equity</w:t>
            </w:r>
          </w:p>
        </w:tc>
        <w:tc>
          <w:tcPr>
            <w:tcW w:w="3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990</w:t>
            </w:r>
          </w:p>
        </w:tc>
      </w:tr>
      <w:tr>
        <w:trPr>
          <w:trHeight w:val="184"/>
        </w:trPr>
        <w:tc>
          <w:tcPr>
            <w:tcW w:w="2520" w:type="dxa"/>
            <w:vAlign w:val="bottom"/>
            <w:tcBorders>
              <w:top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4"/>
                <w:szCs w:val="14"/>
                <w:color w:val="auto"/>
              </w:rPr>
              <w:t>$2,453</w:t>
            </w:r>
          </w:p>
        </w:tc>
      </w:tr>
      <w:tr>
        <w:trPr>
          <w:trHeight w:val="193"/>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Total as % of Target</w:t>
            </w:r>
          </w:p>
        </w:tc>
        <w:tc>
          <w:tcPr>
            <w:tcW w:w="6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107%</w:t>
            </w:r>
          </w:p>
        </w:tc>
      </w:tr>
      <w:tr>
        <w:trPr>
          <w:trHeight w:val="629"/>
        </w:trPr>
        <w:tc>
          <w:tcPr>
            <w:tcW w:w="25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30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146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817745" cy="214630"/>
                    </a:xfrm>
                    <a:prstGeom prst="rect">
                      <a:avLst/>
                    </a:prstGeom>
                    <a:noFill/>
                  </pic:spPr>
                </pic:pic>
              </a:graphicData>
            </a:graphic>
          </wp:anchor>
        </w:drawing>
      </w:r>
    </w:p>
    <w:p>
      <w:pPr>
        <w:spacing w:after="0" w:line="11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Berkes has overall responsibility for the performance of the Company’s operating assets, development and redevelopment projects as well as overall responsibility for property acquisitions and dispositions.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146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17745" cy="214630"/>
                    </a:xfrm>
                    <a:prstGeom prst="rect">
                      <a:avLst/>
                    </a:prstGeom>
                    <a:noFill/>
                  </pic:spPr>
                </pic:pic>
              </a:graphicData>
            </a:graphic>
          </wp:anchor>
        </w:drawing>
      </w:r>
    </w:p>
    <w:p>
      <w:pPr>
        <w:spacing w:after="0" w:line="163" w:lineRule="exact"/>
        <w:rPr>
          <w:sz w:val="20"/>
          <w:szCs w:val="20"/>
          <w:color w:val="auto"/>
        </w:rPr>
      </w:pPr>
    </w:p>
    <w:p>
      <w:pPr>
        <w:ind w:right="360"/>
        <w:spacing w:after="0" w:line="23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Oversaw Company-wide efforts that led to delivery of record level of top line revenue </w:t>
      </w: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capital recycling efforts with the sale of non-core, slower growing</w:t>
      </w:r>
    </w:p>
    <w:p>
      <w:pPr>
        <w:ind w:left="360" w:right="100"/>
        <w:spacing w:after="0" w:line="232" w:lineRule="auto"/>
        <w:rPr>
          <w:sz w:val="20"/>
          <w:szCs w:val="20"/>
          <w:color w:val="auto"/>
        </w:rPr>
      </w:pPr>
      <w:r>
        <w:rPr>
          <w:rFonts w:ascii="Arial" w:cs="Arial" w:eastAsia="Arial" w:hAnsi="Arial"/>
          <w:sz w:val="18"/>
          <w:szCs w:val="18"/>
          <w:color w:val="auto"/>
        </w:rPr>
        <w:t>properties totaling $136 million and investment of $526 million into new operating assets with better growth and value creation prospects</w:t>
      </w:r>
    </w:p>
    <w:p>
      <w:pPr>
        <w:spacing w:after="0" w:line="1" w:lineRule="exact"/>
        <w:rPr>
          <w:sz w:val="20"/>
          <w:szCs w:val="20"/>
          <w:color w:val="auto"/>
        </w:rPr>
      </w:pPr>
    </w:p>
    <w:p>
      <w:pPr>
        <w:ind w:left="360" w:right="42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Oversaw historically strong year of comparable space lease signings that will deliver $74 million of new revenue in the first year of the lease terms</w:t>
      </w:r>
    </w:p>
    <w:p>
      <w:pPr>
        <w:spacing w:after="0" w:line="1" w:lineRule="exact"/>
        <w:rPr>
          <w:sz w:val="20"/>
          <w:szCs w:val="20"/>
          <w:color w:val="auto"/>
        </w:rPr>
      </w:pPr>
    </w:p>
    <w:p>
      <w:pPr>
        <w:ind w:left="360" w:right="540" w:hanging="359"/>
        <w:spacing w:after="0" w:line="22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Oversaw leasing and construction efforts that resulted in year over year gain of 1.1 million square feet of portfolio occupancy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649605</wp:posOffset>
            </wp:positionV>
            <wp:extent cx="701230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040" w:lineRule="exact"/>
        <w:rPr>
          <w:sz w:val="20"/>
          <w:szCs w:val="20"/>
          <w:color w:val="auto"/>
        </w:rPr>
      </w:pPr>
    </w:p>
    <w:p>
      <w:pPr>
        <w:sectPr>
          <w:pgSz w:w="11900" w:h="16838" w:orient="portrait"/>
          <w:cols w:equalWidth="0" w:num="2">
            <w:col w:w="3280" w:space="380"/>
            <w:col w:w="7460"/>
          </w:cols>
          <w:pgMar w:left="320" w:top="482" w:right="459" w:bottom="1440" w:gutter="0" w:footer="0" w:header="0"/>
          <w:type w:val="continuous"/>
        </w:sect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26</w:t>
      </w:r>
    </w:p>
    <w:p>
      <w:pPr>
        <w:sectPr>
          <w:pgSz w:w="11900" w:h="16838" w:orient="portrait"/>
          <w:cols w:equalWidth="0" w:num="1">
            <w:col w:w="11120"/>
          </w:cols>
          <w:pgMar w:left="320" w:top="482" w:right="4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2091690" cy="28803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9169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Daniel Guglielmone</w:t>
      </w:r>
    </w:p>
    <w:p>
      <w:pPr>
        <w:spacing w:after="0" w:line="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Executive Vice President</w:t>
      </w:r>
    </w:p>
    <w:p>
      <w:pPr>
        <w:jc w:val="center"/>
        <w:ind w:left="1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2022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Base Pay</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575</w:t>
            </w:r>
          </w:p>
        </w:tc>
      </w:tr>
      <w:tr>
        <w:trPr>
          <w:trHeight w:val="190"/>
        </w:trPr>
        <w:tc>
          <w:tcPr>
            <w:tcW w:w="25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Annual Bonus</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719</w:t>
            </w:r>
          </w:p>
        </w:tc>
      </w:tr>
      <w:tr>
        <w:trPr>
          <w:trHeight w:val="220"/>
        </w:trPr>
        <w:tc>
          <w:tcPr>
            <w:tcW w:w="2520" w:type="dxa"/>
            <w:vAlign w:val="bottom"/>
            <w:tcBorders>
              <w:bottom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Long-Term Equity</w:t>
            </w:r>
          </w:p>
        </w:tc>
        <w:tc>
          <w:tcPr>
            <w:tcW w:w="3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990</w:t>
            </w:r>
          </w:p>
        </w:tc>
      </w:tr>
      <w:tr>
        <w:trPr>
          <w:trHeight w:val="184"/>
        </w:trPr>
        <w:tc>
          <w:tcPr>
            <w:tcW w:w="2520" w:type="dxa"/>
            <w:vAlign w:val="bottom"/>
            <w:tcBorders>
              <w:top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4"/>
                <w:szCs w:val="14"/>
                <w:color w:val="auto"/>
              </w:rPr>
              <w:t>$2,284</w:t>
            </w:r>
          </w:p>
        </w:tc>
      </w:tr>
      <w:tr>
        <w:trPr>
          <w:trHeight w:val="193"/>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Total as % of Target</w:t>
            </w:r>
          </w:p>
        </w:tc>
        <w:tc>
          <w:tcPr>
            <w:tcW w:w="6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106%</w:t>
            </w:r>
          </w:p>
        </w:tc>
      </w:tr>
      <w:tr>
        <w:trPr>
          <w:trHeight w:val="832"/>
        </w:trPr>
        <w:tc>
          <w:tcPr>
            <w:tcW w:w="25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30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2091690" cy="31457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9169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Dawn M. Becker</w:t>
      </w:r>
    </w:p>
    <w:p>
      <w:pPr>
        <w:spacing w:after="0" w:line="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Executive Vice President</w:t>
      </w:r>
    </w:p>
    <w:p>
      <w:pPr>
        <w:jc w:val="center"/>
        <w:ind w:left="12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2022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Base Pay</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575</w:t>
            </w:r>
          </w:p>
        </w:tc>
      </w:tr>
      <w:tr>
        <w:trPr>
          <w:trHeight w:val="190"/>
        </w:trPr>
        <w:tc>
          <w:tcPr>
            <w:tcW w:w="25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Annual Bonus</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719</w:t>
            </w:r>
          </w:p>
        </w:tc>
      </w:tr>
      <w:tr>
        <w:trPr>
          <w:trHeight w:val="220"/>
        </w:trPr>
        <w:tc>
          <w:tcPr>
            <w:tcW w:w="2520" w:type="dxa"/>
            <w:vAlign w:val="bottom"/>
            <w:tcBorders>
              <w:bottom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Long-Term Equity</w:t>
            </w:r>
          </w:p>
        </w:tc>
        <w:tc>
          <w:tcPr>
            <w:tcW w:w="3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990</w:t>
            </w:r>
          </w:p>
        </w:tc>
      </w:tr>
      <w:tr>
        <w:trPr>
          <w:trHeight w:val="184"/>
        </w:trPr>
        <w:tc>
          <w:tcPr>
            <w:tcW w:w="2520" w:type="dxa"/>
            <w:vAlign w:val="bottom"/>
            <w:tcBorders>
              <w:top w:val="single" w:sz="8" w:color="E5E5E5"/>
            </w:tcBorders>
            <w:shd w:val="clear" w:color="auto" w:fill="E5E5E5"/>
          </w:tcPr>
          <w:p>
            <w:pPr>
              <w:ind w:left="160"/>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4"/>
                <w:szCs w:val="14"/>
                <w:color w:val="auto"/>
              </w:rPr>
              <w:t>$2,284</w:t>
            </w:r>
          </w:p>
        </w:tc>
      </w:tr>
      <w:tr>
        <w:trPr>
          <w:trHeight w:val="193"/>
        </w:trPr>
        <w:tc>
          <w:tcPr>
            <w:tcW w:w="2520" w:type="dxa"/>
            <w:vAlign w:val="bottom"/>
            <w:shd w:val="clear" w:color="auto" w:fill="E5E5E5"/>
          </w:tcPr>
          <w:p>
            <w:pPr>
              <w:ind w:left="160"/>
              <w:spacing w:after="0"/>
              <w:rPr>
                <w:sz w:val="20"/>
                <w:szCs w:val="20"/>
                <w:color w:val="auto"/>
              </w:rPr>
            </w:pPr>
            <w:r>
              <w:rPr>
                <w:rFonts w:ascii="Arial" w:cs="Arial" w:eastAsia="Arial" w:hAnsi="Arial"/>
                <w:sz w:val="14"/>
                <w:szCs w:val="14"/>
                <w:color w:val="auto"/>
              </w:rPr>
              <w:t>Total as % of Target</w:t>
            </w:r>
          </w:p>
        </w:tc>
        <w:tc>
          <w:tcPr>
            <w:tcW w:w="6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106%</w:t>
            </w:r>
          </w:p>
        </w:tc>
      </w:tr>
      <w:tr>
        <w:trPr>
          <w:trHeight w:val="1237"/>
        </w:trPr>
        <w:tc>
          <w:tcPr>
            <w:tcW w:w="25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30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-804545</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14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17745" cy="214630"/>
                    </a:xfrm>
                    <a:prstGeom prst="rect">
                      <a:avLst/>
                    </a:prstGeom>
                    <a:noFill/>
                  </pic:spPr>
                </pic:pic>
              </a:graphicData>
            </a:graphic>
          </wp:anchor>
        </w:drawing>
      </w:r>
    </w:p>
    <w:p>
      <w:pPr>
        <w:spacing w:after="0" w:line="111"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Mr. Guglielmone has overall responsibility for all Company related financial activity including forecasting, reporting and capital allocation, in addition to management of investor relations activities and East Coast property transactions.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17745" cy="179705"/>
                    </a:xfrm>
                    <a:prstGeom prst="rect">
                      <a:avLst/>
                    </a:prstGeom>
                    <a:noFill/>
                  </pic:spPr>
                </pic:pic>
              </a:graphicData>
            </a:graphic>
          </wp:anchor>
        </w:drawing>
      </w:r>
    </w:p>
    <w:p>
      <w:pPr>
        <w:spacing w:after="0" w:line="28" w:lineRule="exact"/>
        <w:rPr>
          <w:sz w:val="20"/>
          <w:szCs w:val="20"/>
          <w:color w:val="auto"/>
        </w:rPr>
      </w:pPr>
    </w:p>
    <w:p>
      <w:pPr>
        <w:jc w:val="both"/>
        <w:ind w:left="360" w:right="60" w:hanging="359"/>
        <w:spacing w:after="0" w:line="221"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Co-led the Company’s capital recycling efforts with the sale of non-core, slower growing properties totaling $136 million and investment of $526 million into new operating assets with better growth and value creation prospects</w:t>
      </w:r>
    </w:p>
    <w:p>
      <w:pPr>
        <w:spacing w:after="0" w:line="1" w:lineRule="exact"/>
        <w:rPr>
          <w:sz w:val="20"/>
          <w:szCs w:val="20"/>
          <w:color w:val="auto"/>
        </w:rPr>
      </w:pPr>
    </w:p>
    <w:p>
      <w:pPr>
        <w:jc w:val="both"/>
        <w:ind w:left="360" w:right="6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Improved our overall liquidity by increasing borrowing capacity by $550 million through a restructure of both our line of credit and bank term loan</w:t>
      </w:r>
    </w:p>
    <w:p>
      <w:pPr>
        <w:spacing w:after="0" w:line="1" w:lineRule="exact"/>
        <w:rPr>
          <w:sz w:val="20"/>
          <w:szCs w:val="20"/>
          <w:color w:val="auto"/>
        </w:rPr>
      </w:pPr>
    </w:p>
    <w:p>
      <w:pPr>
        <w:jc w:val="both"/>
        <w:ind w:left="360" w:right="60" w:hanging="359"/>
        <w:spacing w:after="0" w:line="209"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Strengthened our balance sheet with the issuance of $346 million of equity under our ATM program including through strategic use of forward contracts and other timely sales</w:t>
      </w:r>
    </w:p>
    <w:p>
      <w:pPr>
        <w:spacing w:after="0" w:line="1" w:lineRule="exact"/>
        <w:rPr>
          <w:sz w:val="20"/>
          <w:szCs w:val="20"/>
          <w:color w:val="auto"/>
        </w:rPr>
      </w:pPr>
    </w:p>
    <w:p>
      <w:pPr>
        <w:ind w:left="360" w:right="540" w:hanging="359"/>
        <w:spacing w:after="0" w:line="28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financial efforts enabling the Company to increase our annual dividend rate to common shareholders for the 55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consecutive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17745" cy="214630"/>
                    </a:xfrm>
                    <a:prstGeom prst="rect">
                      <a:avLst/>
                    </a:prstGeom>
                    <a:noFill/>
                  </pic:spPr>
                </pic:pic>
              </a:graphicData>
            </a:graphic>
          </wp:anchor>
        </w:drawing>
      </w:r>
    </w:p>
    <w:p>
      <w:pPr>
        <w:spacing w:after="0" w:line="11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Ms. Becker has overall responsibility for all legal functions within the Company and heads all of our ESG efforts in addition to overseeing our Human Resources, Information Technology and other administrative functions.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-118745</wp:posOffset>
            </wp:positionV>
            <wp:extent cx="4817745"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17745" cy="188595"/>
                    </a:xfrm>
                    <a:prstGeom prst="rect">
                      <a:avLst/>
                    </a:prstGeom>
                    <a:noFill/>
                  </pic:spPr>
                </pic:pic>
              </a:graphicData>
            </a:graphic>
          </wp:anchor>
        </w:drawing>
      </w:r>
    </w:p>
    <w:p>
      <w:pPr>
        <w:spacing w:after="0" w:line="42" w:lineRule="exact"/>
        <w:rPr>
          <w:sz w:val="20"/>
          <w:szCs w:val="20"/>
          <w:color w:val="auto"/>
        </w:rPr>
      </w:pPr>
    </w:p>
    <w:p>
      <w:pPr>
        <w:ind w:left="360" w:hanging="359"/>
        <w:spacing w:after="0" w:line="221"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environmental, social and governance efforts, including achievement of our initial GHG reduction target, and establishment of more stringent, science-based targets for reduction of Scope 1 and 2 GHG emissions</w:t>
      </w:r>
    </w:p>
    <w:p>
      <w:pPr>
        <w:spacing w:after="0" w:line="1"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progress to date on reducing Scope 1 and 2 GHG emissions</w:t>
      </w:r>
    </w:p>
    <w:p>
      <w:pPr>
        <w:spacing w:after="0" w:line="9"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corporate sustainability reporting in line with the Global Reporting</w:t>
      </w:r>
    </w:p>
    <w:p>
      <w:pPr>
        <w:spacing w:after="0" w:line="13" w:lineRule="exact"/>
        <w:rPr>
          <w:sz w:val="20"/>
          <w:szCs w:val="20"/>
          <w:color w:val="auto"/>
        </w:rPr>
      </w:pPr>
    </w:p>
    <w:p>
      <w:pPr>
        <w:ind w:left="360" w:right="620"/>
        <w:spacing w:after="0" w:line="232" w:lineRule="auto"/>
        <w:rPr>
          <w:sz w:val="20"/>
          <w:szCs w:val="20"/>
          <w:color w:val="auto"/>
        </w:rPr>
      </w:pPr>
      <w:r>
        <w:rPr>
          <w:rFonts w:ascii="Arial" w:cs="Arial" w:eastAsia="Arial" w:hAnsi="Arial"/>
          <w:sz w:val="18"/>
          <w:szCs w:val="18"/>
          <w:color w:val="auto"/>
        </w:rPr>
        <w:t>Initiative, Task Force on Climate-Related Financial Disclosures and Sustainability Accounting Standards Board</w:t>
      </w:r>
    </w:p>
    <w:p>
      <w:pPr>
        <w:spacing w:after="0" w:line="1" w:lineRule="exact"/>
        <w:rPr>
          <w:sz w:val="20"/>
          <w:szCs w:val="20"/>
          <w:color w:val="auto"/>
        </w:rPr>
      </w:pPr>
    </w:p>
    <w:p>
      <w:pPr>
        <w:ind w:left="360" w:right="48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Oversaw employee efforts that resulted in continued strong employee engagement results and advancement of DE&amp;I initiatives</w:t>
      </w:r>
    </w:p>
    <w:p>
      <w:pPr>
        <w:spacing w:after="0" w:line="1" w:lineRule="exact"/>
        <w:rPr>
          <w:sz w:val="20"/>
          <w:szCs w:val="20"/>
          <w:color w:val="auto"/>
        </w:rPr>
      </w:pPr>
    </w:p>
    <w:p>
      <w:pPr>
        <w:ind w:left="360" w:right="220" w:hanging="359"/>
        <w:spacing w:after="0" w:line="22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continued technology system improvements and reporting to drive Company-wide efficiency and data availability and improved cyber security readiness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692785</wp:posOffset>
            </wp:positionV>
            <wp:extent cx="7012305"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108" w:lineRule="exact"/>
        <w:rPr>
          <w:sz w:val="20"/>
          <w:szCs w:val="20"/>
          <w:color w:val="auto"/>
        </w:rPr>
      </w:pPr>
    </w:p>
    <w:p>
      <w:pPr>
        <w:sectPr>
          <w:pgSz w:w="11900" w:h="16838" w:orient="portrait"/>
          <w:cols w:equalWidth="0" w:num="2">
            <w:col w:w="3280" w:space="380"/>
            <w:col w:w="7420"/>
          </w:cols>
          <w:pgMar w:left="320" w:top="482" w:right="499" w:bottom="1440" w:gutter="0" w:footer="0" w:header="0"/>
        </w:sect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27</w:t>
      </w:r>
    </w:p>
    <w:p>
      <w:pPr>
        <w:sectPr>
          <w:pgSz w:w="11900" w:h="16838" w:orient="portrait"/>
          <w:cols w:equalWidth="0" w:num="1">
            <w:col w:w="11080"/>
          </w:cols>
          <w:pgMar w:left="320" w:top="482" w:right="4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160F"/>
        </w:rPr>
        <w:t>O</w:t>
      </w:r>
      <w:r>
        <w:rPr>
          <w:rFonts w:ascii="Arial" w:cs="Arial" w:eastAsia="Arial" w:hAnsi="Arial"/>
          <w:sz w:val="17"/>
          <w:szCs w:val="17"/>
          <w:b w:val="1"/>
          <w:bCs w:val="1"/>
          <w:color w:val="FF160F"/>
        </w:rPr>
        <w:t>THER</w:t>
      </w:r>
      <w:r>
        <w:rPr>
          <w:rFonts w:ascii="Arial" w:cs="Arial" w:eastAsia="Arial" w:hAnsi="Arial"/>
          <w:sz w:val="22"/>
          <w:szCs w:val="22"/>
          <w:b w:val="1"/>
          <w:bCs w:val="1"/>
          <w:color w:val="FF160F"/>
        </w:rPr>
        <w:t xml:space="preserve"> C</w:t>
      </w:r>
      <w:r>
        <w:rPr>
          <w:rFonts w:ascii="Arial" w:cs="Arial" w:eastAsia="Arial" w:hAnsi="Arial"/>
          <w:sz w:val="17"/>
          <w:szCs w:val="17"/>
          <w:b w:val="1"/>
          <w:bCs w:val="1"/>
          <w:color w:val="FF160F"/>
        </w:rPr>
        <w:t>OMPENSATION</w:t>
      </w:r>
      <w:r>
        <w:rPr>
          <w:rFonts w:ascii="Arial" w:cs="Arial" w:eastAsia="Arial" w:hAnsi="Arial"/>
          <w:sz w:val="22"/>
          <w:szCs w:val="22"/>
          <w:b w:val="1"/>
          <w:bCs w:val="1"/>
          <w:color w:val="FF160F"/>
        </w:rPr>
        <w:t xml:space="preserve"> P</w:t>
      </w:r>
      <w:r>
        <w:rPr>
          <w:rFonts w:ascii="Arial" w:cs="Arial" w:eastAsia="Arial" w:hAnsi="Arial"/>
          <w:sz w:val="17"/>
          <w:szCs w:val="17"/>
          <w:b w:val="1"/>
          <w:bCs w:val="1"/>
          <w:color w:val="FF160F"/>
        </w:rPr>
        <w:t>RACTICES AND</w:t>
      </w:r>
      <w:r>
        <w:rPr>
          <w:rFonts w:ascii="Arial" w:cs="Arial" w:eastAsia="Arial" w:hAnsi="Arial"/>
          <w:sz w:val="22"/>
          <w:szCs w:val="22"/>
          <w:b w:val="1"/>
          <w:bCs w:val="1"/>
          <w:color w:val="FF160F"/>
        </w:rPr>
        <w:t xml:space="preserve"> P</w:t>
      </w:r>
      <w:r>
        <w:rPr>
          <w:rFonts w:ascii="Arial" w:cs="Arial" w:eastAsia="Arial" w:hAnsi="Arial"/>
          <w:sz w:val="17"/>
          <w:szCs w:val="17"/>
          <w:b w:val="1"/>
          <w:bCs w:val="1"/>
          <w:color w:val="FF160F"/>
        </w:rPr>
        <w:t>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1" w:lineRule="exact"/>
        <w:rPr>
          <w:sz w:val="20"/>
          <w:szCs w:val="20"/>
          <w:color w:val="auto"/>
        </w:rPr>
      </w:pPr>
    </w:p>
    <w:p>
      <w:pPr>
        <w:ind w:left="540" w:hanging="424"/>
        <w:spacing w:after="0"/>
        <w:tabs>
          <w:tab w:leader="none" w:pos="540" w:val="left"/>
        </w:tabs>
        <w:numPr>
          <w:ilvl w:val="0"/>
          <w:numId w:val="56"/>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CONSIDERATION OF SAY ON PAY VOTE</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Company conducts an annual “say on pay” vote to approve executive compensation. At the 2022 annual meeting of shareholders, approximately 94% of the shares voted were in support of the compensation paid to our NEOs. Although the vote is advisory and non-binding on the Board, the Compensation Committee regularly considers the results of this vote in evaluating the Company’s compensation programs, including for 2022 compensation. In light of the feedback from our shareholders and the Committee’s evaluation, the Compensation Committee concluded that the Company provides executive competitive programs that effectively attract, motivate, reward and retain executives in a manner aligned with our shareholder interests and made no material changes to our executive compensation programs for 2022.</w:t>
      </w:r>
    </w:p>
    <w:p>
      <w:pPr>
        <w:spacing w:after="0" w:line="212" w:lineRule="exact"/>
        <w:rPr>
          <w:sz w:val="20"/>
          <w:szCs w:val="20"/>
          <w:color w:val="auto"/>
        </w:rPr>
      </w:pPr>
    </w:p>
    <w:p>
      <w:pPr>
        <w:ind w:left="540" w:hanging="424"/>
        <w:spacing w:after="0"/>
        <w:tabs>
          <w:tab w:leader="none" w:pos="540" w:val="left"/>
        </w:tabs>
        <w:numPr>
          <w:ilvl w:val="0"/>
          <w:numId w:val="5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NO HEDGING OR PLEDGING OF OUR SHARES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Company prohibits all officers and Trustees from engaging in short sales of our securities, establishing margin accounts, pledging our securities as collateral for a loan, buying or selling puts or calls on our securities or otherwise engaging in hedging transactions (such as zero-cost dollars, exchange funds, and forward sale contracts) involving our securities.</w:t>
      </w:r>
    </w:p>
    <w:p>
      <w:pPr>
        <w:spacing w:after="0" w:line="196" w:lineRule="exact"/>
        <w:rPr>
          <w:sz w:val="20"/>
          <w:szCs w:val="20"/>
          <w:color w:val="auto"/>
        </w:rPr>
      </w:pPr>
    </w:p>
    <w:p>
      <w:pPr>
        <w:ind w:left="540" w:hanging="424"/>
        <w:spacing w:after="0"/>
        <w:tabs>
          <w:tab w:leader="none" w:pos="540" w:val="left"/>
        </w:tabs>
        <w:numPr>
          <w:ilvl w:val="0"/>
          <w:numId w:val="5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SEVERANCE AND CHANGE-IN-CONTROL ARRANGEMENTS</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We do not have employment agreements in place with any of our NEOs or any other employee which provides the Compensation Committee with maximum flexibility to modify compensation as warranted based on market conditions and Company considerations. We do, however, have in place with each of our NEOs a severance agreement that provides for certain payments and benefits to be provided to the NEO if he/she is terminated from employment under the conditions set forth in those agreements. The circumstances in which payments may be made and the potential amounts of those payments are described in more detail in the “Potential Payments on Termination of Employment and Change-in-Control” section below. We believe that the payments provided for in these agreements are consistent with market and important as part of the total compensation packages available for our NEOs.</w:t>
      </w:r>
    </w:p>
    <w:p>
      <w:pPr>
        <w:spacing w:after="0" w:line="212" w:lineRule="exact"/>
        <w:rPr>
          <w:sz w:val="20"/>
          <w:szCs w:val="20"/>
          <w:color w:val="auto"/>
        </w:rPr>
      </w:pPr>
    </w:p>
    <w:p>
      <w:pPr>
        <w:ind w:left="540" w:hanging="424"/>
        <w:spacing w:after="0"/>
        <w:tabs>
          <w:tab w:leader="none" w:pos="540" w:val="left"/>
        </w:tabs>
        <w:numPr>
          <w:ilvl w:val="0"/>
          <w:numId w:val="5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CLAWBACK POLICY</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We have a clawback policy that provides for the return from an NEO of performance based compensation if that NEO has engaged in fraud or grossly negligent misconduct that results in us having to issue a restatement of financial results to correct material non-compliance with reporting requirements and the performance compensation paid to that NEO is more than it would have been based on the restated financial results. We will revise our clawback policy to comply with Rule 10D-1 under the Securities Exchange Act of 1934 adopted by the SEC in October 2022 once final rules are adopted by the NYSE.</w:t>
      </w:r>
    </w:p>
    <w:p>
      <w:pPr>
        <w:spacing w:after="0" w:line="203" w:lineRule="exact"/>
        <w:rPr>
          <w:sz w:val="20"/>
          <w:szCs w:val="20"/>
          <w:color w:val="auto"/>
        </w:rPr>
      </w:pPr>
    </w:p>
    <w:p>
      <w:pPr>
        <w:ind w:left="540" w:hanging="424"/>
        <w:spacing w:after="0"/>
        <w:tabs>
          <w:tab w:leader="none" w:pos="540" w:val="left"/>
        </w:tabs>
        <w:numPr>
          <w:ilvl w:val="0"/>
          <w:numId w:val="6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SHARE OWNERSHIP GUIDELINES</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We maintain guidelines requiring each of our NEOs as well as other executive vice presidents to maintain a specific level of ownership of our shares as shown below. These guidelines are intended to link the interests of our NEOs and other vice presidents with the interests of our shareholders. Each individual subject to these guidelines has five years to achieve the required level of ownership after becoming subject to the guidelines.</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Compliance with our ownership guidelines gets measured and reviewed by the Board at the end of each fiscal year and the ownership level of each of our NEOs as of December 31, 2022 is shown below based on the closing price of our shares on December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66675</wp:posOffset>
            </wp:positionV>
            <wp:extent cx="7012305"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28</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3771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Our NEOs were in compliance with our equity ownership requirements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317500</wp:posOffset>
            </wp:positionV>
            <wp:extent cx="5186045" cy="12084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hanging="424"/>
        <w:spacing w:after="0"/>
        <w:tabs>
          <w:tab w:leader="none" w:pos="540" w:val="left"/>
        </w:tabs>
        <w:numPr>
          <w:ilvl w:val="0"/>
          <w:numId w:val="61"/>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RISK ASSESSMENT OF COMPENSATION PROGRAMS</w:t>
      </w:r>
    </w:p>
    <w:p>
      <w:pPr>
        <w:spacing w:after="0" w:line="212"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Compensation Committee completed its last annual review of our compensation programs and policies from a risk perspective in February 2023. The Compensation Committee does not believe that our programs encourage unnecessary or excessive risk or are likely to have a material adverse effect on the Company. Our compensation programs use both short- and long-term incentives with different metrics driven by corporate performance, and have differing performance requirements. Further, we have in place policies to mitigate risk including robust stock ownership requirements and vesting periods on equity awards made as part of our compensation programs.</w:t>
      </w:r>
    </w:p>
    <w:p>
      <w:pPr>
        <w:spacing w:after="0" w:line="203" w:lineRule="exact"/>
        <w:rPr>
          <w:sz w:val="20"/>
          <w:szCs w:val="20"/>
          <w:color w:val="auto"/>
        </w:rPr>
      </w:pPr>
    </w:p>
    <w:p>
      <w:pPr>
        <w:ind w:left="540" w:hanging="424"/>
        <w:spacing w:after="0"/>
        <w:tabs>
          <w:tab w:leader="none" w:pos="540" w:val="left"/>
        </w:tabs>
        <w:numPr>
          <w:ilvl w:val="0"/>
          <w:numId w:val="62"/>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EQUITY GRANT PRACTICES</w:t>
      </w:r>
    </w:p>
    <w:p>
      <w:pPr>
        <w:spacing w:after="0" w:line="212"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We do not have a practice or policy of timing our equity grants relative to the release of material non-public information. All of our options have an exercise price equal to the closing price of our shares on the date of grant and our 2020 Performance Incentive Plan expressly prohibits any repricing of options. The Compensation Committee has delegated to our CEO, in his capacity as a Trustee, authority to make equity awards to non-executive officers, subject to various limitations set forth in the delegation.</w:t>
      </w:r>
    </w:p>
    <w:p>
      <w:pPr>
        <w:spacing w:after="0" w:line="201" w:lineRule="exact"/>
        <w:rPr>
          <w:sz w:val="20"/>
          <w:szCs w:val="20"/>
          <w:color w:val="auto"/>
        </w:rPr>
      </w:pPr>
    </w:p>
    <w:p>
      <w:pPr>
        <w:ind w:left="540" w:hanging="424"/>
        <w:spacing w:after="0"/>
        <w:tabs>
          <w:tab w:leader="none" w:pos="540" w:val="left"/>
        </w:tabs>
        <w:numPr>
          <w:ilvl w:val="0"/>
          <w:numId w:val="63"/>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TAX DEDUCTIBILITY OF EXECUTIVE COMPENSATION</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Section 162(m) of the Internal Revenue Code generally limits deductibility of compensation paid to our NEOs to $1 million. Although the Compensation Committee considers the impact of Section 162(m) in structuring compensation programs; the primary focus is on creating programs and compensation packages that address the needs and objectives of the Company regardless of the impact of Section 162(m). As a result, the Compensation Committee has made and may continue to make awards and to structure programs that are non-deductible under Section 162(m).</w:t>
      </w:r>
    </w:p>
    <w:p>
      <w:pPr>
        <w:spacing w:after="0" w:line="203" w:lineRule="exact"/>
        <w:rPr>
          <w:sz w:val="20"/>
          <w:szCs w:val="20"/>
          <w:color w:val="auto"/>
        </w:rPr>
      </w:pPr>
    </w:p>
    <w:p>
      <w:pPr>
        <w:ind w:left="540" w:hanging="424"/>
        <w:spacing w:after="0"/>
        <w:tabs>
          <w:tab w:leader="none" w:pos="540" w:val="left"/>
        </w:tabs>
        <w:numPr>
          <w:ilvl w:val="0"/>
          <w:numId w:val="64"/>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HEALTH AND WELFARE BENEFITS</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provide health and welfare perquisites to our NEOs on the same basis as we provide those benefits to all employees. These benefits are competitive with those offered by companies with whom we compete for talent and provide another tool that allows us to attract and retain talented executives. Since 2005, we have agreed to provide to Mr. Wood, his spouse and one of his children continuation of health coverage after Mr. Wood’s termination upon death, disability, retirement, change in control or otherwise (other than a termination with cause or resignation). This coverage will continue as to Mr. Wood and his spouse until their death, or with respect to his spouse until divorce, if earlier, and coverage continues for one of Mr. Wood’s children until death. We are required to provide coverage of at least the same level as provided to Mr. Wood and his family at the time of his termination and such coverage will be secondary to certain other coverages that may be available to Mr. Wood and his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83185</wp:posOffset>
            </wp:positionV>
            <wp:extent cx="7012305"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9"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29</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160F"/>
        </w:rPr>
        <w:t>C</w:t>
      </w:r>
      <w:r>
        <w:rPr>
          <w:rFonts w:ascii="Arial" w:cs="Arial" w:eastAsia="Arial" w:hAnsi="Arial"/>
          <w:sz w:val="17"/>
          <w:szCs w:val="17"/>
          <w:b w:val="1"/>
          <w:bCs w:val="1"/>
          <w:color w:val="FF160F"/>
        </w:rPr>
        <w:t>OMPENSATION</w:t>
      </w:r>
      <w:r>
        <w:rPr>
          <w:rFonts w:ascii="Arial" w:cs="Arial" w:eastAsia="Arial" w:hAnsi="Arial"/>
          <w:sz w:val="22"/>
          <w:szCs w:val="22"/>
          <w:b w:val="1"/>
          <w:bCs w:val="1"/>
          <w:color w:val="FF160F"/>
        </w:rPr>
        <w:t xml:space="preserve"> C</w:t>
      </w:r>
      <w:r>
        <w:rPr>
          <w:rFonts w:ascii="Arial" w:cs="Arial" w:eastAsia="Arial" w:hAnsi="Arial"/>
          <w:sz w:val="17"/>
          <w:szCs w:val="17"/>
          <w:b w:val="1"/>
          <w:bCs w:val="1"/>
          <w:color w:val="FF160F"/>
        </w:rPr>
        <w:t>OMMITTEE</w:t>
      </w:r>
      <w:r>
        <w:rPr>
          <w:rFonts w:ascii="Arial" w:cs="Arial" w:eastAsia="Arial" w:hAnsi="Arial"/>
          <w:sz w:val="22"/>
          <w:szCs w:val="22"/>
          <w:b w:val="1"/>
          <w:bCs w:val="1"/>
          <w:color w:val="FF160F"/>
        </w:rPr>
        <w:t xml:space="preserve"> R</w:t>
      </w:r>
      <w:r>
        <w:rPr>
          <w:rFonts w:ascii="Arial" w:cs="Arial" w:eastAsia="Arial" w:hAnsi="Arial"/>
          <w:sz w:val="17"/>
          <w:szCs w:val="17"/>
          <w:b w:val="1"/>
          <w:bCs w:val="1"/>
          <w:color w:val="FF160F"/>
        </w:rPr>
        <w:t>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Compensation Committee of the Board has reviewed and discussed the CD&amp;A required by Item 402(b) of Regulation S-K with management and, based on such review and discussion, the Compensation Committee recommended to the Board that the CD&amp;A be included in this Proxy Statement.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Elizabeth I. Holland, Chairperson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Nicole Y. Lamb-Hale</w:t>
      </w:r>
    </w:p>
    <w:p>
      <w:pPr>
        <w:ind w:left="120"/>
        <w:spacing w:after="0" w:line="234" w:lineRule="auto"/>
        <w:rPr>
          <w:sz w:val="20"/>
          <w:szCs w:val="20"/>
          <w:color w:val="auto"/>
        </w:rPr>
      </w:pPr>
      <w:r>
        <w:rPr>
          <w:rFonts w:ascii="Arial" w:cs="Arial" w:eastAsia="Arial" w:hAnsi="Arial"/>
          <w:sz w:val="18"/>
          <w:szCs w:val="18"/>
          <w:color w:val="auto"/>
        </w:rPr>
        <w:t>Thomas A. McEachin (as of October 1, 2022)</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Gail P. Steinel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92075</wp:posOffset>
            </wp:positionV>
            <wp:extent cx="701230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43"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30</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36" w:name="page37"/>
    <w:bookmarkEnd w:id="36"/>
    <w:p>
      <w:pPr>
        <w:ind w:left="1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123190</wp:posOffset>
            </wp:positionV>
            <wp:extent cx="699516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34290"/>
                    </a:xfrm>
                    <a:prstGeom prst="rect">
                      <a:avLst/>
                    </a:prstGeom>
                    <a:noFill/>
                  </pic:spPr>
                </pic:pic>
              </a:graphicData>
            </a:graphic>
          </wp:anchor>
        </w:drawing>
        <w:t>Compensation Tables and Narratives</w:t>
      </w:r>
    </w:p>
    <w:p>
      <w:pPr>
        <w:spacing w:after="0" w:line="237" w:lineRule="exact"/>
        <w:rPr>
          <w:sz w:val="20"/>
          <w:szCs w:val="20"/>
          <w:color w:val="auto"/>
        </w:rPr>
      </w:pPr>
    </w:p>
    <w:p>
      <w:pPr>
        <w:ind w:left="344" w:hanging="344"/>
        <w:spacing w:after="0"/>
        <w:tabs>
          <w:tab w:leader="none" w:pos="344" w:val="left"/>
        </w:tabs>
        <w:numPr>
          <w:ilvl w:val="0"/>
          <w:numId w:val="65"/>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SUMMARY COMPENSATION TABLE</w:t>
      </w:r>
    </w:p>
    <w:p>
      <w:pPr>
        <w:spacing w:after="0" w:line="225" w:lineRule="exact"/>
        <w:rPr>
          <w:sz w:val="20"/>
          <w:szCs w:val="20"/>
          <w:color w:val="auto"/>
        </w:rPr>
      </w:pPr>
    </w:p>
    <w:p>
      <w:pPr>
        <w:ind w:left="4" w:right="20"/>
        <w:spacing w:after="0" w:line="271" w:lineRule="auto"/>
        <w:rPr>
          <w:sz w:val="20"/>
          <w:szCs w:val="20"/>
          <w:color w:val="auto"/>
        </w:rPr>
      </w:pPr>
      <w:r>
        <w:rPr>
          <w:rFonts w:ascii="Arial" w:cs="Arial" w:eastAsia="Arial" w:hAnsi="Arial"/>
          <w:sz w:val="18"/>
          <w:szCs w:val="18"/>
          <w:color w:val="auto"/>
        </w:rPr>
        <w:t>The table below summarizes the total compensation earned by or paid to the individuals who were NEOs for the fiscal years ended December 31, 2022, 2021 and 2020. All amounts are calculated in accordance with current SEC rules.</w:t>
      </w:r>
    </w:p>
    <w:p>
      <w:pPr>
        <w:spacing w:after="0" w:line="329"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280" w:type="dxa"/>
            <w:vAlign w:val="bottom"/>
            <w:shd w:val="clear" w:color="auto" w:fill="FF160F"/>
          </w:tcPr>
          <w:p>
            <w:pPr>
              <w:spacing w:after="0"/>
              <w:rPr>
                <w:sz w:val="13"/>
                <w:szCs w:val="13"/>
                <w:color w:val="auto"/>
              </w:rPr>
            </w:pPr>
          </w:p>
        </w:tc>
        <w:tc>
          <w:tcPr>
            <w:tcW w:w="580" w:type="dxa"/>
            <w:vAlign w:val="bottom"/>
            <w:shd w:val="clear" w:color="auto" w:fill="FF160F"/>
          </w:tcPr>
          <w:p>
            <w:pPr>
              <w:spacing w:after="0"/>
              <w:rPr>
                <w:sz w:val="13"/>
                <w:szCs w:val="13"/>
                <w:color w:val="auto"/>
              </w:rPr>
            </w:pPr>
          </w:p>
        </w:tc>
        <w:tc>
          <w:tcPr>
            <w:tcW w:w="320" w:type="dxa"/>
            <w:vAlign w:val="bottom"/>
            <w:shd w:val="clear" w:color="auto" w:fill="FF160F"/>
          </w:tcPr>
          <w:p>
            <w:pPr>
              <w:spacing w:after="0"/>
              <w:rPr>
                <w:sz w:val="13"/>
                <w:szCs w:val="13"/>
                <w:color w:val="auto"/>
              </w:rPr>
            </w:pPr>
          </w:p>
        </w:tc>
        <w:tc>
          <w:tcPr>
            <w:tcW w:w="82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700" w:type="dxa"/>
            <w:vAlign w:val="bottom"/>
            <w:shd w:val="clear" w:color="auto" w:fill="FF160F"/>
          </w:tcPr>
          <w:p>
            <w:pPr>
              <w:spacing w:after="0"/>
              <w:rPr>
                <w:sz w:val="13"/>
                <w:szCs w:val="13"/>
                <w:color w:val="auto"/>
              </w:rPr>
            </w:pPr>
          </w:p>
        </w:tc>
        <w:tc>
          <w:tcPr>
            <w:tcW w:w="340" w:type="dxa"/>
            <w:vAlign w:val="bottom"/>
            <w:shd w:val="clear" w:color="auto" w:fill="FF160F"/>
          </w:tcPr>
          <w:p>
            <w:pPr>
              <w:spacing w:after="0"/>
              <w:rPr>
                <w:sz w:val="13"/>
                <w:szCs w:val="13"/>
                <w:color w:val="auto"/>
              </w:rPr>
            </w:pPr>
          </w:p>
        </w:tc>
        <w:tc>
          <w:tcPr>
            <w:tcW w:w="84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1220" w:type="dxa"/>
            <w:vAlign w:val="bottom"/>
            <w:shd w:val="clear" w:color="auto" w:fill="FF160F"/>
          </w:tcPr>
          <w:p>
            <w:pPr>
              <w:jc w:val="right"/>
              <w:ind w:right="357"/>
              <w:spacing w:after="0"/>
              <w:rPr>
                <w:sz w:val="20"/>
                <w:szCs w:val="20"/>
                <w:color w:val="auto"/>
              </w:rPr>
            </w:pPr>
            <w:r>
              <w:rPr>
                <w:rFonts w:ascii="Arial" w:cs="Arial" w:eastAsia="Arial" w:hAnsi="Arial"/>
                <w:sz w:val="13"/>
                <w:szCs w:val="13"/>
                <w:b w:val="1"/>
                <w:bCs w:val="1"/>
                <w:color w:val="EAEFED"/>
              </w:rPr>
              <w:t>Non-Equity</w:t>
            </w:r>
          </w:p>
        </w:tc>
        <w:tc>
          <w:tcPr>
            <w:tcW w:w="380" w:type="dxa"/>
            <w:vAlign w:val="bottom"/>
            <w:shd w:val="clear" w:color="auto" w:fill="FF160F"/>
          </w:tcPr>
          <w:p>
            <w:pPr>
              <w:spacing w:after="0"/>
              <w:rPr>
                <w:sz w:val="13"/>
                <w:szCs w:val="13"/>
                <w:color w:val="auto"/>
              </w:rPr>
            </w:pPr>
          </w:p>
        </w:tc>
        <w:tc>
          <w:tcPr>
            <w:tcW w:w="840" w:type="dxa"/>
            <w:vAlign w:val="bottom"/>
            <w:vMerge w:val="restart"/>
            <w:shd w:val="clear" w:color="auto" w:fill="FF160F"/>
          </w:tcPr>
          <w:p>
            <w:pPr>
              <w:jc w:val="right"/>
              <w:ind w:right="57"/>
              <w:spacing w:after="0"/>
              <w:rPr>
                <w:sz w:val="20"/>
                <w:szCs w:val="20"/>
                <w:color w:val="auto"/>
              </w:rPr>
            </w:pPr>
            <w:r>
              <w:rPr>
                <w:rFonts w:ascii="Arial" w:cs="Arial" w:eastAsia="Arial" w:hAnsi="Arial"/>
                <w:sz w:val="13"/>
                <w:szCs w:val="13"/>
                <w:b w:val="1"/>
                <w:bCs w:val="1"/>
                <w:color w:val="EAEFED"/>
              </w:rPr>
              <w:t>All Other</w:t>
            </w:r>
          </w:p>
        </w:tc>
        <w:tc>
          <w:tcPr>
            <w:tcW w:w="340" w:type="dxa"/>
            <w:vAlign w:val="bottom"/>
            <w:shd w:val="clear" w:color="auto" w:fill="FF160F"/>
          </w:tcPr>
          <w:p>
            <w:pPr>
              <w:spacing w:after="0"/>
              <w:rPr>
                <w:sz w:val="13"/>
                <w:szCs w:val="13"/>
                <w:color w:val="auto"/>
              </w:rPr>
            </w:pPr>
          </w:p>
        </w:tc>
        <w:tc>
          <w:tcPr>
            <w:tcW w:w="760" w:type="dxa"/>
            <w:vAlign w:val="bottom"/>
            <w:shd w:val="clear" w:color="auto" w:fill="FF160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FF160F"/>
          </w:tcPr>
          <w:p>
            <w:pPr>
              <w:spacing w:after="0"/>
              <w:rPr>
                <w:sz w:val="13"/>
                <w:szCs w:val="13"/>
                <w:color w:val="auto"/>
              </w:rPr>
            </w:pPr>
          </w:p>
        </w:tc>
        <w:tc>
          <w:tcPr>
            <w:tcW w:w="580" w:type="dxa"/>
            <w:vAlign w:val="bottom"/>
            <w:shd w:val="clear" w:color="auto" w:fill="FF160F"/>
          </w:tcPr>
          <w:p>
            <w:pPr>
              <w:spacing w:after="0"/>
              <w:rPr>
                <w:sz w:val="13"/>
                <w:szCs w:val="13"/>
                <w:color w:val="auto"/>
              </w:rPr>
            </w:pPr>
          </w:p>
        </w:tc>
        <w:tc>
          <w:tcPr>
            <w:tcW w:w="320" w:type="dxa"/>
            <w:vAlign w:val="bottom"/>
            <w:shd w:val="clear" w:color="auto" w:fill="FF160F"/>
          </w:tcPr>
          <w:p>
            <w:pPr>
              <w:spacing w:after="0"/>
              <w:rPr>
                <w:sz w:val="13"/>
                <w:szCs w:val="13"/>
                <w:color w:val="auto"/>
              </w:rPr>
            </w:pPr>
          </w:p>
        </w:tc>
        <w:tc>
          <w:tcPr>
            <w:tcW w:w="82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700" w:type="dxa"/>
            <w:vAlign w:val="bottom"/>
            <w:shd w:val="clear" w:color="auto" w:fill="FF160F"/>
          </w:tcPr>
          <w:p>
            <w:pPr>
              <w:spacing w:after="0"/>
              <w:rPr>
                <w:sz w:val="13"/>
                <w:szCs w:val="13"/>
                <w:color w:val="auto"/>
              </w:rPr>
            </w:pPr>
          </w:p>
        </w:tc>
        <w:tc>
          <w:tcPr>
            <w:tcW w:w="340" w:type="dxa"/>
            <w:vAlign w:val="bottom"/>
            <w:shd w:val="clear" w:color="auto" w:fill="FF160F"/>
          </w:tcPr>
          <w:p>
            <w:pPr>
              <w:spacing w:after="0"/>
              <w:rPr>
                <w:sz w:val="13"/>
                <w:szCs w:val="13"/>
                <w:color w:val="auto"/>
              </w:rPr>
            </w:pPr>
          </w:p>
        </w:tc>
        <w:tc>
          <w:tcPr>
            <w:tcW w:w="84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1220" w:type="dxa"/>
            <w:vAlign w:val="bottom"/>
            <w:shd w:val="clear" w:color="auto" w:fill="FF160F"/>
          </w:tcPr>
          <w:p>
            <w:pPr>
              <w:jc w:val="right"/>
              <w:ind w:right="417"/>
              <w:spacing w:after="0"/>
              <w:rPr>
                <w:sz w:val="20"/>
                <w:szCs w:val="20"/>
                <w:color w:val="auto"/>
              </w:rPr>
            </w:pPr>
            <w:r>
              <w:rPr>
                <w:rFonts w:ascii="Arial" w:cs="Arial" w:eastAsia="Arial" w:hAnsi="Arial"/>
                <w:sz w:val="13"/>
                <w:szCs w:val="13"/>
                <w:b w:val="1"/>
                <w:bCs w:val="1"/>
                <w:color w:val="EAEFED"/>
              </w:rPr>
              <w:t>Incentive</w:t>
            </w:r>
          </w:p>
        </w:tc>
        <w:tc>
          <w:tcPr>
            <w:tcW w:w="380" w:type="dxa"/>
            <w:vAlign w:val="bottom"/>
            <w:shd w:val="clear" w:color="auto" w:fill="FF160F"/>
          </w:tcPr>
          <w:p>
            <w:pPr>
              <w:spacing w:after="0"/>
              <w:rPr>
                <w:sz w:val="13"/>
                <w:szCs w:val="13"/>
                <w:color w:val="auto"/>
              </w:rPr>
            </w:pPr>
          </w:p>
        </w:tc>
        <w:tc>
          <w:tcPr>
            <w:tcW w:w="840" w:type="dxa"/>
            <w:vAlign w:val="bottom"/>
            <w:vMerge w:val="continue"/>
            <w:shd w:val="clear" w:color="auto" w:fill="FF160F"/>
          </w:tcPr>
          <w:p>
            <w:pPr>
              <w:spacing w:after="0"/>
              <w:rPr>
                <w:sz w:val="13"/>
                <w:szCs w:val="13"/>
                <w:color w:val="auto"/>
              </w:rPr>
            </w:pPr>
          </w:p>
        </w:tc>
        <w:tc>
          <w:tcPr>
            <w:tcW w:w="340" w:type="dxa"/>
            <w:vAlign w:val="bottom"/>
            <w:shd w:val="clear" w:color="auto" w:fill="FF160F"/>
          </w:tcPr>
          <w:p>
            <w:pPr>
              <w:spacing w:after="0"/>
              <w:rPr>
                <w:sz w:val="13"/>
                <w:szCs w:val="13"/>
                <w:color w:val="auto"/>
              </w:rPr>
            </w:pPr>
          </w:p>
        </w:tc>
        <w:tc>
          <w:tcPr>
            <w:tcW w:w="760" w:type="dxa"/>
            <w:vAlign w:val="bottom"/>
            <w:shd w:val="clear" w:color="auto" w:fill="FF160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shd w:val="clear" w:color="auto" w:fill="FF160F"/>
          </w:tcPr>
          <w:p>
            <w:pPr>
              <w:spacing w:after="0"/>
              <w:rPr>
                <w:sz w:val="20"/>
                <w:szCs w:val="20"/>
                <w:color w:val="auto"/>
              </w:rPr>
            </w:pPr>
            <w:r>
              <w:rPr>
                <w:rFonts w:ascii="Arial" w:cs="Arial" w:eastAsia="Arial" w:hAnsi="Arial"/>
                <w:sz w:val="13"/>
                <w:szCs w:val="13"/>
                <w:b w:val="1"/>
                <w:bCs w:val="1"/>
                <w:color w:val="EAEFED"/>
              </w:rPr>
              <w:t>Name and Principal Position</w:t>
            </w:r>
          </w:p>
        </w:tc>
        <w:tc>
          <w:tcPr>
            <w:tcW w:w="580" w:type="dxa"/>
            <w:vAlign w:val="bottom"/>
            <w:tcBorders>
              <w:bottom w:val="single" w:sz="8" w:color="auto"/>
            </w:tcBorders>
            <w:shd w:val="clear" w:color="auto" w:fill="FF160F"/>
          </w:tcPr>
          <w:p>
            <w:pPr>
              <w:ind w:left="240"/>
              <w:spacing w:after="0"/>
              <w:rPr>
                <w:sz w:val="20"/>
                <w:szCs w:val="20"/>
                <w:color w:val="auto"/>
              </w:rPr>
            </w:pPr>
            <w:r>
              <w:rPr>
                <w:rFonts w:ascii="Arial" w:cs="Arial" w:eastAsia="Arial" w:hAnsi="Arial"/>
                <w:sz w:val="13"/>
                <w:szCs w:val="13"/>
                <w:b w:val="1"/>
                <w:bCs w:val="1"/>
                <w:color w:val="EAEFED"/>
              </w:rPr>
              <w:t>Year</w:t>
            </w:r>
          </w:p>
        </w:tc>
        <w:tc>
          <w:tcPr>
            <w:tcW w:w="320" w:type="dxa"/>
            <w:vAlign w:val="bottom"/>
            <w:tcBorders>
              <w:bottom w:val="single" w:sz="8" w:color="auto"/>
            </w:tcBorders>
            <w:shd w:val="clear" w:color="auto" w:fill="FF160F"/>
          </w:tcPr>
          <w:p>
            <w:pPr>
              <w:spacing w:after="0"/>
              <w:rPr>
                <w:sz w:val="19"/>
                <w:szCs w:val="19"/>
                <w:color w:val="auto"/>
              </w:rPr>
            </w:pPr>
          </w:p>
        </w:tc>
        <w:tc>
          <w:tcPr>
            <w:tcW w:w="820" w:type="dxa"/>
            <w:vAlign w:val="bottom"/>
            <w:tcBorders>
              <w:bottom w:val="single" w:sz="8" w:color="auto"/>
            </w:tcBorders>
            <w:shd w:val="clear" w:color="auto" w:fill="FF160F"/>
          </w:tcPr>
          <w:p>
            <w:pPr>
              <w:jc w:val="right"/>
              <w:ind w:right="237"/>
              <w:spacing w:after="0"/>
              <w:rPr>
                <w:sz w:val="20"/>
                <w:szCs w:val="20"/>
                <w:color w:val="auto"/>
              </w:rPr>
            </w:pPr>
            <w:r>
              <w:rPr>
                <w:rFonts w:ascii="Arial" w:cs="Arial" w:eastAsia="Arial" w:hAnsi="Arial"/>
                <w:sz w:val="13"/>
                <w:szCs w:val="13"/>
                <w:b w:val="1"/>
                <w:bCs w:val="1"/>
                <w:color w:val="EAEFED"/>
                <w:w w:val="97"/>
              </w:rPr>
              <w:t>Salary</w:t>
            </w:r>
            <w:r>
              <w:rPr>
                <w:rFonts w:ascii="Arial" w:cs="Arial" w:eastAsia="Arial" w:hAnsi="Arial"/>
                <w:sz w:val="15"/>
                <w:szCs w:val="15"/>
                <w:b w:val="1"/>
                <w:bCs w:val="1"/>
                <w:color w:val="EAEFED"/>
                <w:w w:val="97"/>
                <w:vertAlign w:val="superscript"/>
              </w:rPr>
              <w:t>(1)</w:t>
            </w:r>
          </w:p>
        </w:tc>
        <w:tc>
          <w:tcPr>
            <w:tcW w:w="300" w:type="dxa"/>
            <w:vAlign w:val="bottom"/>
            <w:tcBorders>
              <w:bottom w:val="single" w:sz="8" w:color="auto"/>
            </w:tcBorders>
            <w:shd w:val="clear" w:color="auto" w:fill="FF160F"/>
          </w:tcPr>
          <w:p>
            <w:pPr>
              <w:spacing w:after="0"/>
              <w:rPr>
                <w:sz w:val="19"/>
                <w:szCs w:val="19"/>
                <w:color w:val="auto"/>
              </w:rPr>
            </w:pPr>
          </w:p>
        </w:tc>
        <w:tc>
          <w:tcPr>
            <w:tcW w:w="700" w:type="dxa"/>
            <w:vAlign w:val="bottom"/>
            <w:tcBorders>
              <w:bottom w:val="single" w:sz="8" w:color="auto"/>
            </w:tcBorders>
            <w:shd w:val="clear" w:color="auto" w:fill="FF160F"/>
          </w:tcPr>
          <w:p>
            <w:pPr>
              <w:jc w:val="right"/>
              <w:ind w:right="57"/>
              <w:spacing w:after="0"/>
              <w:rPr>
                <w:sz w:val="20"/>
                <w:szCs w:val="20"/>
                <w:color w:val="auto"/>
              </w:rPr>
            </w:pPr>
            <w:r>
              <w:rPr>
                <w:rFonts w:ascii="Arial" w:cs="Arial" w:eastAsia="Arial" w:hAnsi="Arial"/>
                <w:sz w:val="13"/>
                <w:szCs w:val="13"/>
                <w:b w:val="1"/>
                <w:bCs w:val="1"/>
                <w:color w:val="EAEFED"/>
              </w:rPr>
              <w:t>Bonus</w:t>
            </w:r>
            <w:r>
              <w:rPr>
                <w:rFonts w:ascii="Arial" w:cs="Arial" w:eastAsia="Arial" w:hAnsi="Arial"/>
                <w:sz w:val="15"/>
                <w:szCs w:val="15"/>
                <w:b w:val="1"/>
                <w:bCs w:val="1"/>
                <w:color w:val="EAEFED"/>
                <w:vertAlign w:val="superscript"/>
              </w:rPr>
              <w:t>(2)</w:t>
            </w:r>
          </w:p>
        </w:tc>
        <w:tc>
          <w:tcPr>
            <w:tcW w:w="1180" w:type="dxa"/>
            <w:vAlign w:val="bottom"/>
            <w:tcBorders>
              <w:bottom w:val="single" w:sz="8" w:color="auto"/>
            </w:tcBorders>
            <w:gridSpan w:val="2"/>
            <w:shd w:val="clear" w:color="auto" w:fill="FF160F"/>
          </w:tcPr>
          <w:p>
            <w:pPr>
              <w:ind w:left="140"/>
              <w:spacing w:after="0"/>
              <w:rPr>
                <w:sz w:val="20"/>
                <w:szCs w:val="20"/>
                <w:color w:val="auto"/>
              </w:rPr>
            </w:pPr>
            <w:r>
              <w:rPr>
                <w:rFonts w:ascii="Arial" w:cs="Arial" w:eastAsia="Arial" w:hAnsi="Arial"/>
                <w:sz w:val="13"/>
                <w:szCs w:val="13"/>
                <w:b w:val="1"/>
                <w:bCs w:val="1"/>
                <w:color w:val="EAEFED"/>
              </w:rPr>
              <w:t>Stock Awards</w:t>
            </w:r>
            <w:r>
              <w:rPr>
                <w:rFonts w:ascii="Arial" w:cs="Arial" w:eastAsia="Arial" w:hAnsi="Arial"/>
                <w:sz w:val="15"/>
                <w:szCs w:val="15"/>
                <w:b w:val="1"/>
                <w:bCs w:val="1"/>
                <w:color w:val="EAEFED"/>
                <w:vertAlign w:val="superscript"/>
              </w:rPr>
              <w:t>(3)</w:t>
            </w:r>
          </w:p>
        </w:tc>
        <w:tc>
          <w:tcPr>
            <w:tcW w:w="1520" w:type="dxa"/>
            <w:vAlign w:val="bottom"/>
            <w:tcBorders>
              <w:bottom w:val="single" w:sz="8" w:color="auto"/>
            </w:tcBorders>
            <w:gridSpan w:val="2"/>
            <w:shd w:val="clear" w:color="auto" w:fill="FF160F"/>
          </w:tcPr>
          <w:p>
            <w:pPr>
              <w:ind w:left="120"/>
              <w:spacing w:after="0"/>
              <w:rPr>
                <w:sz w:val="20"/>
                <w:szCs w:val="20"/>
                <w:color w:val="auto"/>
              </w:rPr>
            </w:pPr>
            <w:r>
              <w:rPr>
                <w:rFonts w:ascii="Arial" w:cs="Arial" w:eastAsia="Arial" w:hAnsi="Arial"/>
                <w:sz w:val="13"/>
                <w:szCs w:val="13"/>
                <w:b w:val="1"/>
                <w:bCs w:val="1"/>
                <w:color w:val="EAEFED"/>
              </w:rPr>
              <w:t>Plan Compensation</w:t>
            </w:r>
            <w:r>
              <w:rPr>
                <w:rFonts w:ascii="Arial" w:cs="Arial" w:eastAsia="Arial" w:hAnsi="Arial"/>
                <w:sz w:val="15"/>
                <w:szCs w:val="15"/>
                <w:b w:val="1"/>
                <w:bCs w:val="1"/>
                <w:color w:val="EAEFED"/>
                <w:vertAlign w:val="superscript"/>
              </w:rPr>
              <w:t>(4)</w:t>
            </w:r>
          </w:p>
        </w:tc>
        <w:tc>
          <w:tcPr>
            <w:tcW w:w="1220" w:type="dxa"/>
            <w:vAlign w:val="bottom"/>
            <w:tcBorders>
              <w:bottom w:val="single" w:sz="8" w:color="auto"/>
            </w:tcBorders>
            <w:gridSpan w:val="2"/>
            <w:shd w:val="clear" w:color="auto" w:fill="FF160F"/>
          </w:tcPr>
          <w:p>
            <w:pPr>
              <w:ind w:left="120"/>
              <w:spacing w:after="0"/>
              <w:rPr>
                <w:sz w:val="20"/>
                <w:szCs w:val="20"/>
                <w:color w:val="auto"/>
              </w:rPr>
            </w:pPr>
            <w:r>
              <w:rPr>
                <w:rFonts w:ascii="Arial" w:cs="Arial" w:eastAsia="Arial" w:hAnsi="Arial"/>
                <w:sz w:val="13"/>
                <w:szCs w:val="13"/>
                <w:b w:val="1"/>
                <w:bCs w:val="1"/>
                <w:color w:val="EAEFED"/>
              </w:rPr>
              <w:t>Compensation</w:t>
            </w:r>
            <w:r>
              <w:rPr>
                <w:rFonts w:ascii="Arial" w:cs="Arial" w:eastAsia="Arial" w:hAnsi="Arial"/>
                <w:sz w:val="15"/>
                <w:szCs w:val="15"/>
                <w:b w:val="1"/>
                <w:bCs w:val="1"/>
                <w:color w:val="EAEFED"/>
                <w:vertAlign w:val="superscript"/>
              </w:rPr>
              <w:t>(5)</w:t>
            </w:r>
          </w:p>
        </w:tc>
        <w:tc>
          <w:tcPr>
            <w:tcW w:w="340" w:type="dxa"/>
            <w:vAlign w:val="bottom"/>
            <w:tcBorders>
              <w:bottom w:val="single" w:sz="8" w:color="auto"/>
            </w:tcBorders>
            <w:shd w:val="clear" w:color="auto" w:fill="FF160F"/>
          </w:tcPr>
          <w:p>
            <w:pPr>
              <w:spacing w:after="0"/>
              <w:rPr>
                <w:sz w:val="19"/>
                <w:szCs w:val="19"/>
                <w:color w:val="auto"/>
              </w:rPr>
            </w:pPr>
          </w:p>
        </w:tc>
        <w:tc>
          <w:tcPr>
            <w:tcW w:w="760" w:type="dxa"/>
            <w:vAlign w:val="bottom"/>
            <w:tcBorders>
              <w:bottom w:val="single" w:sz="8" w:color="auto"/>
            </w:tcBorders>
            <w:shd w:val="clear" w:color="auto" w:fill="FF160F"/>
          </w:tcPr>
          <w:p>
            <w:pPr>
              <w:jc w:val="right"/>
              <w:spacing w:after="0"/>
              <w:rPr>
                <w:sz w:val="20"/>
                <w:szCs w:val="20"/>
                <w:color w:val="auto"/>
              </w:rPr>
            </w:pPr>
            <w:r>
              <w:rPr>
                <w:rFonts w:ascii="Arial" w:cs="Arial" w:eastAsia="Arial" w:hAnsi="Arial"/>
                <w:sz w:val="13"/>
                <w:szCs w:val="13"/>
                <w:b w:val="1"/>
                <w:bCs w:val="1"/>
                <w:color w:val="EAEFED"/>
              </w:rPr>
              <w:t>Total</w:t>
            </w:r>
          </w:p>
        </w:tc>
        <w:tc>
          <w:tcPr>
            <w:tcW w:w="0" w:type="dxa"/>
            <w:vAlign w:val="bottom"/>
          </w:tcPr>
          <w:p>
            <w:pPr>
              <w:spacing w:after="0"/>
              <w:rPr>
                <w:sz w:val="1"/>
                <w:szCs w:val="1"/>
                <w:color w:val="auto"/>
              </w:rPr>
            </w:pPr>
          </w:p>
        </w:tc>
      </w:tr>
      <w:tr>
        <w:trPr>
          <w:trHeight w:val="166"/>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Donald C. Wood (PEO)</w:t>
            </w:r>
          </w:p>
        </w:tc>
        <w:tc>
          <w:tcPr>
            <w:tcW w:w="580" w:type="dxa"/>
            <w:vAlign w:val="bottom"/>
          </w:tcPr>
          <w:p>
            <w:pPr>
              <w:ind w:left="260"/>
              <w:spacing w:after="0"/>
              <w:rPr>
                <w:sz w:val="20"/>
                <w:szCs w:val="20"/>
                <w:color w:val="auto"/>
              </w:rPr>
            </w:pPr>
            <w:r>
              <w:rPr>
                <w:rFonts w:ascii="Arial" w:cs="Arial" w:eastAsia="Arial" w:hAnsi="Arial"/>
                <w:sz w:val="13"/>
                <w:szCs w:val="13"/>
                <w:color w:val="auto"/>
              </w:rPr>
              <w:t>2022</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1,000,000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6,474,391</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1,406,250</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35,391</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8,916,031</w:t>
            </w:r>
          </w:p>
        </w:tc>
        <w:tc>
          <w:tcPr>
            <w:tcW w:w="0" w:type="dxa"/>
            <w:vAlign w:val="bottom"/>
          </w:tcPr>
          <w:p>
            <w:pPr>
              <w:spacing w:after="0"/>
              <w:rPr>
                <w:sz w:val="1"/>
                <w:szCs w:val="1"/>
                <w:color w:val="auto"/>
              </w:rPr>
            </w:pPr>
          </w:p>
        </w:tc>
      </w:tr>
      <w:tr>
        <w:trPr>
          <w:trHeight w:val="198"/>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Chief Executive Officer</w:t>
            </w:r>
          </w:p>
        </w:tc>
        <w:tc>
          <w:tcPr>
            <w:tcW w:w="580" w:type="dxa"/>
            <w:vAlign w:val="bottom"/>
          </w:tcPr>
          <w:p>
            <w:pPr>
              <w:ind w:left="260"/>
              <w:spacing w:after="0"/>
              <w:rPr>
                <w:sz w:val="20"/>
                <w:szCs w:val="20"/>
                <w:color w:val="auto"/>
              </w:rPr>
            </w:pPr>
            <w:r>
              <w:rPr>
                <w:rFonts w:ascii="Arial" w:cs="Arial" w:eastAsia="Arial" w:hAnsi="Arial"/>
                <w:sz w:val="13"/>
                <w:szCs w:val="13"/>
                <w:color w:val="auto"/>
              </w:rPr>
              <w:t>2021</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950,000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5,213,719</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1,335,938</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21,260</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7,520,917</w:t>
            </w:r>
          </w:p>
        </w:tc>
        <w:tc>
          <w:tcPr>
            <w:tcW w:w="0" w:type="dxa"/>
            <w:vAlign w:val="bottom"/>
          </w:tcPr>
          <w:p>
            <w:pPr>
              <w:spacing w:after="0"/>
              <w:rPr>
                <w:sz w:val="1"/>
                <w:szCs w:val="1"/>
                <w:color w:val="auto"/>
              </w:rPr>
            </w:pPr>
          </w:p>
        </w:tc>
      </w:tr>
      <w:tr>
        <w:trPr>
          <w:trHeight w:val="204"/>
        </w:trPr>
        <w:tc>
          <w:tcPr>
            <w:tcW w:w="3280" w:type="dxa"/>
            <w:vAlign w:val="bottom"/>
            <w:tcBorders>
              <w:bottom w:val="single" w:sz="8" w:color="auto"/>
            </w:tcBorders>
            <w:shd w:val="clear" w:color="auto" w:fill="D8D8D8"/>
          </w:tcPr>
          <w:p>
            <w:pPr>
              <w:spacing w:after="0"/>
              <w:rPr>
                <w:sz w:val="17"/>
                <w:szCs w:val="17"/>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2020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950,000</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5,830,493</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534,375</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166,928</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7,481,796</w:t>
            </w:r>
          </w:p>
        </w:tc>
        <w:tc>
          <w:tcPr>
            <w:tcW w:w="0" w:type="dxa"/>
            <w:vAlign w:val="bottom"/>
          </w:tcPr>
          <w:p>
            <w:pPr>
              <w:spacing w:after="0"/>
              <w:rPr>
                <w:sz w:val="1"/>
                <w:szCs w:val="1"/>
                <w:color w:val="auto"/>
              </w:rPr>
            </w:pPr>
          </w:p>
        </w:tc>
      </w:tr>
      <w:tr>
        <w:trPr>
          <w:trHeight w:val="208"/>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Jeffrey S. Berkes</w:t>
            </w:r>
          </w:p>
        </w:tc>
        <w:tc>
          <w:tcPr>
            <w:tcW w:w="580" w:type="dxa"/>
            <w:vAlign w:val="bottom"/>
          </w:tcPr>
          <w:p>
            <w:pPr>
              <w:ind w:left="260"/>
              <w:spacing w:after="0"/>
              <w:rPr>
                <w:sz w:val="20"/>
                <w:szCs w:val="20"/>
                <w:color w:val="auto"/>
              </w:rPr>
            </w:pPr>
            <w:r>
              <w:rPr>
                <w:rFonts w:ascii="Arial" w:cs="Arial" w:eastAsia="Arial" w:hAnsi="Arial"/>
                <w:sz w:val="13"/>
                <w:szCs w:val="13"/>
                <w:color w:val="auto"/>
              </w:rPr>
              <w:t>2022</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650,000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1,205,703</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609,375</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15,613</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2,480,691</w:t>
            </w:r>
          </w:p>
        </w:tc>
        <w:tc>
          <w:tcPr>
            <w:tcW w:w="0" w:type="dxa"/>
            <w:vAlign w:val="bottom"/>
          </w:tcPr>
          <w:p>
            <w:pPr>
              <w:spacing w:after="0"/>
              <w:rPr>
                <w:sz w:val="1"/>
                <w:szCs w:val="1"/>
                <w:color w:val="auto"/>
              </w:rPr>
            </w:pPr>
          </w:p>
        </w:tc>
      </w:tr>
      <w:tr>
        <w:trPr>
          <w:trHeight w:val="207"/>
        </w:trPr>
        <w:tc>
          <w:tcPr>
            <w:tcW w:w="328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3"/>
                <w:szCs w:val="13"/>
                <w:b w:val="1"/>
                <w:bCs w:val="1"/>
                <w:color w:val="auto"/>
              </w:rPr>
              <w:t>President &amp; Chief Operating Officer</w:t>
            </w: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2021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575,000</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75,000</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3,131,027</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539,063</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14,486</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4,334,576</w:t>
            </w:r>
          </w:p>
        </w:tc>
        <w:tc>
          <w:tcPr>
            <w:tcW w:w="0" w:type="dxa"/>
            <w:vAlign w:val="bottom"/>
          </w:tcPr>
          <w:p>
            <w:pPr>
              <w:spacing w:after="0"/>
              <w:rPr>
                <w:sz w:val="1"/>
                <w:szCs w:val="1"/>
                <w:color w:val="auto"/>
              </w:rPr>
            </w:pPr>
          </w:p>
        </w:tc>
      </w:tr>
      <w:tr>
        <w:trPr>
          <w:trHeight w:val="169"/>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Daniel Guglielmone (PFO)</w:t>
            </w:r>
          </w:p>
        </w:tc>
        <w:tc>
          <w:tcPr>
            <w:tcW w:w="580" w:type="dxa"/>
            <w:vAlign w:val="bottom"/>
          </w:tcPr>
          <w:p>
            <w:pPr>
              <w:ind w:left="260"/>
              <w:spacing w:after="0"/>
              <w:rPr>
                <w:sz w:val="20"/>
                <w:szCs w:val="20"/>
                <w:color w:val="auto"/>
              </w:rPr>
            </w:pPr>
            <w:r>
              <w:rPr>
                <w:rFonts w:ascii="Arial" w:cs="Arial" w:eastAsia="Arial" w:hAnsi="Arial"/>
                <w:sz w:val="13"/>
                <w:szCs w:val="13"/>
                <w:color w:val="auto"/>
              </w:rPr>
              <w:t>2022</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890,996</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718,750</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11,736</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2,196,482</w:t>
            </w:r>
          </w:p>
        </w:tc>
        <w:tc>
          <w:tcPr>
            <w:tcW w:w="0" w:type="dxa"/>
            <w:vAlign w:val="bottom"/>
          </w:tcPr>
          <w:p>
            <w:pPr>
              <w:spacing w:after="0"/>
              <w:rPr>
                <w:sz w:val="1"/>
                <w:szCs w:val="1"/>
                <w:color w:val="auto"/>
              </w:rPr>
            </w:pPr>
          </w:p>
        </w:tc>
      </w:tr>
      <w:tr>
        <w:trPr>
          <w:trHeight w:val="198"/>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Executive Vice President-</w:t>
            </w:r>
          </w:p>
        </w:tc>
        <w:tc>
          <w:tcPr>
            <w:tcW w:w="580" w:type="dxa"/>
            <w:vAlign w:val="bottom"/>
          </w:tcPr>
          <w:p>
            <w:pPr>
              <w:ind w:left="260"/>
              <w:spacing w:after="0"/>
              <w:rPr>
                <w:sz w:val="20"/>
                <w:szCs w:val="20"/>
                <w:color w:val="auto"/>
              </w:rPr>
            </w:pPr>
            <w:r>
              <w:rPr>
                <w:rFonts w:ascii="Arial" w:cs="Arial" w:eastAsia="Arial" w:hAnsi="Arial"/>
                <w:sz w:val="13"/>
                <w:szCs w:val="13"/>
                <w:color w:val="auto"/>
              </w:rPr>
              <w:t>2021</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500,000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75,000</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1,900,046</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468,750</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11,427</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2,955,223</w:t>
            </w:r>
          </w:p>
        </w:tc>
        <w:tc>
          <w:tcPr>
            <w:tcW w:w="0" w:type="dxa"/>
            <w:vAlign w:val="bottom"/>
          </w:tcPr>
          <w:p>
            <w:pPr>
              <w:spacing w:after="0"/>
              <w:rPr>
                <w:sz w:val="1"/>
                <w:szCs w:val="1"/>
                <w:color w:val="auto"/>
              </w:rPr>
            </w:pPr>
          </w:p>
        </w:tc>
      </w:tr>
      <w:tr>
        <w:trPr>
          <w:trHeight w:val="207"/>
        </w:trPr>
        <w:tc>
          <w:tcPr>
            <w:tcW w:w="328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3"/>
                <w:szCs w:val="13"/>
                <w:b w:val="1"/>
                <w:bCs w:val="1"/>
                <w:color w:val="auto"/>
              </w:rPr>
              <w:t>Chief Financial Officer &amp; Treasurer</w:t>
            </w: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2020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500,000</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968,270</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281,250</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236,818</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1,986,338</w:t>
            </w:r>
          </w:p>
        </w:tc>
        <w:tc>
          <w:tcPr>
            <w:tcW w:w="0" w:type="dxa"/>
            <w:vAlign w:val="bottom"/>
          </w:tcPr>
          <w:p>
            <w:pPr>
              <w:spacing w:after="0"/>
              <w:rPr>
                <w:sz w:val="1"/>
                <w:szCs w:val="1"/>
                <w:color w:val="auto"/>
              </w:rPr>
            </w:pPr>
          </w:p>
        </w:tc>
      </w:tr>
      <w:tr>
        <w:trPr>
          <w:trHeight w:val="169"/>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Dawn M. Becker</w:t>
            </w:r>
          </w:p>
        </w:tc>
        <w:tc>
          <w:tcPr>
            <w:tcW w:w="580" w:type="dxa"/>
            <w:vAlign w:val="bottom"/>
          </w:tcPr>
          <w:p>
            <w:pPr>
              <w:ind w:left="260"/>
              <w:spacing w:after="0"/>
              <w:rPr>
                <w:sz w:val="20"/>
                <w:szCs w:val="20"/>
                <w:color w:val="auto"/>
              </w:rPr>
            </w:pPr>
            <w:r>
              <w:rPr>
                <w:rFonts w:ascii="Arial" w:cs="Arial" w:eastAsia="Arial" w:hAnsi="Arial"/>
                <w:sz w:val="13"/>
                <w:szCs w:val="13"/>
                <w:color w:val="auto"/>
              </w:rPr>
              <w:t>2022</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727,570</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539,063</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14,521</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1,856,154</w:t>
            </w:r>
          </w:p>
        </w:tc>
        <w:tc>
          <w:tcPr>
            <w:tcW w:w="0" w:type="dxa"/>
            <w:vAlign w:val="bottom"/>
          </w:tcPr>
          <w:p>
            <w:pPr>
              <w:spacing w:after="0"/>
              <w:rPr>
                <w:sz w:val="1"/>
                <w:szCs w:val="1"/>
                <w:color w:val="auto"/>
              </w:rPr>
            </w:pPr>
          </w:p>
        </w:tc>
      </w:tr>
      <w:tr>
        <w:trPr>
          <w:trHeight w:val="198"/>
        </w:trPr>
        <w:tc>
          <w:tcPr>
            <w:tcW w:w="3280" w:type="dxa"/>
            <w:vAlign w:val="bottom"/>
            <w:shd w:val="clear" w:color="auto" w:fill="D8D8D8"/>
          </w:tcPr>
          <w:p>
            <w:pPr>
              <w:spacing w:after="0"/>
              <w:rPr>
                <w:sz w:val="20"/>
                <w:szCs w:val="20"/>
                <w:color w:val="auto"/>
              </w:rPr>
            </w:pPr>
            <w:r>
              <w:rPr>
                <w:rFonts w:ascii="Arial" w:cs="Arial" w:eastAsia="Arial" w:hAnsi="Arial"/>
                <w:sz w:val="13"/>
                <w:szCs w:val="13"/>
                <w:b w:val="1"/>
                <w:bCs w:val="1"/>
                <w:color w:val="auto"/>
              </w:rPr>
              <w:t>Executive Vice President-</w:t>
            </w:r>
          </w:p>
        </w:tc>
        <w:tc>
          <w:tcPr>
            <w:tcW w:w="580" w:type="dxa"/>
            <w:vAlign w:val="bottom"/>
          </w:tcPr>
          <w:p>
            <w:pPr>
              <w:ind w:left="260"/>
              <w:spacing w:after="0"/>
              <w:rPr>
                <w:sz w:val="20"/>
                <w:szCs w:val="20"/>
                <w:color w:val="auto"/>
              </w:rPr>
            </w:pPr>
            <w:r>
              <w:rPr>
                <w:rFonts w:ascii="Arial" w:cs="Arial" w:eastAsia="Arial" w:hAnsi="Arial"/>
                <w:sz w:val="13"/>
                <w:szCs w:val="13"/>
                <w:color w:val="auto"/>
              </w:rPr>
              <w:t>2021</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475,000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75,000</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680,159</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333,984</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13,638</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1,577,781</w:t>
            </w:r>
          </w:p>
        </w:tc>
        <w:tc>
          <w:tcPr>
            <w:tcW w:w="0" w:type="dxa"/>
            <w:vAlign w:val="bottom"/>
          </w:tcPr>
          <w:p>
            <w:pPr>
              <w:spacing w:after="0"/>
              <w:rPr>
                <w:sz w:val="1"/>
                <w:szCs w:val="1"/>
                <w:color w:val="auto"/>
              </w:rPr>
            </w:pPr>
          </w:p>
        </w:tc>
      </w:tr>
      <w:tr>
        <w:trPr>
          <w:trHeight w:val="207"/>
        </w:trPr>
        <w:tc>
          <w:tcPr>
            <w:tcW w:w="328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3"/>
                <w:szCs w:val="13"/>
                <w:b w:val="1"/>
                <w:bCs w:val="1"/>
                <w:color w:val="auto"/>
              </w:rPr>
              <w:t>General Counsel &amp; Secretary</w:t>
            </w: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2020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475,000</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758,275</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200,391</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86,359</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1,520,025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424" w:hanging="424"/>
        <w:spacing w:after="0"/>
        <w:tabs>
          <w:tab w:leader="none" w:pos="424" w:val="left"/>
        </w:tabs>
        <w:numPr>
          <w:ilvl w:val="0"/>
          <w:numId w:val="66"/>
        </w:numPr>
        <w:rPr>
          <w:rFonts w:ascii="Arial" w:cs="Arial" w:eastAsia="Arial" w:hAnsi="Arial"/>
          <w:sz w:val="20"/>
          <w:szCs w:val="20"/>
          <w:color w:val="auto"/>
          <w:vertAlign w:val="superscript"/>
        </w:rPr>
      </w:pPr>
      <w:r>
        <w:rPr>
          <w:rFonts w:ascii="Arial" w:cs="Arial" w:eastAsia="Arial" w:hAnsi="Arial"/>
          <w:sz w:val="16"/>
          <w:szCs w:val="16"/>
          <w:color w:val="auto"/>
        </w:rPr>
        <w:t>Amounts shown in the Salary column include all amounts deferred at the election of the NEOs into our non-qualified deferred compensation plan.</w:t>
      </w:r>
    </w:p>
    <w:p>
      <w:pPr>
        <w:ind w:left="424" w:hanging="424"/>
        <w:spacing w:after="0" w:line="197" w:lineRule="auto"/>
        <w:tabs>
          <w:tab w:leader="none" w:pos="424" w:val="left"/>
        </w:tabs>
        <w:numPr>
          <w:ilvl w:val="0"/>
          <w:numId w:val="66"/>
        </w:numPr>
        <w:rPr>
          <w:rFonts w:ascii="Arial" w:cs="Arial" w:eastAsia="Arial" w:hAnsi="Arial"/>
          <w:sz w:val="20"/>
          <w:szCs w:val="20"/>
          <w:color w:val="auto"/>
          <w:vertAlign w:val="superscript"/>
        </w:rPr>
      </w:pPr>
      <w:r>
        <w:rPr>
          <w:rFonts w:ascii="Arial" w:cs="Arial" w:eastAsia="Arial" w:hAnsi="Arial"/>
          <w:sz w:val="16"/>
          <w:szCs w:val="16"/>
          <w:color w:val="auto"/>
        </w:rPr>
        <w:t>Amounts represent a one-time cash bonus described for each of these NEOs in our 2022 proxy statement.</w:t>
      </w:r>
    </w:p>
    <w:p>
      <w:pPr>
        <w:jc w:val="both"/>
        <w:ind w:left="424" w:right="20" w:hanging="424"/>
        <w:spacing w:after="0" w:line="239" w:lineRule="auto"/>
        <w:tabs>
          <w:tab w:leader="none" w:pos="424" w:val="left"/>
        </w:tabs>
        <w:numPr>
          <w:ilvl w:val="0"/>
          <w:numId w:val="66"/>
        </w:numPr>
        <w:rPr>
          <w:rFonts w:ascii="Arial" w:cs="Arial" w:eastAsia="Arial" w:hAnsi="Arial"/>
          <w:sz w:val="20"/>
          <w:szCs w:val="20"/>
          <w:color w:val="auto"/>
          <w:vertAlign w:val="superscript"/>
        </w:rPr>
      </w:pPr>
      <w:r>
        <w:rPr>
          <w:rFonts w:ascii="Arial" w:cs="Arial" w:eastAsia="Arial" w:hAnsi="Arial"/>
          <w:sz w:val="16"/>
          <w:szCs w:val="16"/>
          <w:color w:val="auto"/>
        </w:rPr>
        <w:t>Amounts shown in this column reflect the aggregate grant date fair value of the awards calculated in accordance with FASB ASC Topic 718 that were issued in the year shown. With the exception of the performance based restricted share units issued to Mr. Berkes in 2021, all other awards in this column were valued based on the closing price of our shares on the grant date. The performance-based restricted share units issued to Mr. Berkes in February 2021 are tied to our total shareholder return versus the total shareholder return for the BBRESHOP over the performance period. These restricted share units were valued based on our data and that of the index using a Monte Carlo simulation method. The key assumptions used in the valuation were: (a) stock price volatility of 38.0% for the Company and 38.8% for the index; (b) risk-free interest rate of 0.31%; and (c) no dividend yield assumption given that the award includes dividend equivalent rights that are earned only if the underlying shares are earned. Based on the performance goals and these assumptions, the award was valued at $97.01 per share.</w:t>
      </w:r>
    </w:p>
    <w:p>
      <w:pPr>
        <w:ind w:left="424" w:right="20" w:hanging="424"/>
        <w:spacing w:after="0" w:line="219" w:lineRule="auto"/>
        <w:tabs>
          <w:tab w:leader="none" w:pos="424" w:val="left"/>
        </w:tabs>
        <w:numPr>
          <w:ilvl w:val="0"/>
          <w:numId w:val="66"/>
        </w:numPr>
        <w:rPr>
          <w:rFonts w:ascii="Arial" w:cs="Arial" w:eastAsia="Arial" w:hAnsi="Arial"/>
          <w:sz w:val="20"/>
          <w:szCs w:val="20"/>
          <w:color w:val="auto"/>
          <w:vertAlign w:val="superscript"/>
        </w:rPr>
      </w:pPr>
      <w:r>
        <w:rPr>
          <w:rFonts w:ascii="Arial" w:cs="Arial" w:eastAsia="Arial" w:hAnsi="Arial"/>
          <w:sz w:val="16"/>
          <w:szCs w:val="16"/>
          <w:color w:val="auto"/>
        </w:rPr>
        <w:t>Amounts shown in this column represent the cash amount paid under our annual bonus plan and include amounts deferred by our NEOs into our non-qualified deferred compensation plan.</w:t>
      </w:r>
    </w:p>
    <w:p>
      <w:pPr>
        <w:ind w:left="424" w:hanging="424"/>
        <w:spacing w:after="0" w:line="197" w:lineRule="auto"/>
        <w:tabs>
          <w:tab w:leader="none" w:pos="424" w:val="left"/>
        </w:tabs>
        <w:numPr>
          <w:ilvl w:val="0"/>
          <w:numId w:val="66"/>
        </w:numPr>
        <w:rPr>
          <w:rFonts w:ascii="Arial" w:cs="Arial" w:eastAsia="Arial" w:hAnsi="Arial"/>
          <w:sz w:val="20"/>
          <w:szCs w:val="20"/>
          <w:color w:val="auto"/>
          <w:vertAlign w:val="superscript"/>
        </w:rPr>
      </w:pPr>
      <w:r>
        <w:rPr>
          <w:rFonts w:ascii="Arial" w:cs="Arial" w:eastAsia="Arial" w:hAnsi="Arial"/>
          <w:sz w:val="16"/>
          <w:szCs w:val="16"/>
          <w:color w:val="auto"/>
        </w:rPr>
        <w:t>The amounts shown in this column for the most recent fiscal year include: (a) contributions to our 401(k) plan of $7,625 for each of our NEOs; and</w:t>
      </w:r>
    </w:p>
    <w:p>
      <w:pPr>
        <w:ind w:left="424" w:right="20"/>
        <w:spacing w:after="0" w:line="265" w:lineRule="auto"/>
        <w:rPr>
          <w:rFonts w:ascii="Arial" w:cs="Arial" w:eastAsia="Arial" w:hAnsi="Arial"/>
          <w:sz w:val="20"/>
          <w:szCs w:val="20"/>
          <w:color w:val="auto"/>
          <w:vertAlign w:val="superscript"/>
        </w:rPr>
      </w:pPr>
      <w:r>
        <w:rPr>
          <w:rFonts w:ascii="Arial" w:cs="Arial" w:eastAsia="Arial" w:hAnsi="Arial"/>
          <w:sz w:val="16"/>
          <w:szCs w:val="16"/>
          <w:color w:val="auto"/>
        </w:rPr>
        <w:t>(b) payments for various life, long-term disability and other medical related insurance of $27,766 for Mr. Wood, $7,988 for Mr. Berkes, $3,966 for Mr. Guglielmone and $6,896 for Ms.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012305"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78" w:lineRule="exact"/>
        <w:rPr>
          <w:sz w:val="20"/>
          <w:szCs w:val="20"/>
          <w:color w:val="auto"/>
        </w:rPr>
      </w:pPr>
    </w:p>
    <w:p>
      <w:pPr>
        <w:ind w:left="7904"/>
        <w:spacing w:after="0"/>
        <w:tabs>
          <w:tab w:leader="none" w:pos="9124" w:val="left"/>
          <w:tab w:leader="none" w:pos="10724"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31</w:t>
      </w:r>
    </w:p>
    <w:p>
      <w:pPr>
        <w:sectPr>
          <w:pgSz w:w="11900" w:h="16838" w:orient="portrait"/>
          <w:cols w:equalWidth="0" w:num="1">
            <w:col w:w="11024"/>
          </w:cols>
          <w:pgMar w:left="436" w:top="258"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460" w:hanging="344"/>
        <w:spacing w:after="0"/>
        <w:tabs>
          <w:tab w:leader="none" w:pos="460" w:val="left"/>
        </w:tabs>
        <w:numPr>
          <w:ilvl w:val="0"/>
          <w:numId w:val="67"/>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GRANTS OF PLAN BASED AWARDS TABLE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equity awards were made in 2022 to our NEOs.</w:t>
      </w: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5340" w:type="dxa"/>
            <w:vAlign w:val="bottom"/>
            <w:shd w:val="clear" w:color="auto" w:fill="FF160F"/>
          </w:tcPr>
          <w:p>
            <w:pPr>
              <w:spacing w:after="0"/>
              <w:rPr>
                <w:sz w:val="19"/>
                <w:szCs w:val="19"/>
                <w:color w:val="auto"/>
              </w:rPr>
            </w:pPr>
          </w:p>
        </w:tc>
        <w:tc>
          <w:tcPr>
            <w:tcW w:w="1920" w:type="dxa"/>
            <w:vAlign w:val="bottom"/>
            <w:shd w:val="clear" w:color="auto" w:fill="FF160F"/>
          </w:tcPr>
          <w:p>
            <w:pPr>
              <w:spacing w:after="0"/>
              <w:rPr>
                <w:sz w:val="19"/>
                <w:szCs w:val="19"/>
                <w:color w:val="auto"/>
              </w:rPr>
            </w:pPr>
          </w:p>
        </w:tc>
        <w:tc>
          <w:tcPr>
            <w:tcW w:w="2460" w:type="dxa"/>
            <w:vAlign w:val="bottom"/>
            <w:shd w:val="clear" w:color="auto" w:fill="FF160F"/>
          </w:tcPr>
          <w:p>
            <w:pPr>
              <w:jc w:val="right"/>
              <w:ind w:right="328"/>
              <w:spacing w:after="0"/>
              <w:rPr>
                <w:sz w:val="20"/>
                <w:szCs w:val="20"/>
                <w:color w:val="auto"/>
              </w:rPr>
            </w:pPr>
            <w:r>
              <w:rPr>
                <w:rFonts w:ascii="Arial" w:cs="Arial" w:eastAsia="Arial" w:hAnsi="Arial"/>
                <w:sz w:val="14"/>
                <w:szCs w:val="14"/>
                <w:b w:val="1"/>
                <w:bCs w:val="1"/>
                <w:color w:val="EAEFED"/>
              </w:rPr>
              <w:t>All Other Stock Awards:</w:t>
            </w:r>
          </w:p>
        </w:tc>
        <w:tc>
          <w:tcPr>
            <w:tcW w:w="520" w:type="dxa"/>
            <w:vAlign w:val="bottom"/>
            <w:shd w:val="clear" w:color="auto" w:fill="FF160F"/>
          </w:tcPr>
          <w:p>
            <w:pPr>
              <w:spacing w:after="0"/>
              <w:rPr>
                <w:sz w:val="19"/>
                <w:szCs w:val="19"/>
                <w:color w:val="auto"/>
              </w:rPr>
            </w:pPr>
          </w:p>
        </w:tc>
        <w:tc>
          <w:tcPr>
            <w:tcW w:w="780" w:type="dxa"/>
            <w:vAlign w:val="bottom"/>
            <w:shd w:val="clear" w:color="auto" w:fill="FF160F"/>
          </w:tcPr>
          <w:p>
            <w:pPr>
              <w:spacing w:after="0"/>
              <w:rPr>
                <w:sz w:val="19"/>
                <w:szCs w:val="19"/>
                <w:color w:val="auto"/>
              </w:rPr>
            </w:pPr>
          </w:p>
        </w:tc>
      </w:tr>
      <w:tr>
        <w:trPr>
          <w:trHeight w:val="162"/>
        </w:trPr>
        <w:tc>
          <w:tcPr>
            <w:tcW w:w="5340" w:type="dxa"/>
            <w:vAlign w:val="bottom"/>
            <w:shd w:val="clear" w:color="auto" w:fill="FF160F"/>
          </w:tcPr>
          <w:p>
            <w:pPr>
              <w:spacing w:after="0"/>
              <w:rPr>
                <w:sz w:val="14"/>
                <w:szCs w:val="14"/>
                <w:color w:val="auto"/>
              </w:rPr>
            </w:pPr>
          </w:p>
        </w:tc>
        <w:tc>
          <w:tcPr>
            <w:tcW w:w="1920" w:type="dxa"/>
            <w:vAlign w:val="bottom"/>
            <w:shd w:val="clear" w:color="auto" w:fill="FF160F"/>
          </w:tcPr>
          <w:p>
            <w:pPr>
              <w:jc w:val="right"/>
              <w:ind w:right="568"/>
              <w:spacing w:after="0"/>
              <w:rPr>
                <w:sz w:val="20"/>
                <w:szCs w:val="20"/>
                <w:color w:val="auto"/>
              </w:rPr>
            </w:pPr>
            <w:r>
              <w:rPr>
                <w:rFonts w:ascii="Arial" w:cs="Arial" w:eastAsia="Arial" w:hAnsi="Arial"/>
                <w:sz w:val="14"/>
                <w:szCs w:val="14"/>
                <w:b w:val="1"/>
                <w:bCs w:val="1"/>
                <w:color w:val="EAEFED"/>
              </w:rPr>
              <w:t>Grant</w:t>
            </w:r>
          </w:p>
        </w:tc>
        <w:tc>
          <w:tcPr>
            <w:tcW w:w="2460" w:type="dxa"/>
            <w:vAlign w:val="bottom"/>
            <w:shd w:val="clear" w:color="auto" w:fill="FF160F"/>
          </w:tcPr>
          <w:p>
            <w:pPr>
              <w:jc w:val="right"/>
              <w:ind w:right="328"/>
              <w:spacing w:after="0"/>
              <w:rPr>
                <w:sz w:val="20"/>
                <w:szCs w:val="20"/>
                <w:color w:val="auto"/>
              </w:rPr>
            </w:pPr>
            <w:r>
              <w:rPr>
                <w:rFonts w:ascii="Arial" w:cs="Arial" w:eastAsia="Arial" w:hAnsi="Arial"/>
                <w:sz w:val="14"/>
                <w:szCs w:val="14"/>
                <w:b w:val="1"/>
                <w:bCs w:val="1"/>
                <w:color w:val="EAEFED"/>
              </w:rPr>
              <w:t>Number of Shares of</w:t>
            </w:r>
          </w:p>
        </w:tc>
        <w:tc>
          <w:tcPr>
            <w:tcW w:w="1300" w:type="dxa"/>
            <w:vAlign w:val="bottom"/>
            <w:gridSpan w:val="2"/>
            <w:shd w:val="clear" w:color="auto" w:fill="FF160F"/>
          </w:tcPr>
          <w:p>
            <w:pPr>
              <w:jc w:val="right"/>
              <w:ind w:right="8"/>
              <w:spacing w:after="0"/>
              <w:rPr>
                <w:sz w:val="20"/>
                <w:szCs w:val="20"/>
                <w:color w:val="auto"/>
              </w:rPr>
            </w:pPr>
            <w:r>
              <w:rPr>
                <w:rFonts w:ascii="Arial" w:cs="Arial" w:eastAsia="Arial" w:hAnsi="Arial"/>
                <w:sz w:val="14"/>
                <w:szCs w:val="14"/>
                <w:b w:val="1"/>
                <w:bCs w:val="1"/>
                <w:color w:val="EAEFED"/>
              </w:rPr>
              <w:t>Grant Date</w:t>
            </w:r>
          </w:p>
        </w:tc>
      </w:tr>
      <w:tr>
        <w:trPr>
          <w:trHeight w:val="185"/>
        </w:trPr>
        <w:tc>
          <w:tcPr>
            <w:tcW w:w="5340" w:type="dxa"/>
            <w:vAlign w:val="bottom"/>
            <w:tcBorders>
              <w:bottom w:val="single" w:sz="8" w:color="auto"/>
            </w:tcBorders>
            <w:shd w:val="clear" w:color="auto" w:fill="FF160F"/>
          </w:tcPr>
          <w:p>
            <w:pPr>
              <w:spacing w:after="0"/>
              <w:rPr>
                <w:sz w:val="20"/>
                <w:szCs w:val="20"/>
                <w:color w:val="auto"/>
              </w:rPr>
            </w:pPr>
            <w:r>
              <w:rPr>
                <w:rFonts w:ascii="Arial" w:cs="Arial" w:eastAsia="Arial" w:hAnsi="Arial"/>
                <w:sz w:val="14"/>
                <w:szCs w:val="14"/>
                <w:b w:val="1"/>
                <w:bCs w:val="1"/>
                <w:color w:val="EAEFED"/>
              </w:rPr>
              <w:t>Name</w:t>
            </w:r>
          </w:p>
        </w:tc>
        <w:tc>
          <w:tcPr>
            <w:tcW w:w="1920" w:type="dxa"/>
            <w:vAlign w:val="bottom"/>
            <w:tcBorders>
              <w:bottom w:val="single" w:sz="8" w:color="auto"/>
            </w:tcBorders>
            <w:shd w:val="clear" w:color="auto" w:fill="FF160F"/>
          </w:tcPr>
          <w:p>
            <w:pPr>
              <w:jc w:val="right"/>
              <w:ind w:right="608"/>
              <w:spacing w:after="0"/>
              <w:rPr>
                <w:sz w:val="20"/>
                <w:szCs w:val="20"/>
                <w:color w:val="auto"/>
              </w:rPr>
            </w:pPr>
            <w:r>
              <w:rPr>
                <w:rFonts w:ascii="Arial" w:cs="Arial" w:eastAsia="Arial" w:hAnsi="Arial"/>
                <w:sz w:val="14"/>
                <w:szCs w:val="14"/>
                <w:b w:val="1"/>
                <w:bCs w:val="1"/>
                <w:color w:val="EAEFED"/>
              </w:rPr>
              <w:t>Date</w:t>
            </w:r>
          </w:p>
        </w:tc>
        <w:tc>
          <w:tcPr>
            <w:tcW w:w="2460" w:type="dxa"/>
            <w:vAlign w:val="bottom"/>
            <w:tcBorders>
              <w:bottom w:val="single" w:sz="8" w:color="auto"/>
            </w:tcBorders>
            <w:shd w:val="clear" w:color="auto" w:fill="FF160F"/>
          </w:tcPr>
          <w:p>
            <w:pPr>
              <w:jc w:val="right"/>
              <w:ind w:right="328"/>
              <w:spacing w:after="0" w:line="185" w:lineRule="exact"/>
              <w:rPr>
                <w:sz w:val="20"/>
                <w:szCs w:val="20"/>
                <w:color w:val="auto"/>
              </w:rPr>
            </w:pPr>
            <w:r>
              <w:rPr>
                <w:rFonts w:ascii="Arial" w:cs="Arial" w:eastAsia="Arial" w:hAnsi="Arial"/>
                <w:sz w:val="14"/>
                <w:szCs w:val="14"/>
                <w:b w:val="1"/>
                <w:bCs w:val="1"/>
                <w:color w:val="EAEFED"/>
              </w:rPr>
              <w:t>Stock or Units</w:t>
            </w:r>
            <w:r>
              <w:rPr>
                <w:rFonts w:ascii="Arial" w:cs="Arial" w:eastAsia="Arial" w:hAnsi="Arial"/>
                <w:sz w:val="17"/>
                <w:szCs w:val="17"/>
                <w:b w:val="1"/>
                <w:bCs w:val="1"/>
                <w:color w:val="EAEFED"/>
                <w:vertAlign w:val="superscript"/>
              </w:rPr>
              <w:t>(1)</w:t>
            </w:r>
          </w:p>
        </w:tc>
        <w:tc>
          <w:tcPr>
            <w:tcW w:w="1300" w:type="dxa"/>
            <w:vAlign w:val="bottom"/>
            <w:tcBorders>
              <w:bottom w:val="single" w:sz="8" w:color="auto"/>
            </w:tcBorders>
            <w:gridSpan w:val="2"/>
            <w:shd w:val="clear" w:color="auto" w:fill="FF160F"/>
          </w:tcPr>
          <w:p>
            <w:pPr>
              <w:jc w:val="right"/>
              <w:ind w:right="8"/>
              <w:spacing w:after="0" w:line="185" w:lineRule="exact"/>
              <w:rPr>
                <w:sz w:val="20"/>
                <w:szCs w:val="20"/>
                <w:color w:val="auto"/>
              </w:rPr>
            </w:pPr>
            <w:r>
              <w:rPr>
                <w:rFonts w:ascii="Arial" w:cs="Arial" w:eastAsia="Arial" w:hAnsi="Arial"/>
                <w:sz w:val="14"/>
                <w:szCs w:val="14"/>
                <w:b w:val="1"/>
                <w:bCs w:val="1"/>
                <w:color w:val="EAEFED"/>
              </w:rPr>
              <w:t>Fair Value</w:t>
            </w:r>
            <w:r>
              <w:rPr>
                <w:rFonts w:ascii="Arial" w:cs="Arial" w:eastAsia="Arial" w:hAnsi="Arial"/>
                <w:sz w:val="17"/>
                <w:szCs w:val="17"/>
                <w:b w:val="1"/>
                <w:bCs w:val="1"/>
                <w:color w:val="EAEFED"/>
                <w:vertAlign w:val="superscript"/>
              </w:rPr>
              <w:t>(2)</w:t>
            </w:r>
          </w:p>
        </w:tc>
      </w:tr>
      <w:tr>
        <w:trPr>
          <w:trHeight w:val="187"/>
        </w:trPr>
        <w:tc>
          <w:tcPr>
            <w:tcW w:w="5340" w:type="dxa"/>
            <w:vAlign w:val="bottom"/>
            <w:shd w:val="clear" w:color="auto" w:fill="D8D8D8"/>
          </w:tcPr>
          <w:p>
            <w:pPr>
              <w:spacing w:after="0"/>
              <w:rPr>
                <w:sz w:val="20"/>
                <w:szCs w:val="20"/>
                <w:color w:val="auto"/>
              </w:rPr>
            </w:pPr>
            <w:r>
              <w:rPr>
                <w:rFonts w:ascii="Arial" w:cs="Arial" w:eastAsia="Arial" w:hAnsi="Arial"/>
                <w:sz w:val="14"/>
                <w:szCs w:val="14"/>
                <w:color w:val="auto"/>
              </w:rPr>
              <w:t>Donald C. Wood</w:t>
            </w:r>
          </w:p>
        </w:tc>
        <w:tc>
          <w:tcPr>
            <w:tcW w:w="1920" w:type="dxa"/>
            <w:vAlign w:val="bottom"/>
          </w:tcPr>
          <w:p>
            <w:pPr>
              <w:jc w:val="right"/>
              <w:ind w:right="328"/>
              <w:spacing w:after="0" w:line="187"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(3)</w:t>
            </w:r>
          </w:p>
        </w:tc>
        <w:tc>
          <w:tcPr>
            <w:tcW w:w="2460" w:type="dxa"/>
            <w:vAlign w:val="bottom"/>
          </w:tcPr>
          <w:p>
            <w:pPr>
              <w:jc w:val="right"/>
              <w:ind w:right="328"/>
              <w:spacing w:after="0"/>
              <w:rPr>
                <w:sz w:val="20"/>
                <w:szCs w:val="20"/>
                <w:color w:val="auto"/>
              </w:rPr>
            </w:pPr>
            <w:r>
              <w:rPr>
                <w:rFonts w:ascii="Arial" w:cs="Arial" w:eastAsia="Arial" w:hAnsi="Arial"/>
                <w:sz w:val="14"/>
                <w:szCs w:val="14"/>
                <w:color w:val="auto"/>
              </w:rPr>
              <w:t>4,225</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534,420</w:t>
            </w:r>
          </w:p>
        </w:tc>
      </w:tr>
      <w:tr>
        <w:trPr>
          <w:trHeight w:val="171"/>
        </w:trPr>
        <w:tc>
          <w:tcPr>
            <w:tcW w:w="5340" w:type="dxa"/>
            <w:vAlign w:val="bottom"/>
            <w:tcBorders>
              <w:bottom w:val="single" w:sz="8" w:color="auto"/>
            </w:tcBorders>
            <w:shd w:val="clear" w:color="auto" w:fill="D8D8D8"/>
          </w:tcPr>
          <w:p>
            <w:pPr>
              <w:spacing w:after="0"/>
              <w:rPr>
                <w:sz w:val="14"/>
                <w:szCs w:val="14"/>
                <w:color w:val="auto"/>
              </w:rPr>
            </w:pPr>
          </w:p>
        </w:tc>
        <w:tc>
          <w:tcPr>
            <w:tcW w:w="1920" w:type="dxa"/>
            <w:vAlign w:val="bottom"/>
            <w:tcBorders>
              <w:bottom w:val="single" w:sz="8" w:color="auto"/>
            </w:tcBorders>
          </w:tcPr>
          <w:p>
            <w:pPr>
              <w:jc w:val="right"/>
              <w:ind w:right="328"/>
              <w:spacing w:after="0" w:line="172"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(4)</w:t>
            </w:r>
          </w:p>
        </w:tc>
        <w:tc>
          <w:tcPr>
            <w:tcW w:w="2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46,960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5,939,970</w:t>
            </w:r>
          </w:p>
        </w:tc>
      </w:tr>
      <w:tr>
        <w:trPr>
          <w:trHeight w:val="187"/>
        </w:trPr>
        <w:tc>
          <w:tcPr>
            <w:tcW w:w="5340" w:type="dxa"/>
            <w:vAlign w:val="bottom"/>
            <w:shd w:val="clear" w:color="auto" w:fill="D8D8D8"/>
          </w:tcPr>
          <w:p>
            <w:pPr>
              <w:spacing w:after="0"/>
              <w:rPr>
                <w:sz w:val="20"/>
                <w:szCs w:val="20"/>
                <w:color w:val="auto"/>
              </w:rPr>
            </w:pPr>
            <w:r>
              <w:rPr>
                <w:rFonts w:ascii="Arial" w:cs="Arial" w:eastAsia="Arial" w:hAnsi="Arial"/>
                <w:sz w:val="14"/>
                <w:szCs w:val="14"/>
                <w:color w:val="auto"/>
              </w:rPr>
              <w:t>Jeffrey S. Berkes</w:t>
            </w:r>
          </w:p>
        </w:tc>
        <w:tc>
          <w:tcPr>
            <w:tcW w:w="1920" w:type="dxa"/>
            <w:vAlign w:val="bottom"/>
          </w:tcPr>
          <w:p>
            <w:pPr>
              <w:jc w:val="right"/>
              <w:ind w:right="328"/>
              <w:spacing w:after="0" w:line="187"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(3)</w:t>
            </w:r>
          </w:p>
        </w:tc>
        <w:tc>
          <w:tcPr>
            <w:tcW w:w="2460" w:type="dxa"/>
            <w:vAlign w:val="bottom"/>
          </w:tcPr>
          <w:p>
            <w:pPr>
              <w:jc w:val="right"/>
              <w:ind w:right="328"/>
              <w:spacing w:after="0"/>
              <w:rPr>
                <w:sz w:val="20"/>
                <w:szCs w:val="20"/>
                <w:color w:val="auto"/>
              </w:rPr>
            </w:pPr>
            <w:r>
              <w:rPr>
                <w:rFonts w:ascii="Arial" w:cs="Arial" w:eastAsia="Arial" w:hAnsi="Arial"/>
                <w:sz w:val="14"/>
                <w:szCs w:val="14"/>
                <w:color w:val="auto"/>
              </w:rPr>
              <w:t>1,705</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215,665</w:t>
            </w:r>
          </w:p>
        </w:tc>
      </w:tr>
      <w:tr>
        <w:trPr>
          <w:trHeight w:val="171"/>
        </w:trPr>
        <w:tc>
          <w:tcPr>
            <w:tcW w:w="5340" w:type="dxa"/>
            <w:vAlign w:val="bottom"/>
            <w:tcBorders>
              <w:bottom w:val="single" w:sz="8" w:color="auto"/>
            </w:tcBorders>
            <w:shd w:val="clear" w:color="auto" w:fill="D8D8D8"/>
          </w:tcPr>
          <w:p>
            <w:pPr>
              <w:spacing w:after="0"/>
              <w:rPr>
                <w:sz w:val="14"/>
                <w:szCs w:val="14"/>
                <w:color w:val="auto"/>
              </w:rPr>
            </w:pPr>
          </w:p>
        </w:tc>
        <w:tc>
          <w:tcPr>
            <w:tcW w:w="1920" w:type="dxa"/>
            <w:vAlign w:val="bottom"/>
            <w:tcBorders>
              <w:bottom w:val="single" w:sz="8" w:color="auto"/>
            </w:tcBorders>
          </w:tcPr>
          <w:p>
            <w:pPr>
              <w:jc w:val="right"/>
              <w:ind w:right="328"/>
              <w:spacing w:after="0" w:line="172"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(4)</w:t>
            </w:r>
          </w:p>
        </w:tc>
        <w:tc>
          <w:tcPr>
            <w:tcW w:w="2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7,827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990,037</w:t>
            </w:r>
          </w:p>
        </w:tc>
      </w:tr>
      <w:tr>
        <w:trPr>
          <w:trHeight w:val="169"/>
        </w:trPr>
        <w:tc>
          <w:tcPr>
            <w:tcW w:w="534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color w:val="auto"/>
              </w:rPr>
              <w:t>Daniel Guglielmone</w:t>
            </w:r>
          </w:p>
        </w:tc>
        <w:tc>
          <w:tcPr>
            <w:tcW w:w="1920" w:type="dxa"/>
            <w:vAlign w:val="bottom"/>
            <w:tcBorders>
              <w:bottom w:val="single" w:sz="8" w:color="auto"/>
            </w:tcBorders>
          </w:tcPr>
          <w:p>
            <w:pPr>
              <w:jc w:val="right"/>
              <w:ind w:right="328"/>
              <w:spacing w:after="0" w:line="169"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(4)</w:t>
            </w:r>
          </w:p>
        </w:tc>
        <w:tc>
          <w:tcPr>
            <w:tcW w:w="2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7,044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890,996</w:t>
            </w:r>
          </w:p>
        </w:tc>
      </w:tr>
      <w:tr>
        <w:trPr>
          <w:trHeight w:val="187"/>
        </w:trPr>
        <w:tc>
          <w:tcPr>
            <w:tcW w:w="5340" w:type="dxa"/>
            <w:vAlign w:val="bottom"/>
            <w:shd w:val="clear" w:color="auto" w:fill="D8D8D8"/>
          </w:tcPr>
          <w:p>
            <w:pPr>
              <w:spacing w:after="0"/>
              <w:rPr>
                <w:sz w:val="20"/>
                <w:szCs w:val="20"/>
                <w:color w:val="auto"/>
              </w:rPr>
            </w:pPr>
            <w:r>
              <w:rPr>
                <w:rFonts w:ascii="Arial" w:cs="Arial" w:eastAsia="Arial" w:hAnsi="Arial"/>
                <w:sz w:val="14"/>
                <w:szCs w:val="14"/>
                <w:color w:val="auto"/>
              </w:rPr>
              <w:t>Dawn M. Becker</w:t>
            </w:r>
          </w:p>
        </w:tc>
        <w:tc>
          <w:tcPr>
            <w:tcW w:w="1920" w:type="dxa"/>
            <w:vAlign w:val="bottom"/>
          </w:tcPr>
          <w:p>
            <w:pPr>
              <w:jc w:val="right"/>
              <w:ind w:right="328"/>
              <w:spacing w:after="0" w:line="187"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(3)</w:t>
            </w:r>
          </w:p>
        </w:tc>
        <w:tc>
          <w:tcPr>
            <w:tcW w:w="2460" w:type="dxa"/>
            <w:vAlign w:val="bottom"/>
          </w:tcPr>
          <w:p>
            <w:pPr>
              <w:jc w:val="right"/>
              <w:ind w:right="328"/>
              <w:spacing w:after="0"/>
              <w:rPr>
                <w:sz w:val="20"/>
                <w:szCs w:val="20"/>
                <w:color w:val="auto"/>
              </w:rPr>
            </w:pPr>
            <w:r>
              <w:rPr>
                <w:rFonts w:ascii="Arial" w:cs="Arial" w:eastAsia="Arial" w:hAnsi="Arial"/>
                <w:sz w:val="14"/>
                <w:szCs w:val="14"/>
                <w:color w:val="auto"/>
              </w:rPr>
              <w:t>1,056</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133,573</w:t>
            </w:r>
          </w:p>
        </w:tc>
      </w:tr>
      <w:tr>
        <w:trPr>
          <w:trHeight w:val="171"/>
        </w:trPr>
        <w:tc>
          <w:tcPr>
            <w:tcW w:w="5340" w:type="dxa"/>
            <w:vAlign w:val="bottom"/>
            <w:tcBorders>
              <w:bottom w:val="single" w:sz="8" w:color="auto"/>
            </w:tcBorders>
            <w:shd w:val="clear" w:color="auto" w:fill="D8D8D8"/>
          </w:tcPr>
          <w:p>
            <w:pPr>
              <w:spacing w:after="0"/>
              <w:rPr>
                <w:sz w:val="14"/>
                <w:szCs w:val="14"/>
                <w:color w:val="auto"/>
              </w:rPr>
            </w:pPr>
          </w:p>
        </w:tc>
        <w:tc>
          <w:tcPr>
            <w:tcW w:w="1920" w:type="dxa"/>
            <w:vAlign w:val="bottom"/>
            <w:tcBorders>
              <w:bottom w:val="single" w:sz="8" w:color="auto"/>
            </w:tcBorders>
          </w:tcPr>
          <w:p>
            <w:pPr>
              <w:jc w:val="right"/>
              <w:ind w:right="328"/>
              <w:spacing w:after="0" w:line="172" w:lineRule="exact"/>
              <w:rPr>
                <w:sz w:val="20"/>
                <w:szCs w:val="20"/>
                <w:color w:val="auto"/>
              </w:rPr>
            </w:pPr>
            <w:r>
              <w:rPr>
                <w:rFonts w:ascii="Arial" w:cs="Arial" w:eastAsia="Arial" w:hAnsi="Arial"/>
                <w:sz w:val="14"/>
                <w:szCs w:val="14"/>
                <w:color w:val="auto"/>
              </w:rPr>
              <w:t xml:space="preserve">2/9/2022 </w:t>
            </w:r>
            <w:r>
              <w:rPr>
                <w:rFonts w:ascii="Arial" w:cs="Arial" w:eastAsia="Arial" w:hAnsi="Arial"/>
                <w:sz w:val="17"/>
                <w:szCs w:val="17"/>
                <w:color w:val="auto"/>
                <w:vertAlign w:val="superscript"/>
              </w:rPr>
              <w:t>(4)</w:t>
            </w:r>
          </w:p>
        </w:tc>
        <w:tc>
          <w:tcPr>
            <w:tcW w:w="2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4,696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593,997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28" w:lineRule="auto"/>
        <w:tabs>
          <w:tab w:leader="none" w:pos="540" w:val="left"/>
        </w:tabs>
        <w:numPr>
          <w:ilvl w:val="0"/>
          <w:numId w:val="68"/>
        </w:numPr>
        <w:rPr>
          <w:rFonts w:ascii="Arial" w:cs="Arial" w:eastAsia="Arial" w:hAnsi="Arial"/>
          <w:sz w:val="20"/>
          <w:szCs w:val="20"/>
          <w:color w:val="auto"/>
          <w:vertAlign w:val="superscript"/>
        </w:rPr>
      </w:pPr>
      <w:r>
        <w:rPr>
          <w:rFonts w:ascii="Arial" w:cs="Arial" w:eastAsia="Arial" w:hAnsi="Arial"/>
          <w:sz w:val="16"/>
          <w:szCs w:val="16"/>
          <w:color w:val="auto"/>
        </w:rPr>
        <w:t>Dividends are paid on these shares issued at the same rate and time as paid to all other holders of our shares as declared by our Board from time to time.</w:t>
      </w:r>
    </w:p>
    <w:p>
      <w:pPr>
        <w:ind w:left="540" w:hanging="424"/>
        <w:spacing w:after="0" w:line="197" w:lineRule="auto"/>
        <w:tabs>
          <w:tab w:leader="none" w:pos="540" w:val="left"/>
        </w:tabs>
        <w:numPr>
          <w:ilvl w:val="0"/>
          <w:numId w:val="68"/>
        </w:numPr>
        <w:rPr>
          <w:rFonts w:ascii="Arial" w:cs="Arial" w:eastAsia="Arial" w:hAnsi="Arial"/>
          <w:sz w:val="20"/>
          <w:szCs w:val="20"/>
          <w:color w:val="auto"/>
          <w:vertAlign w:val="superscript"/>
        </w:rPr>
      </w:pPr>
      <w:r>
        <w:rPr>
          <w:rFonts w:ascii="Arial" w:cs="Arial" w:eastAsia="Arial" w:hAnsi="Arial"/>
          <w:sz w:val="16"/>
          <w:szCs w:val="16"/>
          <w:color w:val="auto"/>
        </w:rPr>
        <w:t>Represents the grant date fair value of share awards as computed in accordance with FASB ASC Topic 718.</w:t>
      </w:r>
    </w:p>
    <w:p>
      <w:pPr>
        <w:ind w:left="540" w:hanging="424"/>
        <w:spacing w:after="0" w:line="197" w:lineRule="auto"/>
        <w:tabs>
          <w:tab w:leader="none" w:pos="540" w:val="left"/>
        </w:tabs>
        <w:numPr>
          <w:ilvl w:val="0"/>
          <w:numId w:val="68"/>
        </w:numPr>
        <w:rPr>
          <w:rFonts w:ascii="Arial" w:cs="Arial" w:eastAsia="Arial" w:hAnsi="Arial"/>
          <w:sz w:val="20"/>
          <w:szCs w:val="20"/>
          <w:color w:val="auto"/>
          <w:vertAlign w:val="superscript"/>
        </w:rPr>
      </w:pPr>
      <w:r>
        <w:rPr>
          <w:rFonts w:ascii="Arial" w:cs="Arial" w:eastAsia="Arial" w:hAnsi="Arial"/>
          <w:sz w:val="16"/>
          <w:szCs w:val="16"/>
          <w:color w:val="auto"/>
        </w:rPr>
        <w:t>Issued under our annual bonus plan for the 1-year performance period ending December 31, 2021. These shares vest equally over 3 years.</w:t>
      </w:r>
    </w:p>
    <w:p>
      <w:pPr>
        <w:ind w:left="540" w:right="20" w:hanging="424"/>
        <w:spacing w:after="0"/>
        <w:tabs>
          <w:tab w:leader="none" w:pos="540" w:val="left"/>
        </w:tabs>
        <w:numPr>
          <w:ilvl w:val="0"/>
          <w:numId w:val="68"/>
        </w:numPr>
        <w:rPr>
          <w:rFonts w:ascii="Arial" w:cs="Arial" w:eastAsia="Arial" w:hAnsi="Arial"/>
          <w:sz w:val="20"/>
          <w:szCs w:val="20"/>
          <w:color w:val="auto"/>
          <w:vertAlign w:val="superscript"/>
        </w:rPr>
      </w:pPr>
      <w:r>
        <w:rPr>
          <w:rFonts w:ascii="Arial" w:cs="Arial" w:eastAsia="Arial" w:hAnsi="Arial"/>
          <w:sz w:val="16"/>
          <w:szCs w:val="16"/>
          <w:color w:val="auto"/>
        </w:rPr>
        <w:t>Issued under our long-term incentive program for the 3-year performance period ending December 31, 2021. These shares vest equally over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290195</wp:posOffset>
            </wp:positionV>
            <wp:extent cx="701230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32</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60" w:hanging="344"/>
        <w:spacing w:after="0"/>
        <w:tabs>
          <w:tab w:leader="none" w:pos="460" w:val="left"/>
        </w:tabs>
        <w:numPr>
          <w:ilvl w:val="0"/>
          <w:numId w:val="69"/>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OUTSTANDING EQUITY AWARDS AT FISCAL YEAR END TABLE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about outstanding equity awards held by our NEOs as of December 31, 2022:</w:t>
      </w: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1220" w:type="dxa"/>
            <w:vAlign w:val="bottom"/>
            <w:shd w:val="clear" w:color="auto" w:fill="FF160F"/>
          </w:tcPr>
          <w:p>
            <w:pPr>
              <w:spacing w:after="0"/>
              <w:rPr>
                <w:sz w:val="22"/>
                <w:szCs w:val="22"/>
                <w:color w:val="auto"/>
              </w:rPr>
            </w:pPr>
          </w:p>
        </w:tc>
        <w:tc>
          <w:tcPr>
            <w:tcW w:w="1400" w:type="dxa"/>
            <w:vAlign w:val="bottom"/>
            <w:shd w:val="clear" w:color="auto" w:fill="FF160F"/>
          </w:tcPr>
          <w:p>
            <w:pPr>
              <w:spacing w:after="0"/>
              <w:rPr>
                <w:sz w:val="22"/>
                <w:szCs w:val="22"/>
                <w:color w:val="auto"/>
              </w:rPr>
            </w:pPr>
          </w:p>
        </w:tc>
        <w:tc>
          <w:tcPr>
            <w:tcW w:w="1580" w:type="dxa"/>
            <w:vAlign w:val="bottom"/>
            <w:shd w:val="clear" w:color="auto" w:fill="FF160F"/>
          </w:tcPr>
          <w:p>
            <w:pPr>
              <w:spacing w:after="0"/>
              <w:rPr>
                <w:sz w:val="22"/>
                <w:szCs w:val="22"/>
                <w:color w:val="auto"/>
              </w:rPr>
            </w:pPr>
          </w:p>
        </w:tc>
        <w:tc>
          <w:tcPr>
            <w:tcW w:w="340" w:type="dxa"/>
            <w:vAlign w:val="bottom"/>
            <w:shd w:val="clear" w:color="auto" w:fill="FF160F"/>
          </w:tcPr>
          <w:p>
            <w:pPr>
              <w:spacing w:after="0"/>
              <w:rPr>
                <w:sz w:val="22"/>
                <w:szCs w:val="22"/>
                <w:color w:val="auto"/>
              </w:rPr>
            </w:pPr>
          </w:p>
        </w:tc>
        <w:tc>
          <w:tcPr>
            <w:tcW w:w="320" w:type="dxa"/>
            <w:vAlign w:val="bottom"/>
            <w:shd w:val="clear" w:color="auto" w:fill="FF160F"/>
          </w:tcPr>
          <w:p>
            <w:pPr>
              <w:spacing w:after="0"/>
              <w:rPr>
                <w:sz w:val="22"/>
                <w:szCs w:val="22"/>
                <w:color w:val="auto"/>
              </w:rPr>
            </w:pPr>
          </w:p>
        </w:tc>
        <w:tc>
          <w:tcPr>
            <w:tcW w:w="1800" w:type="dxa"/>
            <w:vAlign w:val="bottom"/>
            <w:shd w:val="clear" w:color="auto" w:fill="FF160F"/>
          </w:tcPr>
          <w:p>
            <w:pPr>
              <w:jc w:val="right"/>
              <w:ind w:right="708"/>
              <w:spacing w:after="0"/>
              <w:rPr>
                <w:sz w:val="20"/>
                <w:szCs w:val="20"/>
                <w:color w:val="auto"/>
              </w:rPr>
            </w:pPr>
            <w:r>
              <w:rPr>
                <w:rFonts w:ascii="Arial" w:cs="Arial" w:eastAsia="Arial" w:hAnsi="Arial"/>
                <w:sz w:val="14"/>
                <w:szCs w:val="14"/>
                <w:b w:val="1"/>
                <w:bCs w:val="1"/>
                <w:color w:val="EAEFED"/>
              </w:rPr>
              <w:t>Stock Awards</w:t>
            </w:r>
          </w:p>
        </w:tc>
        <w:tc>
          <w:tcPr>
            <w:tcW w:w="2280" w:type="dxa"/>
            <w:vAlign w:val="bottom"/>
            <w:shd w:val="clear" w:color="auto" w:fill="FF160F"/>
          </w:tcPr>
          <w:p>
            <w:pPr>
              <w:spacing w:after="0"/>
              <w:rPr>
                <w:sz w:val="22"/>
                <w:szCs w:val="22"/>
                <w:color w:val="auto"/>
              </w:rPr>
            </w:pPr>
          </w:p>
        </w:tc>
        <w:tc>
          <w:tcPr>
            <w:tcW w:w="220" w:type="dxa"/>
            <w:vAlign w:val="bottom"/>
            <w:shd w:val="clear" w:color="auto" w:fill="FF160F"/>
          </w:tcPr>
          <w:p>
            <w:pPr>
              <w:spacing w:after="0"/>
              <w:rPr>
                <w:sz w:val="22"/>
                <w:szCs w:val="22"/>
                <w:color w:val="auto"/>
              </w:rPr>
            </w:pPr>
          </w:p>
        </w:tc>
        <w:tc>
          <w:tcPr>
            <w:tcW w:w="1860" w:type="dxa"/>
            <w:vAlign w:val="bottom"/>
            <w:shd w:val="clear" w:color="auto" w:fill="FF160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220" w:type="dxa"/>
            <w:vAlign w:val="bottom"/>
            <w:shd w:val="clear" w:color="auto" w:fill="FF160F"/>
          </w:tcPr>
          <w:p>
            <w:pPr>
              <w:spacing w:after="0"/>
              <w:rPr>
                <w:sz w:val="21"/>
                <w:szCs w:val="21"/>
                <w:color w:val="auto"/>
              </w:rPr>
            </w:pPr>
          </w:p>
        </w:tc>
        <w:tc>
          <w:tcPr>
            <w:tcW w:w="1400" w:type="dxa"/>
            <w:vAlign w:val="bottom"/>
            <w:shd w:val="clear" w:color="auto" w:fill="FF160F"/>
          </w:tcPr>
          <w:p>
            <w:pPr>
              <w:spacing w:after="0"/>
              <w:rPr>
                <w:sz w:val="21"/>
                <w:szCs w:val="21"/>
                <w:color w:val="auto"/>
              </w:rPr>
            </w:pPr>
          </w:p>
        </w:tc>
        <w:tc>
          <w:tcPr>
            <w:tcW w:w="1580" w:type="dxa"/>
            <w:vAlign w:val="bottom"/>
            <w:shd w:val="clear" w:color="auto" w:fill="FF160F"/>
          </w:tcPr>
          <w:p>
            <w:pPr>
              <w:spacing w:after="0"/>
              <w:rPr>
                <w:sz w:val="21"/>
                <w:szCs w:val="21"/>
                <w:color w:val="auto"/>
              </w:rPr>
            </w:pPr>
          </w:p>
        </w:tc>
        <w:tc>
          <w:tcPr>
            <w:tcW w:w="340" w:type="dxa"/>
            <w:vAlign w:val="bottom"/>
            <w:shd w:val="clear" w:color="auto" w:fill="FF160F"/>
          </w:tcPr>
          <w:p>
            <w:pPr>
              <w:spacing w:after="0"/>
              <w:rPr>
                <w:sz w:val="21"/>
                <w:szCs w:val="21"/>
                <w:color w:val="auto"/>
              </w:rPr>
            </w:pPr>
          </w:p>
        </w:tc>
        <w:tc>
          <w:tcPr>
            <w:tcW w:w="320" w:type="dxa"/>
            <w:vAlign w:val="bottom"/>
            <w:shd w:val="clear" w:color="auto" w:fill="FF160F"/>
          </w:tcPr>
          <w:p>
            <w:pPr>
              <w:spacing w:after="0"/>
              <w:rPr>
                <w:sz w:val="21"/>
                <w:szCs w:val="21"/>
                <w:color w:val="auto"/>
              </w:rPr>
            </w:pPr>
          </w:p>
        </w:tc>
        <w:tc>
          <w:tcPr>
            <w:tcW w:w="1800" w:type="dxa"/>
            <w:vAlign w:val="bottom"/>
            <w:shd w:val="clear" w:color="auto" w:fill="FF160F"/>
          </w:tcPr>
          <w:p>
            <w:pPr>
              <w:spacing w:after="0"/>
              <w:rPr>
                <w:sz w:val="21"/>
                <w:szCs w:val="21"/>
                <w:color w:val="auto"/>
              </w:rPr>
            </w:pPr>
          </w:p>
        </w:tc>
        <w:tc>
          <w:tcPr>
            <w:tcW w:w="2280" w:type="dxa"/>
            <w:vAlign w:val="bottom"/>
            <w:shd w:val="clear" w:color="auto" w:fill="FF160F"/>
          </w:tcPr>
          <w:p>
            <w:pPr>
              <w:spacing w:after="0"/>
              <w:rPr>
                <w:sz w:val="21"/>
                <w:szCs w:val="21"/>
                <w:color w:val="auto"/>
              </w:rPr>
            </w:pPr>
          </w:p>
        </w:tc>
        <w:tc>
          <w:tcPr>
            <w:tcW w:w="220" w:type="dxa"/>
            <w:vAlign w:val="bottom"/>
            <w:shd w:val="clear" w:color="auto" w:fill="FF160F"/>
          </w:tcPr>
          <w:p>
            <w:pPr>
              <w:spacing w:after="0"/>
              <w:rPr>
                <w:sz w:val="21"/>
                <w:szCs w:val="21"/>
                <w:color w:val="auto"/>
              </w:rPr>
            </w:pPr>
          </w:p>
        </w:tc>
        <w:tc>
          <w:tcPr>
            <w:tcW w:w="1860" w:type="dxa"/>
            <w:vAlign w:val="bottom"/>
            <w:shd w:val="clear" w:color="auto" w:fill="FF160F"/>
          </w:tcPr>
          <w:p>
            <w:pPr>
              <w:jc w:val="center"/>
              <w:ind w:right="268"/>
              <w:spacing w:after="0"/>
              <w:rPr>
                <w:sz w:val="20"/>
                <w:szCs w:val="20"/>
                <w:color w:val="auto"/>
              </w:rPr>
            </w:pPr>
            <w:r>
              <w:rPr>
                <w:rFonts w:ascii="Arial" w:cs="Arial" w:eastAsia="Arial" w:hAnsi="Arial"/>
                <w:sz w:val="14"/>
                <w:szCs w:val="14"/>
                <w:b w:val="1"/>
                <w:bCs w:val="1"/>
                <w:color w:val="EAEFED"/>
              </w:rPr>
              <w:t>Equity incentive plan</w:t>
            </w:r>
          </w:p>
        </w:tc>
        <w:tc>
          <w:tcPr>
            <w:tcW w:w="0" w:type="dxa"/>
            <w:vAlign w:val="bottom"/>
          </w:tcPr>
          <w:p>
            <w:pPr>
              <w:spacing w:after="0"/>
              <w:rPr>
                <w:sz w:val="1"/>
                <w:szCs w:val="1"/>
                <w:color w:val="auto"/>
              </w:rPr>
            </w:pPr>
          </w:p>
        </w:tc>
      </w:tr>
      <w:tr>
        <w:trPr>
          <w:trHeight w:val="162"/>
        </w:trPr>
        <w:tc>
          <w:tcPr>
            <w:tcW w:w="1220" w:type="dxa"/>
            <w:vAlign w:val="bottom"/>
            <w:shd w:val="clear" w:color="auto" w:fill="FF160F"/>
          </w:tcPr>
          <w:p>
            <w:pPr>
              <w:spacing w:after="0"/>
              <w:rPr>
                <w:sz w:val="14"/>
                <w:szCs w:val="14"/>
                <w:color w:val="auto"/>
              </w:rPr>
            </w:pPr>
          </w:p>
        </w:tc>
        <w:tc>
          <w:tcPr>
            <w:tcW w:w="1400" w:type="dxa"/>
            <w:vAlign w:val="bottom"/>
            <w:shd w:val="clear" w:color="auto" w:fill="FF160F"/>
          </w:tcPr>
          <w:p>
            <w:pPr>
              <w:spacing w:after="0"/>
              <w:rPr>
                <w:sz w:val="14"/>
                <w:szCs w:val="14"/>
                <w:color w:val="auto"/>
              </w:rPr>
            </w:pPr>
          </w:p>
        </w:tc>
        <w:tc>
          <w:tcPr>
            <w:tcW w:w="1580" w:type="dxa"/>
            <w:vAlign w:val="bottom"/>
            <w:shd w:val="clear" w:color="auto" w:fill="FF160F"/>
          </w:tcPr>
          <w:p>
            <w:pPr>
              <w:spacing w:after="0"/>
              <w:rPr>
                <w:sz w:val="14"/>
                <w:szCs w:val="14"/>
                <w:color w:val="auto"/>
              </w:rPr>
            </w:pPr>
          </w:p>
        </w:tc>
        <w:tc>
          <w:tcPr>
            <w:tcW w:w="340" w:type="dxa"/>
            <w:vAlign w:val="bottom"/>
            <w:shd w:val="clear" w:color="auto" w:fill="FF160F"/>
          </w:tcPr>
          <w:p>
            <w:pPr>
              <w:spacing w:after="0"/>
              <w:rPr>
                <w:sz w:val="14"/>
                <w:szCs w:val="14"/>
                <w:color w:val="auto"/>
              </w:rPr>
            </w:pPr>
          </w:p>
        </w:tc>
        <w:tc>
          <w:tcPr>
            <w:tcW w:w="320" w:type="dxa"/>
            <w:vAlign w:val="bottom"/>
            <w:shd w:val="clear" w:color="auto" w:fill="FF160F"/>
          </w:tcPr>
          <w:p>
            <w:pPr>
              <w:spacing w:after="0"/>
              <w:rPr>
                <w:sz w:val="14"/>
                <w:szCs w:val="14"/>
                <w:color w:val="auto"/>
              </w:rPr>
            </w:pPr>
          </w:p>
        </w:tc>
        <w:tc>
          <w:tcPr>
            <w:tcW w:w="1800" w:type="dxa"/>
            <w:vAlign w:val="bottom"/>
            <w:shd w:val="clear" w:color="auto" w:fill="FF160F"/>
          </w:tcPr>
          <w:p>
            <w:pPr>
              <w:spacing w:after="0"/>
              <w:rPr>
                <w:sz w:val="14"/>
                <w:szCs w:val="14"/>
                <w:color w:val="auto"/>
              </w:rPr>
            </w:pPr>
          </w:p>
        </w:tc>
        <w:tc>
          <w:tcPr>
            <w:tcW w:w="2280" w:type="dxa"/>
            <w:vAlign w:val="bottom"/>
            <w:shd w:val="clear" w:color="auto" w:fill="FF160F"/>
          </w:tcPr>
          <w:p>
            <w:pPr>
              <w:jc w:val="center"/>
              <w:ind w:left="8"/>
              <w:spacing w:after="0"/>
              <w:rPr>
                <w:sz w:val="20"/>
                <w:szCs w:val="20"/>
                <w:color w:val="auto"/>
              </w:rPr>
            </w:pPr>
            <w:r>
              <w:rPr>
                <w:rFonts w:ascii="Arial" w:cs="Arial" w:eastAsia="Arial" w:hAnsi="Arial"/>
                <w:sz w:val="14"/>
                <w:szCs w:val="14"/>
                <w:b w:val="1"/>
                <w:bCs w:val="1"/>
                <w:color w:val="EAEFED"/>
              </w:rPr>
              <w:t>Equity incentive plan awards:</w:t>
            </w:r>
          </w:p>
        </w:tc>
        <w:tc>
          <w:tcPr>
            <w:tcW w:w="2080" w:type="dxa"/>
            <w:vAlign w:val="bottom"/>
            <w:gridSpan w:val="2"/>
            <w:shd w:val="clear" w:color="auto" w:fill="FF160F"/>
          </w:tcPr>
          <w:p>
            <w:pPr>
              <w:jc w:val="center"/>
              <w:ind w:right="48"/>
              <w:spacing w:after="0"/>
              <w:rPr>
                <w:sz w:val="20"/>
                <w:szCs w:val="20"/>
                <w:color w:val="auto"/>
              </w:rPr>
            </w:pPr>
            <w:r>
              <w:rPr>
                <w:rFonts w:ascii="Arial" w:cs="Arial" w:eastAsia="Arial" w:hAnsi="Arial"/>
                <w:sz w:val="14"/>
                <w:szCs w:val="14"/>
                <w:b w:val="1"/>
                <w:bCs w:val="1"/>
                <w:color w:val="EAEFED"/>
              </w:rPr>
              <w:t>awards: market or payout</w:t>
            </w:r>
          </w:p>
        </w:tc>
        <w:tc>
          <w:tcPr>
            <w:tcW w:w="0" w:type="dxa"/>
            <w:vAlign w:val="bottom"/>
          </w:tcPr>
          <w:p>
            <w:pPr>
              <w:spacing w:after="0"/>
              <w:rPr>
                <w:sz w:val="1"/>
                <w:szCs w:val="1"/>
                <w:color w:val="auto"/>
              </w:rPr>
            </w:pPr>
          </w:p>
        </w:tc>
      </w:tr>
      <w:tr>
        <w:trPr>
          <w:trHeight w:val="162"/>
        </w:trPr>
        <w:tc>
          <w:tcPr>
            <w:tcW w:w="1220" w:type="dxa"/>
            <w:vAlign w:val="bottom"/>
            <w:shd w:val="clear" w:color="auto" w:fill="FF160F"/>
          </w:tcPr>
          <w:p>
            <w:pPr>
              <w:spacing w:after="0"/>
              <w:rPr>
                <w:sz w:val="14"/>
                <w:szCs w:val="14"/>
                <w:color w:val="auto"/>
              </w:rPr>
            </w:pPr>
          </w:p>
        </w:tc>
        <w:tc>
          <w:tcPr>
            <w:tcW w:w="1400" w:type="dxa"/>
            <w:vAlign w:val="bottom"/>
            <w:shd w:val="clear" w:color="auto" w:fill="FF160F"/>
          </w:tcPr>
          <w:p>
            <w:pPr>
              <w:spacing w:after="0"/>
              <w:rPr>
                <w:sz w:val="14"/>
                <w:szCs w:val="14"/>
                <w:color w:val="auto"/>
              </w:rPr>
            </w:pPr>
          </w:p>
        </w:tc>
        <w:tc>
          <w:tcPr>
            <w:tcW w:w="1920" w:type="dxa"/>
            <w:vAlign w:val="bottom"/>
            <w:gridSpan w:val="2"/>
            <w:shd w:val="clear" w:color="auto" w:fill="FF160F"/>
          </w:tcPr>
          <w:p>
            <w:pPr>
              <w:jc w:val="right"/>
              <w:ind w:right="135"/>
              <w:spacing w:after="0"/>
              <w:rPr>
                <w:sz w:val="20"/>
                <w:szCs w:val="20"/>
                <w:color w:val="auto"/>
              </w:rPr>
            </w:pPr>
            <w:r>
              <w:rPr>
                <w:rFonts w:ascii="Arial" w:cs="Arial" w:eastAsia="Arial" w:hAnsi="Arial"/>
                <w:sz w:val="14"/>
                <w:szCs w:val="14"/>
                <w:b w:val="1"/>
                <w:bCs w:val="1"/>
                <w:color w:val="EAEFED"/>
              </w:rPr>
              <w:t>Number of Shares or</w:t>
            </w:r>
          </w:p>
        </w:tc>
        <w:tc>
          <w:tcPr>
            <w:tcW w:w="2120" w:type="dxa"/>
            <w:vAlign w:val="bottom"/>
            <w:gridSpan w:val="2"/>
            <w:shd w:val="clear" w:color="auto" w:fill="FF160F"/>
          </w:tcPr>
          <w:p>
            <w:pPr>
              <w:ind w:left="180"/>
              <w:spacing w:after="0"/>
              <w:rPr>
                <w:sz w:val="20"/>
                <w:szCs w:val="20"/>
                <w:color w:val="auto"/>
              </w:rPr>
            </w:pPr>
            <w:r>
              <w:rPr>
                <w:rFonts w:ascii="Arial" w:cs="Arial" w:eastAsia="Arial" w:hAnsi="Arial"/>
                <w:sz w:val="14"/>
                <w:szCs w:val="14"/>
                <w:b w:val="1"/>
                <w:bCs w:val="1"/>
                <w:color w:val="EAEFED"/>
              </w:rPr>
              <w:t>Market Value of Shares or</w:t>
            </w:r>
          </w:p>
        </w:tc>
        <w:tc>
          <w:tcPr>
            <w:tcW w:w="2280" w:type="dxa"/>
            <w:vAlign w:val="bottom"/>
            <w:shd w:val="clear" w:color="auto" w:fill="FF160F"/>
          </w:tcPr>
          <w:p>
            <w:pPr>
              <w:jc w:val="center"/>
              <w:ind w:left="8"/>
              <w:spacing w:after="0"/>
              <w:rPr>
                <w:sz w:val="20"/>
                <w:szCs w:val="20"/>
                <w:color w:val="auto"/>
              </w:rPr>
            </w:pPr>
            <w:r>
              <w:rPr>
                <w:rFonts w:ascii="Arial" w:cs="Arial" w:eastAsia="Arial" w:hAnsi="Arial"/>
                <w:sz w:val="14"/>
                <w:szCs w:val="14"/>
                <w:b w:val="1"/>
                <w:bCs w:val="1"/>
                <w:color w:val="EAEFED"/>
              </w:rPr>
              <w:t>number of unearned shares,</w:t>
            </w:r>
          </w:p>
        </w:tc>
        <w:tc>
          <w:tcPr>
            <w:tcW w:w="2080" w:type="dxa"/>
            <w:vAlign w:val="bottom"/>
            <w:gridSpan w:val="2"/>
            <w:shd w:val="clear" w:color="auto" w:fill="FF160F"/>
          </w:tcPr>
          <w:p>
            <w:pPr>
              <w:jc w:val="center"/>
              <w:ind w:right="48"/>
              <w:spacing w:after="0"/>
              <w:rPr>
                <w:sz w:val="20"/>
                <w:szCs w:val="20"/>
                <w:color w:val="auto"/>
              </w:rPr>
            </w:pPr>
            <w:r>
              <w:rPr>
                <w:rFonts w:ascii="Arial" w:cs="Arial" w:eastAsia="Arial" w:hAnsi="Arial"/>
                <w:sz w:val="14"/>
                <w:szCs w:val="14"/>
                <w:b w:val="1"/>
                <w:bCs w:val="1"/>
                <w:color w:val="EAEFED"/>
              </w:rPr>
              <w:t>value of unearned shares,</w:t>
            </w:r>
          </w:p>
        </w:tc>
        <w:tc>
          <w:tcPr>
            <w:tcW w:w="0" w:type="dxa"/>
            <w:vAlign w:val="bottom"/>
          </w:tcPr>
          <w:p>
            <w:pPr>
              <w:spacing w:after="0"/>
              <w:rPr>
                <w:sz w:val="1"/>
                <w:szCs w:val="1"/>
                <w:color w:val="auto"/>
              </w:rPr>
            </w:pPr>
          </w:p>
        </w:tc>
      </w:tr>
      <w:tr>
        <w:trPr>
          <w:trHeight w:val="162"/>
        </w:trPr>
        <w:tc>
          <w:tcPr>
            <w:tcW w:w="1220" w:type="dxa"/>
            <w:vAlign w:val="bottom"/>
            <w:shd w:val="clear" w:color="auto" w:fill="FF160F"/>
          </w:tcPr>
          <w:p>
            <w:pPr>
              <w:spacing w:after="0"/>
              <w:rPr>
                <w:sz w:val="14"/>
                <w:szCs w:val="14"/>
                <w:color w:val="auto"/>
              </w:rPr>
            </w:pPr>
          </w:p>
        </w:tc>
        <w:tc>
          <w:tcPr>
            <w:tcW w:w="1400" w:type="dxa"/>
            <w:vAlign w:val="bottom"/>
            <w:shd w:val="clear" w:color="auto" w:fill="FF160F"/>
          </w:tcPr>
          <w:p>
            <w:pPr>
              <w:spacing w:after="0"/>
              <w:rPr>
                <w:sz w:val="14"/>
                <w:szCs w:val="14"/>
                <w:color w:val="auto"/>
              </w:rPr>
            </w:pPr>
          </w:p>
        </w:tc>
        <w:tc>
          <w:tcPr>
            <w:tcW w:w="1920" w:type="dxa"/>
            <w:vAlign w:val="bottom"/>
            <w:gridSpan w:val="2"/>
            <w:shd w:val="clear" w:color="auto" w:fill="FF160F"/>
          </w:tcPr>
          <w:p>
            <w:pPr>
              <w:jc w:val="right"/>
              <w:ind w:right="135"/>
              <w:spacing w:after="0"/>
              <w:rPr>
                <w:sz w:val="20"/>
                <w:szCs w:val="20"/>
                <w:color w:val="auto"/>
              </w:rPr>
            </w:pPr>
            <w:r>
              <w:rPr>
                <w:rFonts w:ascii="Arial" w:cs="Arial" w:eastAsia="Arial" w:hAnsi="Arial"/>
                <w:sz w:val="14"/>
                <w:szCs w:val="14"/>
                <w:b w:val="1"/>
                <w:bCs w:val="1"/>
                <w:color w:val="EAEFED"/>
              </w:rPr>
              <w:t>Units of Stock That</w:t>
            </w:r>
          </w:p>
        </w:tc>
        <w:tc>
          <w:tcPr>
            <w:tcW w:w="2120" w:type="dxa"/>
            <w:vAlign w:val="bottom"/>
            <w:gridSpan w:val="2"/>
            <w:shd w:val="clear" w:color="auto" w:fill="FF160F"/>
          </w:tcPr>
          <w:p>
            <w:pPr>
              <w:jc w:val="right"/>
              <w:ind w:right="108"/>
              <w:spacing w:after="0"/>
              <w:rPr>
                <w:sz w:val="20"/>
                <w:szCs w:val="20"/>
                <w:color w:val="auto"/>
              </w:rPr>
            </w:pPr>
            <w:r>
              <w:rPr>
                <w:rFonts w:ascii="Arial" w:cs="Arial" w:eastAsia="Arial" w:hAnsi="Arial"/>
                <w:sz w:val="14"/>
                <w:szCs w:val="14"/>
                <w:b w:val="1"/>
                <w:bCs w:val="1"/>
                <w:color w:val="EAEFED"/>
              </w:rPr>
              <w:t>Units of Stock That Have</w:t>
            </w:r>
          </w:p>
        </w:tc>
        <w:tc>
          <w:tcPr>
            <w:tcW w:w="2280" w:type="dxa"/>
            <w:vAlign w:val="bottom"/>
            <w:shd w:val="clear" w:color="auto" w:fill="FF160F"/>
          </w:tcPr>
          <w:p>
            <w:pPr>
              <w:jc w:val="center"/>
              <w:ind w:left="8"/>
              <w:spacing w:after="0"/>
              <w:rPr>
                <w:sz w:val="20"/>
                <w:szCs w:val="20"/>
                <w:color w:val="auto"/>
              </w:rPr>
            </w:pPr>
            <w:r>
              <w:rPr>
                <w:rFonts w:ascii="Arial" w:cs="Arial" w:eastAsia="Arial" w:hAnsi="Arial"/>
                <w:sz w:val="14"/>
                <w:szCs w:val="14"/>
                <w:b w:val="1"/>
                <w:bCs w:val="1"/>
                <w:color w:val="EAEFED"/>
              </w:rPr>
              <w:t>units or other rights that</w:t>
            </w:r>
          </w:p>
        </w:tc>
        <w:tc>
          <w:tcPr>
            <w:tcW w:w="2080" w:type="dxa"/>
            <w:vAlign w:val="bottom"/>
            <w:gridSpan w:val="2"/>
            <w:shd w:val="clear" w:color="auto" w:fill="FF160F"/>
          </w:tcPr>
          <w:p>
            <w:pPr>
              <w:jc w:val="center"/>
              <w:ind w:right="48"/>
              <w:spacing w:after="0"/>
              <w:rPr>
                <w:sz w:val="20"/>
                <w:szCs w:val="20"/>
                <w:color w:val="auto"/>
              </w:rPr>
            </w:pPr>
            <w:r>
              <w:rPr>
                <w:rFonts w:ascii="Arial" w:cs="Arial" w:eastAsia="Arial" w:hAnsi="Arial"/>
                <w:sz w:val="14"/>
                <w:szCs w:val="14"/>
                <w:b w:val="1"/>
                <w:bCs w:val="1"/>
                <w:color w:val="EAEFED"/>
              </w:rPr>
              <w:t>units or other rights that</w:t>
            </w:r>
          </w:p>
        </w:tc>
        <w:tc>
          <w:tcPr>
            <w:tcW w:w="0" w:type="dxa"/>
            <w:vAlign w:val="bottom"/>
          </w:tcPr>
          <w:p>
            <w:pPr>
              <w:spacing w:after="0"/>
              <w:rPr>
                <w:sz w:val="1"/>
                <w:szCs w:val="1"/>
                <w:color w:val="auto"/>
              </w:rPr>
            </w:pPr>
          </w:p>
        </w:tc>
      </w:tr>
      <w:tr>
        <w:trPr>
          <w:trHeight w:val="252"/>
        </w:trPr>
        <w:tc>
          <w:tcPr>
            <w:tcW w:w="2620" w:type="dxa"/>
            <w:vAlign w:val="bottom"/>
            <w:gridSpan w:val="2"/>
            <w:shd w:val="clear" w:color="auto" w:fill="FF160F"/>
          </w:tcPr>
          <w:p>
            <w:pPr>
              <w:spacing w:after="0"/>
              <w:rPr>
                <w:sz w:val="20"/>
                <w:szCs w:val="20"/>
                <w:color w:val="auto"/>
              </w:rPr>
            </w:pPr>
            <w:r>
              <w:rPr>
                <w:rFonts w:ascii="Arial" w:cs="Arial" w:eastAsia="Arial" w:hAnsi="Arial"/>
                <w:sz w:val="14"/>
                <w:szCs w:val="14"/>
                <w:b w:val="1"/>
                <w:bCs w:val="1"/>
                <w:color w:val="EAEFED"/>
              </w:rPr>
              <w:t>Name</w:t>
            </w:r>
          </w:p>
        </w:tc>
        <w:tc>
          <w:tcPr>
            <w:tcW w:w="1920" w:type="dxa"/>
            <w:vAlign w:val="bottom"/>
            <w:gridSpan w:val="2"/>
            <w:shd w:val="clear" w:color="auto" w:fill="FF160F"/>
          </w:tcPr>
          <w:p>
            <w:pPr>
              <w:jc w:val="right"/>
              <w:ind w:right="135"/>
              <w:spacing w:after="0"/>
              <w:rPr>
                <w:sz w:val="20"/>
                <w:szCs w:val="20"/>
                <w:color w:val="auto"/>
              </w:rPr>
            </w:pPr>
            <w:r>
              <w:rPr>
                <w:rFonts w:ascii="Arial" w:cs="Arial" w:eastAsia="Arial" w:hAnsi="Arial"/>
                <w:sz w:val="14"/>
                <w:szCs w:val="14"/>
                <w:b w:val="1"/>
                <w:bCs w:val="1"/>
                <w:color w:val="EAEFED"/>
              </w:rPr>
              <w:t>Have Not Vested</w:t>
            </w:r>
          </w:p>
        </w:tc>
        <w:tc>
          <w:tcPr>
            <w:tcW w:w="320" w:type="dxa"/>
            <w:vAlign w:val="bottom"/>
            <w:shd w:val="clear" w:color="auto" w:fill="FF160F"/>
          </w:tcPr>
          <w:p>
            <w:pPr>
              <w:spacing w:after="0"/>
              <w:rPr>
                <w:sz w:val="21"/>
                <w:szCs w:val="21"/>
                <w:color w:val="auto"/>
              </w:rPr>
            </w:pPr>
          </w:p>
        </w:tc>
        <w:tc>
          <w:tcPr>
            <w:tcW w:w="1800" w:type="dxa"/>
            <w:vAlign w:val="bottom"/>
            <w:shd w:val="clear" w:color="auto" w:fill="FF160F"/>
          </w:tcPr>
          <w:p>
            <w:pPr>
              <w:jc w:val="right"/>
              <w:ind w:right="108"/>
              <w:spacing w:after="0"/>
              <w:rPr>
                <w:sz w:val="20"/>
                <w:szCs w:val="20"/>
                <w:color w:val="auto"/>
              </w:rPr>
            </w:pPr>
            <w:r>
              <w:rPr>
                <w:rFonts w:ascii="Arial" w:cs="Arial" w:eastAsia="Arial" w:hAnsi="Arial"/>
                <w:sz w:val="14"/>
                <w:szCs w:val="14"/>
                <w:b w:val="1"/>
                <w:bCs w:val="1"/>
                <w:color w:val="EAEFED"/>
              </w:rPr>
              <w:t>Not Vested</w:t>
            </w:r>
            <w:r>
              <w:rPr>
                <w:rFonts w:ascii="Arial" w:cs="Arial" w:eastAsia="Arial" w:hAnsi="Arial"/>
                <w:sz w:val="17"/>
                <w:szCs w:val="17"/>
                <w:b w:val="1"/>
                <w:bCs w:val="1"/>
                <w:color w:val="EAEFED"/>
                <w:vertAlign w:val="superscript"/>
              </w:rPr>
              <w:t>(9)</w:t>
            </w:r>
          </w:p>
        </w:tc>
        <w:tc>
          <w:tcPr>
            <w:tcW w:w="2280" w:type="dxa"/>
            <w:vAlign w:val="bottom"/>
            <w:shd w:val="clear" w:color="auto" w:fill="FF160F"/>
          </w:tcPr>
          <w:p>
            <w:pPr>
              <w:jc w:val="center"/>
              <w:ind w:left="8"/>
              <w:spacing w:after="0"/>
              <w:rPr>
                <w:sz w:val="20"/>
                <w:szCs w:val="20"/>
                <w:color w:val="auto"/>
              </w:rPr>
            </w:pPr>
            <w:r>
              <w:rPr>
                <w:rFonts w:ascii="Arial" w:cs="Arial" w:eastAsia="Arial" w:hAnsi="Arial"/>
                <w:sz w:val="14"/>
                <w:szCs w:val="14"/>
                <w:b w:val="1"/>
                <w:bCs w:val="1"/>
                <w:color w:val="EAEFED"/>
              </w:rPr>
              <w:t>have not vested</w:t>
            </w:r>
          </w:p>
        </w:tc>
        <w:tc>
          <w:tcPr>
            <w:tcW w:w="220" w:type="dxa"/>
            <w:vAlign w:val="bottom"/>
            <w:shd w:val="clear" w:color="auto" w:fill="FF160F"/>
          </w:tcPr>
          <w:p>
            <w:pPr>
              <w:spacing w:after="0"/>
              <w:rPr>
                <w:sz w:val="21"/>
                <w:szCs w:val="21"/>
                <w:color w:val="auto"/>
              </w:rPr>
            </w:pPr>
          </w:p>
        </w:tc>
        <w:tc>
          <w:tcPr>
            <w:tcW w:w="1860" w:type="dxa"/>
            <w:vAlign w:val="bottom"/>
            <w:shd w:val="clear" w:color="auto" w:fill="FF160F"/>
          </w:tcPr>
          <w:p>
            <w:pPr>
              <w:jc w:val="center"/>
              <w:ind w:right="268"/>
              <w:spacing w:after="0"/>
              <w:rPr>
                <w:sz w:val="20"/>
                <w:szCs w:val="20"/>
                <w:color w:val="auto"/>
              </w:rPr>
            </w:pPr>
            <w:r>
              <w:rPr>
                <w:rFonts w:ascii="Arial" w:cs="Arial" w:eastAsia="Arial" w:hAnsi="Arial"/>
                <w:sz w:val="14"/>
                <w:szCs w:val="14"/>
                <w:b w:val="1"/>
                <w:bCs w:val="1"/>
                <w:color w:val="EAEFED"/>
              </w:rPr>
              <w:t>have not vested</w:t>
            </w:r>
            <w:r>
              <w:rPr>
                <w:rFonts w:ascii="Arial" w:cs="Arial" w:eastAsia="Arial" w:hAnsi="Arial"/>
                <w:sz w:val="17"/>
                <w:szCs w:val="17"/>
                <w:b w:val="1"/>
                <w:bCs w:val="1"/>
                <w:color w:val="EAEFED"/>
                <w:vertAlign w:val="superscript"/>
              </w:rPr>
              <w:t>(9)</w:t>
            </w: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D8D8D8"/>
          </w:tcPr>
          <w:p>
            <w:pPr>
              <w:spacing w:after="0"/>
              <w:rPr>
                <w:sz w:val="20"/>
                <w:szCs w:val="20"/>
                <w:color w:val="auto"/>
              </w:rPr>
            </w:pPr>
            <w:r>
              <w:rPr>
                <w:rFonts w:ascii="Arial" w:cs="Arial" w:eastAsia="Arial" w:hAnsi="Arial"/>
                <w:sz w:val="14"/>
                <w:szCs w:val="14"/>
                <w:color w:val="auto"/>
              </w:rPr>
              <w:t>Donald C. Wood</w:t>
            </w:r>
          </w:p>
        </w:tc>
        <w:tc>
          <w:tcPr>
            <w:tcW w:w="1920" w:type="dxa"/>
            <w:vAlign w:val="bottom"/>
            <w:gridSpan w:val="2"/>
          </w:tcPr>
          <w:p>
            <w:pPr>
              <w:jc w:val="right"/>
              <w:ind w:right="135"/>
              <w:spacing w:after="0" w:line="180" w:lineRule="exact"/>
              <w:rPr>
                <w:sz w:val="20"/>
                <w:szCs w:val="20"/>
                <w:color w:val="auto"/>
              </w:rPr>
            </w:pPr>
            <w:r>
              <w:rPr>
                <w:rFonts w:ascii="Arial" w:cs="Arial" w:eastAsia="Arial" w:hAnsi="Arial"/>
                <w:sz w:val="14"/>
                <w:szCs w:val="14"/>
                <w:color w:val="auto"/>
              </w:rPr>
              <w:t xml:space="preserve">4,225 </w:t>
            </w:r>
            <w:r>
              <w:rPr>
                <w:rFonts w:ascii="Arial" w:cs="Arial" w:eastAsia="Arial" w:hAnsi="Arial"/>
                <w:sz w:val="17"/>
                <w:szCs w:val="17"/>
                <w:color w:val="auto"/>
                <w:vertAlign w:val="superscript"/>
              </w:rPr>
              <w:t>(1)</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426,894</w:t>
            </w: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46,960</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(1)</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4,744,838</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1,488</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150,348</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34,805</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3,516,697</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1,182</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119,429</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20" w:type="dxa"/>
            <w:vAlign w:val="bottom"/>
            <w:tcBorders>
              <w:bottom w:val="single" w:sz="8" w:color="D8D8D8"/>
            </w:tcBorders>
            <w:shd w:val="clear" w:color="auto" w:fill="D8D8D8"/>
          </w:tcPr>
          <w:p>
            <w:pPr>
              <w:spacing w:after="0"/>
              <w:rPr>
                <w:sz w:val="19"/>
                <w:szCs w:val="19"/>
                <w:color w:val="auto"/>
              </w:rPr>
            </w:pPr>
          </w:p>
        </w:tc>
        <w:tc>
          <w:tcPr>
            <w:tcW w:w="1400" w:type="dxa"/>
            <w:vAlign w:val="bottom"/>
            <w:tcBorders>
              <w:bottom w:val="single" w:sz="8" w:color="D8D8D8"/>
            </w:tcBorders>
            <w:shd w:val="clear" w:color="auto" w:fill="D8D8D8"/>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14,089</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1,423,553</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620" w:type="dxa"/>
            <w:vAlign w:val="bottom"/>
            <w:tcBorders>
              <w:top w:val="single" w:sz="8" w:color="auto"/>
            </w:tcBorders>
            <w:gridSpan w:val="2"/>
            <w:shd w:val="clear" w:color="auto" w:fill="D8D8D8"/>
          </w:tcPr>
          <w:p>
            <w:pPr>
              <w:spacing w:after="0" w:line="160" w:lineRule="exact"/>
              <w:rPr>
                <w:sz w:val="20"/>
                <w:szCs w:val="20"/>
                <w:color w:val="auto"/>
              </w:rPr>
            </w:pPr>
            <w:r>
              <w:rPr>
                <w:rFonts w:ascii="Arial" w:cs="Arial" w:eastAsia="Arial" w:hAnsi="Arial"/>
                <w:sz w:val="14"/>
                <w:szCs w:val="14"/>
                <w:color w:val="auto"/>
              </w:rPr>
              <w:t>Jeffrey S. Berkes</w:t>
            </w:r>
          </w:p>
        </w:tc>
        <w:tc>
          <w:tcPr>
            <w:tcW w:w="158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1,705</w:t>
            </w:r>
          </w:p>
        </w:tc>
        <w:tc>
          <w:tcPr>
            <w:tcW w:w="340" w:type="dxa"/>
            <w:vAlign w:val="bottom"/>
            <w:tcBorders>
              <w:top w:val="single" w:sz="8" w:color="auto"/>
            </w:tcBorders>
          </w:tcPr>
          <w:p>
            <w:pPr>
              <w:jc w:val="right"/>
              <w:ind w:right="135"/>
              <w:spacing w:after="0"/>
              <w:rPr>
                <w:sz w:val="20"/>
                <w:szCs w:val="20"/>
                <w:color w:val="auto"/>
              </w:rPr>
            </w:pPr>
            <w:r>
              <w:rPr>
                <w:rFonts w:ascii="Arial" w:cs="Arial" w:eastAsia="Arial" w:hAnsi="Arial"/>
                <w:sz w:val="9"/>
                <w:szCs w:val="9"/>
                <w:color w:val="auto"/>
              </w:rPr>
              <w:t>(1)</w:t>
            </w:r>
          </w:p>
        </w:tc>
        <w:tc>
          <w:tcPr>
            <w:tcW w:w="320" w:type="dxa"/>
            <w:vAlign w:val="bottom"/>
            <w:tcBorders>
              <w:top w:val="single" w:sz="8" w:color="auto"/>
            </w:tcBorders>
          </w:tcPr>
          <w:p>
            <w:pPr>
              <w:ind w:left="160"/>
              <w:spacing w:after="0" w:line="160" w:lineRule="exact"/>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tcPr>
          <w:p>
            <w:pPr>
              <w:jc w:val="right"/>
              <w:ind w:right="108"/>
              <w:spacing w:after="0" w:line="160" w:lineRule="exact"/>
              <w:rPr>
                <w:sz w:val="20"/>
                <w:szCs w:val="20"/>
                <w:color w:val="auto"/>
              </w:rPr>
            </w:pPr>
            <w:r>
              <w:rPr>
                <w:rFonts w:ascii="Arial" w:cs="Arial" w:eastAsia="Arial" w:hAnsi="Arial"/>
                <w:sz w:val="14"/>
                <w:szCs w:val="14"/>
                <w:color w:val="auto"/>
              </w:rPr>
              <w:t>172,273</w:t>
            </w:r>
          </w:p>
        </w:tc>
        <w:tc>
          <w:tcPr>
            <w:tcW w:w="2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7,827</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(1)</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790,840</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822</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83,055</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6,961</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703,339</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435</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43,952</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2,818</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284,731</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7,450</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(4)</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752,748</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20" w:type="dxa"/>
            <w:vAlign w:val="bottom"/>
            <w:shd w:val="clear" w:color="auto" w:fill="D8D8D8"/>
          </w:tcPr>
          <w:p>
            <w:pPr>
              <w:spacing w:after="0"/>
              <w:rPr>
                <w:sz w:val="16"/>
                <w:szCs w:val="16"/>
                <w:color w:val="auto"/>
              </w:rPr>
            </w:pPr>
          </w:p>
        </w:tc>
        <w:tc>
          <w:tcPr>
            <w:tcW w:w="1400" w:type="dxa"/>
            <w:vAlign w:val="bottom"/>
            <w:shd w:val="clear" w:color="auto" w:fill="D8D8D8"/>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8,354</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(5)</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844,088</w:t>
            </w:r>
          </w:p>
        </w:tc>
        <w:tc>
          <w:tcPr>
            <w:tcW w:w="2280" w:type="dxa"/>
            <w:vAlign w:val="bottom"/>
            <w:vMerge w:val="restart"/>
          </w:tcPr>
          <w:p>
            <w:pPr>
              <w:jc w:val="right"/>
              <w:ind w:right="8"/>
              <w:spacing w:after="0"/>
              <w:rPr>
                <w:sz w:val="20"/>
                <w:szCs w:val="20"/>
                <w:color w:val="auto"/>
              </w:rPr>
            </w:pPr>
            <w:r>
              <w:rPr>
                <w:rFonts w:ascii="Arial" w:cs="Arial" w:eastAsia="Arial" w:hAnsi="Arial"/>
                <w:sz w:val="14"/>
                <w:szCs w:val="14"/>
                <w:color w:val="auto"/>
              </w:rPr>
              <w:t xml:space="preserve">5,221 </w:t>
            </w:r>
            <w:r>
              <w:rPr>
                <w:rFonts w:ascii="Arial" w:cs="Arial" w:eastAsia="Arial" w:hAnsi="Arial"/>
                <w:sz w:val="17"/>
                <w:szCs w:val="17"/>
                <w:color w:val="auto"/>
                <w:vertAlign w:val="superscript"/>
              </w:rPr>
              <w:t>(6)</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60" w:type="dxa"/>
            <w:vAlign w:val="bottom"/>
            <w:vMerge w:val="restart"/>
          </w:tcPr>
          <w:p>
            <w:pPr>
              <w:jc w:val="right"/>
              <w:ind w:right="148"/>
              <w:spacing w:after="0"/>
              <w:rPr>
                <w:sz w:val="20"/>
                <w:szCs w:val="20"/>
                <w:color w:val="auto"/>
              </w:rPr>
            </w:pPr>
            <w:r>
              <w:rPr>
                <w:rFonts w:ascii="Arial" w:cs="Arial" w:eastAsia="Arial" w:hAnsi="Arial"/>
                <w:sz w:val="14"/>
                <w:szCs w:val="14"/>
                <w:color w:val="auto"/>
              </w:rPr>
              <w:t>527,530</w:t>
            </w:r>
          </w:p>
        </w:tc>
        <w:tc>
          <w:tcPr>
            <w:tcW w:w="0" w:type="dxa"/>
            <w:vAlign w:val="bottom"/>
          </w:tcPr>
          <w:p>
            <w:pPr>
              <w:spacing w:after="0"/>
              <w:rPr>
                <w:sz w:val="1"/>
                <w:szCs w:val="1"/>
                <w:color w:val="auto"/>
              </w:rPr>
            </w:pPr>
          </w:p>
        </w:tc>
      </w:tr>
      <w:tr>
        <w:trPr>
          <w:trHeight w:val="197"/>
        </w:trPr>
        <w:tc>
          <w:tcPr>
            <w:tcW w:w="1220" w:type="dxa"/>
            <w:vAlign w:val="bottom"/>
            <w:tcBorders>
              <w:bottom w:val="single" w:sz="8" w:color="auto"/>
            </w:tcBorders>
            <w:shd w:val="clear" w:color="auto" w:fill="D8D8D8"/>
          </w:tcPr>
          <w:p>
            <w:pPr>
              <w:spacing w:after="0"/>
              <w:rPr>
                <w:sz w:val="17"/>
                <w:szCs w:val="17"/>
                <w:color w:val="auto"/>
              </w:rPr>
            </w:pPr>
          </w:p>
        </w:tc>
        <w:tc>
          <w:tcPr>
            <w:tcW w:w="1400" w:type="dxa"/>
            <w:vAlign w:val="bottom"/>
            <w:tcBorders>
              <w:bottom w:val="single" w:sz="8" w:color="auto"/>
            </w:tcBorders>
            <w:shd w:val="clear" w:color="auto" w:fill="D8D8D8"/>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620" w:type="dxa"/>
            <w:vAlign w:val="bottom"/>
            <w:gridSpan w:val="2"/>
            <w:shd w:val="clear" w:color="auto" w:fill="D8D8D8"/>
          </w:tcPr>
          <w:p>
            <w:pPr>
              <w:spacing w:after="0" w:line="160" w:lineRule="exact"/>
              <w:rPr>
                <w:sz w:val="20"/>
                <w:szCs w:val="20"/>
                <w:color w:val="auto"/>
              </w:rPr>
            </w:pPr>
            <w:r>
              <w:rPr>
                <w:rFonts w:ascii="Arial" w:cs="Arial" w:eastAsia="Arial" w:hAnsi="Arial"/>
                <w:sz w:val="14"/>
                <w:szCs w:val="14"/>
                <w:color w:val="auto"/>
              </w:rPr>
              <w:t>Daniel Guglielmone</w:t>
            </w:r>
          </w:p>
        </w:tc>
        <w:tc>
          <w:tcPr>
            <w:tcW w:w="1580" w:type="dxa"/>
            <w:vAlign w:val="bottom"/>
          </w:tcPr>
          <w:p>
            <w:pPr>
              <w:jc w:val="right"/>
              <w:spacing w:after="0" w:line="160" w:lineRule="exact"/>
              <w:rPr>
                <w:sz w:val="20"/>
                <w:szCs w:val="20"/>
                <w:color w:val="auto"/>
              </w:rPr>
            </w:pPr>
            <w:r>
              <w:rPr>
                <w:rFonts w:ascii="Arial" w:cs="Arial" w:eastAsia="Arial" w:hAnsi="Arial"/>
                <w:sz w:val="14"/>
                <w:szCs w:val="14"/>
                <w:color w:val="auto"/>
              </w:rPr>
              <w:t>7,044</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(1)</w:t>
            </w:r>
          </w:p>
        </w:tc>
        <w:tc>
          <w:tcPr>
            <w:tcW w:w="320" w:type="dxa"/>
            <w:vAlign w:val="bottom"/>
          </w:tcPr>
          <w:p>
            <w:pPr>
              <w:ind w:left="160"/>
              <w:spacing w:after="0" w:line="160" w:lineRule="exact"/>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line="160" w:lineRule="exact"/>
              <w:rPr>
                <w:sz w:val="20"/>
                <w:szCs w:val="20"/>
                <w:color w:val="auto"/>
              </w:rPr>
            </w:pPr>
            <w:r>
              <w:rPr>
                <w:rFonts w:ascii="Arial" w:cs="Arial" w:eastAsia="Arial" w:hAnsi="Arial"/>
                <w:sz w:val="14"/>
                <w:szCs w:val="14"/>
                <w:color w:val="auto"/>
              </w:rPr>
              <w:t>711,726</w:t>
            </w: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6,265</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633,016</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2,536</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256,237</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895</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(7)</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90,431</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20" w:type="dxa"/>
            <w:vAlign w:val="bottom"/>
            <w:tcBorders>
              <w:bottom w:val="single" w:sz="8" w:color="D8D8D8"/>
            </w:tcBorders>
            <w:shd w:val="clear" w:color="auto" w:fill="D8D8D8"/>
          </w:tcPr>
          <w:p>
            <w:pPr>
              <w:spacing w:after="0"/>
              <w:rPr>
                <w:sz w:val="19"/>
                <w:szCs w:val="19"/>
                <w:color w:val="auto"/>
              </w:rPr>
            </w:pPr>
          </w:p>
        </w:tc>
        <w:tc>
          <w:tcPr>
            <w:tcW w:w="1400" w:type="dxa"/>
            <w:vAlign w:val="bottom"/>
            <w:tcBorders>
              <w:bottom w:val="single" w:sz="8" w:color="D8D8D8"/>
            </w:tcBorders>
            <w:shd w:val="clear" w:color="auto" w:fill="D8D8D8"/>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6,855</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(8)</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692,629</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620" w:type="dxa"/>
            <w:vAlign w:val="bottom"/>
            <w:tcBorders>
              <w:top w:val="single" w:sz="8" w:color="auto"/>
            </w:tcBorders>
            <w:gridSpan w:val="2"/>
            <w:shd w:val="clear" w:color="auto" w:fill="D8D8D8"/>
          </w:tcPr>
          <w:p>
            <w:pPr>
              <w:spacing w:after="0" w:line="160" w:lineRule="exact"/>
              <w:rPr>
                <w:sz w:val="20"/>
                <w:szCs w:val="20"/>
                <w:color w:val="auto"/>
              </w:rPr>
            </w:pPr>
            <w:r>
              <w:rPr>
                <w:rFonts w:ascii="Arial" w:cs="Arial" w:eastAsia="Arial" w:hAnsi="Arial"/>
                <w:sz w:val="14"/>
                <w:szCs w:val="14"/>
                <w:color w:val="auto"/>
              </w:rPr>
              <w:t>Dawn M. Becker</w:t>
            </w:r>
          </w:p>
        </w:tc>
        <w:tc>
          <w:tcPr>
            <w:tcW w:w="1920" w:type="dxa"/>
            <w:vAlign w:val="bottom"/>
            <w:tcBorders>
              <w:top w:val="single" w:sz="8" w:color="auto"/>
            </w:tcBorders>
            <w:gridSpan w:val="2"/>
          </w:tcPr>
          <w:p>
            <w:pPr>
              <w:jc w:val="right"/>
              <w:ind w:right="135"/>
              <w:spacing w:after="0" w:line="160" w:lineRule="exact"/>
              <w:rPr>
                <w:sz w:val="20"/>
                <w:szCs w:val="20"/>
                <w:color w:val="auto"/>
              </w:rPr>
            </w:pPr>
            <w:r>
              <w:rPr>
                <w:rFonts w:ascii="Arial" w:cs="Arial" w:eastAsia="Arial" w:hAnsi="Arial"/>
                <w:sz w:val="14"/>
                <w:szCs w:val="14"/>
                <w:color w:val="auto"/>
              </w:rPr>
              <w:t xml:space="preserve">1,056 </w:t>
            </w:r>
            <w:r>
              <w:rPr>
                <w:rFonts w:ascii="Arial" w:cs="Arial" w:eastAsia="Arial" w:hAnsi="Arial"/>
                <w:sz w:val="17"/>
                <w:szCs w:val="17"/>
                <w:color w:val="auto"/>
                <w:vertAlign w:val="superscript"/>
              </w:rPr>
              <w:t>(1)</w:t>
            </w:r>
          </w:p>
        </w:tc>
        <w:tc>
          <w:tcPr>
            <w:tcW w:w="320" w:type="dxa"/>
            <w:vAlign w:val="bottom"/>
            <w:tcBorders>
              <w:top w:val="single" w:sz="8" w:color="auto"/>
            </w:tcBorders>
          </w:tcPr>
          <w:p>
            <w:pPr>
              <w:ind w:left="160"/>
              <w:spacing w:after="0" w:line="160" w:lineRule="exact"/>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tcPr>
          <w:p>
            <w:pPr>
              <w:jc w:val="right"/>
              <w:ind w:right="108"/>
              <w:spacing w:after="0" w:line="160" w:lineRule="exact"/>
              <w:rPr>
                <w:sz w:val="20"/>
                <w:szCs w:val="20"/>
                <w:color w:val="auto"/>
              </w:rPr>
            </w:pPr>
            <w:r>
              <w:rPr>
                <w:rFonts w:ascii="Arial" w:cs="Arial" w:eastAsia="Arial" w:hAnsi="Arial"/>
                <w:sz w:val="14"/>
                <w:szCs w:val="14"/>
                <w:color w:val="auto"/>
              </w:rPr>
              <w:t>106,698</w:t>
            </w:r>
          </w:p>
        </w:tc>
        <w:tc>
          <w:tcPr>
            <w:tcW w:w="2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4,696</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(1)</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474,484</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558</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56,380</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4,177</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(2)</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422,044</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295</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29,807</w:t>
            </w: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20" w:type="dxa"/>
            <w:vAlign w:val="bottom"/>
            <w:tcBorders>
              <w:bottom w:val="single" w:sz="8" w:color="D8D8D8"/>
            </w:tcBorders>
            <w:shd w:val="clear" w:color="auto" w:fill="D8D8D8"/>
          </w:tcPr>
          <w:p>
            <w:pPr>
              <w:spacing w:after="0"/>
              <w:rPr>
                <w:sz w:val="19"/>
                <w:szCs w:val="19"/>
                <w:color w:val="auto"/>
              </w:rPr>
            </w:pPr>
          </w:p>
        </w:tc>
        <w:tc>
          <w:tcPr>
            <w:tcW w:w="1400" w:type="dxa"/>
            <w:vAlign w:val="bottom"/>
            <w:tcBorders>
              <w:bottom w:val="single" w:sz="8" w:color="D8D8D8"/>
            </w:tcBorders>
            <w:shd w:val="clear" w:color="auto" w:fill="D8D8D8"/>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1,691</w:t>
            </w:r>
          </w:p>
        </w:tc>
        <w:tc>
          <w:tcPr>
            <w:tcW w:w="340" w:type="dxa"/>
            <w:vAlign w:val="bottom"/>
          </w:tcPr>
          <w:p>
            <w:pPr>
              <w:jc w:val="right"/>
              <w:ind w:right="135"/>
              <w:spacing w:after="0"/>
              <w:rPr>
                <w:sz w:val="20"/>
                <w:szCs w:val="20"/>
                <w:color w:val="auto"/>
              </w:rPr>
            </w:pPr>
            <w:r>
              <w:rPr>
                <w:rFonts w:ascii="Arial" w:cs="Arial" w:eastAsia="Arial" w:hAnsi="Arial"/>
                <w:sz w:val="9"/>
                <w:szCs w:val="9"/>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170,859</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2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20"/>
          <w:szCs w:val="20"/>
          <w:color w:val="auto"/>
          <w:vertAlign w:val="superscript"/>
        </w:rPr>
      </w:pPr>
      <w:r>
        <w:rPr>
          <w:rFonts w:ascii="Arial" w:cs="Arial" w:eastAsia="Arial" w:hAnsi="Arial"/>
          <w:sz w:val="16"/>
          <w:szCs w:val="16"/>
          <w:color w:val="auto"/>
        </w:rPr>
        <w:t>One-third of these shares vested on February 12, 2023 and the remaining shares will vest equally on February 12 of each of 2024 and 2025.</w:t>
      </w:r>
    </w:p>
    <w:p>
      <w:pPr>
        <w:ind w:left="540" w:hanging="424"/>
        <w:spacing w:after="0" w:line="197" w:lineRule="auto"/>
        <w:tabs>
          <w:tab w:leader="none" w:pos="540" w:val="left"/>
        </w:tabs>
        <w:numPr>
          <w:ilvl w:val="0"/>
          <w:numId w:val="70"/>
        </w:numPr>
        <w:rPr>
          <w:rFonts w:ascii="Arial" w:cs="Arial" w:eastAsia="Arial" w:hAnsi="Arial"/>
          <w:sz w:val="20"/>
          <w:szCs w:val="20"/>
          <w:color w:val="auto"/>
          <w:vertAlign w:val="superscript"/>
        </w:rPr>
      </w:pPr>
      <w:r>
        <w:rPr>
          <w:rFonts w:ascii="Arial" w:cs="Arial" w:eastAsia="Arial" w:hAnsi="Arial"/>
          <w:sz w:val="16"/>
          <w:szCs w:val="16"/>
          <w:color w:val="auto"/>
        </w:rPr>
        <w:t>One-half of these shares vested on February 12, 2023 and the remaining shares will vest on February 12, 2024.</w:t>
      </w:r>
    </w:p>
    <w:p>
      <w:pPr>
        <w:ind w:left="540" w:hanging="424"/>
        <w:spacing w:after="0" w:line="197" w:lineRule="auto"/>
        <w:tabs>
          <w:tab w:leader="none" w:pos="540" w:val="left"/>
        </w:tabs>
        <w:numPr>
          <w:ilvl w:val="0"/>
          <w:numId w:val="70"/>
        </w:numPr>
        <w:rPr>
          <w:rFonts w:ascii="Arial" w:cs="Arial" w:eastAsia="Arial" w:hAnsi="Arial"/>
          <w:sz w:val="20"/>
          <w:szCs w:val="20"/>
          <w:color w:val="auto"/>
          <w:vertAlign w:val="superscript"/>
        </w:rPr>
      </w:pPr>
      <w:r>
        <w:rPr>
          <w:rFonts w:ascii="Arial" w:cs="Arial" w:eastAsia="Arial" w:hAnsi="Arial"/>
          <w:sz w:val="16"/>
          <w:szCs w:val="16"/>
          <w:color w:val="auto"/>
        </w:rPr>
        <w:t>These shares vested on February 12, 2023.</w:t>
      </w:r>
    </w:p>
    <w:p>
      <w:pPr>
        <w:ind w:left="540" w:hanging="424"/>
        <w:spacing w:after="0" w:line="197" w:lineRule="auto"/>
        <w:tabs>
          <w:tab w:leader="none" w:pos="540" w:val="left"/>
        </w:tabs>
        <w:numPr>
          <w:ilvl w:val="0"/>
          <w:numId w:val="70"/>
        </w:numPr>
        <w:rPr>
          <w:rFonts w:ascii="Arial" w:cs="Arial" w:eastAsia="Arial" w:hAnsi="Arial"/>
          <w:sz w:val="20"/>
          <w:szCs w:val="20"/>
          <w:color w:val="auto"/>
          <w:vertAlign w:val="superscript"/>
        </w:rPr>
      </w:pPr>
      <w:r>
        <w:rPr>
          <w:rFonts w:ascii="Arial" w:cs="Arial" w:eastAsia="Arial" w:hAnsi="Arial"/>
          <w:sz w:val="16"/>
          <w:szCs w:val="16"/>
          <w:color w:val="auto"/>
        </w:rPr>
        <w:t>One-half of these shares vested on February 12, 2023 and the remaining shares will vest on February 12, 2024.</w:t>
      </w:r>
    </w:p>
    <w:p>
      <w:pPr>
        <w:ind w:left="540" w:hanging="424"/>
        <w:spacing w:after="0" w:line="197" w:lineRule="auto"/>
        <w:tabs>
          <w:tab w:leader="none" w:pos="540" w:val="left"/>
        </w:tabs>
        <w:numPr>
          <w:ilvl w:val="0"/>
          <w:numId w:val="70"/>
        </w:numPr>
        <w:rPr>
          <w:rFonts w:ascii="Arial" w:cs="Arial" w:eastAsia="Arial" w:hAnsi="Arial"/>
          <w:sz w:val="20"/>
          <w:szCs w:val="20"/>
          <w:color w:val="auto"/>
          <w:vertAlign w:val="superscript"/>
        </w:rPr>
      </w:pPr>
      <w:r>
        <w:rPr>
          <w:rFonts w:ascii="Arial" w:cs="Arial" w:eastAsia="Arial" w:hAnsi="Arial"/>
          <w:sz w:val="16"/>
          <w:szCs w:val="16"/>
          <w:color w:val="auto"/>
        </w:rPr>
        <w:t>One-fourth of these shares vested on February 12, 2023. The remaining shares will vest equally on February 12 of each of 2024 through 2026.</w:t>
      </w:r>
    </w:p>
    <w:p>
      <w:pPr>
        <w:ind w:left="540" w:right="20" w:hanging="424"/>
        <w:spacing w:after="0" w:line="219" w:lineRule="auto"/>
        <w:tabs>
          <w:tab w:leader="none" w:pos="540" w:val="left"/>
        </w:tabs>
        <w:numPr>
          <w:ilvl w:val="0"/>
          <w:numId w:val="70"/>
        </w:numPr>
        <w:rPr>
          <w:rFonts w:ascii="Arial" w:cs="Arial" w:eastAsia="Arial" w:hAnsi="Arial"/>
          <w:sz w:val="20"/>
          <w:szCs w:val="20"/>
          <w:color w:val="auto"/>
          <w:vertAlign w:val="superscript"/>
        </w:rPr>
      </w:pPr>
      <w:r>
        <w:rPr>
          <w:rFonts w:ascii="Arial" w:cs="Arial" w:eastAsia="Arial" w:hAnsi="Arial"/>
          <w:sz w:val="16"/>
          <w:szCs w:val="16"/>
          <w:color w:val="auto"/>
        </w:rPr>
        <w:t>The number of shares represent the threshold payout level. The final number of shares earned cannot be determined until after December 31, 2024, the end of the performance period.</w:t>
      </w:r>
    </w:p>
    <w:p>
      <w:pPr>
        <w:ind w:left="540" w:hanging="424"/>
        <w:spacing w:after="0" w:line="197" w:lineRule="auto"/>
        <w:tabs>
          <w:tab w:leader="none" w:pos="540" w:val="left"/>
        </w:tabs>
        <w:numPr>
          <w:ilvl w:val="0"/>
          <w:numId w:val="70"/>
        </w:numPr>
        <w:rPr>
          <w:rFonts w:ascii="Arial" w:cs="Arial" w:eastAsia="Arial" w:hAnsi="Arial"/>
          <w:sz w:val="20"/>
          <w:szCs w:val="20"/>
          <w:color w:val="auto"/>
          <w:vertAlign w:val="superscript"/>
        </w:rPr>
      </w:pPr>
      <w:r>
        <w:rPr>
          <w:rFonts w:ascii="Arial" w:cs="Arial" w:eastAsia="Arial" w:hAnsi="Arial"/>
          <w:sz w:val="16"/>
          <w:szCs w:val="16"/>
          <w:color w:val="auto"/>
        </w:rPr>
        <w:t>These shares will vest on August 15, 2023.</w:t>
      </w:r>
    </w:p>
    <w:p>
      <w:pPr>
        <w:ind w:left="540" w:hanging="424"/>
        <w:spacing w:after="0" w:line="197" w:lineRule="auto"/>
        <w:tabs>
          <w:tab w:leader="none" w:pos="540" w:val="left"/>
        </w:tabs>
        <w:numPr>
          <w:ilvl w:val="0"/>
          <w:numId w:val="70"/>
        </w:numPr>
        <w:rPr>
          <w:rFonts w:ascii="Arial" w:cs="Arial" w:eastAsia="Arial" w:hAnsi="Arial"/>
          <w:sz w:val="20"/>
          <w:szCs w:val="20"/>
          <w:color w:val="auto"/>
          <w:vertAlign w:val="superscript"/>
        </w:rPr>
      </w:pPr>
      <w:r>
        <w:rPr>
          <w:rFonts w:ascii="Arial" w:cs="Arial" w:eastAsia="Arial" w:hAnsi="Arial"/>
          <w:sz w:val="16"/>
          <w:szCs w:val="16"/>
          <w:color w:val="auto"/>
        </w:rPr>
        <w:t>These shares will vest equally on August 3 of each of 2023 through 2026.</w:t>
      </w:r>
    </w:p>
    <w:p>
      <w:pPr>
        <w:ind w:left="540" w:hanging="424"/>
        <w:spacing w:after="0" w:line="207" w:lineRule="auto"/>
        <w:tabs>
          <w:tab w:leader="none" w:pos="540" w:val="left"/>
        </w:tabs>
        <w:numPr>
          <w:ilvl w:val="0"/>
          <w:numId w:val="70"/>
        </w:numPr>
        <w:rPr>
          <w:rFonts w:ascii="Arial" w:cs="Arial" w:eastAsia="Arial" w:hAnsi="Arial"/>
          <w:sz w:val="20"/>
          <w:szCs w:val="20"/>
          <w:color w:val="auto"/>
          <w:vertAlign w:val="superscript"/>
        </w:rPr>
      </w:pPr>
      <w:r>
        <w:rPr>
          <w:rFonts w:ascii="Arial" w:cs="Arial" w:eastAsia="Arial" w:hAnsi="Arial"/>
          <w:sz w:val="16"/>
          <w:szCs w:val="16"/>
          <w:color w:val="auto"/>
        </w:rPr>
        <w:t>The value of shares is calculated based on $101.04, the closing price of our shares on the NYSE on December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189865</wp:posOffset>
            </wp:positionV>
            <wp:extent cx="7012305"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97"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33</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60" w:hanging="344"/>
        <w:spacing w:after="0"/>
        <w:tabs>
          <w:tab w:leader="none" w:pos="460" w:val="left"/>
        </w:tabs>
        <w:numPr>
          <w:ilvl w:val="0"/>
          <w:numId w:val="71"/>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OPTIONS EXERCISED AND STOCK VESTED IN 2022</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table includes information with respect to shares held by our NEOs that vested in 2022. None of our NEOs holds any options or exercised any options during 2022.</w:t>
      </w: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3160" w:type="dxa"/>
            <w:vAlign w:val="bottom"/>
            <w:shd w:val="clear" w:color="auto" w:fill="FF160F"/>
          </w:tcPr>
          <w:p>
            <w:pPr>
              <w:spacing w:after="0"/>
              <w:rPr>
                <w:sz w:val="22"/>
                <w:szCs w:val="22"/>
                <w:color w:val="auto"/>
              </w:rPr>
            </w:pPr>
          </w:p>
        </w:tc>
        <w:tc>
          <w:tcPr>
            <w:tcW w:w="5140" w:type="dxa"/>
            <w:vAlign w:val="bottom"/>
            <w:shd w:val="clear" w:color="auto" w:fill="FF160F"/>
          </w:tcPr>
          <w:p>
            <w:pPr>
              <w:spacing w:after="0"/>
              <w:rPr>
                <w:sz w:val="22"/>
                <w:szCs w:val="22"/>
                <w:color w:val="auto"/>
              </w:rPr>
            </w:pPr>
          </w:p>
        </w:tc>
        <w:tc>
          <w:tcPr>
            <w:tcW w:w="1520" w:type="dxa"/>
            <w:vAlign w:val="bottom"/>
            <w:shd w:val="clear" w:color="auto" w:fill="FF160F"/>
          </w:tcPr>
          <w:p>
            <w:pPr>
              <w:ind w:left="20"/>
              <w:spacing w:after="0"/>
              <w:rPr>
                <w:sz w:val="20"/>
                <w:szCs w:val="20"/>
                <w:color w:val="auto"/>
              </w:rPr>
            </w:pPr>
            <w:r>
              <w:rPr>
                <w:rFonts w:ascii="Arial" w:cs="Arial" w:eastAsia="Arial" w:hAnsi="Arial"/>
                <w:sz w:val="14"/>
                <w:szCs w:val="14"/>
                <w:b w:val="1"/>
                <w:bCs w:val="1"/>
                <w:color w:val="EAEFED"/>
              </w:rPr>
              <w:t>Stock Awards</w:t>
            </w:r>
          </w:p>
        </w:tc>
        <w:tc>
          <w:tcPr>
            <w:tcW w:w="1200" w:type="dxa"/>
            <w:vAlign w:val="bottom"/>
            <w:shd w:val="clear" w:color="auto" w:fill="FF160F"/>
          </w:tcPr>
          <w:p>
            <w:pPr>
              <w:spacing w:after="0"/>
              <w:rPr>
                <w:sz w:val="22"/>
                <w:szCs w:val="22"/>
                <w:color w:val="auto"/>
              </w:rPr>
            </w:pPr>
          </w:p>
        </w:tc>
      </w:tr>
      <w:tr>
        <w:trPr>
          <w:trHeight w:val="249"/>
        </w:trPr>
        <w:tc>
          <w:tcPr>
            <w:tcW w:w="3160" w:type="dxa"/>
            <w:vAlign w:val="bottom"/>
            <w:shd w:val="clear" w:color="auto" w:fill="FF160F"/>
          </w:tcPr>
          <w:p>
            <w:pPr>
              <w:spacing w:after="0"/>
              <w:rPr>
                <w:sz w:val="21"/>
                <w:szCs w:val="21"/>
                <w:color w:val="auto"/>
              </w:rPr>
            </w:pPr>
          </w:p>
        </w:tc>
        <w:tc>
          <w:tcPr>
            <w:tcW w:w="5140" w:type="dxa"/>
            <w:vAlign w:val="bottom"/>
            <w:shd w:val="clear" w:color="auto" w:fill="FF160F"/>
          </w:tcPr>
          <w:p>
            <w:pPr>
              <w:jc w:val="right"/>
              <w:spacing w:after="0"/>
              <w:rPr>
                <w:sz w:val="20"/>
                <w:szCs w:val="20"/>
                <w:color w:val="auto"/>
              </w:rPr>
            </w:pPr>
            <w:r>
              <w:rPr>
                <w:rFonts w:ascii="Arial" w:cs="Arial" w:eastAsia="Arial" w:hAnsi="Arial"/>
                <w:sz w:val="14"/>
                <w:szCs w:val="14"/>
                <w:b w:val="1"/>
                <w:bCs w:val="1"/>
                <w:color w:val="EAEFED"/>
              </w:rPr>
              <w:t>Number of Shares</w:t>
            </w:r>
          </w:p>
        </w:tc>
        <w:tc>
          <w:tcPr>
            <w:tcW w:w="2720" w:type="dxa"/>
            <w:vAlign w:val="bottom"/>
            <w:gridSpan w:val="2"/>
            <w:shd w:val="clear" w:color="auto" w:fill="FF160F"/>
          </w:tcPr>
          <w:p>
            <w:pPr>
              <w:ind w:left="1400"/>
              <w:spacing w:after="0"/>
              <w:rPr>
                <w:sz w:val="20"/>
                <w:szCs w:val="20"/>
                <w:color w:val="auto"/>
              </w:rPr>
            </w:pPr>
            <w:r>
              <w:rPr>
                <w:rFonts w:ascii="Arial" w:cs="Arial" w:eastAsia="Arial" w:hAnsi="Arial"/>
                <w:sz w:val="14"/>
                <w:szCs w:val="14"/>
                <w:b w:val="1"/>
                <w:bCs w:val="1"/>
                <w:color w:val="EAEFED"/>
              </w:rPr>
              <w:t>Value Realized</w:t>
            </w:r>
          </w:p>
        </w:tc>
      </w:tr>
      <w:tr>
        <w:trPr>
          <w:trHeight w:val="225"/>
        </w:trPr>
        <w:tc>
          <w:tcPr>
            <w:tcW w:w="3160" w:type="dxa"/>
            <w:vAlign w:val="bottom"/>
            <w:shd w:val="clear" w:color="auto" w:fill="FF160F"/>
          </w:tcPr>
          <w:p>
            <w:pPr>
              <w:spacing w:after="0"/>
              <w:rPr>
                <w:sz w:val="20"/>
                <w:szCs w:val="20"/>
                <w:color w:val="auto"/>
              </w:rPr>
            </w:pPr>
            <w:r>
              <w:rPr>
                <w:rFonts w:ascii="Arial" w:cs="Arial" w:eastAsia="Arial" w:hAnsi="Arial"/>
                <w:sz w:val="14"/>
                <w:szCs w:val="14"/>
                <w:b w:val="1"/>
                <w:bCs w:val="1"/>
                <w:color w:val="EAEFED"/>
              </w:rPr>
              <w:t>Name</w:t>
            </w:r>
          </w:p>
        </w:tc>
        <w:tc>
          <w:tcPr>
            <w:tcW w:w="5140" w:type="dxa"/>
            <w:vAlign w:val="bottom"/>
            <w:shd w:val="clear" w:color="auto" w:fill="FF160F"/>
          </w:tcPr>
          <w:p>
            <w:pPr>
              <w:jc w:val="right"/>
              <w:spacing w:after="0"/>
              <w:rPr>
                <w:sz w:val="20"/>
                <w:szCs w:val="20"/>
                <w:color w:val="auto"/>
              </w:rPr>
            </w:pPr>
            <w:r>
              <w:rPr>
                <w:rFonts w:ascii="Arial" w:cs="Arial" w:eastAsia="Arial" w:hAnsi="Arial"/>
                <w:sz w:val="14"/>
                <w:szCs w:val="14"/>
                <w:b w:val="1"/>
                <w:bCs w:val="1"/>
                <w:color w:val="EAEFED"/>
              </w:rPr>
              <w:t>Acquired on Vesting</w:t>
            </w:r>
          </w:p>
        </w:tc>
        <w:tc>
          <w:tcPr>
            <w:tcW w:w="1520" w:type="dxa"/>
            <w:vAlign w:val="bottom"/>
            <w:shd w:val="clear" w:color="auto" w:fill="FF160F"/>
          </w:tcPr>
          <w:p>
            <w:pPr>
              <w:spacing w:after="0"/>
              <w:rPr>
                <w:sz w:val="19"/>
                <w:szCs w:val="19"/>
                <w:color w:val="auto"/>
              </w:rPr>
            </w:pPr>
          </w:p>
        </w:tc>
        <w:tc>
          <w:tcPr>
            <w:tcW w:w="1200" w:type="dxa"/>
            <w:vAlign w:val="bottom"/>
            <w:shd w:val="clear" w:color="auto" w:fill="FF160F"/>
          </w:tcPr>
          <w:p>
            <w:pPr>
              <w:jc w:val="right"/>
              <w:ind w:right="248"/>
              <w:spacing w:after="0"/>
              <w:rPr>
                <w:sz w:val="20"/>
                <w:szCs w:val="20"/>
                <w:color w:val="auto"/>
              </w:rPr>
            </w:pPr>
            <w:r>
              <w:rPr>
                <w:rFonts w:ascii="Arial" w:cs="Arial" w:eastAsia="Arial" w:hAnsi="Arial"/>
                <w:sz w:val="14"/>
                <w:szCs w:val="14"/>
                <w:b w:val="1"/>
                <w:bCs w:val="1"/>
                <w:color w:val="EAEFED"/>
              </w:rPr>
              <w:t>on Vesting</w:t>
            </w:r>
            <w:r>
              <w:rPr>
                <w:rFonts w:ascii="Arial" w:cs="Arial" w:eastAsia="Arial" w:hAnsi="Arial"/>
                <w:sz w:val="17"/>
                <w:szCs w:val="17"/>
                <w:b w:val="1"/>
                <w:bCs w:val="1"/>
                <w:color w:val="EAEFED"/>
                <w:vertAlign w:val="superscript"/>
              </w:rPr>
              <w:t>(1)</w:t>
            </w:r>
          </w:p>
        </w:tc>
      </w:tr>
      <w:tr>
        <w:trPr>
          <w:trHeight w:val="153"/>
        </w:trPr>
        <w:tc>
          <w:tcPr>
            <w:tcW w:w="3160" w:type="dxa"/>
            <w:vAlign w:val="bottom"/>
            <w:shd w:val="clear" w:color="auto" w:fill="D8D8D8"/>
          </w:tcPr>
          <w:p>
            <w:pPr>
              <w:spacing w:after="0" w:line="153" w:lineRule="exact"/>
              <w:rPr>
                <w:sz w:val="20"/>
                <w:szCs w:val="20"/>
                <w:color w:val="auto"/>
              </w:rPr>
            </w:pPr>
            <w:r>
              <w:rPr>
                <w:rFonts w:ascii="Arial" w:cs="Arial" w:eastAsia="Arial" w:hAnsi="Arial"/>
                <w:sz w:val="14"/>
                <w:szCs w:val="14"/>
                <w:color w:val="auto"/>
              </w:rPr>
              <w:t>Donald C. Wood</w:t>
            </w:r>
          </w:p>
        </w:tc>
        <w:tc>
          <w:tcPr>
            <w:tcW w:w="5140" w:type="dxa"/>
            <w:vAlign w:val="bottom"/>
          </w:tcPr>
          <w:p>
            <w:pPr>
              <w:jc w:val="right"/>
              <w:spacing w:after="0" w:line="153" w:lineRule="exact"/>
              <w:rPr>
                <w:sz w:val="20"/>
                <w:szCs w:val="20"/>
                <w:color w:val="auto"/>
              </w:rPr>
            </w:pPr>
            <w:r>
              <w:rPr>
                <w:rFonts w:ascii="Arial" w:cs="Arial" w:eastAsia="Arial" w:hAnsi="Arial"/>
                <w:sz w:val="14"/>
                <w:szCs w:val="14"/>
                <w:color w:val="auto"/>
              </w:rPr>
              <w:t>47,161</w:t>
            </w:r>
          </w:p>
        </w:tc>
        <w:tc>
          <w:tcPr>
            <w:tcW w:w="1520" w:type="dxa"/>
            <w:vAlign w:val="bottom"/>
          </w:tcPr>
          <w:p>
            <w:pPr>
              <w:ind w:left="1380"/>
              <w:spacing w:after="0" w:line="153"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48"/>
              <w:spacing w:after="0" w:line="153" w:lineRule="exact"/>
              <w:rPr>
                <w:sz w:val="20"/>
                <w:szCs w:val="20"/>
                <w:color w:val="auto"/>
              </w:rPr>
            </w:pPr>
            <w:r>
              <w:rPr>
                <w:rFonts w:ascii="Arial" w:cs="Arial" w:eastAsia="Arial" w:hAnsi="Arial"/>
                <w:sz w:val="14"/>
                <w:szCs w:val="14"/>
                <w:color w:val="auto"/>
              </w:rPr>
              <w:t>5,670,167</w:t>
            </w:r>
          </w:p>
        </w:tc>
      </w:tr>
      <w:tr>
        <w:trPr>
          <w:trHeight w:val="162"/>
        </w:trPr>
        <w:tc>
          <w:tcPr>
            <w:tcW w:w="3160" w:type="dxa"/>
            <w:vAlign w:val="bottom"/>
            <w:shd w:val="clear" w:color="auto" w:fill="D8D8D8"/>
          </w:tcPr>
          <w:p>
            <w:pPr>
              <w:spacing w:after="0"/>
              <w:rPr>
                <w:sz w:val="20"/>
                <w:szCs w:val="20"/>
                <w:color w:val="auto"/>
              </w:rPr>
            </w:pPr>
            <w:r>
              <w:rPr>
                <w:rFonts w:ascii="Arial" w:cs="Arial" w:eastAsia="Arial" w:hAnsi="Arial"/>
                <w:sz w:val="14"/>
                <w:szCs w:val="14"/>
                <w:color w:val="auto"/>
              </w:rPr>
              <w:t>Jeffrey S. Berkes</w:t>
            </w:r>
          </w:p>
        </w:tc>
        <w:tc>
          <w:tcPr>
            <w:tcW w:w="5140" w:type="dxa"/>
            <w:vAlign w:val="bottom"/>
          </w:tcPr>
          <w:p>
            <w:pPr>
              <w:jc w:val="right"/>
              <w:spacing w:after="0"/>
              <w:rPr>
                <w:sz w:val="20"/>
                <w:szCs w:val="20"/>
                <w:color w:val="auto"/>
              </w:rPr>
            </w:pPr>
            <w:r>
              <w:rPr>
                <w:rFonts w:ascii="Arial" w:cs="Arial" w:eastAsia="Arial" w:hAnsi="Arial"/>
                <w:sz w:val="14"/>
                <w:szCs w:val="14"/>
                <w:color w:val="auto"/>
              </w:rPr>
              <w:t>15,277</w:t>
            </w:r>
          </w:p>
        </w:tc>
        <w:tc>
          <w:tcPr>
            <w:tcW w:w="1520" w:type="dxa"/>
            <w:vAlign w:val="bottom"/>
          </w:tcPr>
          <w:p>
            <w:pPr>
              <w:ind w:left="13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1,836,754</w:t>
            </w:r>
          </w:p>
        </w:tc>
      </w:tr>
      <w:tr>
        <w:trPr>
          <w:trHeight w:val="162"/>
        </w:trPr>
        <w:tc>
          <w:tcPr>
            <w:tcW w:w="3160" w:type="dxa"/>
            <w:vAlign w:val="bottom"/>
            <w:shd w:val="clear" w:color="auto" w:fill="D8D8D8"/>
          </w:tcPr>
          <w:p>
            <w:pPr>
              <w:spacing w:after="0"/>
              <w:rPr>
                <w:sz w:val="20"/>
                <w:szCs w:val="20"/>
                <w:color w:val="auto"/>
              </w:rPr>
            </w:pPr>
            <w:r>
              <w:rPr>
                <w:rFonts w:ascii="Arial" w:cs="Arial" w:eastAsia="Arial" w:hAnsi="Arial"/>
                <w:sz w:val="14"/>
                <w:szCs w:val="14"/>
                <w:color w:val="auto"/>
              </w:rPr>
              <w:t>Daniel Guglielmone</w:t>
            </w:r>
          </w:p>
        </w:tc>
        <w:tc>
          <w:tcPr>
            <w:tcW w:w="5140" w:type="dxa"/>
            <w:vAlign w:val="bottom"/>
          </w:tcPr>
          <w:p>
            <w:pPr>
              <w:jc w:val="right"/>
              <w:spacing w:after="0"/>
              <w:rPr>
                <w:sz w:val="20"/>
                <w:szCs w:val="20"/>
                <w:color w:val="auto"/>
              </w:rPr>
            </w:pPr>
            <w:r>
              <w:rPr>
                <w:rFonts w:ascii="Arial" w:cs="Arial" w:eastAsia="Arial" w:hAnsi="Arial"/>
                <w:sz w:val="14"/>
                <w:szCs w:val="14"/>
                <w:color w:val="auto"/>
              </w:rPr>
              <w:t>10,513</w:t>
            </w:r>
          </w:p>
        </w:tc>
        <w:tc>
          <w:tcPr>
            <w:tcW w:w="1520" w:type="dxa"/>
            <w:vAlign w:val="bottom"/>
          </w:tcPr>
          <w:p>
            <w:pPr>
              <w:ind w:left="13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1,228,897</w:t>
            </w:r>
          </w:p>
        </w:tc>
      </w:tr>
      <w:tr>
        <w:trPr>
          <w:trHeight w:val="190"/>
        </w:trPr>
        <w:tc>
          <w:tcPr>
            <w:tcW w:w="3160" w:type="dxa"/>
            <w:vAlign w:val="bottom"/>
            <w:shd w:val="clear" w:color="auto" w:fill="D8D8D8"/>
          </w:tcPr>
          <w:p>
            <w:pPr>
              <w:spacing w:after="0"/>
              <w:rPr>
                <w:sz w:val="20"/>
                <w:szCs w:val="20"/>
                <w:color w:val="auto"/>
              </w:rPr>
            </w:pPr>
            <w:r>
              <w:rPr>
                <w:rFonts w:ascii="Arial" w:cs="Arial" w:eastAsia="Arial" w:hAnsi="Arial"/>
                <w:sz w:val="14"/>
                <w:szCs w:val="14"/>
                <w:color w:val="auto"/>
              </w:rPr>
              <w:t>Dawn M. Becker</w:t>
            </w:r>
          </w:p>
        </w:tc>
        <w:tc>
          <w:tcPr>
            <w:tcW w:w="5140" w:type="dxa"/>
            <w:vAlign w:val="bottom"/>
          </w:tcPr>
          <w:p>
            <w:pPr>
              <w:jc w:val="right"/>
              <w:spacing w:after="0"/>
              <w:rPr>
                <w:sz w:val="20"/>
                <w:szCs w:val="20"/>
                <w:color w:val="auto"/>
              </w:rPr>
            </w:pPr>
            <w:r>
              <w:rPr>
                <w:rFonts w:ascii="Arial" w:cs="Arial" w:eastAsia="Arial" w:hAnsi="Arial"/>
                <w:sz w:val="14"/>
                <w:szCs w:val="14"/>
                <w:color w:val="auto"/>
              </w:rPr>
              <w:t>6,157</w:t>
            </w:r>
          </w:p>
        </w:tc>
        <w:tc>
          <w:tcPr>
            <w:tcW w:w="1520" w:type="dxa"/>
            <w:vAlign w:val="bottom"/>
          </w:tcPr>
          <w:p>
            <w:pPr>
              <w:ind w:left="13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740,256</w:t>
            </w:r>
          </w:p>
        </w:tc>
      </w:tr>
      <w:tr>
        <w:trPr>
          <w:trHeight w:val="35"/>
        </w:trPr>
        <w:tc>
          <w:tcPr>
            <w:tcW w:w="3160" w:type="dxa"/>
            <w:vAlign w:val="bottom"/>
            <w:shd w:val="clear" w:color="auto" w:fill="D8D8D8"/>
          </w:tcPr>
          <w:p>
            <w:pPr>
              <w:spacing w:after="0"/>
              <w:rPr>
                <w:sz w:val="3"/>
                <w:szCs w:val="3"/>
                <w:color w:val="auto"/>
              </w:rPr>
            </w:pPr>
          </w:p>
        </w:tc>
        <w:tc>
          <w:tcPr>
            <w:tcW w:w="51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3"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20"/>
          <w:szCs w:val="20"/>
          <w:color w:val="auto"/>
          <w:vertAlign w:val="superscript"/>
        </w:rPr>
      </w:pPr>
      <w:r>
        <w:rPr>
          <w:rFonts w:ascii="Arial" w:cs="Arial" w:eastAsia="Arial" w:hAnsi="Arial"/>
          <w:sz w:val="16"/>
          <w:szCs w:val="16"/>
          <w:color w:val="auto"/>
        </w:rPr>
        <w:t>The amounts in this column were calculated using the closing price of a share on the date the shares vested.</w:t>
      </w:r>
    </w:p>
    <w:p>
      <w:pPr>
        <w:spacing w:after="0" w:line="294" w:lineRule="exact"/>
        <w:rPr>
          <w:sz w:val="20"/>
          <w:szCs w:val="20"/>
          <w:color w:val="auto"/>
        </w:rPr>
      </w:pPr>
    </w:p>
    <w:p>
      <w:pPr>
        <w:ind w:left="460" w:hanging="344"/>
        <w:spacing w:after="0"/>
        <w:tabs>
          <w:tab w:leader="none" w:pos="460" w:val="left"/>
        </w:tabs>
        <w:numPr>
          <w:ilvl w:val="0"/>
          <w:numId w:val="73"/>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NON-QUALIFIED DEFERRED COMPENSATION</w:t>
      </w:r>
    </w:p>
    <w:p>
      <w:pPr>
        <w:spacing w:after="0" w:line="18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We maintain a non-qualified deferred compensation plan that is open to participation by 48 members of our management team, including our NEOs.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2022 activity for the NEOs who participate in our plan is described below.</w:t>
      </w:r>
    </w:p>
    <w:p>
      <w:pPr>
        <w:spacing w:after="0" w:line="200" w:lineRule="exact"/>
        <w:rPr>
          <w:sz w:val="20"/>
          <w:szCs w:val="20"/>
          <w:color w:val="auto"/>
        </w:r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40" w:type="dxa"/>
            <w:vAlign w:val="bottom"/>
            <w:shd w:val="clear" w:color="auto" w:fill="FF160F"/>
          </w:tcPr>
          <w:p>
            <w:pPr>
              <w:spacing w:after="0"/>
              <w:rPr>
                <w:sz w:val="18"/>
                <w:szCs w:val="18"/>
                <w:color w:val="auto"/>
              </w:rPr>
            </w:pPr>
          </w:p>
        </w:tc>
        <w:tc>
          <w:tcPr>
            <w:tcW w:w="300" w:type="dxa"/>
            <w:vAlign w:val="bottom"/>
            <w:shd w:val="clear" w:color="auto" w:fill="FF160F"/>
          </w:tcPr>
          <w:p>
            <w:pPr>
              <w:spacing w:after="0"/>
              <w:rPr>
                <w:sz w:val="18"/>
                <w:szCs w:val="18"/>
                <w:color w:val="auto"/>
              </w:rPr>
            </w:pPr>
          </w:p>
        </w:tc>
        <w:tc>
          <w:tcPr>
            <w:tcW w:w="160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Executive</w:t>
            </w:r>
          </w:p>
        </w:tc>
        <w:tc>
          <w:tcPr>
            <w:tcW w:w="700" w:type="dxa"/>
            <w:vAlign w:val="bottom"/>
            <w:shd w:val="clear" w:color="auto" w:fill="FF160F"/>
          </w:tcPr>
          <w:p>
            <w:pPr>
              <w:spacing w:after="0"/>
              <w:rPr>
                <w:sz w:val="18"/>
                <w:szCs w:val="18"/>
                <w:color w:val="auto"/>
              </w:rPr>
            </w:pPr>
          </w:p>
        </w:tc>
        <w:tc>
          <w:tcPr>
            <w:tcW w:w="154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Registrant</w:t>
            </w:r>
          </w:p>
        </w:tc>
        <w:tc>
          <w:tcPr>
            <w:tcW w:w="460" w:type="dxa"/>
            <w:vAlign w:val="bottom"/>
            <w:shd w:val="clear" w:color="auto" w:fill="FF160F"/>
          </w:tcPr>
          <w:p>
            <w:pPr>
              <w:spacing w:after="0"/>
              <w:rPr>
                <w:sz w:val="18"/>
                <w:szCs w:val="18"/>
                <w:color w:val="auto"/>
              </w:rPr>
            </w:pPr>
          </w:p>
        </w:tc>
        <w:tc>
          <w:tcPr>
            <w:tcW w:w="1400" w:type="dxa"/>
            <w:vAlign w:val="bottom"/>
            <w:shd w:val="clear" w:color="auto" w:fill="FF160F"/>
          </w:tcPr>
          <w:p>
            <w:pPr>
              <w:jc w:val="right"/>
              <w:ind w:right="190"/>
              <w:spacing w:after="0"/>
              <w:rPr>
                <w:sz w:val="20"/>
                <w:szCs w:val="20"/>
                <w:color w:val="auto"/>
              </w:rPr>
            </w:pPr>
            <w:r>
              <w:rPr>
                <w:rFonts w:ascii="Arial" w:cs="Arial" w:eastAsia="Arial" w:hAnsi="Arial"/>
                <w:sz w:val="18"/>
                <w:szCs w:val="18"/>
                <w:b w:val="1"/>
                <w:bCs w:val="1"/>
                <w:color w:val="FFFFFF"/>
              </w:rPr>
              <w:t>Aggregate</w:t>
            </w:r>
          </w:p>
        </w:tc>
        <w:tc>
          <w:tcPr>
            <w:tcW w:w="380" w:type="dxa"/>
            <w:vAlign w:val="bottom"/>
            <w:shd w:val="clear" w:color="auto" w:fill="FF160F"/>
          </w:tcPr>
          <w:p>
            <w:pPr>
              <w:spacing w:after="0"/>
              <w:rPr>
                <w:sz w:val="18"/>
                <w:szCs w:val="18"/>
                <w:color w:val="auto"/>
              </w:rPr>
            </w:pPr>
          </w:p>
        </w:tc>
        <w:tc>
          <w:tcPr>
            <w:tcW w:w="1180" w:type="dxa"/>
            <w:vAlign w:val="bottom"/>
            <w:shd w:val="clear" w:color="auto" w:fill="FF160F"/>
          </w:tcPr>
          <w:p>
            <w:pPr>
              <w:jc w:val="right"/>
              <w:ind w:right="130"/>
              <w:spacing w:after="0"/>
              <w:rPr>
                <w:sz w:val="20"/>
                <w:szCs w:val="20"/>
                <w:color w:val="auto"/>
              </w:rPr>
            </w:pPr>
            <w:r>
              <w:rPr>
                <w:rFonts w:ascii="Arial" w:cs="Arial" w:eastAsia="Arial" w:hAnsi="Arial"/>
                <w:sz w:val="18"/>
                <w:szCs w:val="18"/>
                <w:b w:val="1"/>
                <w:bCs w:val="1"/>
                <w:color w:val="FFFFFF"/>
              </w:rPr>
              <w:t>Aggregate</w:t>
            </w:r>
          </w:p>
        </w:tc>
        <w:tc>
          <w:tcPr>
            <w:tcW w:w="500" w:type="dxa"/>
            <w:vAlign w:val="bottom"/>
            <w:shd w:val="clear" w:color="auto" w:fill="FF160F"/>
          </w:tcPr>
          <w:p>
            <w:pPr>
              <w:spacing w:after="0"/>
              <w:rPr>
                <w:sz w:val="18"/>
                <w:szCs w:val="18"/>
                <w:color w:val="auto"/>
              </w:rPr>
            </w:pPr>
          </w:p>
        </w:tc>
        <w:tc>
          <w:tcPr>
            <w:tcW w:w="1320" w:type="dxa"/>
            <w:vAlign w:val="bottom"/>
            <w:shd w:val="clear" w:color="auto" w:fill="FF160F"/>
          </w:tcPr>
          <w:p>
            <w:pPr>
              <w:jc w:val="right"/>
              <w:ind w:right="170"/>
              <w:spacing w:after="0"/>
              <w:rPr>
                <w:sz w:val="20"/>
                <w:szCs w:val="20"/>
                <w:color w:val="auto"/>
              </w:rPr>
            </w:pPr>
            <w:r>
              <w:rPr>
                <w:rFonts w:ascii="Arial" w:cs="Arial" w:eastAsia="Arial" w:hAnsi="Arial"/>
                <w:sz w:val="18"/>
                <w:szCs w:val="18"/>
                <w:b w:val="1"/>
                <w:bCs w:val="1"/>
                <w:color w:val="FFFFFF"/>
              </w:rPr>
              <w:t>Aggregate</w:t>
            </w:r>
          </w:p>
        </w:tc>
      </w:tr>
      <w:tr>
        <w:trPr>
          <w:trHeight w:val="203"/>
        </w:trPr>
        <w:tc>
          <w:tcPr>
            <w:tcW w:w="1640" w:type="dxa"/>
            <w:vAlign w:val="bottom"/>
            <w:shd w:val="clear" w:color="auto" w:fill="FF160F"/>
          </w:tcPr>
          <w:p>
            <w:pPr>
              <w:spacing w:after="0"/>
              <w:rPr>
                <w:sz w:val="17"/>
                <w:szCs w:val="17"/>
                <w:color w:val="auto"/>
              </w:rPr>
            </w:pPr>
          </w:p>
        </w:tc>
        <w:tc>
          <w:tcPr>
            <w:tcW w:w="300" w:type="dxa"/>
            <w:vAlign w:val="bottom"/>
            <w:shd w:val="clear" w:color="auto" w:fill="FF160F"/>
          </w:tcPr>
          <w:p>
            <w:pPr>
              <w:spacing w:after="0"/>
              <w:rPr>
                <w:sz w:val="17"/>
                <w:szCs w:val="17"/>
                <w:color w:val="auto"/>
              </w:rPr>
            </w:pPr>
          </w:p>
        </w:tc>
        <w:tc>
          <w:tcPr>
            <w:tcW w:w="160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w w:val="99"/>
              </w:rPr>
              <w:t>Contributions in</w:t>
            </w:r>
          </w:p>
        </w:tc>
        <w:tc>
          <w:tcPr>
            <w:tcW w:w="2240" w:type="dxa"/>
            <w:vAlign w:val="bottom"/>
            <w:gridSpan w:val="2"/>
            <w:shd w:val="clear" w:color="auto" w:fill="FF160F"/>
          </w:tcPr>
          <w:p>
            <w:pPr>
              <w:ind w:left="220"/>
              <w:spacing w:after="0" w:line="202" w:lineRule="exact"/>
              <w:rPr>
                <w:sz w:val="20"/>
                <w:szCs w:val="20"/>
                <w:color w:val="auto"/>
              </w:rPr>
            </w:pPr>
            <w:r>
              <w:rPr>
                <w:rFonts w:ascii="Arial" w:cs="Arial" w:eastAsia="Arial" w:hAnsi="Arial"/>
                <w:sz w:val="18"/>
                <w:szCs w:val="18"/>
                <w:b w:val="1"/>
                <w:bCs w:val="1"/>
                <w:color w:val="FFFFFF"/>
              </w:rPr>
              <w:t>Contributions in Last</w:t>
            </w:r>
          </w:p>
        </w:tc>
        <w:tc>
          <w:tcPr>
            <w:tcW w:w="460" w:type="dxa"/>
            <w:vAlign w:val="bottom"/>
            <w:shd w:val="clear" w:color="auto" w:fill="FF160F"/>
          </w:tcPr>
          <w:p>
            <w:pPr>
              <w:spacing w:after="0"/>
              <w:rPr>
                <w:sz w:val="17"/>
                <w:szCs w:val="17"/>
                <w:color w:val="auto"/>
              </w:rPr>
            </w:pPr>
          </w:p>
        </w:tc>
        <w:tc>
          <w:tcPr>
            <w:tcW w:w="1400" w:type="dxa"/>
            <w:vAlign w:val="bottom"/>
            <w:shd w:val="clear" w:color="auto" w:fill="FF160F"/>
          </w:tcPr>
          <w:p>
            <w:pPr>
              <w:jc w:val="right"/>
              <w:ind w:right="190"/>
              <w:spacing w:after="0" w:line="202" w:lineRule="exact"/>
              <w:rPr>
                <w:sz w:val="20"/>
                <w:szCs w:val="20"/>
                <w:color w:val="auto"/>
              </w:rPr>
            </w:pPr>
            <w:r>
              <w:rPr>
                <w:rFonts w:ascii="Arial" w:cs="Arial" w:eastAsia="Arial" w:hAnsi="Arial"/>
                <w:sz w:val="18"/>
                <w:szCs w:val="18"/>
                <w:b w:val="1"/>
                <w:bCs w:val="1"/>
                <w:color w:val="FFFFFF"/>
              </w:rPr>
              <w:t>Earnings in</w:t>
            </w:r>
          </w:p>
        </w:tc>
        <w:tc>
          <w:tcPr>
            <w:tcW w:w="1560" w:type="dxa"/>
            <w:vAlign w:val="bottom"/>
            <w:gridSpan w:val="2"/>
            <w:shd w:val="clear" w:color="auto" w:fill="FF160F"/>
          </w:tcPr>
          <w:p>
            <w:pPr>
              <w:ind w:left="220"/>
              <w:spacing w:after="0" w:line="202" w:lineRule="exact"/>
              <w:rPr>
                <w:sz w:val="20"/>
                <w:szCs w:val="20"/>
                <w:color w:val="auto"/>
              </w:rPr>
            </w:pPr>
            <w:r>
              <w:rPr>
                <w:rFonts w:ascii="Arial" w:cs="Arial" w:eastAsia="Arial" w:hAnsi="Arial"/>
                <w:sz w:val="18"/>
                <w:szCs w:val="18"/>
                <w:b w:val="1"/>
                <w:bCs w:val="1"/>
                <w:color w:val="FFFFFF"/>
              </w:rPr>
              <w:t>Withdrawals/</w:t>
            </w:r>
          </w:p>
        </w:tc>
        <w:tc>
          <w:tcPr>
            <w:tcW w:w="1820" w:type="dxa"/>
            <w:vAlign w:val="bottom"/>
            <w:gridSpan w:val="2"/>
            <w:shd w:val="clear" w:color="auto" w:fill="FF160F"/>
          </w:tcPr>
          <w:p>
            <w:pPr>
              <w:jc w:val="right"/>
              <w:ind w:right="170"/>
              <w:spacing w:after="0" w:line="202" w:lineRule="exact"/>
              <w:rPr>
                <w:sz w:val="20"/>
                <w:szCs w:val="20"/>
                <w:color w:val="auto"/>
              </w:rPr>
            </w:pPr>
            <w:r>
              <w:rPr>
                <w:rFonts w:ascii="Arial" w:cs="Arial" w:eastAsia="Arial" w:hAnsi="Arial"/>
                <w:sz w:val="18"/>
                <w:szCs w:val="18"/>
                <w:b w:val="1"/>
                <w:bCs w:val="1"/>
                <w:color w:val="FFFFFF"/>
              </w:rPr>
              <w:t>Balance at Last</w:t>
            </w:r>
          </w:p>
        </w:tc>
      </w:tr>
      <w:tr>
        <w:trPr>
          <w:trHeight w:val="235"/>
        </w:trPr>
        <w:tc>
          <w:tcPr>
            <w:tcW w:w="1640" w:type="dxa"/>
            <w:vAlign w:val="bottom"/>
            <w:shd w:val="clear" w:color="auto" w:fill="FF160F"/>
          </w:tcPr>
          <w:p>
            <w:pPr>
              <w:spacing w:after="0"/>
              <w:rPr>
                <w:sz w:val="20"/>
                <w:szCs w:val="20"/>
                <w:color w:val="auto"/>
              </w:rPr>
            </w:pPr>
            <w:r>
              <w:rPr>
                <w:rFonts w:ascii="Arial" w:cs="Arial" w:eastAsia="Arial" w:hAnsi="Arial"/>
                <w:sz w:val="18"/>
                <w:szCs w:val="18"/>
                <w:b w:val="1"/>
                <w:bCs w:val="1"/>
                <w:color w:val="EAEFED"/>
              </w:rPr>
              <w:t>Name</w:t>
            </w:r>
          </w:p>
        </w:tc>
        <w:tc>
          <w:tcPr>
            <w:tcW w:w="1900" w:type="dxa"/>
            <w:vAlign w:val="bottom"/>
            <w:gridSpan w:val="2"/>
            <w:shd w:val="clear" w:color="auto" w:fill="FF160F"/>
          </w:tcPr>
          <w:p>
            <w:pPr>
              <w:ind w:left="200"/>
              <w:spacing w:after="0"/>
              <w:rPr>
                <w:sz w:val="20"/>
                <w:szCs w:val="20"/>
                <w:color w:val="auto"/>
              </w:rPr>
            </w:pPr>
            <w:r>
              <w:rPr>
                <w:rFonts w:ascii="Arial" w:cs="Arial" w:eastAsia="Arial" w:hAnsi="Arial"/>
                <w:sz w:val="18"/>
                <w:szCs w:val="18"/>
                <w:b w:val="1"/>
                <w:bCs w:val="1"/>
                <w:color w:val="FFFFFF"/>
              </w:rPr>
              <w:t>Last Fiscal Year</w:t>
            </w:r>
            <w:r>
              <w:rPr>
                <w:rFonts w:ascii="Arial" w:cs="Arial" w:eastAsia="Arial" w:hAnsi="Arial"/>
                <w:sz w:val="11"/>
                <w:szCs w:val="11"/>
                <w:b w:val="1"/>
                <w:bCs w:val="1"/>
                <w:color w:val="FFFFFF"/>
              </w:rPr>
              <w:t>(1)</w:t>
            </w:r>
          </w:p>
        </w:tc>
        <w:tc>
          <w:tcPr>
            <w:tcW w:w="700" w:type="dxa"/>
            <w:vAlign w:val="bottom"/>
            <w:shd w:val="clear" w:color="auto" w:fill="FF160F"/>
          </w:tcPr>
          <w:p>
            <w:pPr>
              <w:spacing w:after="0"/>
              <w:rPr>
                <w:sz w:val="20"/>
                <w:szCs w:val="20"/>
                <w:color w:val="auto"/>
              </w:rPr>
            </w:pPr>
          </w:p>
        </w:tc>
        <w:tc>
          <w:tcPr>
            <w:tcW w:w="154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Fiscal Year</w:t>
            </w:r>
          </w:p>
        </w:tc>
        <w:tc>
          <w:tcPr>
            <w:tcW w:w="1860" w:type="dxa"/>
            <w:vAlign w:val="bottom"/>
            <w:gridSpan w:val="2"/>
            <w:shd w:val="clear" w:color="auto" w:fill="FF160F"/>
          </w:tcPr>
          <w:p>
            <w:pPr>
              <w:ind w:left="240"/>
              <w:spacing w:after="0"/>
              <w:rPr>
                <w:sz w:val="20"/>
                <w:szCs w:val="20"/>
                <w:color w:val="auto"/>
              </w:rPr>
            </w:pPr>
            <w:r>
              <w:rPr>
                <w:rFonts w:ascii="Arial" w:cs="Arial" w:eastAsia="Arial" w:hAnsi="Arial"/>
                <w:sz w:val="18"/>
                <w:szCs w:val="18"/>
                <w:b w:val="1"/>
                <w:bCs w:val="1"/>
                <w:color w:val="FFFFFF"/>
              </w:rPr>
              <w:t>Last Fiscal Year</w:t>
            </w:r>
          </w:p>
        </w:tc>
        <w:tc>
          <w:tcPr>
            <w:tcW w:w="1560" w:type="dxa"/>
            <w:vAlign w:val="bottom"/>
            <w:gridSpan w:val="2"/>
            <w:shd w:val="clear" w:color="auto" w:fill="FF160F"/>
          </w:tcPr>
          <w:p>
            <w:pPr>
              <w:ind w:left="220"/>
              <w:spacing w:after="0"/>
              <w:rPr>
                <w:sz w:val="20"/>
                <w:szCs w:val="20"/>
                <w:color w:val="auto"/>
              </w:rPr>
            </w:pPr>
            <w:r>
              <w:rPr>
                <w:rFonts w:ascii="Arial" w:cs="Arial" w:eastAsia="Arial" w:hAnsi="Arial"/>
                <w:sz w:val="18"/>
                <w:szCs w:val="18"/>
                <w:b w:val="1"/>
                <w:bCs w:val="1"/>
                <w:color w:val="FFFFFF"/>
              </w:rPr>
              <w:t>Distributions</w:t>
            </w:r>
          </w:p>
        </w:tc>
        <w:tc>
          <w:tcPr>
            <w:tcW w:w="1820" w:type="dxa"/>
            <w:vAlign w:val="bottom"/>
            <w:gridSpan w:val="2"/>
            <w:shd w:val="clear" w:color="auto" w:fill="FF160F"/>
          </w:tcPr>
          <w:p>
            <w:pPr>
              <w:ind w:left="240"/>
              <w:spacing w:after="0"/>
              <w:rPr>
                <w:sz w:val="20"/>
                <w:szCs w:val="20"/>
                <w:color w:val="auto"/>
              </w:rPr>
            </w:pPr>
            <w:r>
              <w:rPr>
                <w:rFonts w:ascii="Arial" w:cs="Arial" w:eastAsia="Arial" w:hAnsi="Arial"/>
                <w:sz w:val="18"/>
                <w:szCs w:val="18"/>
                <w:b w:val="1"/>
                <w:bCs w:val="1"/>
                <w:color w:val="FFFFFF"/>
              </w:rPr>
              <w:t>Fiscal Year-End</w:t>
            </w:r>
          </w:p>
        </w:tc>
      </w:tr>
      <w:tr>
        <w:trPr>
          <w:trHeight w:val="184"/>
        </w:trPr>
        <w:tc>
          <w:tcPr>
            <w:tcW w:w="1640" w:type="dxa"/>
            <w:vAlign w:val="bottom"/>
            <w:shd w:val="clear" w:color="auto" w:fill="D8D8D8"/>
          </w:tcPr>
          <w:p>
            <w:pPr>
              <w:spacing w:after="0" w:line="183" w:lineRule="exact"/>
              <w:rPr>
                <w:sz w:val="20"/>
                <w:szCs w:val="20"/>
                <w:color w:val="auto"/>
              </w:rPr>
            </w:pPr>
            <w:r>
              <w:rPr>
                <w:rFonts w:ascii="Arial" w:cs="Arial" w:eastAsia="Arial" w:hAnsi="Arial"/>
                <w:sz w:val="18"/>
                <w:szCs w:val="18"/>
                <w:color w:val="auto"/>
              </w:rPr>
              <w:t>Donald C. Wood</w:t>
            </w:r>
          </w:p>
        </w:tc>
        <w:tc>
          <w:tcPr>
            <w:tcW w:w="300" w:type="dxa"/>
            <w:vAlign w:val="bottom"/>
          </w:tcPr>
          <w:p>
            <w:pPr>
              <w:ind w:left="200"/>
              <w:spacing w:after="0" w:line="183"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250,000</w:t>
            </w:r>
          </w:p>
        </w:tc>
        <w:tc>
          <w:tcPr>
            <w:tcW w:w="700" w:type="dxa"/>
            <w:vAlign w:val="bottom"/>
          </w:tcPr>
          <w:p>
            <w:pPr>
              <w:ind w:left="200"/>
              <w:spacing w:after="0" w:line="183"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460" w:type="dxa"/>
            <w:vAlign w:val="bottom"/>
          </w:tcPr>
          <w:p>
            <w:pPr>
              <w:ind w:left="220"/>
              <w:spacing w:after="0" w:line="183"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(2,126,341)</w:t>
            </w:r>
          </w:p>
        </w:tc>
        <w:tc>
          <w:tcPr>
            <w:tcW w:w="380" w:type="dxa"/>
            <w:vAlign w:val="bottom"/>
          </w:tcPr>
          <w:p>
            <w:pPr>
              <w:ind w:left="220"/>
              <w:spacing w:after="0" w:line="183"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500" w:type="dxa"/>
            <w:vAlign w:val="bottom"/>
          </w:tcPr>
          <w:p>
            <w:pPr>
              <w:ind w:left="220"/>
              <w:spacing w:after="0" w:line="183"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line="183" w:lineRule="exact"/>
              <w:rPr>
                <w:sz w:val="20"/>
                <w:szCs w:val="20"/>
                <w:color w:val="auto"/>
              </w:rPr>
            </w:pPr>
            <w:r>
              <w:rPr>
                <w:rFonts w:ascii="Arial" w:cs="Arial" w:eastAsia="Arial" w:hAnsi="Arial"/>
                <w:sz w:val="18"/>
                <w:szCs w:val="18"/>
                <w:color w:val="auto"/>
              </w:rPr>
              <w:t>8,949,810</w:t>
            </w:r>
          </w:p>
        </w:tc>
      </w:tr>
      <w:tr>
        <w:trPr>
          <w:trHeight w:val="203"/>
        </w:trPr>
        <w:tc>
          <w:tcPr>
            <w:tcW w:w="164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Jeffrey S. Berkes</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269,531</w:t>
            </w:r>
          </w:p>
        </w:tc>
        <w:tc>
          <w:tcPr>
            <w:tcW w:w="70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(52,677)</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382,048</w:t>
            </w:r>
          </w:p>
        </w:tc>
      </w:tr>
      <w:tr>
        <w:trPr>
          <w:trHeight w:val="221"/>
        </w:trPr>
        <w:tc>
          <w:tcPr>
            <w:tcW w:w="1640" w:type="dxa"/>
            <w:vAlign w:val="bottom"/>
            <w:shd w:val="clear" w:color="auto" w:fill="D8D8D8"/>
          </w:tcPr>
          <w:p>
            <w:pPr>
              <w:spacing w:after="0"/>
              <w:rPr>
                <w:sz w:val="20"/>
                <w:szCs w:val="20"/>
                <w:color w:val="auto"/>
              </w:rPr>
            </w:pPr>
            <w:r>
              <w:rPr>
                <w:rFonts w:ascii="Arial" w:cs="Arial" w:eastAsia="Arial" w:hAnsi="Arial"/>
                <w:sz w:val="18"/>
                <w:szCs w:val="18"/>
                <w:color w:val="auto"/>
              </w:rPr>
              <w:t>Dawn M. Becker</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57,500</w:t>
            </w:r>
          </w:p>
        </w:tc>
        <w:tc>
          <w:tcPr>
            <w:tcW w:w="700" w:type="dxa"/>
            <w:vAlign w:val="bottom"/>
          </w:tcPr>
          <w:p>
            <w:pPr>
              <w:ind w:left="2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(456,259)</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2,060,810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1226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5" w:lineRule="exact"/>
        <w:rPr>
          <w:sz w:val="20"/>
          <w:szCs w:val="20"/>
          <w:color w:val="auto"/>
        </w:rPr>
      </w:pPr>
    </w:p>
    <w:p>
      <w:pPr>
        <w:ind w:left="660" w:right="20" w:hanging="436"/>
        <w:spacing w:after="0" w:line="233" w:lineRule="auto"/>
        <w:tabs>
          <w:tab w:leader="none" w:pos="660" w:val="left"/>
        </w:tabs>
        <w:numPr>
          <w:ilvl w:val="1"/>
          <w:numId w:val="74"/>
        </w:numPr>
        <w:rPr>
          <w:rFonts w:ascii="Arial" w:cs="Arial" w:eastAsia="Arial" w:hAnsi="Arial"/>
          <w:sz w:val="20"/>
          <w:szCs w:val="20"/>
          <w:color w:val="auto"/>
          <w:vertAlign w:val="superscript"/>
        </w:rPr>
      </w:pPr>
      <w:r>
        <w:rPr>
          <w:rFonts w:ascii="Arial" w:cs="Arial" w:eastAsia="Arial" w:hAnsi="Arial"/>
          <w:sz w:val="16"/>
          <w:szCs w:val="16"/>
          <w:color w:val="auto"/>
        </w:rPr>
        <w:t>All amounts in this column are included in either the “Salary” or “Non-Equity Incentive Plan Compensation” column of the Summary Compensation Table for 2022.</w:t>
      </w:r>
    </w:p>
    <w:p>
      <w:pPr>
        <w:spacing w:after="0" w:line="187" w:lineRule="exact"/>
        <w:rPr>
          <w:rFonts w:ascii="Arial" w:cs="Arial" w:eastAsia="Arial" w:hAnsi="Arial"/>
          <w:sz w:val="20"/>
          <w:szCs w:val="20"/>
          <w:color w:val="auto"/>
          <w:vertAlign w:val="superscript"/>
        </w:rPr>
      </w:pPr>
    </w:p>
    <w:p>
      <w:pPr>
        <w:ind w:left="460" w:hanging="344"/>
        <w:spacing w:after="0"/>
        <w:tabs>
          <w:tab w:leader="none" w:pos="460" w:val="left"/>
        </w:tabs>
        <w:numPr>
          <w:ilvl w:val="0"/>
          <w:numId w:val="74"/>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POTENTIAL PAYMENTS ON TERMINATION OF EMPLOYMENT AND CHANGE-IN-CONTROL</w:t>
      </w:r>
    </w:p>
    <w:p>
      <w:pPr>
        <w:spacing w:after="0" w:line="22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have entered into severance agreements with each of our NEOs that require us to make certain payments and provide certain benefits to them in the event of a termination of employment or change in control of the Company. Regardless of the reason for an NEO’s termination of employment, he or she will be entitled to receive upon termination a distribution of any amounts in our non-qualified deferred compensation plan as described in the “Non-Qualified Deferred Compensation” section above. No NEO is entitled to receive a new partial award under the annual bonus plan or our long-term incentive plan for the year in which the termination occurs. The agreements with each of our NEOs contain provisions restricting the executive from engaging in competing behavior and soliciting and/or hiring our employees for a period of time after termination. The payments that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189230</wp:posOffset>
            </wp:positionV>
            <wp:extent cx="7012305"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96"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34</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be made to an NEO on termination vary depending on the reason for termination and may be conditioned on the signing of a release in favor of the Company.</w:t>
      </w:r>
    </w:p>
    <w:p>
      <w:pPr>
        <w:spacing w:after="0" w:line="154"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 amount of compensation payable to each of our NEOs under various termination scenarios is reflected below assuming that the separation of service was effective on December 31, 2022.</w:t>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740" w:type="dxa"/>
            <w:vAlign w:val="bottom"/>
            <w:shd w:val="clear" w:color="auto" w:fill="FF160F"/>
          </w:tcPr>
          <w:p>
            <w:pPr>
              <w:spacing w:after="0"/>
              <w:rPr>
                <w:sz w:val="17"/>
                <w:szCs w:val="17"/>
                <w:color w:val="auto"/>
              </w:rPr>
            </w:pPr>
          </w:p>
        </w:tc>
        <w:tc>
          <w:tcPr>
            <w:tcW w:w="2080" w:type="dxa"/>
            <w:vAlign w:val="bottom"/>
            <w:shd w:val="clear" w:color="auto" w:fill="FF160F"/>
          </w:tcPr>
          <w:p>
            <w:pPr>
              <w:spacing w:after="0"/>
              <w:rPr>
                <w:sz w:val="17"/>
                <w:szCs w:val="17"/>
                <w:color w:val="auto"/>
              </w:rPr>
            </w:pPr>
          </w:p>
        </w:tc>
        <w:tc>
          <w:tcPr>
            <w:tcW w:w="180" w:type="dxa"/>
            <w:vAlign w:val="bottom"/>
            <w:shd w:val="clear" w:color="auto" w:fill="FF160F"/>
          </w:tcPr>
          <w:p>
            <w:pPr>
              <w:spacing w:after="0"/>
              <w:rPr>
                <w:sz w:val="17"/>
                <w:szCs w:val="17"/>
                <w:color w:val="auto"/>
              </w:rPr>
            </w:pPr>
          </w:p>
        </w:tc>
        <w:tc>
          <w:tcPr>
            <w:tcW w:w="1120" w:type="dxa"/>
            <w:vAlign w:val="bottom"/>
            <w:shd w:val="clear" w:color="auto" w:fill="FF160F"/>
          </w:tcPr>
          <w:p>
            <w:pPr>
              <w:spacing w:after="0"/>
              <w:rPr>
                <w:sz w:val="17"/>
                <w:szCs w:val="17"/>
                <w:color w:val="auto"/>
              </w:rPr>
            </w:pPr>
          </w:p>
        </w:tc>
        <w:tc>
          <w:tcPr>
            <w:tcW w:w="220" w:type="dxa"/>
            <w:vAlign w:val="bottom"/>
            <w:shd w:val="clear" w:color="auto" w:fill="FF160F"/>
          </w:tcPr>
          <w:p>
            <w:pPr>
              <w:spacing w:after="0"/>
              <w:rPr>
                <w:sz w:val="17"/>
                <w:szCs w:val="17"/>
                <w:color w:val="auto"/>
              </w:rPr>
            </w:pPr>
          </w:p>
        </w:tc>
        <w:tc>
          <w:tcPr>
            <w:tcW w:w="1340" w:type="dxa"/>
            <w:vAlign w:val="bottom"/>
            <w:shd w:val="clear" w:color="auto" w:fill="FF160F"/>
          </w:tcPr>
          <w:p>
            <w:pPr>
              <w:spacing w:after="0"/>
              <w:rPr>
                <w:sz w:val="17"/>
                <w:szCs w:val="17"/>
                <w:color w:val="auto"/>
              </w:rPr>
            </w:pPr>
          </w:p>
        </w:tc>
        <w:tc>
          <w:tcPr>
            <w:tcW w:w="220" w:type="dxa"/>
            <w:vAlign w:val="bottom"/>
            <w:shd w:val="clear" w:color="auto" w:fill="FF160F"/>
          </w:tcPr>
          <w:p>
            <w:pPr>
              <w:spacing w:after="0"/>
              <w:rPr>
                <w:sz w:val="17"/>
                <w:szCs w:val="17"/>
                <w:color w:val="auto"/>
              </w:rPr>
            </w:pPr>
          </w:p>
        </w:tc>
        <w:tc>
          <w:tcPr>
            <w:tcW w:w="1240" w:type="dxa"/>
            <w:vAlign w:val="bottom"/>
            <w:shd w:val="clear" w:color="auto" w:fill="FF160F"/>
          </w:tcPr>
          <w:p>
            <w:pPr>
              <w:jc w:val="right"/>
              <w:ind w:right="170"/>
              <w:spacing w:after="0"/>
              <w:rPr>
                <w:sz w:val="20"/>
                <w:szCs w:val="20"/>
                <w:color w:val="auto"/>
              </w:rPr>
            </w:pPr>
            <w:r>
              <w:rPr>
                <w:rFonts w:ascii="Arial" w:cs="Arial" w:eastAsia="Arial" w:hAnsi="Arial"/>
                <w:sz w:val="18"/>
                <w:szCs w:val="18"/>
                <w:b w:val="1"/>
                <w:bCs w:val="1"/>
                <w:color w:val="FFFFFF"/>
              </w:rPr>
              <w:t>Change-in-</w:t>
            </w:r>
          </w:p>
        </w:tc>
        <w:tc>
          <w:tcPr>
            <w:tcW w:w="300" w:type="dxa"/>
            <w:vAlign w:val="bottom"/>
            <w:shd w:val="clear" w:color="auto" w:fill="FF160F"/>
          </w:tcPr>
          <w:p>
            <w:pPr>
              <w:spacing w:after="0"/>
              <w:rPr>
                <w:sz w:val="17"/>
                <w:szCs w:val="17"/>
                <w:color w:val="auto"/>
              </w:rPr>
            </w:pPr>
          </w:p>
        </w:tc>
        <w:tc>
          <w:tcPr>
            <w:tcW w:w="1140" w:type="dxa"/>
            <w:vAlign w:val="bottom"/>
            <w:shd w:val="clear" w:color="auto" w:fill="FF160F"/>
          </w:tcPr>
          <w:p>
            <w:pPr>
              <w:spacing w:after="0"/>
              <w:rPr>
                <w:sz w:val="17"/>
                <w:szCs w:val="17"/>
                <w:color w:val="auto"/>
              </w:rPr>
            </w:pPr>
          </w:p>
        </w:tc>
        <w:tc>
          <w:tcPr>
            <w:tcW w:w="220" w:type="dxa"/>
            <w:vAlign w:val="bottom"/>
            <w:shd w:val="clear" w:color="auto" w:fill="FF160F"/>
          </w:tcPr>
          <w:p>
            <w:pPr>
              <w:spacing w:after="0"/>
              <w:rPr>
                <w:sz w:val="17"/>
                <w:szCs w:val="17"/>
                <w:color w:val="auto"/>
              </w:rPr>
            </w:pPr>
          </w:p>
        </w:tc>
        <w:tc>
          <w:tcPr>
            <w:tcW w:w="1220" w:type="dxa"/>
            <w:vAlign w:val="bottom"/>
            <w:shd w:val="clear" w:color="auto" w:fill="FF160F"/>
          </w:tcPr>
          <w:p>
            <w:pPr>
              <w:spacing w:after="0"/>
              <w:rPr>
                <w:sz w:val="17"/>
                <w:szCs w:val="17"/>
                <w:color w:val="auto"/>
              </w:rPr>
            </w:pPr>
          </w:p>
        </w:tc>
      </w:tr>
      <w:tr>
        <w:trPr>
          <w:trHeight w:val="203"/>
        </w:trPr>
        <w:tc>
          <w:tcPr>
            <w:tcW w:w="1740" w:type="dxa"/>
            <w:vAlign w:val="bottom"/>
            <w:shd w:val="clear" w:color="auto" w:fill="FF160F"/>
          </w:tcPr>
          <w:p>
            <w:pPr>
              <w:spacing w:after="0"/>
              <w:rPr>
                <w:sz w:val="17"/>
                <w:szCs w:val="17"/>
                <w:color w:val="auto"/>
              </w:rPr>
            </w:pPr>
          </w:p>
        </w:tc>
        <w:tc>
          <w:tcPr>
            <w:tcW w:w="2080" w:type="dxa"/>
            <w:vAlign w:val="bottom"/>
            <w:shd w:val="clear" w:color="auto" w:fill="FF160F"/>
          </w:tcPr>
          <w:p>
            <w:pPr>
              <w:spacing w:after="0"/>
              <w:rPr>
                <w:sz w:val="17"/>
                <w:szCs w:val="17"/>
                <w:color w:val="auto"/>
              </w:rPr>
            </w:pPr>
          </w:p>
        </w:tc>
        <w:tc>
          <w:tcPr>
            <w:tcW w:w="180" w:type="dxa"/>
            <w:vAlign w:val="bottom"/>
            <w:shd w:val="clear" w:color="auto" w:fill="FF160F"/>
          </w:tcPr>
          <w:p>
            <w:pPr>
              <w:spacing w:after="0"/>
              <w:rPr>
                <w:sz w:val="17"/>
                <w:szCs w:val="17"/>
                <w:color w:val="auto"/>
              </w:rPr>
            </w:pPr>
          </w:p>
        </w:tc>
        <w:tc>
          <w:tcPr>
            <w:tcW w:w="1120" w:type="dxa"/>
            <w:vAlign w:val="bottom"/>
            <w:shd w:val="clear" w:color="auto" w:fill="FF160F"/>
          </w:tcPr>
          <w:p>
            <w:pPr>
              <w:jc w:val="right"/>
              <w:ind w:right="130"/>
              <w:spacing w:after="0" w:line="202" w:lineRule="exact"/>
              <w:rPr>
                <w:sz w:val="20"/>
                <w:szCs w:val="20"/>
                <w:color w:val="auto"/>
              </w:rPr>
            </w:pPr>
            <w:r>
              <w:rPr>
                <w:rFonts w:ascii="Arial" w:cs="Arial" w:eastAsia="Arial" w:hAnsi="Arial"/>
                <w:sz w:val="18"/>
                <w:szCs w:val="18"/>
                <w:b w:val="1"/>
                <w:bCs w:val="1"/>
                <w:color w:val="FFFFFF"/>
                <w:w w:val="99"/>
              </w:rPr>
              <w:t>For Cause</w:t>
            </w:r>
          </w:p>
        </w:tc>
        <w:tc>
          <w:tcPr>
            <w:tcW w:w="220" w:type="dxa"/>
            <w:vAlign w:val="bottom"/>
            <w:shd w:val="clear" w:color="auto" w:fill="FF160F"/>
          </w:tcPr>
          <w:p>
            <w:pPr>
              <w:spacing w:after="0"/>
              <w:rPr>
                <w:sz w:val="17"/>
                <w:szCs w:val="17"/>
                <w:color w:val="auto"/>
              </w:rPr>
            </w:pPr>
          </w:p>
        </w:tc>
        <w:tc>
          <w:tcPr>
            <w:tcW w:w="1340" w:type="dxa"/>
            <w:vAlign w:val="bottom"/>
            <w:shd w:val="clear" w:color="auto" w:fill="FF160F"/>
          </w:tcPr>
          <w:p>
            <w:pPr>
              <w:jc w:val="right"/>
              <w:ind w:right="190"/>
              <w:spacing w:after="0" w:line="202" w:lineRule="exact"/>
              <w:rPr>
                <w:sz w:val="20"/>
                <w:szCs w:val="20"/>
                <w:color w:val="auto"/>
              </w:rPr>
            </w:pPr>
            <w:r>
              <w:rPr>
                <w:rFonts w:ascii="Arial" w:cs="Arial" w:eastAsia="Arial" w:hAnsi="Arial"/>
                <w:sz w:val="18"/>
                <w:szCs w:val="18"/>
                <w:b w:val="1"/>
                <w:bCs w:val="1"/>
                <w:color w:val="FFFFFF"/>
              </w:rPr>
              <w:t>Termination</w:t>
            </w:r>
          </w:p>
        </w:tc>
        <w:tc>
          <w:tcPr>
            <w:tcW w:w="220" w:type="dxa"/>
            <w:vAlign w:val="bottom"/>
            <w:shd w:val="clear" w:color="auto" w:fill="FF160F"/>
          </w:tcPr>
          <w:p>
            <w:pPr>
              <w:spacing w:after="0"/>
              <w:rPr>
                <w:sz w:val="17"/>
                <w:szCs w:val="17"/>
                <w:color w:val="auto"/>
              </w:rPr>
            </w:pPr>
          </w:p>
        </w:tc>
        <w:tc>
          <w:tcPr>
            <w:tcW w:w="1240" w:type="dxa"/>
            <w:vAlign w:val="bottom"/>
            <w:shd w:val="clear" w:color="auto" w:fill="FF160F"/>
          </w:tcPr>
          <w:p>
            <w:pPr>
              <w:jc w:val="right"/>
              <w:ind w:right="330"/>
              <w:spacing w:after="0" w:line="202" w:lineRule="exact"/>
              <w:rPr>
                <w:sz w:val="20"/>
                <w:szCs w:val="20"/>
                <w:color w:val="auto"/>
              </w:rPr>
            </w:pPr>
            <w:r>
              <w:rPr>
                <w:rFonts w:ascii="Arial" w:cs="Arial" w:eastAsia="Arial" w:hAnsi="Arial"/>
                <w:sz w:val="18"/>
                <w:szCs w:val="18"/>
                <w:b w:val="1"/>
                <w:bCs w:val="1"/>
                <w:color w:val="FFFFFF"/>
              </w:rPr>
              <w:t>Control</w:t>
            </w:r>
          </w:p>
        </w:tc>
        <w:tc>
          <w:tcPr>
            <w:tcW w:w="1440" w:type="dxa"/>
            <w:vAlign w:val="bottom"/>
            <w:gridSpan w:val="2"/>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Termination on</w:t>
            </w:r>
          </w:p>
        </w:tc>
        <w:tc>
          <w:tcPr>
            <w:tcW w:w="1440" w:type="dxa"/>
            <w:vAlign w:val="bottom"/>
            <w:gridSpan w:val="2"/>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Termination on</w:t>
            </w:r>
          </w:p>
        </w:tc>
      </w:tr>
      <w:tr>
        <w:trPr>
          <w:trHeight w:val="221"/>
        </w:trPr>
        <w:tc>
          <w:tcPr>
            <w:tcW w:w="1740" w:type="dxa"/>
            <w:vAlign w:val="bottom"/>
            <w:shd w:val="clear" w:color="auto" w:fill="FF160F"/>
          </w:tcPr>
          <w:p>
            <w:pPr>
              <w:spacing w:after="0"/>
              <w:rPr>
                <w:sz w:val="20"/>
                <w:szCs w:val="20"/>
                <w:color w:val="auto"/>
              </w:rPr>
            </w:pPr>
            <w:r>
              <w:rPr>
                <w:rFonts w:ascii="Arial" w:cs="Arial" w:eastAsia="Arial" w:hAnsi="Arial"/>
                <w:sz w:val="18"/>
                <w:szCs w:val="18"/>
                <w:b w:val="1"/>
                <w:bCs w:val="1"/>
                <w:color w:val="FFFFFF"/>
              </w:rPr>
              <w:t>Name</w:t>
            </w:r>
          </w:p>
        </w:tc>
        <w:tc>
          <w:tcPr>
            <w:tcW w:w="2080" w:type="dxa"/>
            <w:vAlign w:val="bottom"/>
            <w:shd w:val="clear" w:color="auto" w:fill="FF160F"/>
          </w:tcPr>
          <w:p>
            <w:pPr>
              <w:ind w:left="100"/>
              <w:spacing w:after="0"/>
              <w:rPr>
                <w:sz w:val="20"/>
                <w:szCs w:val="20"/>
                <w:color w:val="auto"/>
              </w:rPr>
            </w:pPr>
            <w:r>
              <w:rPr>
                <w:rFonts w:ascii="Arial" w:cs="Arial" w:eastAsia="Arial" w:hAnsi="Arial"/>
                <w:sz w:val="18"/>
                <w:szCs w:val="18"/>
                <w:b w:val="1"/>
                <w:bCs w:val="1"/>
                <w:color w:val="FFFFFF"/>
              </w:rPr>
              <w:t>Type of Compensation</w:t>
            </w:r>
          </w:p>
        </w:tc>
        <w:tc>
          <w:tcPr>
            <w:tcW w:w="1300" w:type="dxa"/>
            <w:vAlign w:val="bottom"/>
            <w:gridSpan w:val="2"/>
            <w:shd w:val="clear" w:color="auto" w:fill="FF160F"/>
          </w:tcPr>
          <w:p>
            <w:pPr>
              <w:ind w:left="60"/>
              <w:spacing w:after="0"/>
              <w:rPr>
                <w:sz w:val="20"/>
                <w:szCs w:val="20"/>
                <w:color w:val="auto"/>
              </w:rPr>
            </w:pPr>
            <w:r>
              <w:rPr>
                <w:rFonts w:ascii="Arial" w:cs="Arial" w:eastAsia="Arial" w:hAnsi="Arial"/>
                <w:sz w:val="18"/>
                <w:szCs w:val="18"/>
                <w:b w:val="1"/>
                <w:bCs w:val="1"/>
                <w:color w:val="FFFFFF"/>
              </w:rPr>
              <w:t>Termination</w:t>
            </w:r>
            <w:r>
              <w:rPr>
                <w:rFonts w:ascii="Arial" w:cs="Arial" w:eastAsia="Arial" w:hAnsi="Arial"/>
                <w:sz w:val="11"/>
                <w:szCs w:val="11"/>
                <w:b w:val="1"/>
                <w:bCs w:val="1"/>
                <w:color w:val="FFFFFF"/>
              </w:rPr>
              <w:t>(1)</w:t>
            </w:r>
          </w:p>
        </w:tc>
        <w:tc>
          <w:tcPr>
            <w:tcW w:w="1560" w:type="dxa"/>
            <w:vAlign w:val="bottom"/>
            <w:gridSpan w:val="2"/>
            <w:shd w:val="clear" w:color="auto" w:fill="FF160F"/>
          </w:tcPr>
          <w:p>
            <w:pPr>
              <w:ind w:left="80"/>
              <w:spacing w:after="0"/>
              <w:rPr>
                <w:sz w:val="20"/>
                <w:szCs w:val="20"/>
                <w:color w:val="auto"/>
              </w:rPr>
            </w:pPr>
            <w:r>
              <w:rPr>
                <w:rFonts w:ascii="Arial" w:cs="Arial" w:eastAsia="Arial" w:hAnsi="Arial"/>
                <w:sz w:val="18"/>
                <w:szCs w:val="18"/>
                <w:b w:val="1"/>
                <w:bCs w:val="1"/>
                <w:color w:val="FFFFFF"/>
              </w:rPr>
              <w:t>Without Cause</w:t>
            </w:r>
            <w:r>
              <w:rPr>
                <w:rFonts w:ascii="Arial" w:cs="Arial" w:eastAsia="Arial" w:hAnsi="Arial"/>
                <w:sz w:val="11"/>
                <w:szCs w:val="11"/>
                <w:b w:val="1"/>
                <w:bCs w:val="1"/>
                <w:color w:val="FFFFFF"/>
              </w:rPr>
              <w:t>(1)</w:t>
            </w:r>
          </w:p>
        </w:tc>
        <w:tc>
          <w:tcPr>
            <w:tcW w:w="1460" w:type="dxa"/>
            <w:vAlign w:val="bottom"/>
            <w:gridSpan w:val="2"/>
            <w:shd w:val="clear" w:color="auto" w:fill="FF160F"/>
          </w:tcPr>
          <w:p>
            <w:pPr>
              <w:ind w:left="60"/>
              <w:spacing w:after="0"/>
              <w:rPr>
                <w:sz w:val="20"/>
                <w:szCs w:val="20"/>
                <w:color w:val="auto"/>
              </w:rPr>
            </w:pPr>
            <w:r>
              <w:rPr>
                <w:rFonts w:ascii="Arial" w:cs="Arial" w:eastAsia="Arial" w:hAnsi="Arial"/>
                <w:sz w:val="18"/>
                <w:szCs w:val="18"/>
                <w:b w:val="1"/>
                <w:bCs w:val="1"/>
                <w:color w:val="FFFFFF"/>
              </w:rPr>
              <w:t>Termination</w:t>
            </w:r>
            <w:r>
              <w:rPr>
                <w:rFonts w:ascii="Arial" w:cs="Arial" w:eastAsia="Arial" w:hAnsi="Arial"/>
                <w:sz w:val="11"/>
                <w:szCs w:val="11"/>
                <w:b w:val="1"/>
                <w:bCs w:val="1"/>
                <w:color w:val="FFFFFF"/>
              </w:rPr>
              <w:t>(1) (5)</w:t>
            </w:r>
          </w:p>
        </w:tc>
        <w:tc>
          <w:tcPr>
            <w:tcW w:w="300" w:type="dxa"/>
            <w:vAlign w:val="bottom"/>
            <w:shd w:val="clear" w:color="auto" w:fill="FF160F"/>
          </w:tcPr>
          <w:p>
            <w:pPr>
              <w:spacing w:after="0"/>
              <w:rPr>
                <w:sz w:val="19"/>
                <w:szCs w:val="19"/>
                <w:color w:val="auto"/>
              </w:rPr>
            </w:pPr>
          </w:p>
        </w:tc>
        <w:tc>
          <w:tcPr>
            <w:tcW w:w="1140" w:type="dxa"/>
            <w:vAlign w:val="bottom"/>
            <w:shd w:val="clear" w:color="auto" w:fill="FF160F"/>
          </w:tcPr>
          <w:p>
            <w:pPr>
              <w:jc w:val="right"/>
              <w:ind w:right="310"/>
              <w:spacing w:after="0"/>
              <w:rPr>
                <w:sz w:val="20"/>
                <w:szCs w:val="20"/>
                <w:color w:val="auto"/>
              </w:rPr>
            </w:pPr>
            <w:r>
              <w:rPr>
                <w:rFonts w:ascii="Arial" w:cs="Arial" w:eastAsia="Arial" w:hAnsi="Arial"/>
                <w:sz w:val="18"/>
                <w:szCs w:val="18"/>
                <w:b w:val="1"/>
                <w:bCs w:val="1"/>
                <w:color w:val="FFFFFF"/>
              </w:rPr>
              <w:t>Death</w:t>
            </w:r>
            <w:r>
              <w:rPr>
                <w:rFonts w:ascii="Arial" w:cs="Arial" w:eastAsia="Arial" w:hAnsi="Arial"/>
                <w:sz w:val="11"/>
                <w:szCs w:val="11"/>
                <w:b w:val="1"/>
                <w:bCs w:val="1"/>
                <w:color w:val="FFFFFF"/>
              </w:rPr>
              <w:t>(1)</w:t>
            </w:r>
          </w:p>
        </w:tc>
        <w:tc>
          <w:tcPr>
            <w:tcW w:w="220" w:type="dxa"/>
            <w:vAlign w:val="bottom"/>
            <w:shd w:val="clear" w:color="auto" w:fill="FF160F"/>
          </w:tcPr>
          <w:p>
            <w:pPr>
              <w:spacing w:after="0"/>
              <w:rPr>
                <w:sz w:val="19"/>
                <w:szCs w:val="19"/>
                <w:color w:val="auto"/>
              </w:rPr>
            </w:pPr>
          </w:p>
        </w:tc>
        <w:tc>
          <w:tcPr>
            <w:tcW w:w="1220" w:type="dxa"/>
            <w:vAlign w:val="bottom"/>
            <w:shd w:val="clear" w:color="auto" w:fill="FF160F"/>
          </w:tcPr>
          <w:p>
            <w:pPr>
              <w:jc w:val="right"/>
              <w:ind w:right="150"/>
              <w:spacing w:after="0"/>
              <w:rPr>
                <w:sz w:val="20"/>
                <w:szCs w:val="20"/>
                <w:color w:val="auto"/>
              </w:rPr>
            </w:pPr>
            <w:r>
              <w:rPr>
                <w:rFonts w:ascii="Arial" w:cs="Arial" w:eastAsia="Arial" w:hAnsi="Arial"/>
                <w:sz w:val="18"/>
                <w:szCs w:val="18"/>
                <w:b w:val="1"/>
                <w:bCs w:val="1"/>
                <w:color w:val="FFFFFF"/>
              </w:rPr>
              <w:t>Disability</w:t>
            </w:r>
            <w:r>
              <w:rPr>
                <w:rFonts w:ascii="Arial" w:cs="Arial" w:eastAsia="Arial" w:hAnsi="Arial"/>
                <w:sz w:val="11"/>
                <w:szCs w:val="11"/>
                <w:b w:val="1"/>
                <w:bCs w:val="1"/>
                <w:color w:val="FFFFFF"/>
              </w:rPr>
              <w:t>(1)</w:t>
            </w: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Donald C. Wood</w:t>
            </w: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Cash Benefits (multiple)</w:t>
            </w:r>
          </w:p>
        </w:tc>
        <w:tc>
          <w:tcPr>
            <w:tcW w:w="18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 months</w:t>
            </w:r>
          </w:p>
        </w:tc>
        <w:tc>
          <w:tcPr>
            <w:tcW w:w="2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1.5x</w:t>
            </w:r>
          </w:p>
        </w:tc>
        <w:tc>
          <w:tcPr>
            <w:tcW w:w="2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3.0x</w:t>
            </w:r>
          </w:p>
        </w:tc>
        <w:tc>
          <w:tcPr>
            <w:tcW w:w="30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4,171,875</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8,343,750</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1,375,745</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Medical Benefits</w:t>
            </w:r>
            <w:r>
              <w:rPr>
                <w:rFonts w:ascii="Arial" w:cs="Arial" w:eastAsia="Arial" w:hAnsi="Arial"/>
                <w:sz w:val="11"/>
                <w:szCs w:val="11"/>
                <w:color w:val="auto"/>
              </w:rPr>
              <w:t>(2)</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16,918</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1,617,377</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1,693,508</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1,345,000</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1,633,836</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Accelerated Equity</w:t>
            </w:r>
            <w:r>
              <w:rPr>
                <w:rFonts w:ascii="Arial" w:cs="Arial" w:eastAsia="Arial" w:hAnsi="Arial"/>
                <w:sz w:val="11"/>
                <w:szCs w:val="11"/>
                <w:color w:val="auto"/>
              </w:rPr>
              <w:t>(3)</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10,381,759</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10,381,759</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10,381,759</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10,381,759</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Other Benefits</w:t>
            </w:r>
            <w:r>
              <w:rPr>
                <w:rFonts w:ascii="Arial" w:cs="Arial" w:eastAsia="Arial" w:hAnsi="Arial"/>
                <w:sz w:val="11"/>
                <w:szCs w:val="11"/>
                <w:color w:val="auto"/>
              </w:rPr>
              <w:t>(4)</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60,250</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167,165</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080" w:type="dxa"/>
            <w:vAlign w:val="bottom"/>
            <w:shd w:val="clear" w:color="auto" w:fill="FF160F"/>
          </w:tcPr>
          <w:p>
            <w:pPr>
              <w:spacing w:after="0"/>
              <w:rPr>
                <w:sz w:val="17"/>
                <w:szCs w:val="17"/>
                <w:color w:val="auto"/>
              </w:rPr>
            </w:pPr>
          </w:p>
        </w:tc>
        <w:tc>
          <w:tcPr>
            <w:tcW w:w="18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w w:val="99"/>
              </w:rPr>
              <w:t>$</w:t>
            </w:r>
          </w:p>
        </w:tc>
        <w:tc>
          <w:tcPr>
            <w:tcW w:w="11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516,918</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16,231,261</w:t>
            </w:r>
          </w:p>
        </w:tc>
        <w:tc>
          <w:tcPr>
            <w:tcW w:w="22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rPr>
              <w:t>$</w:t>
            </w:r>
          </w:p>
        </w:tc>
        <w:tc>
          <w:tcPr>
            <w:tcW w:w="12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20,586,182</w:t>
            </w:r>
          </w:p>
        </w:tc>
        <w:tc>
          <w:tcPr>
            <w:tcW w:w="3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11,726,759</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13,391,340</w:t>
            </w: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Jeffrey S. Berkes</w:t>
            </w: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Cash Benefits (multiple)</w:t>
            </w:r>
          </w:p>
        </w:tc>
        <w:tc>
          <w:tcPr>
            <w:tcW w:w="18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1.0x</w:t>
            </w:r>
          </w:p>
        </w:tc>
        <w:tc>
          <w:tcPr>
            <w:tcW w:w="2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2.0x</w:t>
            </w:r>
          </w:p>
        </w:tc>
        <w:tc>
          <w:tcPr>
            <w:tcW w:w="30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1,368,750</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2,737,500</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718,750</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718,750</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Medical Benefits</w:t>
            </w:r>
            <w:r>
              <w:rPr>
                <w:rFonts w:ascii="Arial" w:cs="Arial" w:eastAsia="Arial" w:hAnsi="Arial"/>
                <w:sz w:val="11"/>
                <w:szCs w:val="11"/>
                <w:color w:val="auto"/>
              </w:rPr>
              <w:t>(2)</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25,844</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51,687</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25,844</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Accelerated Equity</w:t>
            </w:r>
            <w:r>
              <w:rPr>
                <w:rFonts w:ascii="Arial" w:cs="Arial" w:eastAsia="Arial" w:hAnsi="Arial"/>
                <w:sz w:val="11"/>
                <w:szCs w:val="11"/>
                <w:color w:val="auto"/>
              </w:rPr>
              <w:t>(3)</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3,675,027</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3,675,027</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3,675,027</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3,675,027</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Other Benefits</w:t>
            </w:r>
            <w:r>
              <w:rPr>
                <w:rFonts w:ascii="Arial" w:cs="Arial" w:eastAsia="Arial" w:hAnsi="Arial"/>
                <w:sz w:val="11"/>
                <w:szCs w:val="11"/>
                <w:color w:val="auto"/>
              </w:rPr>
              <w:t>(4)</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080" w:type="dxa"/>
            <w:vAlign w:val="bottom"/>
            <w:shd w:val="clear" w:color="auto" w:fill="FF160F"/>
          </w:tcPr>
          <w:p>
            <w:pPr>
              <w:spacing w:after="0"/>
              <w:rPr>
                <w:sz w:val="17"/>
                <w:szCs w:val="17"/>
                <w:color w:val="auto"/>
              </w:rPr>
            </w:pPr>
          </w:p>
        </w:tc>
        <w:tc>
          <w:tcPr>
            <w:tcW w:w="18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w w:val="99"/>
              </w:rPr>
              <w:t>$</w:t>
            </w:r>
          </w:p>
        </w:tc>
        <w:tc>
          <w:tcPr>
            <w:tcW w:w="1120" w:type="dxa"/>
            <w:vAlign w:val="bottom"/>
            <w:shd w:val="clear" w:color="auto" w:fill="FF160F"/>
          </w:tcPr>
          <w:p>
            <w:pPr>
              <w:jc w:val="right"/>
              <w:ind w:right="190"/>
              <w:spacing w:after="0" w:line="202" w:lineRule="exact"/>
              <w:rPr>
                <w:sz w:val="20"/>
                <w:szCs w:val="20"/>
                <w:color w:val="auto"/>
              </w:rPr>
            </w:pPr>
            <w:r>
              <w:rPr>
                <w:rFonts w:ascii="Arial" w:cs="Arial" w:eastAsia="Arial" w:hAnsi="Arial"/>
                <w:sz w:val="18"/>
                <w:szCs w:val="18"/>
                <w:b w:val="1"/>
                <w:bCs w:val="1"/>
                <w:color w:val="FFFFFF"/>
              </w:rPr>
              <w:t>-</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5,069,621</w:t>
            </w:r>
          </w:p>
        </w:tc>
        <w:tc>
          <w:tcPr>
            <w:tcW w:w="22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rPr>
              <w:t>$</w:t>
            </w:r>
          </w:p>
        </w:tc>
        <w:tc>
          <w:tcPr>
            <w:tcW w:w="12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6,464,214</w:t>
            </w:r>
          </w:p>
        </w:tc>
        <w:tc>
          <w:tcPr>
            <w:tcW w:w="3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4,393,777</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4,419,621</w:t>
            </w: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Daniel Guglielmone</w:t>
            </w: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Cash Benefits (multiple)</w:t>
            </w:r>
          </w:p>
        </w:tc>
        <w:tc>
          <w:tcPr>
            <w:tcW w:w="18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 month</w:t>
            </w:r>
          </w:p>
        </w:tc>
        <w:tc>
          <w:tcPr>
            <w:tcW w:w="2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2.0x</w:t>
            </w:r>
          </w:p>
        </w:tc>
        <w:tc>
          <w:tcPr>
            <w:tcW w:w="30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47,917</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2,087,500</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549,169</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Medical Benefits</w:t>
            </w:r>
            <w:r>
              <w:rPr>
                <w:rFonts w:ascii="Arial" w:cs="Arial" w:eastAsia="Arial" w:hAnsi="Arial"/>
                <w:sz w:val="11"/>
                <w:szCs w:val="11"/>
                <w:color w:val="auto"/>
              </w:rPr>
              <w:t>(2)</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3,160</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75,837</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37,919</w:t>
            </w:r>
          </w:p>
        </w:tc>
      </w:tr>
      <w:tr>
        <w:trPr>
          <w:trHeight w:val="202"/>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Accelerated Equity</w:t>
            </w:r>
            <w:r>
              <w:rPr>
                <w:rFonts w:ascii="Arial" w:cs="Arial" w:eastAsia="Arial" w:hAnsi="Arial"/>
                <w:sz w:val="11"/>
                <w:szCs w:val="11"/>
                <w:color w:val="auto"/>
              </w:rPr>
              <w:t>(3)</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2,384,039</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2,384,039</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2,384,039</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2,384,039</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Other Benefits</w:t>
            </w:r>
            <w:r>
              <w:rPr>
                <w:rFonts w:ascii="Arial" w:cs="Arial" w:eastAsia="Arial" w:hAnsi="Arial"/>
                <w:sz w:val="11"/>
                <w:szCs w:val="11"/>
                <w:color w:val="auto"/>
              </w:rPr>
              <w:t>(4)</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90,375</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080" w:type="dxa"/>
            <w:vAlign w:val="bottom"/>
            <w:shd w:val="clear" w:color="auto" w:fill="FF160F"/>
          </w:tcPr>
          <w:p>
            <w:pPr>
              <w:spacing w:after="0"/>
              <w:rPr>
                <w:sz w:val="17"/>
                <w:szCs w:val="17"/>
                <w:color w:val="auto"/>
              </w:rPr>
            </w:pPr>
          </w:p>
        </w:tc>
        <w:tc>
          <w:tcPr>
            <w:tcW w:w="18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w w:val="99"/>
              </w:rPr>
              <w:t>$</w:t>
            </w:r>
          </w:p>
        </w:tc>
        <w:tc>
          <w:tcPr>
            <w:tcW w:w="11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51,077</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2,384,039</w:t>
            </w:r>
          </w:p>
        </w:tc>
        <w:tc>
          <w:tcPr>
            <w:tcW w:w="22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rPr>
              <w:t>$</w:t>
            </w:r>
          </w:p>
        </w:tc>
        <w:tc>
          <w:tcPr>
            <w:tcW w:w="12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4,637,751</w:t>
            </w:r>
          </w:p>
        </w:tc>
        <w:tc>
          <w:tcPr>
            <w:tcW w:w="3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2,384,039</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2,971,127</w:t>
            </w: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Dawn M. Becker</w:t>
            </w: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Cash Benefits (multiple)</w:t>
            </w:r>
          </w:p>
        </w:tc>
        <w:tc>
          <w:tcPr>
            <w:tcW w:w="18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 months</w:t>
            </w:r>
          </w:p>
        </w:tc>
        <w:tc>
          <w:tcPr>
            <w:tcW w:w="2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1.0x</w:t>
            </w:r>
          </w:p>
        </w:tc>
        <w:tc>
          <w:tcPr>
            <w:tcW w:w="2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2.0x</w:t>
            </w:r>
          </w:p>
        </w:tc>
        <w:tc>
          <w:tcPr>
            <w:tcW w:w="30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287,500</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1,020,313</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2,040,625</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508,981</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Medical Benefits</w:t>
            </w:r>
            <w:r>
              <w:rPr>
                <w:rFonts w:ascii="Arial" w:cs="Arial" w:eastAsia="Arial" w:hAnsi="Arial"/>
                <w:sz w:val="11"/>
                <w:szCs w:val="11"/>
                <w:color w:val="auto"/>
              </w:rPr>
              <w:t>(2)</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8,159</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12,238</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32,635</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16,318</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Accelerated Equity</w:t>
            </w:r>
            <w:r>
              <w:rPr>
                <w:rFonts w:ascii="Arial" w:cs="Arial" w:eastAsia="Arial" w:hAnsi="Arial"/>
                <w:sz w:val="11"/>
                <w:szCs w:val="11"/>
                <w:color w:val="auto"/>
              </w:rPr>
              <w:t>(3)</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1,260,272</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1,260,272</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1,260,272</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1,260,272</w:t>
            </w:r>
          </w:p>
        </w:tc>
      </w:tr>
      <w:tr>
        <w:trPr>
          <w:trHeight w:val="203"/>
        </w:trPr>
        <w:tc>
          <w:tcPr>
            <w:tcW w:w="1740" w:type="dxa"/>
            <w:vAlign w:val="bottom"/>
          </w:tcPr>
          <w:p>
            <w:pPr>
              <w:spacing w:after="0"/>
              <w:rPr>
                <w:sz w:val="17"/>
                <w:szCs w:val="17"/>
                <w:color w:val="auto"/>
              </w:rPr>
            </w:pPr>
          </w:p>
        </w:tc>
        <w:tc>
          <w:tcPr>
            <w:tcW w:w="2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Other Benefits</w:t>
            </w:r>
            <w:r>
              <w:rPr>
                <w:rFonts w:ascii="Arial" w:cs="Arial" w:eastAsia="Arial" w:hAnsi="Arial"/>
                <w:sz w:val="11"/>
                <w:szCs w:val="11"/>
                <w:color w:val="auto"/>
              </w:rPr>
              <w:t>(4)</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60,250</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90,375</w:t>
            </w:r>
          </w:p>
        </w:tc>
        <w:tc>
          <w:tcPr>
            <w:tcW w:w="3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1740" w:type="dxa"/>
            <w:vAlign w:val="bottom"/>
          </w:tcPr>
          <w:p>
            <w:pPr>
              <w:spacing w:after="0"/>
              <w:rPr>
                <w:sz w:val="17"/>
                <w:szCs w:val="17"/>
                <w:color w:val="auto"/>
              </w:rPr>
            </w:pPr>
          </w:p>
        </w:tc>
        <w:tc>
          <w:tcPr>
            <w:tcW w:w="208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4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080" w:type="dxa"/>
            <w:vAlign w:val="bottom"/>
            <w:shd w:val="clear" w:color="auto" w:fill="FF160F"/>
          </w:tcPr>
          <w:p>
            <w:pPr>
              <w:spacing w:after="0"/>
              <w:rPr>
                <w:sz w:val="17"/>
                <w:szCs w:val="17"/>
                <w:color w:val="auto"/>
              </w:rPr>
            </w:pPr>
          </w:p>
        </w:tc>
        <w:tc>
          <w:tcPr>
            <w:tcW w:w="18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w w:val="99"/>
              </w:rPr>
              <w:t>$</w:t>
            </w:r>
          </w:p>
        </w:tc>
        <w:tc>
          <w:tcPr>
            <w:tcW w:w="11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295,659</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2,353,073</w:t>
            </w:r>
          </w:p>
        </w:tc>
        <w:tc>
          <w:tcPr>
            <w:tcW w:w="220" w:type="dxa"/>
            <w:vAlign w:val="bottom"/>
            <w:shd w:val="clear" w:color="auto" w:fill="FF160F"/>
          </w:tcPr>
          <w:p>
            <w:pPr>
              <w:ind w:left="60"/>
              <w:spacing w:after="0" w:line="202" w:lineRule="exact"/>
              <w:rPr>
                <w:sz w:val="20"/>
                <w:szCs w:val="20"/>
                <w:color w:val="auto"/>
              </w:rPr>
            </w:pPr>
            <w:r>
              <w:rPr>
                <w:rFonts w:ascii="Arial" w:cs="Arial" w:eastAsia="Arial" w:hAnsi="Arial"/>
                <w:sz w:val="18"/>
                <w:szCs w:val="18"/>
                <w:b w:val="1"/>
                <w:bCs w:val="1"/>
                <w:color w:val="FFFFFF"/>
              </w:rPr>
              <w:t>$</w:t>
            </w:r>
          </w:p>
        </w:tc>
        <w:tc>
          <w:tcPr>
            <w:tcW w:w="12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3,423,907</w:t>
            </w:r>
          </w:p>
        </w:tc>
        <w:tc>
          <w:tcPr>
            <w:tcW w:w="3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1,260,272</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1,785,570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jc w:val="both"/>
        <w:ind w:left="540" w:right="20" w:hanging="424"/>
        <w:spacing w:after="0" w:line="238" w:lineRule="auto"/>
        <w:tabs>
          <w:tab w:leader="none" w:pos="540" w:val="left"/>
        </w:tabs>
        <w:numPr>
          <w:ilvl w:val="0"/>
          <w:numId w:val="75"/>
        </w:numPr>
        <w:rPr>
          <w:rFonts w:ascii="Arial" w:cs="Arial" w:eastAsia="Arial" w:hAnsi="Arial"/>
          <w:sz w:val="20"/>
          <w:szCs w:val="20"/>
          <w:color w:val="auto"/>
          <w:vertAlign w:val="superscript"/>
        </w:rPr>
      </w:pPr>
      <w:r>
        <w:rPr>
          <w:rFonts w:ascii="Arial" w:cs="Arial" w:eastAsia="Arial" w:hAnsi="Arial"/>
          <w:sz w:val="16"/>
          <w:szCs w:val="16"/>
          <w:color w:val="auto"/>
        </w:rPr>
        <w:t>Bonus years used in the calculation for termination without cause and change-in-control are 2021, 2020 and 2019, the last three completed fiscal years. The cash payments on termination with cause are 1 month of base pay for every year of service above 5 years, capped at 6 months of base pay. The cash payment on death and disability for Mr. Berkes is a pro-rated bonus for the year in which the event occurs. The cash payments on disability for Mr. Wood, Mr. Guglielmone and Ms. Becker represent 1 year of base salary less amounts received from disability insurance maintained by the Company, grossed up for taxes on non-tax exempt payments.</w:t>
      </w:r>
    </w:p>
    <w:p>
      <w:pPr>
        <w:spacing w:after="0" w:line="3" w:lineRule="exact"/>
        <w:rPr>
          <w:rFonts w:ascii="Arial" w:cs="Arial" w:eastAsia="Arial" w:hAnsi="Arial"/>
          <w:sz w:val="20"/>
          <w:szCs w:val="20"/>
          <w:color w:val="auto"/>
          <w:vertAlign w:val="superscript"/>
        </w:rPr>
      </w:pPr>
    </w:p>
    <w:p>
      <w:pPr>
        <w:jc w:val="both"/>
        <w:ind w:left="540" w:right="20" w:hanging="424"/>
        <w:spacing w:after="0" w:line="231" w:lineRule="auto"/>
        <w:tabs>
          <w:tab w:leader="none" w:pos="540" w:val="left"/>
        </w:tabs>
        <w:numPr>
          <w:ilvl w:val="0"/>
          <w:numId w:val="75"/>
        </w:numPr>
        <w:rPr>
          <w:rFonts w:ascii="Arial" w:cs="Arial" w:eastAsia="Arial" w:hAnsi="Arial"/>
          <w:sz w:val="20"/>
          <w:szCs w:val="20"/>
          <w:color w:val="auto"/>
          <w:vertAlign w:val="superscript"/>
        </w:rPr>
      </w:pPr>
      <w:r>
        <w:rPr>
          <w:rFonts w:ascii="Arial" w:cs="Arial" w:eastAsia="Arial" w:hAnsi="Arial"/>
          <w:sz w:val="16"/>
          <w:szCs w:val="16"/>
          <w:color w:val="auto"/>
        </w:rPr>
        <w:t>Amounts represent our estimate of the COBRA equivalent rates for health care benefits and current life and long-term disability premiums for Mr. Wood, Mr. Guglielmone and Ms. Becker. The period of time for which these benefits are provided varies as follows: (a) termination without cause – 9 months for Mr. Wood and Ms. Becker; 1 year for Mr. Berkes;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190500</wp:posOffset>
            </wp:positionV>
            <wp:extent cx="7012305"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98"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35</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both"/>
        <w:ind w:left="540" w:right="20"/>
        <w:spacing w:after="0" w:line="251" w:lineRule="auto"/>
        <w:rPr>
          <w:sz w:val="20"/>
          <w:szCs w:val="20"/>
          <w:color w:val="auto"/>
        </w:rPr>
      </w:pPr>
      <w:r>
        <w:rPr>
          <w:rFonts w:ascii="Arial" w:cs="Arial" w:eastAsia="Arial" w:hAnsi="Arial"/>
          <w:sz w:val="16"/>
          <w:szCs w:val="16"/>
          <w:color w:val="auto"/>
        </w:rPr>
        <w:t>(b) change-in-control – 3 years for Mr. Wood and 2 years for each other NEO; (c) termination for cause – 6 months; and (d) disability – 1 year. The amounts paid to Mr. Berkes are reduced by the amounts he pays for these benefits at the time of the event. All amounts shown in this column for Mr. Wood also include the estimated costs (calculated in accordance with GAAP) of satisfying the obligations under his Health Continuation Coverage Agreement.</w:t>
      </w:r>
    </w:p>
    <w:p>
      <w:pPr>
        <w:spacing w:after="0" w:line="2" w:lineRule="exact"/>
        <w:rPr>
          <w:sz w:val="20"/>
          <w:szCs w:val="20"/>
          <w:color w:val="auto"/>
        </w:rPr>
      </w:pPr>
    </w:p>
    <w:p>
      <w:pPr>
        <w:jc w:val="both"/>
        <w:ind w:left="540" w:hanging="424"/>
        <w:spacing w:after="0" w:line="232" w:lineRule="auto"/>
        <w:tabs>
          <w:tab w:leader="none" w:pos="540" w:val="left"/>
        </w:tabs>
        <w:numPr>
          <w:ilvl w:val="0"/>
          <w:numId w:val="76"/>
        </w:numPr>
        <w:rPr>
          <w:rFonts w:ascii="Arial" w:cs="Arial" w:eastAsia="Arial" w:hAnsi="Arial"/>
          <w:sz w:val="20"/>
          <w:szCs w:val="20"/>
          <w:color w:val="auto"/>
          <w:vertAlign w:val="superscript"/>
        </w:rPr>
      </w:pPr>
      <w:r>
        <w:rPr>
          <w:rFonts w:ascii="Arial" w:cs="Arial" w:eastAsia="Arial" w:hAnsi="Arial"/>
          <w:sz w:val="16"/>
          <w:szCs w:val="16"/>
          <w:color w:val="auto"/>
        </w:rPr>
        <w:t>Values were calculated by multiplying the number of unvested shares that vest under each termination event using the closing price of the Company’s shares on December 31, 2022. For the performance-based restricted share units issued to Mr. Berkes, the amount includes the value of the number of units, if any, that would have been earned based on performance through the date of termination, prorated for the portion of the performance period that had lapsed, plus dividend equivalent rights on those units.</w:t>
      </w:r>
    </w:p>
    <w:p>
      <w:pPr>
        <w:jc w:val="both"/>
        <w:ind w:left="540" w:hanging="424"/>
        <w:spacing w:after="0" w:line="232" w:lineRule="auto"/>
        <w:tabs>
          <w:tab w:leader="none" w:pos="540" w:val="left"/>
        </w:tabs>
        <w:numPr>
          <w:ilvl w:val="0"/>
          <w:numId w:val="76"/>
        </w:numPr>
        <w:rPr>
          <w:rFonts w:ascii="Arial" w:cs="Arial" w:eastAsia="Arial" w:hAnsi="Arial"/>
          <w:sz w:val="20"/>
          <w:szCs w:val="20"/>
          <w:color w:val="auto"/>
          <w:vertAlign w:val="superscript"/>
        </w:rPr>
      </w:pPr>
      <w:r>
        <w:rPr>
          <w:rFonts w:ascii="Arial" w:cs="Arial" w:eastAsia="Arial" w:hAnsi="Arial"/>
          <w:sz w:val="16"/>
          <w:szCs w:val="16"/>
          <w:color w:val="auto"/>
        </w:rPr>
        <w:t>Amounts are estimated costs for an administrative assistant and outplacement assistance for a period of 6 months in the event of a termination without cause and for a period of 12 months for Mr. Wood and 9 months for Mr. Guglielmone and Ms. Becker in the event of a change-in-control. The amount also includes the cost of providing a company vehicle to Mr. Wood for three years in the event of a change-in-control should he choose to use that benefit.</w:t>
      </w:r>
    </w:p>
    <w:p>
      <w:pPr>
        <w:jc w:val="both"/>
        <w:ind w:left="540" w:right="20" w:hanging="424"/>
        <w:spacing w:after="0" w:line="238" w:lineRule="auto"/>
        <w:tabs>
          <w:tab w:leader="none" w:pos="540" w:val="left"/>
        </w:tabs>
        <w:numPr>
          <w:ilvl w:val="0"/>
          <w:numId w:val="76"/>
        </w:numPr>
        <w:rPr>
          <w:rFonts w:ascii="Arial" w:cs="Arial" w:eastAsia="Arial" w:hAnsi="Arial"/>
          <w:sz w:val="20"/>
          <w:szCs w:val="20"/>
          <w:color w:val="auto"/>
          <w:vertAlign w:val="superscript"/>
        </w:rPr>
      </w:pPr>
      <w:r>
        <w:rPr>
          <w:rFonts w:ascii="Arial" w:cs="Arial" w:eastAsia="Arial" w:hAnsi="Arial"/>
          <w:sz w:val="16"/>
          <w:szCs w:val="16"/>
          <w:color w:val="auto"/>
        </w:rPr>
        <w:t>Change-in-control is deemed to have occurred when a person acquires a 20% interest in us, or our current Trustees, or those subsequently approved by our current Trustees, constitute less than 50% of our Board. Upon a change-in-control, each NEO is entitled to receive payments and benefits in the following circumstance: (a) the NEO is terminated from employment by the Company (other than for cause) or leaves for good reason within 2 years after the change-in-control; (b) Mr. Wood or Ms. Becker voluntarily leaves employment within the 30-day window following the 1-year anniversary of the change-in-control; or (c) Mr. Berkes is terminated from employment by the Company (other than for cause) or he leaves the Company as a result of a constructive termination within the 6-month period prior to or within 2 years after the change-in-control.</w:t>
      </w:r>
    </w:p>
    <w:p>
      <w:pPr>
        <w:spacing w:after="0" w:line="189" w:lineRule="exact"/>
        <w:rPr>
          <w:sz w:val="20"/>
          <w:szCs w:val="20"/>
          <w:color w:val="auto"/>
        </w:rPr>
      </w:pPr>
    </w:p>
    <w:p>
      <w:pPr>
        <w:ind w:left="460" w:hanging="344"/>
        <w:spacing w:after="0"/>
        <w:tabs>
          <w:tab w:leader="none" w:pos="460" w:val="left"/>
        </w:tabs>
        <w:numPr>
          <w:ilvl w:val="0"/>
          <w:numId w:val="77"/>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CEO PAY RATIO</w:t>
      </w:r>
    </w:p>
    <w:p>
      <w:pPr>
        <w:spacing w:after="0" w:line="22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Our compensation and benefit programs are substantially similar throughout the Company and are designed to reward all employees who contribute to our success with a total compensation package that is competitive in the marketplace for each employee’s position and performance. We are required to calculate and disclose the compensation of our median paid employee as well as the ratio of the total annual compensation paid to our CEO to the annual compensation of our median paid employee. The determination of our median paid employee was used taking our total employee population as of December 31, 2022, excluding our CEO, which included 318 full-time and part-time employees ranging from executive vice presidents to maintenance technicians. For the determination, we used annual base pay plus annual bonus at target levels plus overtime actually paid, the combination of which we believe most closely approximates the total annual direct compensation of our employees. For purposes of the calculation, base pay was annualized for the 64 employees who started with us in 2022. No other adjustments were made.</w:t>
      </w:r>
    </w:p>
    <w:p>
      <w:pPr>
        <w:spacing w:after="0" w:line="18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actual total annual compensation of our Chief Executive Officer and median paid employee for 2022 was calculated in accordance with the requirements of the Summary Compensation Table included in this proxy statement. Based on this methodology, we have determined that the total annual compensation paid to our Chief Executive Officer in 2022 was $8,916,031 and the total annual compensation paid to our median paid employee in 2022 was $132,186 resulting in a ratio of 67:1.</w:t>
      </w:r>
    </w:p>
    <w:p>
      <w:pPr>
        <w:spacing w:after="0" w:line="174"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We calculated our pay ratio in accordance with SEC rules; however, those rules allow companies discretion in methodologies used to identify the median paid employee and the compensation used to determine the median paid employee. As a result, this ratio is unique to our Company. Other companies may make their determinations differently so that the ratio may not be comparable across companies. We believe our ratio is a reasonable estimate. Our ratio is very heavily influenced by what employees/services we choose to provide through employees as opposed to through third parties who are not taken into account in the calculation of the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184150</wp:posOffset>
            </wp:positionV>
            <wp:extent cx="7012305"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87"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36</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60" w:hanging="344"/>
        <w:spacing w:after="0"/>
        <w:tabs>
          <w:tab w:leader="none" w:pos="460" w:val="left"/>
        </w:tabs>
        <w:numPr>
          <w:ilvl w:val="0"/>
          <w:numId w:val="78"/>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PAY VERSUS PERFORMANCE DISCLOSURE</w:t>
      </w:r>
    </w:p>
    <w:p>
      <w:pPr>
        <w:spacing w:after="0" w:line="200" w:lineRule="exact"/>
        <w:rPr>
          <w:sz w:val="20"/>
          <w:szCs w:val="20"/>
          <w:color w:val="auto"/>
        </w:rPr>
      </w:pP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6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94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100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1080" w:type="dxa"/>
            <w:vAlign w:val="bottom"/>
            <w:shd w:val="clear" w:color="auto" w:fill="FF160F"/>
          </w:tcPr>
          <w:p>
            <w:pPr>
              <w:spacing w:after="0"/>
              <w:rPr>
                <w:sz w:val="14"/>
                <w:szCs w:val="14"/>
                <w:color w:val="auto"/>
              </w:rPr>
            </w:pPr>
          </w:p>
        </w:tc>
        <w:tc>
          <w:tcPr>
            <w:tcW w:w="2140" w:type="dxa"/>
            <w:vAlign w:val="bottom"/>
            <w:gridSpan w:val="4"/>
            <w:shd w:val="clear" w:color="auto" w:fill="FF160F"/>
          </w:tcPr>
          <w:p>
            <w:pPr>
              <w:ind w:left="200"/>
              <w:spacing w:after="0"/>
              <w:rPr>
                <w:sz w:val="20"/>
                <w:szCs w:val="20"/>
                <w:color w:val="auto"/>
              </w:rPr>
            </w:pPr>
            <w:r>
              <w:rPr>
                <w:rFonts w:ascii="Arial" w:cs="Arial" w:eastAsia="Arial" w:hAnsi="Arial"/>
                <w:sz w:val="14"/>
                <w:szCs w:val="14"/>
                <w:b w:val="1"/>
                <w:bCs w:val="1"/>
                <w:color w:val="FFFFFF"/>
              </w:rPr>
              <w:t>Value of Initial Fixed $100</w:t>
            </w:r>
          </w:p>
        </w:tc>
        <w:tc>
          <w:tcPr>
            <w:tcW w:w="90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46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94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100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180" w:type="dxa"/>
            <w:vAlign w:val="bottom"/>
            <w:vMerge w:val="restart"/>
            <w:shd w:val="clear" w:color="auto" w:fill="FF160F"/>
          </w:tcPr>
          <w:p>
            <w:pPr>
              <w:jc w:val="center"/>
              <w:ind w:right="104"/>
              <w:spacing w:after="0"/>
              <w:rPr>
                <w:sz w:val="20"/>
                <w:szCs w:val="20"/>
                <w:color w:val="auto"/>
              </w:rPr>
            </w:pPr>
            <w:r>
              <w:rPr>
                <w:rFonts w:ascii="Arial" w:cs="Arial" w:eastAsia="Arial" w:hAnsi="Arial"/>
                <w:sz w:val="14"/>
                <w:szCs w:val="14"/>
                <w:b w:val="1"/>
                <w:bCs w:val="1"/>
                <w:color w:val="FFFFFF"/>
              </w:rPr>
              <w:t>Average</w:t>
            </w:r>
          </w:p>
        </w:tc>
        <w:tc>
          <w:tcPr>
            <w:tcW w:w="300" w:type="dxa"/>
            <w:vAlign w:val="bottom"/>
            <w:shd w:val="clear" w:color="auto" w:fill="FF160F"/>
          </w:tcPr>
          <w:p>
            <w:pPr>
              <w:spacing w:after="0"/>
              <w:rPr>
                <w:sz w:val="14"/>
                <w:szCs w:val="14"/>
                <w:color w:val="auto"/>
              </w:rPr>
            </w:pPr>
          </w:p>
        </w:tc>
        <w:tc>
          <w:tcPr>
            <w:tcW w:w="1080" w:type="dxa"/>
            <w:vAlign w:val="bottom"/>
            <w:shd w:val="clear" w:color="auto" w:fill="FF160F"/>
          </w:tcPr>
          <w:p>
            <w:pPr>
              <w:spacing w:after="0"/>
              <w:rPr>
                <w:sz w:val="14"/>
                <w:szCs w:val="14"/>
                <w:color w:val="auto"/>
              </w:rPr>
            </w:pPr>
          </w:p>
        </w:tc>
        <w:tc>
          <w:tcPr>
            <w:tcW w:w="240" w:type="dxa"/>
            <w:vAlign w:val="bottom"/>
            <w:shd w:val="clear" w:color="auto" w:fill="FF160F"/>
          </w:tcPr>
          <w:p>
            <w:pPr>
              <w:spacing w:after="0"/>
              <w:rPr>
                <w:sz w:val="14"/>
                <w:szCs w:val="14"/>
                <w:color w:val="auto"/>
              </w:rPr>
            </w:pPr>
          </w:p>
        </w:tc>
        <w:tc>
          <w:tcPr>
            <w:tcW w:w="1900" w:type="dxa"/>
            <w:vAlign w:val="bottom"/>
            <w:gridSpan w:val="3"/>
            <w:shd w:val="clear" w:color="auto" w:fill="FF160F"/>
          </w:tcPr>
          <w:p>
            <w:pPr>
              <w:ind w:left="60"/>
              <w:spacing w:after="0"/>
              <w:rPr>
                <w:sz w:val="20"/>
                <w:szCs w:val="20"/>
                <w:color w:val="auto"/>
              </w:rPr>
            </w:pPr>
            <w:r>
              <w:rPr>
                <w:rFonts w:ascii="Arial" w:cs="Arial" w:eastAsia="Arial" w:hAnsi="Arial"/>
                <w:sz w:val="14"/>
                <w:szCs w:val="14"/>
                <w:b w:val="1"/>
                <w:bCs w:val="1"/>
                <w:color w:val="FFFFFF"/>
              </w:rPr>
              <w:t>Investment Based On:</w:t>
            </w:r>
          </w:p>
        </w:tc>
        <w:tc>
          <w:tcPr>
            <w:tcW w:w="90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46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96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940" w:type="dxa"/>
            <w:vAlign w:val="bottom"/>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1000" w:type="dxa"/>
            <w:vAlign w:val="bottom"/>
            <w:shd w:val="clear" w:color="auto" w:fill="FF160F"/>
          </w:tcPr>
          <w:p>
            <w:pPr>
              <w:spacing w:after="0"/>
              <w:rPr>
                <w:sz w:val="13"/>
                <w:szCs w:val="13"/>
                <w:color w:val="auto"/>
              </w:rPr>
            </w:pPr>
          </w:p>
        </w:tc>
        <w:tc>
          <w:tcPr>
            <w:tcW w:w="200" w:type="dxa"/>
            <w:vAlign w:val="bottom"/>
            <w:shd w:val="clear" w:color="auto" w:fill="FF160F"/>
          </w:tcPr>
          <w:p>
            <w:pPr>
              <w:spacing w:after="0"/>
              <w:rPr>
                <w:sz w:val="13"/>
                <w:szCs w:val="13"/>
                <w:color w:val="auto"/>
              </w:rPr>
            </w:pPr>
          </w:p>
        </w:tc>
        <w:tc>
          <w:tcPr>
            <w:tcW w:w="1180" w:type="dxa"/>
            <w:vAlign w:val="bottom"/>
            <w:vMerge w:val="continue"/>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1080" w:type="dxa"/>
            <w:vAlign w:val="bottom"/>
            <w:shd w:val="clear" w:color="auto" w:fill="FF160F"/>
          </w:tcPr>
          <w:p>
            <w:pPr>
              <w:spacing w:after="0"/>
              <w:rPr>
                <w:sz w:val="13"/>
                <w:szCs w:val="13"/>
                <w:color w:val="auto"/>
              </w:rPr>
            </w:pPr>
          </w:p>
        </w:tc>
        <w:tc>
          <w:tcPr>
            <w:tcW w:w="240" w:type="dxa"/>
            <w:vAlign w:val="bottom"/>
            <w:shd w:val="clear" w:color="auto" w:fill="FF160F"/>
          </w:tcPr>
          <w:p>
            <w:pPr>
              <w:spacing w:after="0"/>
              <w:rPr>
                <w:sz w:val="13"/>
                <w:szCs w:val="13"/>
                <w:color w:val="auto"/>
              </w:rPr>
            </w:pPr>
          </w:p>
        </w:tc>
        <w:tc>
          <w:tcPr>
            <w:tcW w:w="820" w:type="dxa"/>
            <w:vAlign w:val="bottom"/>
            <w:shd w:val="clear" w:color="auto" w:fill="FF160F"/>
          </w:tcPr>
          <w:p>
            <w:pPr>
              <w:spacing w:after="0"/>
              <w:rPr>
                <w:sz w:val="13"/>
                <w:szCs w:val="13"/>
                <w:color w:val="auto"/>
              </w:rPr>
            </w:pPr>
          </w:p>
        </w:tc>
        <w:tc>
          <w:tcPr>
            <w:tcW w:w="220" w:type="dxa"/>
            <w:vAlign w:val="bottom"/>
            <w:shd w:val="clear" w:color="auto" w:fill="FF160F"/>
          </w:tcPr>
          <w:p>
            <w:pPr>
              <w:spacing w:after="0"/>
              <w:rPr>
                <w:sz w:val="13"/>
                <w:szCs w:val="13"/>
                <w:color w:val="auto"/>
              </w:rPr>
            </w:pPr>
          </w:p>
        </w:tc>
        <w:tc>
          <w:tcPr>
            <w:tcW w:w="860" w:type="dxa"/>
            <w:vAlign w:val="bottom"/>
            <w:shd w:val="clear" w:color="auto" w:fill="FF160F"/>
          </w:tcPr>
          <w:p>
            <w:pPr>
              <w:spacing w:after="0"/>
              <w:rPr>
                <w:sz w:val="13"/>
                <w:szCs w:val="13"/>
                <w:color w:val="auto"/>
              </w:rPr>
            </w:pPr>
          </w:p>
        </w:tc>
        <w:tc>
          <w:tcPr>
            <w:tcW w:w="900" w:type="dxa"/>
            <w:vAlign w:val="bottom"/>
            <w:shd w:val="clear" w:color="auto" w:fill="FF160F"/>
          </w:tcPr>
          <w:p>
            <w:pPr>
              <w:spacing w:after="0"/>
              <w:rPr>
                <w:sz w:val="13"/>
                <w:szCs w:val="13"/>
                <w:color w:val="auto"/>
              </w:rPr>
            </w:pPr>
          </w:p>
        </w:tc>
        <w:tc>
          <w:tcPr>
            <w:tcW w:w="260" w:type="dxa"/>
            <w:vAlign w:val="bottom"/>
            <w:shd w:val="clear" w:color="auto" w:fill="FF160F"/>
          </w:tcPr>
          <w:p>
            <w:pPr>
              <w:spacing w:after="0"/>
              <w:rPr>
                <w:sz w:val="13"/>
                <w:szCs w:val="13"/>
                <w:color w:val="auto"/>
              </w:rPr>
            </w:pPr>
          </w:p>
        </w:tc>
        <w:tc>
          <w:tcPr>
            <w:tcW w:w="460" w:type="dxa"/>
            <w:vAlign w:val="bottom"/>
            <w:shd w:val="clear" w:color="auto" w:fill="FF160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940" w:type="dxa"/>
            <w:vAlign w:val="bottom"/>
            <w:shd w:val="clear" w:color="auto" w:fill="FF160F"/>
          </w:tcPr>
          <w:p>
            <w:pPr>
              <w:jc w:val="center"/>
              <w:ind w:right="163"/>
              <w:spacing w:after="0"/>
              <w:rPr>
                <w:sz w:val="20"/>
                <w:szCs w:val="20"/>
                <w:color w:val="auto"/>
              </w:rPr>
            </w:pPr>
            <w:r>
              <w:rPr>
                <w:rFonts w:ascii="Arial" w:cs="Arial" w:eastAsia="Arial" w:hAnsi="Arial"/>
                <w:sz w:val="14"/>
                <w:szCs w:val="14"/>
                <w:b w:val="1"/>
                <w:bCs w:val="1"/>
                <w:color w:val="FFFFFF"/>
              </w:rPr>
              <w:t>Summary</w:t>
            </w:r>
          </w:p>
        </w:tc>
        <w:tc>
          <w:tcPr>
            <w:tcW w:w="300" w:type="dxa"/>
            <w:vAlign w:val="bottom"/>
            <w:shd w:val="clear" w:color="auto" w:fill="FF160F"/>
          </w:tcPr>
          <w:p>
            <w:pPr>
              <w:spacing w:after="0"/>
              <w:rPr>
                <w:sz w:val="14"/>
                <w:szCs w:val="14"/>
                <w:color w:val="auto"/>
              </w:rPr>
            </w:pPr>
          </w:p>
        </w:tc>
        <w:tc>
          <w:tcPr>
            <w:tcW w:w="100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jc w:val="center"/>
              <w:ind w:right="124"/>
              <w:spacing w:after="0"/>
              <w:rPr>
                <w:sz w:val="20"/>
                <w:szCs w:val="20"/>
                <w:color w:val="auto"/>
              </w:rPr>
            </w:pPr>
            <w:r>
              <w:rPr>
                <w:rFonts w:ascii="Arial" w:cs="Arial" w:eastAsia="Arial" w:hAnsi="Arial"/>
                <w:sz w:val="14"/>
                <w:szCs w:val="14"/>
                <w:b w:val="1"/>
                <w:bCs w:val="1"/>
                <w:color w:val="FFFFFF"/>
              </w:rPr>
              <w:t>Summary</w:t>
            </w:r>
          </w:p>
        </w:tc>
        <w:tc>
          <w:tcPr>
            <w:tcW w:w="300" w:type="dxa"/>
            <w:vAlign w:val="bottom"/>
            <w:shd w:val="clear" w:color="auto" w:fill="FF160F"/>
          </w:tcPr>
          <w:p>
            <w:pPr>
              <w:spacing w:after="0"/>
              <w:rPr>
                <w:sz w:val="14"/>
                <w:szCs w:val="14"/>
                <w:color w:val="auto"/>
              </w:rPr>
            </w:pPr>
          </w:p>
        </w:tc>
        <w:tc>
          <w:tcPr>
            <w:tcW w:w="1080" w:type="dxa"/>
            <w:vAlign w:val="bottom"/>
            <w:shd w:val="clear" w:color="auto" w:fill="FF160F"/>
          </w:tcPr>
          <w:p>
            <w:pPr>
              <w:jc w:val="center"/>
              <w:ind w:right="221"/>
              <w:spacing w:after="0"/>
              <w:rPr>
                <w:sz w:val="20"/>
                <w:szCs w:val="20"/>
                <w:color w:val="auto"/>
              </w:rPr>
            </w:pPr>
            <w:r>
              <w:rPr>
                <w:rFonts w:ascii="Arial" w:cs="Arial" w:eastAsia="Arial" w:hAnsi="Arial"/>
                <w:sz w:val="14"/>
                <w:szCs w:val="14"/>
                <w:b w:val="1"/>
                <w:bCs w:val="1"/>
                <w:color w:val="FFFFFF"/>
              </w:rPr>
              <w:t>Average</w:t>
            </w:r>
          </w:p>
        </w:tc>
        <w:tc>
          <w:tcPr>
            <w:tcW w:w="240" w:type="dxa"/>
            <w:vAlign w:val="bottom"/>
            <w:shd w:val="clear" w:color="auto" w:fill="FF160F"/>
          </w:tcPr>
          <w:p>
            <w:pPr>
              <w:spacing w:after="0"/>
              <w:rPr>
                <w:sz w:val="14"/>
                <w:szCs w:val="14"/>
                <w:color w:val="auto"/>
              </w:rPr>
            </w:pPr>
          </w:p>
        </w:tc>
        <w:tc>
          <w:tcPr>
            <w:tcW w:w="820" w:type="dxa"/>
            <w:vAlign w:val="bottom"/>
            <w:shd w:val="clear" w:color="auto" w:fill="FF160F"/>
          </w:tcPr>
          <w:p>
            <w:pPr>
              <w:spacing w:after="0"/>
              <w:rPr>
                <w:sz w:val="14"/>
                <w:szCs w:val="14"/>
                <w:color w:val="auto"/>
              </w:rPr>
            </w:pPr>
          </w:p>
        </w:tc>
        <w:tc>
          <w:tcPr>
            <w:tcW w:w="108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Peer Group</w:t>
            </w:r>
          </w:p>
        </w:tc>
        <w:tc>
          <w:tcPr>
            <w:tcW w:w="90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46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FF160F"/>
          </w:tcPr>
          <w:p>
            <w:pPr>
              <w:spacing w:after="0"/>
              <w:rPr>
                <w:sz w:val="14"/>
                <w:szCs w:val="14"/>
                <w:color w:val="auto"/>
              </w:rPr>
            </w:pPr>
          </w:p>
        </w:tc>
        <w:tc>
          <w:tcPr>
            <w:tcW w:w="1240" w:type="dxa"/>
            <w:vAlign w:val="bottom"/>
            <w:gridSpan w:val="2"/>
            <w:shd w:val="clear" w:color="auto" w:fill="FF160F"/>
          </w:tcPr>
          <w:p>
            <w:pPr>
              <w:jc w:val="center"/>
              <w:ind w:left="3"/>
              <w:spacing w:after="0"/>
              <w:rPr>
                <w:sz w:val="20"/>
                <w:szCs w:val="20"/>
                <w:color w:val="auto"/>
              </w:rPr>
            </w:pPr>
            <w:r>
              <w:rPr>
                <w:rFonts w:ascii="Arial" w:cs="Arial" w:eastAsia="Arial" w:hAnsi="Arial"/>
                <w:sz w:val="14"/>
                <w:szCs w:val="14"/>
                <w:b w:val="1"/>
                <w:bCs w:val="1"/>
                <w:color w:val="FFFFFF"/>
              </w:rPr>
              <w:t>Compenstion</w:t>
            </w:r>
          </w:p>
        </w:tc>
        <w:tc>
          <w:tcPr>
            <w:tcW w:w="1300" w:type="dxa"/>
            <w:vAlign w:val="bottom"/>
            <w:gridSpan w:val="2"/>
            <w:shd w:val="clear" w:color="auto" w:fill="FF160F"/>
          </w:tcPr>
          <w:p>
            <w:pPr>
              <w:ind w:left="160"/>
              <w:spacing w:after="0"/>
              <w:rPr>
                <w:sz w:val="20"/>
                <w:szCs w:val="20"/>
                <w:color w:val="auto"/>
              </w:rPr>
            </w:pPr>
            <w:r>
              <w:rPr>
                <w:rFonts w:ascii="Arial" w:cs="Arial" w:eastAsia="Arial" w:hAnsi="Arial"/>
                <w:sz w:val="14"/>
                <w:szCs w:val="14"/>
                <w:b w:val="1"/>
                <w:bCs w:val="1"/>
                <w:color w:val="FFFFFF"/>
              </w:rPr>
              <w:t>Compensation</w:t>
            </w: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jc w:val="center"/>
              <w:ind w:right="104"/>
              <w:spacing w:after="0"/>
              <w:rPr>
                <w:sz w:val="20"/>
                <w:szCs w:val="20"/>
                <w:color w:val="auto"/>
              </w:rPr>
            </w:pPr>
            <w:r>
              <w:rPr>
                <w:rFonts w:ascii="Arial" w:cs="Arial" w:eastAsia="Arial" w:hAnsi="Arial"/>
                <w:sz w:val="14"/>
                <w:szCs w:val="14"/>
                <w:b w:val="1"/>
                <w:bCs w:val="1"/>
                <w:color w:val="FFFFFF"/>
              </w:rPr>
              <w:t>Compenstion</w:t>
            </w:r>
          </w:p>
        </w:tc>
        <w:tc>
          <w:tcPr>
            <w:tcW w:w="138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Compensation</w:t>
            </w:r>
          </w:p>
        </w:tc>
        <w:tc>
          <w:tcPr>
            <w:tcW w:w="240" w:type="dxa"/>
            <w:vAlign w:val="bottom"/>
            <w:shd w:val="clear" w:color="auto" w:fill="FF160F"/>
          </w:tcPr>
          <w:p>
            <w:pPr>
              <w:spacing w:after="0"/>
              <w:rPr>
                <w:sz w:val="14"/>
                <w:szCs w:val="14"/>
                <w:color w:val="auto"/>
              </w:rPr>
            </w:pPr>
          </w:p>
        </w:tc>
        <w:tc>
          <w:tcPr>
            <w:tcW w:w="820" w:type="dxa"/>
            <w:vAlign w:val="bottom"/>
            <w:shd w:val="clear" w:color="auto" w:fill="FF160F"/>
          </w:tcPr>
          <w:p>
            <w:pPr>
              <w:jc w:val="right"/>
              <w:ind w:right="284"/>
              <w:spacing w:after="0"/>
              <w:rPr>
                <w:sz w:val="20"/>
                <w:szCs w:val="20"/>
                <w:color w:val="auto"/>
              </w:rPr>
            </w:pPr>
            <w:r>
              <w:rPr>
                <w:rFonts w:ascii="Arial" w:cs="Arial" w:eastAsia="Arial" w:hAnsi="Arial"/>
                <w:sz w:val="14"/>
                <w:szCs w:val="14"/>
                <w:b w:val="1"/>
                <w:bCs w:val="1"/>
                <w:color w:val="FFFFFF"/>
              </w:rPr>
              <w:t>Total</w:t>
            </w:r>
          </w:p>
        </w:tc>
        <w:tc>
          <w:tcPr>
            <w:tcW w:w="220" w:type="dxa"/>
            <w:vAlign w:val="bottom"/>
            <w:shd w:val="clear" w:color="auto" w:fill="FF160F"/>
          </w:tcPr>
          <w:p>
            <w:pPr>
              <w:spacing w:after="0"/>
              <w:rPr>
                <w:sz w:val="14"/>
                <w:szCs w:val="14"/>
                <w:color w:val="auto"/>
              </w:rPr>
            </w:pPr>
          </w:p>
        </w:tc>
        <w:tc>
          <w:tcPr>
            <w:tcW w:w="860" w:type="dxa"/>
            <w:vAlign w:val="bottom"/>
            <w:shd w:val="clear" w:color="auto" w:fill="FF160F"/>
          </w:tcPr>
          <w:p>
            <w:pPr>
              <w:jc w:val="center"/>
              <w:ind w:right="143"/>
              <w:spacing w:after="0"/>
              <w:rPr>
                <w:sz w:val="20"/>
                <w:szCs w:val="20"/>
                <w:color w:val="auto"/>
              </w:rPr>
            </w:pPr>
            <w:r>
              <w:rPr>
                <w:rFonts w:ascii="Arial" w:cs="Arial" w:eastAsia="Arial" w:hAnsi="Arial"/>
                <w:sz w:val="14"/>
                <w:szCs w:val="14"/>
                <w:b w:val="1"/>
                <w:bCs w:val="1"/>
                <w:color w:val="FFFFFF"/>
                <w:w w:val="95"/>
              </w:rPr>
              <w:t>Total</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Net</w:t>
            </w:r>
          </w:p>
        </w:tc>
        <w:tc>
          <w:tcPr>
            <w:tcW w:w="720" w:type="dxa"/>
            <w:vAlign w:val="bottom"/>
            <w:gridSpan w:val="2"/>
            <w:shd w:val="clear" w:color="auto" w:fill="FF160F"/>
          </w:tcPr>
          <w:p>
            <w:pPr>
              <w:ind w:left="100"/>
              <w:spacing w:after="0"/>
              <w:rPr>
                <w:sz w:val="20"/>
                <w:szCs w:val="20"/>
                <w:color w:val="auto"/>
              </w:rPr>
            </w:pPr>
            <w:r>
              <w:rPr>
                <w:rFonts w:ascii="Arial" w:cs="Arial" w:eastAsia="Arial" w:hAnsi="Arial"/>
                <w:sz w:val="14"/>
                <w:szCs w:val="14"/>
                <w:b w:val="1"/>
                <w:bCs w:val="1"/>
                <w:color w:val="FFFFFF"/>
              </w:rPr>
              <w:t>FFO per</w:t>
            </w:r>
          </w:p>
        </w:tc>
        <w:tc>
          <w:tcPr>
            <w:tcW w:w="0" w:type="dxa"/>
            <w:vAlign w:val="bottom"/>
          </w:tcPr>
          <w:p>
            <w:pPr>
              <w:spacing w:after="0"/>
              <w:rPr>
                <w:sz w:val="1"/>
                <w:szCs w:val="1"/>
                <w:color w:val="auto"/>
              </w:rPr>
            </w:pPr>
          </w:p>
        </w:tc>
      </w:tr>
      <w:tr>
        <w:trPr>
          <w:trHeight w:val="162"/>
        </w:trPr>
        <w:tc>
          <w:tcPr>
            <w:tcW w:w="1960" w:type="dxa"/>
            <w:vAlign w:val="bottom"/>
            <w:shd w:val="clear" w:color="auto" w:fill="FF160F"/>
          </w:tcPr>
          <w:p>
            <w:pPr>
              <w:spacing w:after="0"/>
              <w:rPr>
                <w:sz w:val="14"/>
                <w:szCs w:val="14"/>
                <w:color w:val="auto"/>
              </w:rPr>
            </w:pPr>
          </w:p>
        </w:tc>
        <w:tc>
          <w:tcPr>
            <w:tcW w:w="1240" w:type="dxa"/>
            <w:vAlign w:val="bottom"/>
            <w:gridSpan w:val="2"/>
            <w:shd w:val="clear" w:color="auto" w:fill="FF160F"/>
          </w:tcPr>
          <w:p>
            <w:pPr>
              <w:ind w:left="180"/>
              <w:spacing w:after="0"/>
              <w:rPr>
                <w:sz w:val="20"/>
                <w:szCs w:val="20"/>
                <w:color w:val="auto"/>
              </w:rPr>
            </w:pPr>
            <w:r>
              <w:rPr>
                <w:rFonts w:ascii="Arial" w:cs="Arial" w:eastAsia="Arial" w:hAnsi="Arial"/>
                <w:sz w:val="14"/>
                <w:szCs w:val="14"/>
                <w:b w:val="1"/>
                <w:bCs w:val="1"/>
                <w:color w:val="FFFFFF"/>
              </w:rPr>
              <w:t>Table Total for</w:t>
            </w:r>
          </w:p>
        </w:tc>
        <w:tc>
          <w:tcPr>
            <w:tcW w:w="1300" w:type="dxa"/>
            <w:vAlign w:val="bottom"/>
            <w:gridSpan w:val="2"/>
            <w:shd w:val="clear" w:color="auto" w:fill="FF160F"/>
          </w:tcPr>
          <w:p>
            <w:pPr>
              <w:ind w:left="120"/>
              <w:spacing w:after="0"/>
              <w:rPr>
                <w:sz w:val="20"/>
                <w:szCs w:val="20"/>
                <w:color w:val="auto"/>
              </w:rPr>
            </w:pPr>
            <w:r>
              <w:rPr>
                <w:rFonts w:ascii="Arial" w:cs="Arial" w:eastAsia="Arial" w:hAnsi="Arial"/>
                <w:sz w:val="14"/>
                <w:szCs w:val="14"/>
                <w:b w:val="1"/>
                <w:bCs w:val="1"/>
                <w:color w:val="FFFFFF"/>
              </w:rPr>
              <w:t>Actually Paid to</w:t>
            </w: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jc w:val="center"/>
              <w:ind w:right="124"/>
              <w:spacing w:after="0"/>
              <w:rPr>
                <w:sz w:val="20"/>
                <w:szCs w:val="20"/>
                <w:color w:val="auto"/>
              </w:rPr>
            </w:pPr>
            <w:r>
              <w:rPr>
                <w:rFonts w:ascii="Arial" w:cs="Arial" w:eastAsia="Arial" w:hAnsi="Arial"/>
                <w:sz w:val="14"/>
                <w:szCs w:val="14"/>
                <w:b w:val="1"/>
                <w:bCs w:val="1"/>
                <w:color w:val="FFFFFF"/>
              </w:rPr>
              <w:t>Table Total for</w:t>
            </w:r>
          </w:p>
        </w:tc>
        <w:tc>
          <w:tcPr>
            <w:tcW w:w="138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Actually Paid to</w:t>
            </w:r>
          </w:p>
        </w:tc>
        <w:tc>
          <w:tcPr>
            <w:tcW w:w="1060" w:type="dxa"/>
            <w:vAlign w:val="bottom"/>
            <w:gridSpan w:val="2"/>
            <w:shd w:val="clear" w:color="auto" w:fill="FF160F"/>
          </w:tcPr>
          <w:p>
            <w:pPr>
              <w:ind w:left="120"/>
              <w:spacing w:after="0"/>
              <w:rPr>
                <w:sz w:val="20"/>
                <w:szCs w:val="20"/>
                <w:color w:val="auto"/>
              </w:rPr>
            </w:pPr>
            <w:r>
              <w:rPr>
                <w:rFonts w:ascii="Arial" w:cs="Arial" w:eastAsia="Arial" w:hAnsi="Arial"/>
                <w:sz w:val="14"/>
                <w:szCs w:val="14"/>
                <w:b w:val="1"/>
                <w:bCs w:val="1"/>
                <w:color w:val="FFFFFF"/>
              </w:rPr>
              <w:t>Shareholder</w:t>
            </w:r>
          </w:p>
        </w:tc>
        <w:tc>
          <w:tcPr>
            <w:tcW w:w="1080" w:type="dxa"/>
            <w:vAlign w:val="bottom"/>
            <w:gridSpan w:val="2"/>
            <w:shd w:val="clear" w:color="auto" w:fill="FF160F"/>
          </w:tcPr>
          <w:p>
            <w:pPr>
              <w:ind w:left="120"/>
              <w:spacing w:after="0"/>
              <w:rPr>
                <w:sz w:val="20"/>
                <w:szCs w:val="20"/>
                <w:color w:val="auto"/>
              </w:rPr>
            </w:pPr>
            <w:r>
              <w:rPr>
                <w:rFonts w:ascii="Arial" w:cs="Arial" w:eastAsia="Arial" w:hAnsi="Arial"/>
                <w:sz w:val="14"/>
                <w:szCs w:val="14"/>
                <w:b w:val="1"/>
                <w:bCs w:val="1"/>
                <w:color w:val="FFFFFF"/>
              </w:rPr>
              <w:t>Shareholder</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Income</w:t>
            </w:r>
          </w:p>
        </w:tc>
        <w:tc>
          <w:tcPr>
            <w:tcW w:w="720" w:type="dxa"/>
            <w:vAlign w:val="bottom"/>
            <w:gridSpan w:val="2"/>
            <w:shd w:val="clear" w:color="auto" w:fill="FF160F"/>
          </w:tcPr>
          <w:p>
            <w:pPr>
              <w:ind w:left="140"/>
              <w:spacing w:after="0"/>
              <w:rPr>
                <w:sz w:val="20"/>
                <w:szCs w:val="20"/>
                <w:color w:val="auto"/>
              </w:rPr>
            </w:pPr>
            <w:r>
              <w:rPr>
                <w:rFonts w:ascii="Arial" w:cs="Arial" w:eastAsia="Arial" w:hAnsi="Arial"/>
                <w:sz w:val="14"/>
                <w:szCs w:val="14"/>
                <w:b w:val="1"/>
                <w:bCs w:val="1"/>
                <w:color w:val="FFFFFF"/>
              </w:rPr>
              <w:t>Diluted</w:t>
            </w:r>
          </w:p>
        </w:tc>
        <w:tc>
          <w:tcPr>
            <w:tcW w:w="0" w:type="dxa"/>
            <w:vAlign w:val="bottom"/>
          </w:tcPr>
          <w:p>
            <w:pPr>
              <w:spacing w:after="0"/>
              <w:rPr>
                <w:sz w:val="1"/>
                <w:szCs w:val="1"/>
                <w:color w:val="auto"/>
              </w:rPr>
            </w:pPr>
          </w:p>
        </w:tc>
      </w:tr>
      <w:tr>
        <w:trPr>
          <w:trHeight w:val="171"/>
        </w:trPr>
        <w:tc>
          <w:tcPr>
            <w:tcW w:w="196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Year</w:t>
            </w:r>
          </w:p>
        </w:tc>
        <w:tc>
          <w:tcPr>
            <w:tcW w:w="300" w:type="dxa"/>
            <w:vAlign w:val="bottom"/>
            <w:shd w:val="clear" w:color="auto" w:fill="FF160F"/>
          </w:tcPr>
          <w:p>
            <w:pPr>
              <w:spacing w:after="0"/>
              <w:rPr>
                <w:sz w:val="14"/>
                <w:szCs w:val="14"/>
                <w:color w:val="auto"/>
              </w:rPr>
            </w:pPr>
          </w:p>
        </w:tc>
        <w:tc>
          <w:tcPr>
            <w:tcW w:w="940" w:type="dxa"/>
            <w:vAlign w:val="bottom"/>
            <w:shd w:val="clear" w:color="auto" w:fill="FF160F"/>
          </w:tcPr>
          <w:p>
            <w:pPr>
              <w:jc w:val="center"/>
              <w:ind w:right="163"/>
              <w:spacing w:after="0" w:line="172" w:lineRule="exact"/>
              <w:rPr>
                <w:sz w:val="20"/>
                <w:szCs w:val="20"/>
                <w:color w:val="auto"/>
              </w:rPr>
            </w:pPr>
            <w:r>
              <w:rPr>
                <w:rFonts w:ascii="Arial" w:cs="Arial" w:eastAsia="Arial" w:hAnsi="Arial"/>
                <w:sz w:val="14"/>
                <w:szCs w:val="14"/>
                <w:b w:val="1"/>
                <w:bCs w:val="1"/>
                <w:color w:val="FFFFFF"/>
                <w:w w:val="96"/>
              </w:rPr>
              <w:t>PEO</w:t>
            </w:r>
            <w:r>
              <w:rPr>
                <w:rFonts w:ascii="Arial" w:cs="Arial" w:eastAsia="Arial" w:hAnsi="Arial"/>
                <w:sz w:val="17"/>
                <w:szCs w:val="17"/>
                <w:b w:val="1"/>
                <w:bCs w:val="1"/>
                <w:color w:val="FFFFFF"/>
                <w:w w:val="96"/>
                <w:vertAlign w:val="superscript"/>
              </w:rPr>
              <w:t>(1)</w:t>
            </w:r>
          </w:p>
        </w:tc>
        <w:tc>
          <w:tcPr>
            <w:tcW w:w="300" w:type="dxa"/>
            <w:vAlign w:val="bottom"/>
            <w:shd w:val="clear" w:color="auto" w:fill="FF160F"/>
          </w:tcPr>
          <w:p>
            <w:pPr>
              <w:spacing w:after="0"/>
              <w:rPr>
                <w:sz w:val="14"/>
                <w:szCs w:val="14"/>
                <w:color w:val="auto"/>
              </w:rPr>
            </w:pPr>
          </w:p>
        </w:tc>
        <w:tc>
          <w:tcPr>
            <w:tcW w:w="1000" w:type="dxa"/>
            <w:vAlign w:val="bottom"/>
            <w:shd w:val="clear" w:color="auto" w:fill="FF160F"/>
          </w:tcPr>
          <w:p>
            <w:pPr>
              <w:jc w:val="right"/>
              <w:ind w:right="361"/>
              <w:spacing w:after="0" w:line="172" w:lineRule="exact"/>
              <w:rPr>
                <w:sz w:val="20"/>
                <w:szCs w:val="20"/>
                <w:color w:val="auto"/>
              </w:rPr>
            </w:pPr>
            <w:r>
              <w:rPr>
                <w:rFonts w:ascii="Arial" w:cs="Arial" w:eastAsia="Arial" w:hAnsi="Arial"/>
                <w:sz w:val="14"/>
                <w:szCs w:val="14"/>
                <w:b w:val="1"/>
                <w:bCs w:val="1"/>
                <w:color w:val="FFFFFF"/>
              </w:rPr>
              <w:t>PEO</w:t>
            </w:r>
            <w:r>
              <w:rPr>
                <w:rFonts w:ascii="Arial" w:cs="Arial" w:eastAsia="Arial" w:hAnsi="Arial"/>
                <w:sz w:val="17"/>
                <w:szCs w:val="17"/>
                <w:b w:val="1"/>
                <w:bCs w:val="1"/>
                <w:color w:val="FFFFFF"/>
                <w:vertAlign w:val="superscript"/>
              </w:rPr>
              <w:t>(1)</w:t>
            </w:r>
          </w:p>
        </w:tc>
        <w:tc>
          <w:tcPr>
            <w:tcW w:w="1380" w:type="dxa"/>
            <w:vAlign w:val="bottom"/>
            <w:gridSpan w:val="2"/>
            <w:shd w:val="clear" w:color="auto" w:fill="FF160F"/>
          </w:tcPr>
          <w:p>
            <w:pPr>
              <w:ind w:left="120"/>
              <w:spacing w:after="0" w:line="172" w:lineRule="exact"/>
              <w:rPr>
                <w:sz w:val="20"/>
                <w:szCs w:val="20"/>
                <w:color w:val="auto"/>
              </w:rPr>
            </w:pPr>
            <w:r>
              <w:rPr>
                <w:rFonts w:ascii="Arial" w:cs="Arial" w:eastAsia="Arial" w:hAnsi="Arial"/>
                <w:sz w:val="14"/>
                <w:szCs w:val="14"/>
                <w:b w:val="1"/>
                <w:bCs w:val="1"/>
                <w:color w:val="FFFFFF"/>
              </w:rPr>
              <w:t>non-PEO NEOs</w:t>
            </w:r>
            <w:r>
              <w:rPr>
                <w:rFonts w:ascii="Arial" w:cs="Arial" w:eastAsia="Arial" w:hAnsi="Arial"/>
                <w:sz w:val="17"/>
                <w:szCs w:val="17"/>
                <w:b w:val="1"/>
                <w:bCs w:val="1"/>
                <w:color w:val="FFFFFF"/>
                <w:vertAlign w:val="superscript"/>
              </w:rPr>
              <w:t>(2)</w:t>
            </w:r>
          </w:p>
        </w:tc>
        <w:tc>
          <w:tcPr>
            <w:tcW w:w="1380" w:type="dxa"/>
            <w:vAlign w:val="bottom"/>
            <w:gridSpan w:val="2"/>
            <w:shd w:val="clear" w:color="auto" w:fill="FF160F"/>
          </w:tcPr>
          <w:p>
            <w:pPr>
              <w:ind w:left="120"/>
              <w:spacing w:after="0" w:line="172" w:lineRule="exact"/>
              <w:rPr>
                <w:sz w:val="20"/>
                <w:szCs w:val="20"/>
                <w:color w:val="auto"/>
              </w:rPr>
            </w:pPr>
            <w:r>
              <w:rPr>
                <w:rFonts w:ascii="Arial" w:cs="Arial" w:eastAsia="Arial" w:hAnsi="Arial"/>
                <w:sz w:val="14"/>
                <w:szCs w:val="14"/>
                <w:b w:val="1"/>
                <w:bCs w:val="1"/>
                <w:color w:val="FFFFFF"/>
              </w:rPr>
              <w:t>non-PEO NEOs</w:t>
            </w:r>
            <w:r>
              <w:rPr>
                <w:rFonts w:ascii="Arial" w:cs="Arial" w:eastAsia="Arial" w:hAnsi="Arial"/>
                <w:sz w:val="17"/>
                <w:szCs w:val="17"/>
                <w:b w:val="1"/>
                <w:bCs w:val="1"/>
                <w:color w:val="FFFFFF"/>
                <w:vertAlign w:val="superscript"/>
              </w:rPr>
              <w:t>(2)</w:t>
            </w:r>
          </w:p>
        </w:tc>
        <w:tc>
          <w:tcPr>
            <w:tcW w:w="240" w:type="dxa"/>
            <w:vAlign w:val="bottom"/>
            <w:shd w:val="clear" w:color="auto" w:fill="FF160F"/>
          </w:tcPr>
          <w:p>
            <w:pPr>
              <w:spacing w:after="0"/>
              <w:rPr>
                <w:sz w:val="14"/>
                <w:szCs w:val="14"/>
                <w:color w:val="auto"/>
              </w:rPr>
            </w:pPr>
          </w:p>
        </w:tc>
        <w:tc>
          <w:tcPr>
            <w:tcW w:w="820" w:type="dxa"/>
            <w:vAlign w:val="bottom"/>
            <w:shd w:val="clear" w:color="auto" w:fill="FF160F"/>
          </w:tcPr>
          <w:p>
            <w:pPr>
              <w:ind w:left="60"/>
              <w:spacing w:after="0"/>
              <w:rPr>
                <w:sz w:val="20"/>
                <w:szCs w:val="20"/>
                <w:color w:val="auto"/>
              </w:rPr>
            </w:pPr>
            <w:r>
              <w:rPr>
                <w:rFonts w:ascii="Arial" w:cs="Arial" w:eastAsia="Arial" w:hAnsi="Arial"/>
                <w:sz w:val="14"/>
                <w:szCs w:val="14"/>
                <w:b w:val="1"/>
                <w:bCs w:val="1"/>
                <w:color w:val="FFFFFF"/>
              </w:rPr>
              <w:t>Return</w:t>
            </w:r>
          </w:p>
        </w:tc>
        <w:tc>
          <w:tcPr>
            <w:tcW w:w="220" w:type="dxa"/>
            <w:vAlign w:val="bottom"/>
            <w:shd w:val="clear" w:color="auto" w:fill="FF160F"/>
          </w:tcPr>
          <w:p>
            <w:pPr>
              <w:spacing w:after="0"/>
              <w:rPr>
                <w:sz w:val="14"/>
                <w:szCs w:val="14"/>
                <w:color w:val="auto"/>
              </w:rPr>
            </w:pPr>
          </w:p>
        </w:tc>
        <w:tc>
          <w:tcPr>
            <w:tcW w:w="860" w:type="dxa"/>
            <w:vAlign w:val="bottom"/>
            <w:shd w:val="clear" w:color="auto" w:fill="FF160F"/>
          </w:tcPr>
          <w:p>
            <w:pPr>
              <w:jc w:val="center"/>
              <w:ind w:right="143"/>
              <w:spacing w:after="0" w:line="172" w:lineRule="exact"/>
              <w:rPr>
                <w:sz w:val="20"/>
                <w:szCs w:val="20"/>
                <w:color w:val="auto"/>
              </w:rPr>
            </w:pPr>
            <w:r>
              <w:rPr>
                <w:rFonts w:ascii="Arial" w:cs="Arial" w:eastAsia="Arial" w:hAnsi="Arial"/>
                <w:sz w:val="14"/>
                <w:szCs w:val="14"/>
                <w:b w:val="1"/>
                <w:bCs w:val="1"/>
                <w:color w:val="FFFFFF"/>
                <w:w w:val="94"/>
              </w:rPr>
              <w:t>Return</w:t>
            </w:r>
            <w:r>
              <w:rPr>
                <w:rFonts w:ascii="Arial" w:cs="Arial" w:eastAsia="Arial" w:hAnsi="Arial"/>
                <w:sz w:val="17"/>
                <w:szCs w:val="17"/>
                <w:b w:val="1"/>
                <w:bCs w:val="1"/>
                <w:color w:val="FFFFFF"/>
                <w:w w:val="94"/>
                <w:vertAlign w:val="superscript"/>
              </w:rPr>
              <w:t>(3)</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(in 000s)</w:t>
            </w:r>
          </w:p>
        </w:tc>
        <w:tc>
          <w:tcPr>
            <w:tcW w:w="720" w:type="dxa"/>
            <w:vAlign w:val="bottom"/>
            <w:gridSpan w:val="2"/>
            <w:shd w:val="clear" w:color="auto" w:fill="FF160F"/>
          </w:tcPr>
          <w:p>
            <w:pPr>
              <w:ind w:left="120"/>
              <w:spacing w:after="0" w:line="172" w:lineRule="exact"/>
              <w:rPr>
                <w:sz w:val="20"/>
                <w:szCs w:val="20"/>
                <w:color w:val="auto"/>
              </w:rPr>
            </w:pPr>
            <w:r>
              <w:rPr>
                <w:rFonts w:ascii="Arial" w:cs="Arial" w:eastAsia="Arial" w:hAnsi="Arial"/>
                <w:sz w:val="14"/>
                <w:szCs w:val="14"/>
                <w:b w:val="1"/>
                <w:bCs w:val="1"/>
                <w:color w:val="FFFFFF"/>
              </w:rPr>
              <w:t>Share</w:t>
            </w:r>
            <w:r>
              <w:rPr>
                <w:rFonts w:ascii="Arial" w:cs="Arial" w:eastAsia="Arial" w:hAnsi="Arial"/>
                <w:sz w:val="17"/>
                <w:szCs w:val="17"/>
                <w:b w:val="1"/>
                <w:bCs w:val="1"/>
                <w:color w:val="FFFFFF"/>
                <w:vertAlign w:val="superscript"/>
              </w:rPr>
              <w:t>(4)</w:t>
            </w:r>
          </w:p>
        </w:tc>
        <w:tc>
          <w:tcPr>
            <w:tcW w:w="0" w:type="dxa"/>
            <w:vAlign w:val="bottom"/>
          </w:tcPr>
          <w:p>
            <w:pPr>
              <w:spacing w:after="0"/>
              <w:rPr>
                <w:sz w:val="1"/>
                <w:szCs w:val="1"/>
                <w:color w:val="auto"/>
              </w:rPr>
            </w:pPr>
          </w:p>
        </w:tc>
      </w:tr>
      <w:tr>
        <w:trPr>
          <w:trHeight w:val="175"/>
        </w:trPr>
        <w:tc>
          <w:tcPr>
            <w:tcW w:w="1960" w:type="dxa"/>
            <w:vAlign w:val="bottom"/>
          </w:tcPr>
          <w:p>
            <w:pPr>
              <w:spacing w:after="0" w:line="175" w:lineRule="exact"/>
              <w:rPr>
                <w:sz w:val="20"/>
                <w:szCs w:val="20"/>
                <w:color w:val="auto"/>
              </w:rPr>
            </w:pPr>
            <w:r>
              <w:rPr>
                <w:rFonts w:ascii="Arial" w:cs="Arial" w:eastAsia="Arial" w:hAnsi="Arial"/>
                <w:sz w:val="16"/>
                <w:szCs w:val="16"/>
                <w:color w:val="auto"/>
              </w:rPr>
              <w:t>2022</w:t>
            </w:r>
          </w:p>
        </w:tc>
        <w:tc>
          <w:tcPr>
            <w:tcW w:w="300" w:type="dxa"/>
            <w:vAlign w:val="bottom"/>
          </w:tcPr>
          <w:p>
            <w:pPr>
              <w:ind w:left="160"/>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line="175" w:lineRule="exact"/>
              <w:rPr>
                <w:sz w:val="20"/>
                <w:szCs w:val="20"/>
                <w:color w:val="auto"/>
              </w:rPr>
            </w:pPr>
            <w:r>
              <w:rPr>
                <w:rFonts w:ascii="Arial" w:cs="Arial" w:eastAsia="Arial" w:hAnsi="Arial"/>
                <w:sz w:val="16"/>
                <w:szCs w:val="16"/>
                <w:color w:val="auto"/>
              </w:rPr>
              <w:t>8,916,031</w:t>
            </w:r>
          </w:p>
        </w:tc>
        <w:tc>
          <w:tcPr>
            <w:tcW w:w="30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line="175" w:lineRule="exact"/>
              <w:rPr>
                <w:sz w:val="20"/>
                <w:szCs w:val="20"/>
                <w:color w:val="auto"/>
              </w:rPr>
            </w:pPr>
            <w:r>
              <w:rPr>
                <w:rFonts w:ascii="Arial" w:cs="Arial" w:eastAsia="Arial" w:hAnsi="Arial"/>
                <w:sz w:val="16"/>
                <w:szCs w:val="16"/>
                <w:color w:val="auto"/>
              </w:rPr>
              <w:t>6,570,796</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4"/>
              <w:spacing w:after="0" w:line="175" w:lineRule="exact"/>
              <w:rPr>
                <w:sz w:val="20"/>
                <w:szCs w:val="20"/>
                <w:color w:val="auto"/>
              </w:rPr>
            </w:pPr>
            <w:r>
              <w:rPr>
                <w:rFonts w:ascii="Arial" w:cs="Arial" w:eastAsia="Arial" w:hAnsi="Arial"/>
                <w:sz w:val="16"/>
                <w:szCs w:val="16"/>
                <w:color w:val="auto"/>
              </w:rPr>
              <w:t>2,177,775</w:t>
            </w:r>
          </w:p>
        </w:tc>
        <w:tc>
          <w:tcPr>
            <w:tcW w:w="30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line="175" w:lineRule="exact"/>
              <w:rPr>
                <w:sz w:val="20"/>
                <w:szCs w:val="20"/>
                <w:color w:val="auto"/>
              </w:rPr>
            </w:pPr>
            <w:r>
              <w:rPr>
                <w:rFonts w:ascii="Arial" w:cs="Arial" w:eastAsia="Arial" w:hAnsi="Arial"/>
                <w:sz w:val="16"/>
                <w:szCs w:val="16"/>
                <w:color w:val="auto"/>
              </w:rPr>
              <w:t>1,669,484</w:t>
            </w:r>
          </w:p>
        </w:tc>
        <w:tc>
          <w:tcPr>
            <w:tcW w:w="240" w:type="dxa"/>
            <w:vAlign w:val="bottom"/>
          </w:tcPr>
          <w:p>
            <w:pPr>
              <w:ind w:left="100"/>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24"/>
              <w:spacing w:after="0" w:line="175" w:lineRule="exact"/>
              <w:rPr>
                <w:sz w:val="20"/>
                <w:szCs w:val="20"/>
                <w:color w:val="auto"/>
              </w:rPr>
            </w:pPr>
            <w:r>
              <w:rPr>
                <w:rFonts w:ascii="Arial" w:cs="Arial" w:eastAsia="Arial" w:hAnsi="Arial"/>
                <w:sz w:val="16"/>
                <w:szCs w:val="16"/>
                <w:color w:val="auto"/>
              </w:rPr>
              <w:t>89.10</w:t>
            </w:r>
          </w:p>
        </w:tc>
        <w:tc>
          <w:tcPr>
            <w:tcW w:w="220" w:type="dxa"/>
            <w:vAlign w:val="bottom"/>
          </w:tcPr>
          <w:p>
            <w:pPr>
              <w:ind w:left="120"/>
              <w:spacing w:after="0" w:line="175"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ind w:right="43"/>
              <w:spacing w:after="0" w:line="175" w:lineRule="exact"/>
              <w:rPr>
                <w:sz w:val="20"/>
                <w:szCs w:val="20"/>
                <w:color w:val="auto"/>
              </w:rPr>
            </w:pPr>
            <w:r>
              <w:rPr>
                <w:rFonts w:ascii="Arial" w:cs="Arial" w:eastAsia="Arial" w:hAnsi="Arial"/>
                <w:sz w:val="16"/>
                <w:szCs w:val="16"/>
                <w:color w:val="auto"/>
              </w:rPr>
              <w:t>104.09</w:t>
            </w:r>
          </w:p>
        </w:tc>
        <w:tc>
          <w:tcPr>
            <w:tcW w:w="900" w:type="dxa"/>
            <w:vAlign w:val="bottom"/>
          </w:tcPr>
          <w:p>
            <w:pPr>
              <w:jc w:val="center"/>
              <w:spacing w:after="0" w:line="175" w:lineRule="exact"/>
              <w:rPr>
                <w:sz w:val="20"/>
                <w:szCs w:val="20"/>
                <w:color w:val="auto"/>
              </w:rPr>
            </w:pPr>
            <w:r>
              <w:rPr>
                <w:rFonts w:ascii="Arial" w:cs="Arial" w:eastAsia="Arial" w:hAnsi="Arial"/>
                <w:sz w:val="16"/>
                <w:szCs w:val="16"/>
                <w:color w:val="auto"/>
              </w:rPr>
              <w:t>$395,661</w:t>
            </w:r>
          </w:p>
        </w:tc>
        <w:tc>
          <w:tcPr>
            <w:tcW w:w="260" w:type="dxa"/>
            <w:vAlign w:val="bottom"/>
          </w:tcPr>
          <w:p>
            <w:pPr>
              <w:ind w:left="100"/>
              <w:spacing w:after="0" w:line="175"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20"/>
                <w:szCs w:val="20"/>
                <w:color w:val="auto"/>
              </w:rPr>
            </w:pPr>
            <w:r>
              <w:rPr>
                <w:rFonts w:ascii="Arial" w:cs="Arial" w:eastAsia="Arial" w:hAnsi="Arial"/>
                <w:sz w:val="16"/>
                <w:szCs w:val="16"/>
                <w:color w:val="auto"/>
              </w:rPr>
              <w:t>2021</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7,520,917</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15,446,709</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2,955,860</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3,999,185</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4"/>
              <w:spacing w:after="0"/>
              <w:rPr>
                <w:sz w:val="20"/>
                <w:szCs w:val="20"/>
                <w:color w:val="auto"/>
              </w:rPr>
            </w:pPr>
            <w:r>
              <w:rPr>
                <w:rFonts w:ascii="Arial" w:cs="Arial" w:eastAsia="Arial" w:hAnsi="Arial"/>
                <w:sz w:val="16"/>
                <w:szCs w:val="16"/>
                <w:color w:val="auto"/>
              </w:rPr>
              <w:t>115.21</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119.96</w:t>
            </w:r>
          </w:p>
        </w:tc>
        <w:tc>
          <w:tcPr>
            <w:tcW w:w="900" w:type="dxa"/>
            <w:vAlign w:val="bottom"/>
          </w:tcPr>
          <w:p>
            <w:pPr>
              <w:jc w:val="center"/>
              <w:spacing w:after="0"/>
              <w:rPr>
                <w:sz w:val="20"/>
                <w:szCs w:val="20"/>
                <w:color w:val="auto"/>
              </w:rPr>
            </w:pPr>
            <w:r>
              <w:rPr>
                <w:rFonts w:ascii="Arial" w:cs="Arial" w:eastAsia="Arial" w:hAnsi="Arial"/>
                <w:sz w:val="16"/>
                <w:szCs w:val="16"/>
                <w:color w:val="auto"/>
              </w:rPr>
              <w:t>$269,081</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5"/>
        </w:trPr>
        <w:tc>
          <w:tcPr>
            <w:tcW w:w="1960" w:type="dxa"/>
            <w:vAlign w:val="bottom"/>
          </w:tcPr>
          <w:p>
            <w:pPr>
              <w:spacing w:after="0"/>
              <w:rPr>
                <w:sz w:val="20"/>
                <w:szCs w:val="20"/>
                <w:color w:val="auto"/>
              </w:rPr>
            </w:pPr>
            <w:r>
              <w:rPr>
                <w:rFonts w:ascii="Arial" w:cs="Arial" w:eastAsia="Arial" w:hAnsi="Arial"/>
                <w:sz w:val="16"/>
                <w:szCs w:val="16"/>
                <w:color w:val="auto"/>
              </w:rPr>
              <w:t>2020</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7,481,796</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1,832,214</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1,753,182</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859,320</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4"/>
              <w:spacing w:after="0"/>
              <w:rPr>
                <w:sz w:val="20"/>
                <w:szCs w:val="20"/>
                <w:color w:val="auto"/>
              </w:rPr>
            </w:pPr>
            <w:r>
              <w:rPr>
                <w:rFonts w:ascii="Arial" w:cs="Arial" w:eastAsia="Arial" w:hAnsi="Arial"/>
                <w:sz w:val="16"/>
                <w:szCs w:val="16"/>
                <w:color w:val="auto"/>
              </w:rPr>
              <w:t>69.44</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73.36</w:t>
            </w:r>
          </w:p>
        </w:tc>
        <w:tc>
          <w:tcPr>
            <w:tcW w:w="900" w:type="dxa"/>
            <w:vAlign w:val="bottom"/>
          </w:tcPr>
          <w:p>
            <w:pPr>
              <w:jc w:val="center"/>
              <w:spacing w:after="0"/>
              <w:rPr>
                <w:sz w:val="20"/>
                <w:szCs w:val="20"/>
                <w:color w:val="auto"/>
              </w:rPr>
            </w:pPr>
            <w:r>
              <w:rPr>
                <w:rFonts w:ascii="Arial" w:cs="Arial" w:eastAsia="Arial" w:hAnsi="Arial"/>
                <w:sz w:val="16"/>
                <w:szCs w:val="16"/>
                <w:color w:val="auto"/>
              </w:rPr>
              <w:t>$135,888</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-880745</wp:posOffset>
            </wp:positionV>
            <wp:extent cx="13544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86995</wp:posOffset>
            </wp:positionV>
            <wp:extent cx="7715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7" w:lineRule="exact"/>
        <w:rPr>
          <w:sz w:val="20"/>
          <w:szCs w:val="20"/>
          <w:color w:val="auto"/>
        </w:rPr>
      </w:pPr>
    </w:p>
    <w:p>
      <w:pPr>
        <w:ind w:left="540" w:hanging="424"/>
        <w:spacing w:after="0" w:line="233" w:lineRule="auto"/>
        <w:tabs>
          <w:tab w:leader="none" w:pos="540" w:val="left"/>
        </w:tabs>
        <w:numPr>
          <w:ilvl w:val="0"/>
          <w:numId w:val="79"/>
        </w:numPr>
        <w:rPr>
          <w:rFonts w:ascii="Arial" w:cs="Arial" w:eastAsia="Arial" w:hAnsi="Arial"/>
          <w:sz w:val="20"/>
          <w:szCs w:val="20"/>
          <w:color w:val="auto"/>
          <w:vertAlign w:val="superscript"/>
        </w:rPr>
      </w:pPr>
      <w:r>
        <w:rPr>
          <w:rFonts w:ascii="Arial" w:cs="Arial" w:eastAsia="Arial" w:hAnsi="Arial"/>
          <w:sz w:val="16"/>
          <w:szCs w:val="16"/>
          <w:color w:val="auto"/>
        </w:rPr>
        <w:t>Mr. Wood was our principal executive officer for all years shown. Following are the adjustments made during each year to arrive at compensation actually paid to our principal executive officer during each year.</w:t>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20" w:type="dxa"/>
            <w:vAlign w:val="bottom"/>
            <w:shd w:val="clear" w:color="auto" w:fill="FF160F"/>
          </w:tcPr>
          <w:p>
            <w:pPr>
              <w:spacing w:after="0"/>
              <w:rPr>
                <w:sz w:val="14"/>
                <w:szCs w:val="14"/>
                <w:color w:val="auto"/>
              </w:rPr>
            </w:pPr>
          </w:p>
        </w:tc>
        <w:tc>
          <w:tcPr>
            <w:tcW w:w="22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1060" w:type="dxa"/>
            <w:vAlign w:val="bottom"/>
            <w:shd w:val="clear" w:color="auto" w:fill="FF160F"/>
          </w:tcPr>
          <w:p>
            <w:pPr>
              <w:spacing w:after="0"/>
              <w:rPr>
                <w:sz w:val="14"/>
                <w:szCs w:val="14"/>
                <w:color w:val="auto"/>
              </w:rPr>
            </w:pPr>
          </w:p>
        </w:tc>
        <w:tc>
          <w:tcPr>
            <w:tcW w:w="400" w:type="dxa"/>
            <w:vAlign w:val="bottom"/>
            <w:shd w:val="clear" w:color="auto" w:fill="FF160F"/>
          </w:tcPr>
          <w:p>
            <w:pPr>
              <w:spacing w:after="0"/>
              <w:rPr>
                <w:sz w:val="14"/>
                <w:szCs w:val="14"/>
                <w:color w:val="auto"/>
              </w:rPr>
            </w:pPr>
          </w:p>
        </w:tc>
        <w:tc>
          <w:tcPr>
            <w:tcW w:w="1120" w:type="dxa"/>
            <w:vAlign w:val="bottom"/>
            <w:shd w:val="clear" w:color="auto" w:fill="FF160F"/>
          </w:tcPr>
          <w:p>
            <w:pPr>
              <w:jc w:val="right"/>
              <w:ind w:right="521"/>
              <w:spacing w:after="0"/>
              <w:rPr>
                <w:sz w:val="20"/>
                <w:szCs w:val="20"/>
                <w:color w:val="auto"/>
              </w:rPr>
            </w:pPr>
            <w:r>
              <w:rPr>
                <w:rFonts w:ascii="Arial" w:cs="Arial" w:eastAsia="Arial" w:hAnsi="Arial"/>
                <w:sz w:val="14"/>
                <w:szCs w:val="14"/>
                <w:b w:val="1"/>
                <w:bCs w:val="1"/>
                <w:color w:val="FFFFFF"/>
              </w:rPr>
              <w:t>PEO</w:t>
            </w:r>
          </w:p>
        </w:tc>
        <w:tc>
          <w:tcPr>
            <w:tcW w:w="380" w:type="dxa"/>
            <w:vAlign w:val="bottom"/>
            <w:shd w:val="clear" w:color="auto" w:fill="FF160F"/>
          </w:tcPr>
          <w:p>
            <w:pPr>
              <w:spacing w:after="0"/>
              <w:rPr>
                <w:sz w:val="14"/>
                <w:szCs w:val="14"/>
                <w:color w:val="auto"/>
              </w:rPr>
            </w:pPr>
          </w:p>
        </w:tc>
        <w:tc>
          <w:tcPr>
            <w:tcW w:w="940" w:type="dxa"/>
            <w:vAlign w:val="bottom"/>
            <w:shd w:val="clear" w:color="auto" w:fill="FF160F"/>
          </w:tcPr>
          <w:p>
            <w:pPr>
              <w:spacing w:after="0"/>
              <w:rPr>
                <w:sz w:val="14"/>
                <w:szCs w:val="14"/>
                <w:color w:val="auto"/>
              </w:rPr>
            </w:pPr>
          </w:p>
        </w:tc>
        <w:tc>
          <w:tcPr>
            <w:tcW w:w="120" w:type="dxa"/>
            <w:vAlign w:val="bottom"/>
            <w:shd w:val="clear" w:color="auto" w:fill="FF160F"/>
          </w:tcPr>
          <w:p>
            <w:pPr>
              <w:spacing w:after="0"/>
              <w:rPr>
                <w:sz w:val="14"/>
                <w:szCs w:val="14"/>
                <w:color w:val="auto"/>
              </w:rPr>
            </w:pPr>
          </w:p>
        </w:tc>
      </w:tr>
      <w:tr>
        <w:trPr>
          <w:trHeight w:val="162"/>
        </w:trPr>
        <w:tc>
          <w:tcPr>
            <w:tcW w:w="652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Adjustments</w:t>
            </w:r>
          </w:p>
        </w:tc>
        <w:tc>
          <w:tcPr>
            <w:tcW w:w="22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1060" w:type="dxa"/>
            <w:vAlign w:val="bottom"/>
            <w:shd w:val="clear" w:color="auto" w:fill="FF160F"/>
          </w:tcPr>
          <w:p>
            <w:pPr>
              <w:jc w:val="right"/>
              <w:ind w:right="520"/>
              <w:spacing w:after="0"/>
              <w:rPr>
                <w:sz w:val="20"/>
                <w:szCs w:val="20"/>
                <w:color w:val="auto"/>
              </w:rPr>
            </w:pPr>
            <w:r>
              <w:rPr>
                <w:rFonts w:ascii="Arial" w:cs="Arial" w:eastAsia="Arial" w:hAnsi="Arial"/>
                <w:sz w:val="14"/>
                <w:szCs w:val="14"/>
                <w:b w:val="1"/>
                <w:bCs w:val="1"/>
                <w:color w:val="FFFFFF"/>
              </w:rPr>
              <w:t>2022</w:t>
            </w:r>
          </w:p>
        </w:tc>
        <w:tc>
          <w:tcPr>
            <w:tcW w:w="400" w:type="dxa"/>
            <w:vAlign w:val="bottom"/>
            <w:shd w:val="clear" w:color="auto" w:fill="FF160F"/>
          </w:tcPr>
          <w:p>
            <w:pPr>
              <w:spacing w:after="0"/>
              <w:rPr>
                <w:sz w:val="14"/>
                <w:szCs w:val="14"/>
                <w:color w:val="auto"/>
              </w:rPr>
            </w:pPr>
          </w:p>
        </w:tc>
        <w:tc>
          <w:tcPr>
            <w:tcW w:w="1120" w:type="dxa"/>
            <w:vAlign w:val="bottom"/>
            <w:shd w:val="clear" w:color="auto" w:fill="FF160F"/>
          </w:tcPr>
          <w:p>
            <w:pPr>
              <w:jc w:val="right"/>
              <w:ind w:right="541"/>
              <w:spacing w:after="0"/>
              <w:rPr>
                <w:sz w:val="20"/>
                <w:szCs w:val="20"/>
                <w:color w:val="auto"/>
              </w:rPr>
            </w:pPr>
            <w:r>
              <w:rPr>
                <w:rFonts w:ascii="Arial" w:cs="Arial" w:eastAsia="Arial" w:hAnsi="Arial"/>
                <w:sz w:val="14"/>
                <w:szCs w:val="14"/>
                <w:b w:val="1"/>
                <w:bCs w:val="1"/>
                <w:color w:val="FFFFFF"/>
              </w:rPr>
              <w:t>2021</w:t>
            </w:r>
          </w:p>
        </w:tc>
        <w:tc>
          <w:tcPr>
            <w:tcW w:w="380" w:type="dxa"/>
            <w:vAlign w:val="bottom"/>
            <w:shd w:val="clear" w:color="auto" w:fill="FF160F"/>
          </w:tcPr>
          <w:p>
            <w:pPr>
              <w:spacing w:after="0"/>
              <w:rPr>
                <w:sz w:val="14"/>
                <w:szCs w:val="14"/>
                <w:color w:val="auto"/>
              </w:rPr>
            </w:pPr>
          </w:p>
        </w:tc>
        <w:tc>
          <w:tcPr>
            <w:tcW w:w="940" w:type="dxa"/>
            <w:vAlign w:val="bottom"/>
            <w:shd w:val="clear" w:color="auto" w:fill="FF160F"/>
          </w:tcPr>
          <w:p>
            <w:pPr>
              <w:jc w:val="right"/>
              <w:ind w:right="340"/>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FF160F"/>
          </w:tcPr>
          <w:p>
            <w:pPr>
              <w:spacing w:after="0"/>
              <w:rPr>
                <w:sz w:val="14"/>
                <w:szCs w:val="14"/>
                <w:color w:val="auto"/>
              </w:rPr>
            </w:pPr>
          </w:p>
        </w:tc>
      </w:tr>
      <w:tr>
        <w:trPr>
          <w:trHeight w:val="189"/>
        </w:trPr>
        <w:tc>
          <w:tcPr>
            <w:tcW w:w="6520" w:type="dxa"/>
            <w:vAlign w:val="bottom"/>
          </w:tcPr>
          <w:p>
            <w:pPr>
              <w:spacing w:after="0"/>
              <w:rPr>
                <w:sz w:val="20"/>
                <w:szCs w:val="20"/>
                <w:color w:val="auto"/>
              </w:rPr>
            </w:pPr>
            <w:r>
              <w:rPr>
                <w:rFonts w:ascii="Arial" w:cs="Arial" w:eastAsia="Arial" w:hAnsi="Arial"/>
                <w:sz w:val="16"/>
                <w:szCs w:val="16"/>
                <w:color w:val="auto"/>
              </w:rPr>
              <w:t>Amounts reported under “Stock Awards” in SCT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(6,474,391)</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(5,213,719)</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(5,830,493)</w:t>
            </w:r>
          </w:p>
        </w:tc>
      </w:tr>
      <w:tr>
        <w:trPr>
          <w:trHeight w:val="189"/>
        </w:trPr>
        <w:tc>
          <w:tcPr>
            <w:tcW w:w="6520" w:type="dxa"/>
            <w:vAlign w:val="bottom"/>
            <w:shd w:val="clear" w:color="auto" w:fill="D8D8D8"/>
          </w:tcPr>
          <w:p>
            <w:pPr>
              <w:spacing w:after="0"/>
              <w:rPr>
                <w:sz w:val="20"/>
                <w:szCs w:val="20"/>
                <w:color w:val="auto"/>
              </w:rPr>
            </w:pPr>
            <w:r>
              <w:rPr>
                <w:rFonts w:ascii="Arial" w:cs="Arial" w:eastAsia="Arial" w:hAnsi="Arial"/>
                <w:sz w:val="16"/>
                <w:szCs w:val="16"/>
                <w:color w:val="auto"/>
              </w:rPr>
              <w:t>Change Fair Value of Awards Granted in Year and Unvested as of Year-End</w:t>
            </w:r>
          </w:p>
        </w:tc>
        <w:tc>
          <w:tcPr>
            <w:tcW w:w="48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5,171,732</w:t>
            </w:r>
          </w:p>
        </w:tc>
        <w:tc>
          <w:tcPr>
            <w:tcW w:w="40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8D8D8"/>
          </w:tcPr>
          <w:p>
            <w:pPr>
              <w:jc w:val="right"/>
              <w:ind w:right="101"/>
              <w:spacing w:after="0"/>
              <w:rPr>
                <w:sz w:val="20"/>
                <w:szCs w:val="20"/>
                <w:color w:val="auto"/>
              </w:rPr>
            </w:pPr>
            <w:r>
              <w:rPr>
                <w:rFonts w:ascii="Arial" w:cs="Arial" w:eastAsia="Arial" w:hAnsi="Arial"/>
                <w:sz w:val="16"/>
                <w:szCs w:val="16"/>
                <w:color w:val="auto"/>
              </w:rPr>
              <w:t>7,421,261</w:t>
            </w:r>
          </w:p>
        </w:tc>
        <w:tc>
          <w:tcPr>
            <w:tcW w:w="38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D8D8D8"/>
          </w:tcPr>
          <w:p>
            <w:pPr>
              <w:jc w:val="right"/>
              <w:ind w:right="120"/>
              <w:spacing w:after="0"/>
              <w:rPr>
                <w:sz w:val="20"/>
                <w:szCs w:val="20"/>
                <w:color w:val="auto"/>
              </w:rPr>
            </w:pPr>
            <w:r>
              <w:rPr>
                <w:rFonts w:ascii="Arial" w:cs="Arial" w:eastAsia="Arial" w:hAnsi="Arial"/>
                <w:sz w:val="16"/>
                <w:szCs w:val="16"/>
                <w:color w:val="auto"/>
              </w:rPr>
              <w:t>3,899,517</w:t>
            </w:r>
          </w:p>
        </w:tc>
      </w:tr>
      <w:tr>
        <w:trPr>
          <w:trHeight w:val="175"/>
        </w:trPr>
        <w:tc>
          <w:tcPr>
            <w:tcW w:w="6520" w:type="dxa"/>
            <w:vAlign w:val="bottom"/>
          </w:tcPr>
          <w:p>
            <w:pPr>
              <w:spacing w:after="0" w:line="175" w:lineRule="exact"/>
              <w:rPr>
                <w:sz w:val="20"/>
                <w:szCs w:val="20"/>
                <w:color w:val="auto"/>
              </w:rPr>
            </w:pPr>
            <w:r>
              <w:rPr>
                <w:rFonts w:ascii="Arial" w:cs="Arial" w:eastAsia="Arial" w:hAnsi="Arial"/>
                <w:sz w:val="16"/>
                <w:szCs w:val="16"/>
                <w:color w:val="auto"/>
              </w:rPr>
              <w:t>Change in Fair Value from Prior Year-End to Current Year-End of Awards Granted Prior to</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520" w:type="dxa"/>
            <w:vAlign w:val="bottom"/>
          </w:tcPr>
          <w:p>
            <w:pPr>
              <w:ind w:left="160"/>
              <w:spacing w:after="0"/>
              <w:rPr>
                <w:sz w:val="20"/>
                <w:szCs w:val="20"/>
                <w:color w:val="auto"/>
              </w:rPr>
            </w:pPr>
            <w:r>
              <w:rPr>
                <w:rFonts w:ascii="Arial" w:cs="Arial" w:eastAsia="Arial" w:hAnsi="Arial"/>
                <w:sz w:val="16"/>
                <w:szCs w:val="16"/>
                <w:color w:val="auto"/>
              </w:rPr>
              <w:t>Year that were Outstanding and Unvested as of Year-End</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(1,546,034)</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rPr>
                <w:sz w:val="20"/>
                <w:szCs w:val="20"/>
                <w:color w:val="auto"/>
              </w:rPr>
            </w:pPr>
            <w:r>
              <w:rPr>
                <w:rFonts w:ascii="Arial" w:cs="Arial" w:eastAsia="Arial" w:hAnsi="Arial"/>
                <w:sz w:val="16"/>
                <w:szCs w:val="16"/>
                <w:color w:val="auto"/>
              </w:rPr>
              <w:t>4,544,000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(3,866,637)</w:t>
            </w:r>
          </w:p>
        </w:tc>
      </w:tr>
      <w:tr>
        <w:trPr>
          <w:trHeight w:val="175"/>
        </w:trPr>
        <w:tc>
          <w:tcPr>
            <w:tcW w:w="652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Change in Fair Value from Prior Year-End to Vesting Date of Awards Granted Prior to Year</w:t>
            </w:r>
          </w:p>
        </w:tc>
        <w:tc>
          <w:tcPr>
            <w:tcW w:w="2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120" w:type="dxa"/>
            <w:vAlign w:val="bottom"/>
            <w:shd w:val="clear" w:color="auto" w:fill="D8D8D8"/>
          </w:tcPr>
          <w:p>
            <w:pPr>
              <w:spacing w:after="0"/>
              <w:rPr>
                <w:sz w:val="15"/>
                <w:szCs w:val="15"/>
                <w:color w:val="auto"/>
              </w:rPr>
            </w:pPr>
          </w:p>
        </w:tc>
        <w:tc>
          <w:tcPr>
            <w:tcW w:w="38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r>
      <w:tr>
        <w:trPr>
          <w:trHeight w:val="203"/>
        </w:trPr>
        <w:tc>
          <w:tcPr>
            <w:tcW w:w="6520" w:type="dxa"/>
            <w:vAlign w:val="bottom"/>
            <w:shd w:val="clear" w:color="auto" w:fill="D8D8D8"/>
          </w:tcPr>
          <w:p>
            <w:pPr>
              <w:ind w:left="160"/>
              <w:spacing w:after="0"/>
              <w:rPr>
                <w:sz w:val="20"/>
                <w:szCs w:val="20"/>
                <w:color w:val="auto"/>
              </w:rPr>
            </w:pPr>
            <w:r>
              <w:rPr>
                <w:rFonts w:ascii="Arial" w:cs="Arial" w:eastAsia="Arial" w:hAnsi="Arial"/>
                <w:sz w:val="16"/>
                <w:szCs w:val="16"/>
                <w:color w:val="auto"/>
              </w:rPr>
              <w:t>that Vested During Year</w:t>
            </w:r>
          </w:p>
        </w:tc>
        <w:tc>
          <w:tcPr>
            <w:tcW w:w="48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66,969</w:t>
            </w:r>
          </w:p>
        </w:tc>
        <w:tc>
          <w:tcPr>
            <w:tcW w:w="40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8D8D8"/>
          </w:tcPr>
          <w:p>
            <w:pPr>
              <w:jc w:val="right"/>
              <w:ind w:right="101"/>
              <w:spacing w:after="0"/>
              <w:rPr>
                <w:sz w:val="20"/>
                <w:szCs w:val="20"/>
                <w:color w:val="auto"/>
              </w:rPr>
            </w:pPr>
            <w:r>
              <w:rPr>
                <w:rFonts w:ascii="Arial" w:cs="Arial" w:eastAsia="Arial" w:hAnsi="Arial"/>
                <w:sz w:val="16"/>
                <w:szCs w:val="16"/>
                <w:color w:val="auto"/>
              </w:rPr>
              <w:t>765,243</w:t>
            </w:r>
          </w:p>
        </w:tc>
        <w:tc>
          <w:tcPr>
            <w:tcW w:w="380" w:type="dxa"/>
            <w:vAlign w:val="bottom"/>
            <w:shd w:val="clear" w:color="auto" w:fill="D8D8D8"/>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color w:val="auto"/>
              </w:rPr>
              <w:t>(223,600)</w:t>
            </w:r>
          </w:p>
        </w:tc>
      </w:tr>
      <w:tr>
        <w:trPr>
          <w:trHeight w:val="175"/>
        </w:trPr>
        <w:tc>
          <w:tcPr>
            <w:tcW w:w="6520" w:type="dxa"/>
            <w:vAlign w:val="bottom"/>
          </w:tcPr>
          <w:p>
            <w:pPr>
              <w:spacing w:after="0" w:line="175" w:lineRule="exact"/>
              <w:rPr>
                <w:sz w:val="20"/>
                <w:szCs w:val="20"/>
                <w:color w:val="auto"/>
              </w:rPr>
            </w:pPr>
            <w:r>
              <w:rPr>
                <w:rFonts w:ascii="Arial" w:cs="Arial" w:eastAsia="Arial" w:hAnsi="Arial"/>
                <w:sz w:val="16"/>
                <w:szCs w:val="16"/>
                <w:color w:val="auto"/>
              </w:rPr>
              <w:t>Increase based on Dividends or Other Earnings Paid During Year prior to Vesting Date of</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520" w:type="dxa"/>
            <w:vAlign w:val="bottom"/>
          </w:tcPr>
          <w:p>
            <w:pPr>
              <w:ind w:left="160"/>
              <w:spacing w:after="0"/>
              <w:rPr>
                <w:sz w:val="20"/>
                <w:szCs w:val="20"/>
                <w:color w:val="auto"/>
              </w:rPr>
            </w:pPr>
            <w:r>
              <w:rPr>
                <w:rFonts w:ascii="Arial" w:cs="Arial" w:eastAsia="Arial" w:hAnsi="Arial"/>
                <w:sz w:val="16"/>
                <w:szCs w:val="16"/>
                <w:color w:val="auto"/>
              </w:rPr>
              <w:t>Award</w:t>
            </w: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436,488</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rPr>
                <w:sz w:val="20"/>
                <w:szCs w:val="20"/>
                <w:color w:val="auto"/>
              </w:rPr>
            </w:pPr>
            <w:r>
              <w:rPr>
                <w:rFonts w:ascii="Arial" w:cs="Arial" w:eastAsia="Arial" w:hAnsi="Arial"/>
                <w:sz w:val="16"/>
                <w:szCs w:val="16"/>
                <w:color w:val="auto"/>
              </w:rPr>
              <w:t>409,008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371,631</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52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Total Adjustments</w:t>
            </w:r>
          </w:p>
        </w:tc>
        <w:tc>
          <w:tcPr>
            <w:tcW w:w="220" w:type="dxa"/>
            <w:vAlign w:val="bottom"/>
            <w:shd w:val="clear" w:color="auto" w:fill="D8D8D8"/>
          </w:tcPr>
          <w:p>
            <w:pPr>
              <w:spacing w:after="0"/>
              <w:rPr>
                <w:sz w:val="16"/>
                <w:szCs w:val="16"/>
                <w:color w:val="auto"/>
              </w:rPr>
            </w:pPr>
          </w:p>
        </w:tc>
        <w:tc>
          <w:tcPr>
            <w:tcW w:w="260" w:type="dxa"/>
            <w:vAlign w:val="bottom"/>
            <w:shd w:val="clear" w:color="auto" w:fill="D8D8D8"/>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D8D8D8"/>
          </w:tcPr>
          <w:p>
            <w:pPr>
              <w:jc w:val="right"/>
              <w:ind w:right="40"/>
              <w:spacing w:after="0"/>
              <w:rPr>
                <w:sz w:val="20"/>
                <w:szCs w:val="20"/>
                <w:color w:val="auto"/>
              </w:rPr>
            </w:pPr>
            <w:r>
              <w:rPr>
                <w:rFonts w:ascii="Arial" w:cs="Arial" w:eastAsia="Arial" w:hAnsi="Arial"/>
                <w:sz w:val="16"/>
                <w:szCs w:val="16"/>
                <w:b w:val="1"/>
                <w:bCs w:val="1"/>
                <w:color w:val="auto"/>
              </w:rPr>
              <w:t>(2,345,236)</w:t>
            </w:r>
          </w:p>
        </w:tc>
        <w:tc>
          <w:tcPr>
            <w:tcW w:w="400" w:type="dxa"/>
            <w:vAlign w:val="bottom"/>
            <w:shd w:val="clear" w:color="auto" w:fill="D8D8D8"/>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D8D8D8"/>
          </w:tcPr>
          <w:p>
            <w:pPr>
              <w:jc w:val="right"/>
              <w:ind w:right="101"/>
              <w:spacing w:after="0"/>
              <w:rPr>
                <w:sz w:val="20"/>
                <w:szCs w:val="20"/>
                <w:color w:val="auto"/>
              </w:rPr>
            </w:pPr>
            <w:r>
              <w:rPr>
                <w:rFonts w:ascii="Arial" w:cs="Arial" w:eastAsia="Arial" w:hAnsi="Arial"/>
                <w:sz w:val="16"/>
                <w:szCs w:val="16"/>
                <w:b w:val="1"/>
                <w:bCs w:val="1"/>
                <w:color w:val="auto"/>
              </w:rPr>
              <w:t>7,925,792</w:t>
            </w:r>
          </w:p>
        </w:tc>
        <w:tc>
          <w:tcPr>
            <w:tcW w:w="380" w:type="dxa"/>
            <w:vAlign w:val="bottom"/>
            <w:shd w:val="clear" w:color="auto" w:fill="D8D8D8"/>
          </w:tcPr>
          <w:p>
            <w:pPr>
              <w:jc w:val="right"/>
              <w:ind w:right="79"/>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(5,649,582)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right="20" w:hanging="424"/>
        <w:spacing w:after="0" w:line="237" w:lineRule="auto"/>
        <w:tabs>
          <w:tab w:leader="none" w:pos="540" w:val="left"/>
        </w:tabs>
        <w:numPr>
          <w:ilvl w:val="0"/>
          <w:numId w:val="80"/>
        </w:numPr>
        <w:rPr>
          <w:rFonts w:ascii="Arial" w:cs="Arial" w:eastAsia="Arial" w:hAnsi="Arial"/>
          <w:sz w:val="20"/>
          <w:szCs w:val="20"/>
          <w:color w:val="auto"/>
          <w:vertAlign w:val="superscript"/>
        </w:rPr>
      </w:pPr>
      <w:r>
        <w:rPr>
          <w:rFonts w:ascii="Arial" w:cs="Arial" w:eastAsia="Arial" w:hAnsi="Arial"/>
          <w:sz w:val="16"/>
          <w:szCs w:val="16"/>
          <w:color w:val="auto"/>
        </w:rPr>
        <w:t>For 2020, our other NEOs included Mr. Guglielmone and Ms. Becker. For 2021 and 2022, our other NEOs included Mr. Berkes, Mr. Guglielmone and Ms. Becker. Following are the adjustments made during each year to arrive at the average compensation actually paid to our other NEOs during each year.</w:t>
      </w: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80" w:type="dxa"/>
            <w:vAlign w:val="bottom"/>
            <w:shd w:val="clear" w:color="auto" w:fill="FF160F"/>
          </w:tcPr>
          <w:p>
            <w:pPr>
              <w:spacing w:after="0"/>
              <w:rPr>
                <w:sz w:val="14"/>
                <w:szCs w:val="14"/>
                <w:color w:val="auto"/>
              </w:rPr>
            </w:pPr>
          </w:p>
        </w:tc>
        <w:tc>
          <w:tcPr>
            <w:tcW w:w="22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960" w:type="dxa"/>
            <w:vAlign w:val="bottom"/>
            <w:shd w:val="clear" w:color="auto" w:fill="FF160F"/>
          </w:tcPr>
          <w:p>
            <w:pPr>
              <w:spacing w:after="0"/>
              <w:rPr>
                <w:sz w:val="14"/>
                <w:szCs w:val="14"/>
                <w:color w:val="auto"/>
              </w:rPr>
            </w:pPr>
          </w:p>
        </w:tc>
        <w:tc>
          <w:tcPr>
            <w:tcW w:w="1780" w:type="dxa"/>
            <w:vAlign w:val="bottom"/>
            <w:gridSpan w:val="2"/>
            <w:shd w:val="clear" w:color="auto" w:fill="FF160F"/>
          </w:tcPr>
          <w:p>
            <w:pPr>
              <w:jc w:val="right"/>
              <w:ind w:right="40"/>
              <w:spacing w:after="0"/>
              <w:rPr>
                <w:sz w:val="20"/>
                <w:szCs w:val="20"/>
                <w:color w:val="auto"/>
              </w:rPr>
            </w:pPr>
            <w:r>
              <w:rPr>
                <w:rFonts w:ascii="Arial" w:cs="Arial" w:eastAsia="Arial" w:hAnsi="Arial"/>
                <w:sz w:val="14"/>
                <w:szCs w:val="14"/>
                <w:b w:val="1"/>
                <w:bCs w:val="1"/>
                <w:color w:val="FFFFFF"/>
              </w:rPr>
              <w:t>Average of Other NEOs</w:t>
            </w:r>
          </w:p>
        </w:tc>
        <w:tc>
          <w:tcPr>
            <w:tcW w:w="360" w:type="dxa"/>
            <w:vAlign w:val="bottom"/>
            <w:shd w:val="clear" w:color="auto" w:fill="FF160F"/>
          </w:tcPr>
          <w:p>
            <w:pPr>
              <w:spacing w:after="0"/>
              <w:rPr>
                <w:sz w:val="14"/>
                <w:szCs w:val="14"/>
                <w:color w:val="auto"/>
              </w:rPr>
            </w:pPr>
          </w:p>
        </w:tc>
        <w:tc>
          <w:tcPr>
            <w:tcW w:w="820" w:type="dxa"/>
            <w:vAlign w:val="bottom"/>
            <w:shd w:val="clear" w:color="auto" w:fill="FF160F"/>
          </w:tcPr>
          <w:p>
            <w:pPr>
              <w:spacing w:after="0"/>
              <w:rPr>
                <w:sz w:val="14"/>
                <w:szCs w:val="14"/>
                <w:color w:val="auto"/>
              </w:rPr>
            </w:pPr>
          </w:p>
        </w:tc>
        <w:tc>
          <w:tcPr>
            <w:tcW w:w="120" w:type="dxa"/>
            <w:vAlign w:val="bottom"/>
            <w:shd w:val="clear" w:color="auto" w:fill="FF160F"/>
          </w:tcPr>
          <w:p>
            <w:pPr>
              <w:spacing w:after="0"/>
              <w:rPr>
                <w:sz w:val="14"/>
                <w:szCs w:val="14"/>
                <w:color w:val="auto"/>
              </w:rPr>
            </w:pPr>
          </w:p>
        </w:tc>
      </w:tr>
      <w:tr>
        <w:trPr>
          <w:trHeight w:val="162"/>
        </w:trPr>
        <w:tc>
          <w:tcPr>
            <w:tcW w:w="648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Adjustments</w:t>
            </w:r>
          </w:p>
        </w:tc>
        <w:tc>
          <w:tcPr>
            <w:tcW w:w="22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960" w:type="dxa"/>
            <w:vAlign w:val="bottom"/>
            <w:shd w:val="clear" w:color="auto" w:fill="FF160F"/>
          </w:tcPr>
          <w:p>
            <w:pPr>
              <w:jc w:val="right"/>
              <w:ind w:right="440"/>
              <w:spacing w:after="0"/>
              <w:rPr>
                <w:sz w:val="20"/>
                <w:szCs w:val="20"/>
                <w:color w:val="auto"/>
              </w:rPr>
            </w:pPr>
            <w:r>
              <w:rPr>
                <w:rFonts w:ascii="Arial" w:cs="Arial" w:eastAsia="Arial" w:hAnsi="Arial"/>
                <w:sz w:val="14"/>
                <w:szCs w:val="14"/>
                <w:b w:val="1"/>
                <w:bCs w:val="1"/>
                <w:color w:val="FFFFFF"/>
              </w:rPr>
              <w:t>2022</w:t>
            </w:r>
          </w:p>
        </w:tc>
        <w:tc>
          <w:tcPr>
            <w:tcW w:w="520" w:type="dxa"/>
            <w:vAlign w:val="bottom"/>
            <w:shd w:val="clear" w:color="auto" w:fill="FF160F"/>
          </w:tcPr>
          <w:p>
            <w:pPr>
              <w:spacing w:after="0"/>
              <w:rPr>
                <w:sz w:val="14"/>
                <w:szCs w:val="14"/>
                <w:color w:val="auto"/>
              </w:rPr>
            </w:pPr>
          </w:p>
        </w:tc>
        <w:tc>
          <w:tcPr>
            <w:tcW w:w="1260" w:type="dxa"/>
            <w:vAlign w:val="bottom"/>
            <w:shd w:val="clear" w:color="auto" w:fill="FF160F"/>
          </w:tcPr>
          <w:p>
            <w:pPr>
              <w:jc w:val="right"/>
              <w:ind w:right="640"/>
              <w:spacing w:after="0"/>
              <w:rPr>
                <w:sz w:val="20"/>
                <w:szCs w:val="20"/>
                <w:color w:val="auto"/>
              </w:rPr>
            </w:pPr>
            <w:r>
              <w:rPr>
                <w:rFonts w:ascii="Arial" w:cs="Arial" w:eastAsia="Arial" w:hAnsi="Arial"/>
                <w:sz w:val="14"/>
                <w:szCs w:val="14"/>
                <w:b w:val="1"/>
                <w:bCs w:val="1"/>
                <w:color w:val="FFFFFF"/>
              </w:rPr>
              <w:t>2021</w:t>
            </w:r>
          </w:p>
        </w:tc>
        <w:tc>
          <w:tcPr>
            <w:tcW w:w="360" w:type="dxa"/>
            <w:vAlign w:val="bottom"/>
            <w:shd w:val="clear" w:color="auto" w:fill="FF160F"/>
          </w:tcPr>
          <w:p>
            <w:pPr>
              <w:spacing w:after="0"/>
              <w:rPr>
                <w:sz w:val="14"/>
                <w:szCs w:val="14"/>
                <w:color w:val="auto"/>
              </w:rPr>
            </w:pPr>
          </w:p>
        </w:tc>
        <w:tc>
          <w:tcPr>
            <w:tcW w:w="820" w:type="dxa"/>
            <w:vAlign w:val="bottom"/>
            <w:shd w:val="clear" w:color="auto" w:fill="FF160F"/>
          </w:tcPr>
          <w:p>
            <w:pPr>
              <w:jc w:val="right"/>
              <w:ind w:right="280"/>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FF160F"/>
          </w:tcPr>
          <w:p>
            <w:pPr>
              <w:spacing w:after="0"/>
              <w:rPr>
                <w:sz w:val="14"/>
                <w:szCs w:val="14"/>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Amounts reported under “Stock Awards” in SCT</w:t>
            </w:r>
          </w:p>
        </w:tc>
        <w:tc>
          <w:tcPr>
            <w:tcW w:w="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(941,423)</w:t>
            </w:r>
          </w:p>
        </w:tc>
        <w:tc>
          <w:tcPr>
            <w:tcW w:w="5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(1,903,744)</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(863,272)</w:t>
            </w:r>
          </w:p>
        </w:tc>
      </w:tr>
      <w:tr>
        <w:trPr>
          <w:trHeight w:val="189"/>
        </w:trPr>
        <w:tc>
          <w:tcPr>
            <w:tcW w:w="6480" w:type="dxa"/>
            <w:vAlign w:val="bottom"/>
            <w:shd w:val="clear" w:color="auto" w:fill="D8D8D8"/>
          </w:tcPr>
          <w:p>
            <w:pPr>
              <w:spacing w:after="0"/>
              <w:rPr>
                <w:sz w:val="20"/>
                <w:szCs w:val="20"/>
                <w:color w:val="auto"/>
              </w:rPr>
            </w:pPr>
            <w:r>
              <w:rPr>
                <w:rFonts w:ascii="Arial" w:cs="Arial" w:eastAsia="Arial" w:hAnsi="Arial"/>
                <w:sz w:val="16"/>
                <w:szCs w:val="16"/>
                <w:color w:val="auto"/>
              </w:rPr>
              <w:t>Change Fair Value of Awards Granted in Year and Unvested as of Year-End</w:t>
            </w:r>
          </w:p>
        </w:tc>
        <w:tc>
          <w:tcPr>
            <w:tcW w:w="500" w:type="dxa"/>
            <w:vAlign w:val="bottom"/>
            <w:gridSpan w:val="2"/>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752,007</w:t>
            </w:r>
          </w:p>
        </w:tc>
        <w:tc>
          <w:tcPr>
            <w:tcW w:w="5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1,669,647</w:t>
            </w:r>
          </w:p>
        </w:tc>
        <w:tc>
          <w:tcPr>
            <w:tcW w:w="360" w:type="dxa"/>
            <w:vAlign w:val="bottom"/>
            <w:shd w:val="clear" w:color="auto" w:fill="D8D8D8"/>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6"/>
                <w:szCs w:val="16"/>
                <w:color w:val="auto"/>
              </w:rPr>
              <w:t>577,369</w:t>
            </w:r>
          </w:p>
        </w:tc>
      </w:tr>
      <w:tr>
        <w:trPr>
          <w:trHeight w:val="175"/>
        </w:trPr>
        <w:tc>
          <w:tcPr>
            <w:tcW w:w="6480" w:type="dxa"/>
            <w:vAlign w:val="bottom"/>
          </w:tcPr>
          <w:p>
            <w:pPr>
              <w:spacing w:after="0" w:line="175" w:lineRule="exact"/>
              <w:rPr>
                <w:sz w:val="20"/>
                <w:szCs w:val="20"/>
                <w:color w:val="auto"/>
              </w:rPr>
            </w:pPr>
            <w:r>
              <w:rPr>
                <w:rFonts w:ascii="Arial" w:cs="Arial" w:eastAsia="Arial" w:hAnsi="Arial"/>
                <w:sz w:val="16"/>
                <w:szCs w:val="16"/>
                <w:color w:val="auto"/>
              </w:rPr>
              <w:t>Change in Fair Value from Prior Year-End to Current Year-End of Awards Granted Prior to</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480" w:type="dxa"/>
            <w:vAlign w:val="bottom"/>
          </w:tcPr>
          <w:p>
            <w:pPr>
              <w:ind w:left="160"/>
              <w:spacing w:after="0"/>
              <w:rPr>
                <w:sz w:val="20"/>
                <w:szCs w:val="20"/>
                <w:color w:val="auto"/>
              </w:rPr>
            </w:pPr>
            <w:r>
              <w:rPr>
                <w:rFonts w:ascii="Arial" w:cs="Arial" w:eastAsia="Arial" w:hAnsi="Arial"/>
                <w:sz w:val="16"/>
                <w:szCs w:val="16"/>
                <w:color w:val="auto"/>
              </w:rPr>
              <w:t>Year that were Outstanding and Unvested as of Year-End</w:t>
            </w:r>
          </w:p>
        </w:tc>
        <w:tc>
          <w:tcPr>
            <w:tcW w:w="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(433,020)</w:t>
            </w:r>
          </w:p>
        </w:tc>
        <w:tc>
          <w:tcPr>
            <w:tcW w:w="5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1,024,717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(616,362)</w:t>
            </w:r>
          </w:p>
        </w:tc>
      </w:tr>
      <w:tr>
        <w:trPr>
          <w:trHeight w:val="175"/>
        </w:trPr>
        <w:tc>
          <w:tcPr>
            <w:tcW w:w="648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Change in Fair Value from Prior Year-End to Vesting Date of Awards Granted Prior to Year</w:t>
            </w:r>
          </w:p>
        </w:tc>
        <w:tc>
          <w:tcPr>
            <w:tcW w:w="22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520" w:type="dxa"/>
            <w:vAlign w:val="bottom"/>
            <w:shd w:val="clear" w:color="auto" w:fill="D8D8D8"/>
          </w:tcPr>
          <w:p>
            <w:pPr>
              <w:spacing w:after="0"/>
              <w:rPr>
                <w:sz w:val="15"/>
                <w:szCs w:val="15"/>
                <w:color w:val="auto"/>
              </w:rPr>
            </w:pPr>
          </w:p>
        </w:tc>
        <w:tc>
          <w:tcPr>
            <w:tcW w:w="1260" w:type="dxa"/>
            <w:vAlign w:val="bottom"/>
            <w:shd w:val="clear" w:color="auto" w:fill="D8D8D8"/>
          </w:tcPr>
          <w:p>
            <w:pPr>
              <w:spacing w:after="0"/>
              <w:rPr>
                <w:sz w:val="15"/>
                <w:szCs w:val="15"/>
                <w:color w:val="auto"/>
              </w:rPr>
            </w:pPr>
          </w:p>
        </w:tc>
        <w:tc>
          <w:tcPr>
            <w:tcW w:w="36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r>
      <w:tr>
        <w:trPr>
          <w:trHeight w:val="203"/>
        </w:trPr>
        <w:tc>
          <w:tcPr>
            <w:tcW w:w="64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that Vested During Year</w:t>
            </w:r>
          </w:p>
        </w:tc>
        <w:tc>
          <w:tcPr>
            <w:tcW w:w="500" w:type="dxa"/>
            <w:vAlign w:val="bottom"/>
            <w:gridSpan w:val="2"/>
            <w:shd w:val="clear" w:color="auto" w:fill="D8D8D8"/>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5,263</w:t>
            </w:r>
          </w:p>
        </w:tc>
        <w:tc>
          <w:tcPr>
            <w:tcW w:w="5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149,658</w:t>
            </w:r>
          </w:p>
        </w:tc>
        <w:tc>
          <w:tcPr>
            <w:tcW w:w="360" w:type="dxa"/>
            <w:vAlign w:val="bottom"/>
            <w:shd w:val="clear" w:color="auto" w:fill="D8D8D8"/>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color w:val="auto"/>
              </w:rPr>
              <w:t>(51,710)</w:t>
            </w:r>
          </w:p>
        </w:tc>
      </w:tr>
      <w:tr>
        <w:trPr>
          <w:trHeight w:val="175"/>
        </w:trPr>
        <w:tc>
          <w:tcPr>
            <w:tcW w:w="6480" w:type="dxa"/>
            <w:vAlign w:val="bottom"/>
          </w:tcPr>
          <w:p>
            <w:pPr>
              <w:spacing w:after="0" w:line="175" w:lineRule="exact"/>
              <w:rPr>
                <w:sz w:val="20"/>
                <w:szCs w:val="20"/>
                <w:color w:val="auto"/>
              </w:rPr>
            </w:pPr>
            <w:r>
              <w:rPr>
                <w:rFonts w:ascii="Arial" w:cs="Arial" w:eastAsia="Arial" w:hAnsi="Arial"/>
                <w:sz w:val="16"/>
                <w:szCs w:val="16"/>
                <w:color w:val="auto"/>
              </w:rPr>
              <w:t>Increase based on Dividends or Other Earnings Paid During Year prior to Vesting Date of</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480" w:type="dxa"/>
            <w:vAlign w:val="bottom"/>
          </w:tcPr>
          <w:p>
            <w:pPr>
              <w:ind w:left="160"/>
              <w:spacing w:after="0"/>
              <w:rPr>
                <w:sz w:val="20"/>
                <w:szCs w:val="20"/>
                <w:color w:val="auto"/>
              </w:rPr>
            </w:pPr>
            <w:r>
              <w:rPr>
                <w:rFonts w:ascii="Arial" w:cs="Arial" w:eastAsia="Arial" w:hAnsi="Arial"/>
                <w:sz w:val="16"/>
                <w:szCs w:val="16"/>
                <w:color w:val="auto"/>
              </w:rPr>
              <w:t>Award</w:t>
            </w:r>
          </w:p>
        </w:tc>
        <w:tc>
          <w:tcPr>
            <w:tcW w:w="220" w:type="dxa"/>
            <w:vAlign w:val="bottom"/>
          </w:tcPr>
          <w:p>
            <w:pPr>
              <w:spacing w:after="0"/>
              <w:rPr>
                <w:sz w:val="17"/>
                <w:szCs w:val="17"/>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108,881</w:t>
            </w:r>
          </w:p>
        </w:tc>
        <w:tc>
          <w:tcPr>
            <w:tcW w:w="5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103,048</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60,114</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48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Total Adjustments</w:t>
            </w:r>
          </w:p>
        </w:tc>
        <w:tc>
          <w:tcPr>
            <w:tcW w:w="220" w:type="dxa"/>
            <w:vAlign w:val="bottom"/>
            <w:shd w:val="clear" w:color="auto" w:fill="D8D8D8"/>
          </w:tcPr>
          <w:p>
            <w:pPr>
              <w:spacing w:after="0"/>
              <w:rPr>
                <w:sz w:val="16"/>
                <w:szCs w:val="16"/>
                <w:color w:val="auto"/>
              </w:rPr>
            </w:pPr>
          </w:p>
        </w:tc>
        <w:tc>
          <w:tcPr>
            <w:tcW w:w="280" w:type="dxa"/>
            <w:vAlign w:val="bottom"/>
            <w:shd w:val="clear" w:color="auto" w:fill="D8D8D8"/>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6"/>
                <w:szCs w:val="16"/>
                <w:b w:val="1"/>
                <w:bCs w:val="1"/>
                <w:color w:val="auto"/>
              </w:rPr>
              <w:t>(508,292)</w:t>
            </w:r>
          </w:p>
        </w:tc>
        <w:tc>
          <w:tcPr>
            <w:tcW w:w="520" w:type="dxa"/>
            <w:vAlign w:val="bottom"/>
            <w:shd w:val="clear" w:color="auto" w:fill="D8D8D8"/>
          </w:tcPr>
          <w:p>
            <w:pPr>
              <w:jc w:val="right"/>
              <w:ind w:right="120"/>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D8D8D8"/>
          </w:tcPr>
          <w:p>
            <w:pPr>
              <w:jc w:val="right"/>
              <w:ind w:right="120"/>
              <w:spacing w:after="0"/>
              <w:rPr>
                <w:sz w:val="20"/>
                <w:szCs w:val="20"/>
                <w:color w:val="auto"/>
              </w:rPr>
            </w:pPr>
            <w:r>
              <w:rPr>
                <w:rFonts w:ascii="Arial" w:cs="Arial" w:eastAsia="Arial" w:hAnsi="Arial"/>
                <w:sz w:val="16"/>
                <w:szCs w:val="16"/>
                <w:b w:val="1"/>
                <w:bCs w:val="1"/>
                <w:color w:val="auto"/>
              </w:rPr>
              <w:t>1,043,325</w:t>
            </w:r>
          </w:p>
        </w:tc>
        <w:tc>
          <w:tcPr>
            <w:tcW w:w="360" w:type="dxa"/>
            <w:vAlign w:val="bottom"/>
            <w:shd w:val="clear" w:color="auto" w:fill="D8D8D8"/>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(893,862)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20"/>
          <w:szCs w:val="20"/>
          <w:color w:val="auto"/>
          <w:vertAlign w:val="superscript"/>
        </w:rPr>
      </w:pPr>
      <w:r>
        <w:rPr>
          <w:rFonts w:ascii="Arial" w:cs="Arial" w:eastAsia="Arial" w:hAnsi="Arial"/>
          <w:sz w:val="16"/>
          <w:szCs w:val="16"/>
          <w:color w:val="auto"/>
        </w:rPr>
        <w:t>Peer group is the Bloomberg REIT Shopping Center Index (“BBRESHOP Index”).</w:t>
      </w:r>
    </w:p>
    <w:p>
      <w:pPr>
        <w:jc w:val="both"/>
        <w:ind w:left="540" w:right="20" w:hanging="424"/>
        <w:spacing w:after="0" w:line="239" w:lineRule="auto"/>
        <w:tabs>
          <w:tab w:leader="none" w:pos="540" w:val="left"/>
        </w:tabs>
        <w:numPr>
          <w:ilvl w:val="0"/>
          <w:numId w:val="81"/>
        </w:numPr>
        <w:rPr>
          <w:rFonts w:ascii="Arial" w:cs="Arial" w:eastAsia="Arial" w:hAnsi="Arial"/>
          <w:sz w:val="20"/>
          <w:szCs w:val="20"/>
          <w:color w:val="auto"/>
          <w:vertAlign w:val="superscript"/>
        </w:rPr>
      </w:pPr>
      <w:r>
        <w:rPr>
          <w:rFonts w:ascii="Arial" w:cs="Arial" w:eastAsia="Arial" w:hAnsi="Arial"/>
          <w:sz w:val="16"/>
          <w:szCs w:val="16"/>
          <w:color w:val="auto"/>
        </w:rPr>
        <w:t>The Company has identified FFO per diluted share as the most important additional financial metric used to link pay and performance. Our annual bonus program pays out based on our absolute level of FFO per diluted share achieved for the year and one-third of our long-term incentive plan pays out based on a metric tied to FFO per diluted share. FFO per diluted share is a non-GAAP financial measure of a real estate company’s operating performance and is defined by the National Association of Real Estate Investment Trusts. We consider FFO per diluted share a meaningful measure of operating performance primarily because it avoids the assumption that the value of real estate assets diminishes predictably over time and is a primary way of evaluating our operating performance as compared to other real estate investment trusts. A reconciliation of FFO per diluted share to net income is included as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192405</wp:posOffset>
            </wp:positionV>
            <wp:extent cx="7012305"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301"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37</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to Compensation Actually Paid</w:t>
      </w:r>
    </w:p>
    <w:p>
      <w:pPr>
        <w:spacing w:after="0" w:line="104"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charts show the relationship of the compensation actually paid to our CEO and the average compensation actually paid to our other NEOs to the total shareholder return for the Company and for the BBRESHOP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5229225" cy="1560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2922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hanging="436"/>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Compensation actually paid is shown in thousands.</w:t>
      </w:r>
    </w:p>
    <w:p>
      <w:pPr>
        <w:spacing w:after="0" w:line="216"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charts show the relationship of the compensation actually paid to our CEO and the average compensation actually paid to our other NEOs as compared to our GAAP reported net income and our FFO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5297805" cy="14401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9780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436"/>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Net income is shown in ten thousands.</w:t>
      </w:r>
    </w:p>
    <w:p>
      <w:pPr>
        <w:spacing w:after="0" w:line="21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One of our primary compensation objectives is to align the financial interests of our NEOs with our shareholders. The high correlation shown above between the compensation actually paid to our CEO and other NEOs and the total shareholder return for us and the BBRESHOP Index reflect our success in achieving that objective. This is a direct result of the high percentage of our NEO’s compensation that is paid in the form of Company shares and our equity retention policies which directly align the interests of our NEOs with the interests of our shareholders. There is a less direct correlation between the compensation of our NEOs and our net income because no portion of our compensation program is linked directly to net income. There is also little correlation between the compensation of our NEOs and FFO per diluted share because FFO per diluted share metric is directly used only for our annual bonus plan which is a relatively modest portion of our NEO’s total compensation package and is a component of the calculation that determines only a third of our NEO’s awards under our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188595</wp:posOffset>
            </wp:positionV>
            <wp:extent cx="7012305"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295"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38</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Important Financial Performance Measures for Executive Compensation</w:t>
      </w:r>
    </w:p>
    <w:p>
      <w:pPr>
        <w:spacing w:after="0" w:line="104"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Following is a list of the most important financial and non-financial measures used to link executive compensation and company performance.</w:t>
      </w:r>
    </w:p>
    <w:p>
      <w:pPr>
        <w:spacing w:after="0" w:line="3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 Return on invested capital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 Relative TSR compared to BBRESHOP</w:t>
      </w:r>
    </w:p>
    <w:p>
      <w:pPr>
        <w:ind w:left="560"/>
        <w:spacing w:after="0" w:line="234" w:lineRule="auto"/>
        <w:rPr>
          <w:sz w:val="20"/>
          <w:szCs w:val="20"/>
          <w:color w:val="auto"/>
        </w:rPr>
      </w:pPr>
      <w:r>
        <w:rPr>
          <w:rFonts w:ascii="Arial" w:cs="Arial" w:eastAsia="Arial" w:hAnsi="Arial"/>
          <w:sz w:val="18"/>
          <w:szCs w:val="18"/>
          <w:color w:val="auto"/>
        </w:rPr>
        <w:t>•    Relative FFO multiple premium</w:t>
      </w:r>
    </w:p>
    <w:p>
      <w:pPr>
        <w:spacing w:after="0" w:line="1" w:lineRule="exact"/>
        <w:rPr>
          <w:sz w:val="20"/>
          <w:szCs w:val="20"/>
          <w:color w:val="auto"/>
        </w:rPr>
      </w:pPr>
    </w:p>
    <w:p>
      <w:pPr>
        <w:ind w:left="840" w:hanging="269"/>
        <w:spacing w:after="0" w:line="250" w:lineRule="auto"/>
        <w:rPr>
          <w:sz w:val="20"/>
          <w:szCs w:val="20"/>
          <w:color w:val="auto"/>
        </w:rPr>
      </w:pPr>
      <w:r>
        <w:rPr>
          <w:rFonts w:ascii="Arial" w:cs="Arial" w:eastAsia="Arial" w:hAnsi="Arial"/>
          <w:sz w:val="18"/>
          <w:szCs w:val="18"/>
          <w:color w:val="auto"/>
        </w:rPr>
        <w:t>•   Individual performance including consideration of things such as leasing and occupancy activity, investment activity and advancement of ESG objectives</w:t>
      </w:r>
    </w:p>
    <w:p>
      <w:pPr>
        <w:spacing w:after="0" w:line="17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Please see the Compensation Discussion and Analysis on pages 19 to 29 for more information on these measures and how they are taken into account in determining compensation for each of our NEOs.</w:t>
      </w:r>
    </w:p>
    <w:p>
      <w:pPr>
        <w:spacing w:after="0" w:line="154" w:lineRule="exact"/>
        <w:rPr>
          <w:sz w:val="20"/>
          <w:szCs w:val="20"/>
          <w:color w:val="auto"/>
        </w:rPr>
      </w:pPr>
    </w:p>
    <w:p>
      <w:pPr>
        <w:ind w:left="460" w:hanging="344"/>
        <w:spacing w:after="0"/>
        <w:tabs>
          <w:tab w:leader="none" w:pos="460" w:val="left"/>
        </w:tabs>
        <w:numPr>
          <w:ilvl w:val="0"/>
          <w:numId w:val="84"/>
        </w:numPr>
        <w:rPr>
          <w:rFonts w:ascii="MS PGothic" w:cs="MS PGothic" w:eastAsia="MS PGothic" w:hAnsi="MS PGothic"/>
          <w:sz w:val="18"/>
          <w:szCs w:val="18"/>
          <w:color w:val="auto"/>
          <w:shd w:val="clear" w:color="auto" w:fill="FF160F"/>
        </w:rPr>
      </w:pPr>
      <w:r>
        <w:rPr>
          <w:rFonts w:ascii="Arial" w:cs="Arial" w:eastAsia="Arial" w:hAnsi="Arial"/>
          <w:sz w:val="18"/>
          <w:szCs w:val="18"/>
          <w:b w:val="1"/>
          <w:bCs w:val="1"/>
          <w:color w:val="FF160F"/>
        </w:rPr>
        <w:t>EQUITY COMPENSATION PLAN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on our only active equity compensation plan as of December 31, 2022.</w:t>
      </w:r>
    </w:p>
    <w:p>
      <w:pPr>
        <w:spacing w:after="0" w:line="200" w:lineRule="exact"/>
        <w:rPr>
          <w:sz w:val="20"/>
          <w:szCs w:val="20"/>
          <w:color w:val="auto"/>
        </w:rPr>
      </w:pPr>
    </w:p>
    <w:p>
      <w:pPr>
        <w:spacing w:after="0" w:line="238" w:lineRule="exact"/>
        <w:rPr>
          <w:sz w:val="20"/>
          <w:szCs w:val="20"/>
          <w:color w:val="auto"/>
        </w:rPr>
      </w:pPr>
    </w:p>
    <w:tbl>
      <w:tblPr>
        <w:tblLayout w:type="fixed"/>
        <w:tblInd w:w="110" w:type="dxa"/>
        <w:tblCellMar>
          <w:top w:w="0" w:type="dxa"/>
          <w:left w:w="0" w:type="dxa"/>
          <w:bottom w:w="0" w:type="dxa"/>
          <w:right w:w="0" w:type="dxa"/>
        </w:tblCellMar>
      </w:tblPr>
      <w:tr>
        <w:trPr>
          <w:trHeight w:val="161"/>
        </w:trPr>
        <w:tc>
          <w:tcPr>
            <w:tcW w:w="458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Number of securities</w:t>
            </w:r>
          </w:p>
        </w:tc>
        <w:tc>
          <w:tcPr>
            <w:tcW w:w="520" w:type="dxa"/>
            <w:vAlign w:val="bottom"/>
            <w:shd w:val="clear" w:color="auto" w:fill="FF160F"/>
          </w:tcPr>
          <w:p>
            <w:pPr>
              <w:spacing w:after="0"/>
              <w:rPr>
                <w:sz w:val="14"/>
                <w:szCs w:val="14"/>
                <w:color w:val="auto"/>
              </w:rPr>
            </w:pPr>
          </w:p>
        </w:tc>
        <w:tc>
          <w:tcPr>
            <w:tcW w:w="1400" w:type="dxa"/>
            <w:vAlign w:val="bottom"/>
            <w:shd w:val="clear" w:color="auto" w:fill="FF160F"/>
          </w:tcPr>
          <w:p>
            <w:pPr>
              <w:spacing w:after="0"/>
              <w:rPr>
                <w:sz w:val="14"/>
                <w:szCs w:val="14"/>
                <w:color w:val="auto"/>
              </w:rPr>
            </w:pPr>
          </w:p>
        </w:tc>
        <w:tc>
          <w:tcPr>
            <w:tcW w:w="2040" w:type="dxa"/>
            <w:vAlign w:val="bottom"/>
            <w:tcBorders>
              <w:right w:val="single" w:sz="8" w:color="FF160F"/>
            </w:tcBorders>
            <w:shd w:val="clear" w:color="auto" w:fill="FF160F"/>
          </w:tcPr>
          <w:p>
            <w:pPr>
              <w:spacing w:after="0"/>
              <w:rPr>
                <w:sz w:val="14"/>
                <w:szCs w:val="14"/>
                <w:color w:val="auto"/>
              </w:rPr>
            </w:pPr>
          </w:p>
        </w:tc>
      </w:tr>
      <w:tr>
        <w:trPr>
          <w:trHeight w:val="162"/>
        </w:trPr>
        <w:tc>
          <w:tcPr>
            <w:tcW w:w="458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to be issued upon</w:t>
            </w:r>
          </w:p>
        </w:tc>
        <w:tc>
          <w:tcPr>
            <w:tcW w:w="192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2040" w:type="dxa"/>
            <w:vAlign w:val="bottom"/>
            <w:tcBorders>
              <w:right w:val="single" w:sz="8" w:color="FF160F"/>
            </w:tcBorders>
            <w:shd w:val="clear" w:color="auto" w:fill="FF160F"/>
          </w:tcPr>
          <w:p>
            <w:pPr>
              <w:jc w:val="center"/>
              <w:ind w:left="305"/>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458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exercise of</w:t>
            </w:r>
          </w:p>
        </w:tc>
        <w:tc>
          <w:tcPr>
            <w:tcW w:w="192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040" w:type="dxa"/>
            <w:vAlign w:val="bottom"/>
            <w:tcBorders>
              <w:right w:val="single" w:sz="8" w:color="FF160F"/>
            </w:tcBorders>
            <w:shd w:val="clear" w:color="auto" w:fill="FF160F"/>
          </w:tcPr>
          <w:p>
            <w:pPr>
              <w:jc w:val="center"/>
              <w:ind w:left="305"/>
              <w:spacing w:after="0"/>
              <w:rPr>
                <w:sz w:val="20"/>
                <w:szCs w:val="20"/>
                <w:color w:val="auto"/>
              </w:rPr>
            </w:pPr>
            <w:r>
              <w:rPr>
                <w:rFonts w:ascii="Arial" w:cs="Arial" w:eastAsia="Arial" w:hAnsi="Arial"/>
                <w:sz w:val="14"/>
                <w:szCs w:val="14"/>
                <w:b w:val="1"/>
                <w:bCs w:val="1"/>
                <w:color w:val="FFFFFF"/>
              </w:rPr>
              <w:t>remaining available</w:t>
            </w:r>
          </w:p>
        </w:tc>
      </w:tr>
      <w:tr>
        <w:trPr>
          <w:trHeight w:val="162"/>
        </w:trPr>
        <w:tc>
          <w:tcPr>
            <w:tcW w:w="458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outstanding options,</w:t>
            </w:r>
          </w:p>
        </w:tc>
        <w:tc>
          <w:tcPr>
            <w:tcW w:w="520" w:type="dxa"/>
            <w:vAlign w:val="bottom"/>
            <w:shd w:val="clear" w:color="auto" w:fill="FF160F"/>
          </w:tcPr>
          <w:p>
            <w:pPr>
              <w:spacing w:after="0"/>
              <w:rPr>
                <w:sz w:val="14"/>
                <w:szCs w:val="14"/>
                <w:color w:val="auto"/>
              </w:rPr>
            </w:pPr>
          </w:p>
        </w:tc>
        <w:tc>
          <w:tcPr>
            <w:tcW w:w="1400" w:type="dxa"/>
            <w:vAlign w:val="bottom"/>
            <w:shd w:val="clear" w:color="auto" w:fill="FF160F"/>
          </w:tcPr>
          <w:p>
            <w:pPr>
              <w:jc w:val="center"/>
              <w:ind w:right="384"/>
              <w:spacing w:after="0"/>
              <w:rPr>
                <w:sz w:val="20"/>
                <w:szCs w:val="20"/>
                <w:color w:val="auto"/>
              </w:rPr>
            </w:pPr>
            <w:r>
              <w:rPr>
                <w:rFonts w:ascii="Arial" w:cs="Arial" w:eastAsia="Arial" w:hAnsi="Arial"/>
                <w:sz w:val="14"/>
                <w:szCs w:val="14"/>
                <w:b w:val="1"/>
                <w:bCs w:val="1"/>
                <w:color w:val="FFFFFF"/>
              </w:rPr>
              <w:t>outstanding</w:t>
            </w:r>
          </w:p>
        </w:tc>
        <w:tc>
          <w:tcPr>
            <w:tcW w:w="2040" w:type="dxa"/>
            <w:vAlign w:val="bottom"/>
            <w:tcBorders>
              <w:right w:val="single" w:sz="8" w:color="FF160F"/>
            </w:tcBorders>
            <w:shd w:val="clear" w:color="auto" w:fill="FF160F"/>
          </w:tcPr>
          <w:p>
            <w:pPr>
              <w:jc w:val="center"/>
              <w:ind w:left="305"/>
              <w:spacing w:after="0"/>
              <w:rPr>
                <w:sz w:val="20"/>
                <w:szCs w:val="20"/>
                <w:color w:val="auto"/>
              </w:rPr>
            </w:pPr>
            <w:r>
              <w:rPr>
                <w:rFonts w:ascii="Arial" w:cs="Arial" w:eastAsia="Arial" w:hAnsi="Arial"/>
                <w:sz w:val="14"/>
                <w:szCs w:val="14"/>
                <w:b w:val="1"/>
                <w:bCs w:val="1"/>
                <w:color w:val="FFFFFF"/>
              </w:rPr>
              <w:t>for future issuance</w:t>
            </w:r>
          </w:p>
        </w:tc>
      </w:tr>
      <w:tr>
        <w:trPr>
          <w:trHeight w:val="162"/>
        </w:trPr>
        <w:tc>
          <w:tcPr>
            <w:tcW w:w="4580" w:type="dxa"/>
            <w:vAlign w:val="bottom"/>
            <w:tcBorders>
              <w:left w:val="single" w:sz="8" w:color="FF160F"/>
            </w:tcBorders>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warrants and rights</w:t>
            </w:r>
          </w:p>
        </w:tc>
        <w:tc>
          <w:tcPr>
            <w:tcW w:w="1920" w:type="dxa"/>
            <w:vAlign w:val="bottom"/>
            <w:gridSpan w:val="2"/>
            <w:shd w:val="clear" w:color="auto" w:fill="FF160F"/>
          </w:tcPr>
          <w:p>
            <w:pPr>
              <w:jc w:val="center"/>
              <w:ind w:left="4"/>
              <w:spacing w:after="0"/>
              <w:rPr>
                <w:sz w:val="20"/>
                <w:szCs w:val="20"/>
                <w:color w:val="auto"/>
              </w:rPr>
            </w:pPr>
            <w:r>
              <w:rPr>
                <w:rFonts w:ascii="Arial" w:cs="Arial" w:eastAsia="Arial" w:hAnsi="Arial"/>
                <w:sz w:val="14"/>
                <w:szCs w:val="14"/>
                <w:b w:val="1"/>
                <w:bCs w:val="1"/>
                <w:color w:val="FFFFFF"/>
              </w:rPr>
              <w:t>options, warrants</w:t>
            </w:r>
          </w:p>
        </w:tc>
        <w:tc>
          <w:tcPr>
            <w:tcW w:w="2040" w:type="dxa"/>
            <w:vAlign w:val="bottom"/>
            <w:tcBorders>
              <w:right w:val="single" w:sz="8" w:color="FF160F"/>
            </w:tcBorders>
            <w:shd w:val="clear" w:color="auto" w:fill="FF160F"/>
          </w:tcPr>
          <w:p>
            <w:pPr>
              <w:jc w:val="center"/>
              <w:ind w:left="305"/>
              <w:spacing w:after="0"/>
              <w:rPr>
                <w:sz w:val="20"/>
                <w:szCs w:val="20"/>
                <w:color w:val="auto"/>
              </w:rPr>
            </w:pPr>
            <w:r>
              <w:rPr>
                <w:rFonts w:ascii="Arial" w:cs="Arial" w:eastAsia="Arial" w:hAnsi="Arial"/>
                <w:sz w:val="14"/>
                <w:szCs w:val="14"/>
                <w:b w:val="1"/>
                <w:bCs w:val="1"/>
                <w:color w:val="FFFFFF"/>
              </w:rPr>
              <w:t>(excluding securities</w:t>
            </w:r>
          </w:p>
        </w:tc>
      </w:tr>
      <w:tr>
        <w:trPr>
          <w:trHeight w:val="171"/>
        </w:trPr>
        <w:tc>
          <w:tcPr>
            <w:tcW w:w="4580" w:type="dxa"/>
            <w:vAlign w:val="bottom"/>
            <w:tcBorders>
              <w:left w:val="single" w:sz="8" w:color="FF160F"/>
            </w:tcBorders>
            <w:shd w:val="clear" w:color="auto" w:fill="FF160F"/>
          </w:tcPr>
          <w:p>
            <w:pPr>
              <w:ind w:left="20"/>
              <w:spacing w:after="0"/>
              <w:rPr>
                <w:sz w:val="20"/>
                <w:szCs w:val="20"/>
                <w:color w:val="auto"/>
              </w:rPr>
            </w:pPr>
            <w:r>
              <w:rPr>
                <w:rFonts w:ascii="Arial" w:cs="Arial" w:eastAsia="Arial" w:hAnsi="Arial"/>
                <w:sz w:val="14"/>
                <w:szCs w:val="14"/>
                <w:b w:val="1"/>
                <w:bCs w:val="1"/>
                <w:color w:val="FFFFFF"/>
              </w:rPr>
              <w:t>Plan Category</w:t>
            </w: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(Column A)</w:t>
            </w:r>
          </w:p>
        </w:tc>
        <w:tc>
          <w:tcPr>
            <w:tcW w:w="520" w:type="dxa"/>
            <w:vAlign w:val="bottom"/>
            <w:shd w:val="clear" w:color="auto" w:fill="FF160F"/>
          </w:tcPr>
          <w:p>
            <w:pPr>
              <w:spacing w:after="0"/>
              <w:rPr>
                <w:sz w:val="14"/>
                <w:szCs w:val="14"/>
                <w:color w:val="auto"/>
              </w:rPr>
            </w:pPr>
          </w:p>
        </w:tc>
        <w:tc>
          <w:tcPr>
            <w:tcW w:w="1400" w:type="dxa"/>
            <w:vAlign w:val="bottom"/>
            <w:shd w:val="clear" w:color="auto" w:fill="FF160F"/>
          </w:tcPr>
          <w:p>
            <w:pPr>
              <w:jc w:val="center"/>
              <w:ind w:right="384"/>
              <w:spacing w:after="0"/>
              <w:rPr>
                <w:sz w:val="20"/>
                <w:szCs w:val="20"/>
                <w:color w:val="auto"/>
              </w:rPr>
            </w:pPr>
            <w:r>
              <w:rPr>
                <w:rFonts w:ascii="Arial" w:cs="Arial" w:eastAsia="Arial" w:hAnsi="Arial"/>
                <w:sz w:val="14"/>
                <w:szCs w:val="14"/>
                <w:b w:val="1"/>
                <w:bCs w:val="1"/>
                <w:color w:val="FFFFFF"/>
              </w:rPr>
              <w:t>and rights</w:t>
            </w:r>
          </w:p>
        </w:tc>
        <w:tc>
          <w:tcPr>
            <w:tcW w:w="2040" w:type="dxa"/>
            <w:vAlign w:val="bottom"/>
            <w:tcBorders>
              <w:right w:val="single" w:sz="8" w:color="FF160F"/>
            </w:tcBorders>
            <w:shd w:val="clear" w:color="auto" w:fill="FF160F"/>
          </w:tcPr>
          <w:p>
            <w:pPr>
              <w:jc w:val="center"/>
              <w:ind w:left="305"/>
              <w:spacing w:after="0"/>
              <w:rPr>
                <w:sz w:val="20"/>
                <w:szCs w:val="20"/>
                <w:color w:val="auto"/>
              </w:rPr>
            </w:pPr>
            <w:r>
              <w:rPr>
                <w:rFonts w:ascii="Arial" w:cs="Arial" w:eastAsia="Arial" w:hAnsi="Arial"/>
                <w:sz w:val="14"/>
                <w:szCs w:val="14"/>
                <w:b w:val="1"/>
                <w:bCs w:val="1"/>
                <w:color w:val="FFFFFF"/>
              </w:rPr>
              <w:t>reflected in Column A)</w:t>
            </w:r>
          </w:p>
        </w:tc>
      </w:tr>
      <w:tr>
        <w:trPr>
          <w:trHeight w:val="175"/>
        </w:trPr>
        <w:tc>
          <w:tcPr>
            <w:tcW w:w="4580" w:type="dxa"/>
            <w:vAlign w:val="bottom"/>
            <w:tcBorders>
              <w:left w:val="single" w:sz="8" w:color="D8D8D8"/>
            </w:tcBorders>
            <w:shd w:val="clear" w:color="auto" w:fill="D8D8D8"/>
          </w:tcPr>
          <w:p>
            <w:pPr>
              <w:ind w:left="20"/>
              <w:spacing w:after="0" w:line="175" w:lineRule="exact"/>
              <w:rPr>
                <w:sz w:val="20"/>
                <w:szCs w:val="20"/>
                <w:color w:val="auto"/>
              </w:rPr>
            </w:pPr>
            <w:r>
              <w:rPr>
                <w:rFonts w:ascii="Arial" w:cs="Arial" w:eastAsia="Arial" w:hAnsi="Arial"/>
                <w:sz w:val="16"/>
                <w:szCs w:val="16"/>
                <w:color w:val="auto"/>
              </w:rPr>
              <w:t>Equity compensation plans approved by security holders</w:t>
            </w:r>
          </w:p>
        </w:tc>
        <w:tc>
          <w:tcPr>
            <w:tcW w:w="2500" w:type="dxa"/>
            <w:vAlign w:val="bottom"/>
          </w:tcPr>
          <w:p>
            <w:pPr>
              <w:jc w:val="right"/>
              <w:ind w:right="285"/>
              <w:spacing w:after="0" w:line="175" w:lineRule="exact"/>
              <w:rPr>
                <w:sz w:val="20"/>
                <w:szCs w:val="20"/>
                <w:color w:val="auto"/>
              </w:rPr>
            </w:pPr>
            <w:r>
              <w:rPr>
                <w:rFonts w:ascii="Arial" w:cs="Arial" w:eastAsia="Arial" w:hAnsi="Arial"/>
                <w:sz w:val="16"/>
                <w:szCs w:val="16"/>
                <w:color w:val="auto"/>
              </w:rPr>
              <w:t>1,829</w:t>
            </w:r>
          </w:p>
        </w:tc>
        <w:tc>
          <w:tcPr>
            <w:tcW w:w="5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224"/>
              <w:spacing w:after="0" w:line="175" w:lineRule="exact"/>
              <w:rPr>
                <w:sz w:val="20"/>
                <w:szCs w:val="20"/>
                <w:color w:val="auto"/>
              </w:rPr>
            </w:pPr>
            <w:r>
              <w:rPr>
                <w:rFonts w:ascii="Arial" w:cs="Arial" w:eastAsia="Arial" w:hAnsi="Arial"/>
                <w:sz w:val="16"/>
                <w:szCs w:val="16"/>
                <w:color w:val="auto"/>
              </w:rPr>
              <w:t>95.77</w:t>
            </w:r>
          </w:p>
        </w:tc>
        <w:tc>
          <w:tcPr>
            <w:tcW w:w="2040" w:type="dxa"/>
            <w:vAlign w:val="bottom"/>
          </w:tcPr>
          <w:p>
            <w:pPr>
              <w:jc w:val="right"/>
              <w:spacing w:after="0" w:line="175" w:lineRule="exact"/>
              <w:rPr>
                <w:sz w:val="20"/>
                <w:szCs w:val="20"/>
                <w:color w:val="auto"/>
              </w:rPr>
            </w:pPr>
            <w:r>
              <w:rPr>
                <w:rFonts w:ascii="Arial" w:cs="Arial" w:eastAsia="Arial" w:hAnsi="Arial"/>
                <w:sz w:val="16"/>
                <w:szCs w:val="16"/>
                <w:color w:val="auto"/>
              </w:rPr>
              <w:t>1,455,029</w:t>
            </w:r>
          </w:p>
        </w:tc>
      </w:tr>
      <w:tr>
        <w:trPr>
          <w:trHeight w:val="203"/>
        </w:trPr>
        <w:tc>
          <w:tcPr>
            <w:tcW w:w="4580" w:type="dxa"/>
            <w:vAlign w:val="bottom"/>
            <w:tcBorders>
              <w:left w:val="single" w:sz="8" w:color="D8D8D8"/>
              <w:bottom w:val="single" w:sz="8" w:color="auto"/>
            </w:tcBorders>
            <w:shd w:val="clear" w:color="auto" w:fill="D8D8D8"/>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25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580" w:type="dxa"/>
            <w:vAlign w:val="bottom"/>
            <w:tcBorders>
              <w:left w:val="single" w:sz="8" w:color="D8D8D8"/>
            </w:tcBorders>
            <w:shd w:val="clear" w:color="auto" w:fill="D8D8D8"/>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2500" w:type="dxa"/>
            <w:vAlign w:val="bottom"/>
          </w:tcPr>
          <w:p>
            <w:pPr>
              <w:jc w:val="right"/>
              <w:ind w:right="285"/>
              <w:spacing w:after="0" w:line="183" w:lineRule="exact"/>
              <w:rPr>
                <w:sz w:val="20"/>
                <w:szCs w:val="20"/>
                <w:color w:val="auto"/>
              </w:rPr>
            </w:pPr>
            <w:r>
              <w:rPr>
                <w:rFonts w:ascii="Arial" w:cs="Arial" w:eastAsia="Arial" w:hAnsi="Arial"/>
                <w:sz w:val="16"/>
                <w:szCs w:val="16"/>
                <w:b w:val="1"/>
                <w:bCs w:val="1"/>
                <w:color w:val="auto"/>
              </w:rPr>
              <w:t>1,829</w:t>
            </w:r>
          </w:p>
        </w:tc>
        <w:tc>
          <w:tcPr>
            <w:tcW w:w="5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224"/>
              <w:spacing w:after="0" w:line="183" w:lineRule="exact"/>
              <w:rPr>
                <w:sz w:val="20"/>
                <w:szCs w:val="20"/>
                <w:color w:val="auto"/>
              </w:rPr>
            </w:pPr>
            <w:r>
              <w:rPr>
                <w:rFonts w:ascii="Arial" w:cs="Arial" w:eastAsia="Arial" w:hAnsi="Arial"/>
                <w:sz w:val="16"/>
                <w:szCs w:val="16"/>
                <w:b w:val="1"/>
                <w:bCs w:val="1"/>
                <w:color w:val="auto"/>
              </w:rPr>
              <w:t>95.77</w:t>
            </w:r>
          </w:p>
        </w:tc>
        <w:tc>
          <w:tcPr>
            <w:tcW w:w="2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1,455,029</w:t>
            </w:r>
          </w:p>
        </w:tc>
      </w:tr>
      <w:tr>
        <w:trPr>
          <w:trHeight w:val="318"/>
        </w:trPr>
        <w:tc>
          <w:tcPr>
            <w:tcW w:w="4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169"/>
        </w:trPr>
        <w:tc>
          <w:tcPr>
            <w:tcW w:w="4580" w:type="dxa"/>
            <w:vAlign w:val="bottom"/>
            <w:tcBorders>
              <w:left w:val="single" w:sz="8" w:color="auto"/>
              <w:bottom w:val="single" w:sz="8" w:color="auto"/>
            </w:tcBorders>
            <w:shd w:val="clear" w:color="auto" w:fill="EAEFED"/>
          </w:tcPr>
          <w:p>
            <w:pPr>
              <w:spacing w:after="0"/>
              <w:rPr>
                <w:sz w:val="14"/>
                <w:szCs w:val="14"/>
                <w:color w:val="auto"/>
              </w:rPr>
            </w:pPr>
          </w:p>
        </w:tc>
        <w:tc>
          <w:tcPr>
            <w:tcW w:w="2500" w:type="dxa"/>
            <w:vAlign w:val="bottom"/>
            <w:tcBorders>
              <w:bottom w:val="single" w:sz="8" w:color="auto"/>
            </w:tcBorders>
            <w:shd w:val="clear" w:color="auto" w:fill="EAEFED"/>
          </w:tcPr>
          <w:p>
            <w:pPr>
              <w:spacing w:after="0"/>
              <w:rPr>
                <w:sz w:val="14"/>
                <w:szCs w:val="14"/>
                <w:color w:val="auto"/>
              </w:rPr>
            </w:pPr>
          </w:p>
        </w:tc>
        <w:tc>
          <w:tcPr>
            <w:tcW w:w="520" w:type="dxa"/>
            <w:vAlign w:val="bottom"/>
            <w:tcBorders>
              <w:bottom w:val="single" w:sz="8" w:color="auto"/>
            </w:tcBorders>
            <w:shd w:val="clear" w:color="auto" w:fill="EAEFED"/>
          </w:tcPr>
          <w:p>
            <w:pPr>
              <w:spacing w:after="0"/>
              <w:rPr>
                <w:sz w:val="14"/>
                <w:szCs w:val="14"/>
                <w:color w:val="auto"/>
              </w:rPr>
            </w:pPr>
          </w:p>
        </w:tc>
        <w:tc>
          <w:tcPr>
            <w:tcW w:w="1400" w:type="dxa"/>
            <w:vAlign w:val="bottom"/>
            <w:tcBorders>
              <w:bottom w:val="single" w:sz="8" w:color="auto"/>
            </w:tcBorders>
            <w:shd w:val="clear" w:color="auto" w:fill="EAEFED"/>
          </w:tcPr>
          <w:p>
            <w:pPr>
              <w:jc w:val="right"/>
              <w:ind w:right="84"/>
              <w:spacing w:after="0"/>
              <w:rPr>
                <w:sz w:val="20"/>
                <w:szCs w:val="20"/>
                <w:color w:val="auto"/>
              </w:rPr>
            </w:pPr>
            <w:r>
              <w:rPr>
                <w:rFonts w:ascii="Arial" w:cs="Arial" w:eastAsia="Arial" w:hAnsi="Arial"/>
                <w:sz w:val="14"/>
                <w:szCs w:val="14"/>
                <w:color w:val="FF160F"/>
              </w:rPr>
              <w:t>Federal Realty</w:t>
            </w:r>
          </w:p>
        </w:tc>
        <w:tc>
          <w:tcPr>
            <w:tcW w:w="2040" w:type="dxa"/>
            <w:vAlign w:val="bottom"/>
            <w:tcBorders>
              <w:bottom w:val="single" w:sz="8" w:color="auto"/>
              <w:right w:val="single" w:sz="8" w:color="auto"/>
            </w:tcBorders>
            <w:shd w:val="clear" w:color="auto" w:fill="EAEFED"/>
          </w:tcPr>
          <w:p>
            <w:pPr>
              <w:jc w:val="right"/>
              <w:ind w:right="45"/>
              <w:spacing w:after="0"/>
              <w:rPr>
                <w:sz w:val="20"/>
                <w:szCs w:val="20"/>
                <w:color w:val="auto"/>
              </w:rPr>
            </w:pPr>
            <w:r>
              <w:rPr>
                <w:rFonts w:ascii="Arial" w:cs="Arial" w:eastAsia="Arial" w:hAnsi="Arial"/>
                <w:sz w:val="14"/>
                <w:szCs w:val="14"/>
                <w:color w:val="auto"/>
              </w:rPr>
              <w:t>2023 Proxy Statement  39</w:t>
            </w:r>
          </w:p>
        </w:tc>
      </w:tr>
    </w:tbl>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Proposal 3: Approving Frequency of Say on Pay Vote</w:t>
      </w:r>
    </w:p>
    <w:p>
      <w:pPr>
        <w:spacing w:after="0" w:line="237"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You are being asked to vote, on an advisory, non-binding basis, how frequently we should conduct a non-binding shareholder advisory vote on the compensation of our NEOs. You can choose to hold that vote every one, two or three years or you can abstain from voting on this proposal. At our 2017 annual meeting, approximately 85% of the votes cast voted in favor of holding the say on pay vote annually. The Board recommends that shareholders again vote in favor of holding the say on pay vote annually. An “abstention” or broker “non-vote” will have no effect on the outcome of the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858000" cy="6261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00" cy="62611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 xml:space="preserve">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an annual say on pay vote</w:t>
      </w:r>
    </w:p>
    <w:p>
      <w:pPr>
        <w:spacing w:after="0" w:line="200" w:lineRule="exact"/>
        <w:rPr>
          <w:sz w:val="20"/>
          <w:szCs w:val="20"/>
          <w:color w:val="auto"/>
        </w:rPr>
      </w:pPr>
    </w:p>
    <w:p>
      <w:pPr>
        <w:spacing w:after="0" w:line="369"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frequency for holding an advisory vote on the compensation of our NEOs requires the affirmative vote of a majority of votes cast at the Annual Meeting, in person or by proxy. If no frequency option receives the foregoing vote, then we will consider the option that receives the highest number of votes cast to be the frequency recommended by shareholders. Please note that when casting a vote on this proposal, you will not be voting to approve or disapprove the Board of Trustees’ recommendation and even though this vote is not binding on the Compensation Committee, the Board and the Compensation Committee value the opinions of our shareholders and will review the results of this vote and take them into consideration in determining how often to conduct the shareholder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197485</wp:posOffset>
            </wp:positionV>
            <wp:extent cx="699516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56" w:lineRule="exact"/>
        <w:rPr>
          <w:sz w:val="20"/>
          <w:szCs w:val="20"/>
          <w:color w:val="auto"/>
        </w:rPr>
      </w:pPr>
    </w:p>
    <w:p>
      <w:pPr>
        <w:ind w:left="220" w:right="20"/>
        <w:spacing w:after="0" w:line="298" w:lineRule="auto"/>
        <w:rPr>
          <w:sz w:val="20"/>
          <w:szCs w:val="20"/>
          <w:color w:val="auto"/>
        </w:rPr>
      </w:pPr>
      <w:r>
        <w:rPr>
          <w:rFonts w:ascii="Arial" w:cs="Arial" w:eastAsia="Arial" w:hAnsi="Arial"/>
          <w:sz w:val="32"/>
          <w:szCs w:val="32"/>
          <w:b w:val="1"/>
          <w:bCs w:val="1"/>
          <w:color w:val="auto"/>
        </w:rPr>
        <w:t>Proposal 4: Declaration of Trust Amendment to Increase Authorized Common Shares</w:t>
      </w:r>
    </w:p>
    <w:p>
      <w:pPr>
        <w:spacing w:after="0" w:line="70"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color w:val="auto"/>
        </w:rPr>
        <w:t>You are being asked to vote, on an advisory, non-binding basis, on amending our Declaration of Trust to increase the Company’s number of authorized Common Shares from 100 million to 200 million. As permitted under Maryland law, Section 6.1 of our Declaration of Trust allows our Board, without any action by our shareholders, to amend the Declaration of Trust to increase the aggregate number of Common Shares the Company has the authority to issue. Given the importance of the Company’s capital structure to the value of our shareholders’ investment, the Board believes it is appropriate to solicit feedback from our shareholders in connection with such an amendment.</w:t>
      </w:r>
    </w:p>
    <w:p>
      <w:pPr>
        <w:spacing w:after="0" w:line="16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As of March 13, 2023, 81,511,030 of our Common Shares were issued and outstanding. In addition, an aggregate of approximately 2.85 million Common Shares are: (a) subject to outstanding equity awards, which include restricted shares, restricted share units, performance shares and options; and (b) reserved for future issuance in connection with the 2020 Performance Incentive Plan, the 2007 Employee Share Purchase Plan, the Dividend Reinvestment and Share Purchase Plan, conversion of our 5.417% Series 1 Cumulative Convertible Preferred Shares of Beneficial Interest, redemptions of downREIT units and our current at-the-market offering program.</w:t>
      </w:r>
    </w:p>
    <w:p>
      <w:pPr>
        <w:spacing w:after="0" w:line="17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Board has determined that it is advisable and in the best interests of the Company and our shareholders to amend our Declaration of Trust in order to have available on a timely basis additional authorized but unissued Common Shares in an amount adequate to provide for our future needs, which may include possible equity financings, opportunities for expanding our business through acquisitions, development or other investments, management incentives and employee benefit plans, stock dividends or stock splits, and for other general corporate purposes. The increase in our authorized Common Shares will become effective upon the filing of the Articles of Amendment to our Declaration of Trust with, and acceptance for record by, the Maryland State Department of Assessments and Taxation. To maintain our status as a real estate investment trust, we are required to distribute annually at least 90% of our taxable income as dividends to our shareholders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83185</wp:posOffset>
            </wp:positionV>
            <wp:extent cx="701230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9"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40</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historically, our policy has been to distribute 100% of our taxable income. Without the ability to retain a significant amount of working capital generated by our operations, we have to access both the debt and equity capital markets on a regular basis to fund the investment activities that are critical to increasing the value of the Company over time. If we do not increase the number of authorized common shares, we may limit our ability to make the investments needed to create long-term value. The authorized number of Common Shares under our Declaration of Trust has not been changed since 1999.</w:t>
      </w:r>
    </w:p>
    <w:p>
      <w:pPr>
        <w:spacing w:after="0" w:line="17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Company’s issuance of Common Shares may dilute the equity ownership position of current holders of Common Shares and may be made without shareholder approval, unless otherwise required by applicable law or the NYSE.</w:t>
      </w:r>
    </w:p>
    <w:p>
      <w:pPr>
        <w:spacing w:after="0" w:line="15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issuance of additional Common Shares could have a takeover defense effect, although this is not the intent of our Board in proposing the amendment. For instance, shares of our authorized but unissued Common Shares could be issued in one or more transactions that could have the effect of delaying, deferring or preventing a change in control of our Company. As of the date of this Proxy Statement, we are not aware of any attempt or plan to obtain control of us.</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holders of Common Shares of beneficial interest have no preemptive rights, and our Board has no plans to grant such rights with respect to any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858000" cy="6261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00" cy="626110"/>
                    </a:xfrm>
                    <a:prstGeom prst="rect">
                      <a:avLst/>
                    </a:prstGeom>
                    <a:noFill/>
                  </pic:spPr>
                </pic:pic>
              </a:graphicData>
            </a:graphic>
          </wp:anchor>
        </w:drawing>
      </w:r>
    </w:p>
    <w:p>
      <w:pPr>
        <w:spacing w:after="0" w:line="357" w:lineRule="exact"/>
        <w:rPr>
          <w:sz w:val="20"/>
          <w:szCs w:val="20"/>
          <w:color w:val="auto"/>
        </w:rPr>
      </w:pPr>
    </w:p>
    <w:p>
      <w:pPr>
        <w:ind w:left="1180" w:right="380"/>
        <w:spacing w:after="0" w:line="286" w:lineRule="auto"/>
        <w:rPr>
          <w:sz w:val="20"/>
          <w:szCs w:val="20"/>
          <w:color w:val="auto"/>
        </w:rPr>
      </w:pPr>
      <w:r>
        <w:rPr>
          <w:rFonts w:ascii="Arial" w:cs="Arial" w:eastAsia="Arial" w:hAnsi="Arial"/>
          <w:sz w:val="25"/>
          <w:szCs w:val="25"/>
          <w:color w:val="auto"/>
        </w:rPr>
        <w:t xml:space="preserve">Our Board unanimously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the non-binding, advisory approval of an amendment to increase the number of authorized Common Shares</w:t>
      </w:r>
    </w:p>
    <w:p>
      <w:pPr>
        <w:spacing w:after="0" w:line="31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Although this vote is not binding on the Board, the Board values the opinions of our shareholders and will consider the results of this vote. In the event our shareholders do not approve this amendment to increase our authorized Common Shares, the Board may delay effecting the amendment, effect a different amendment, or, in its discretion, proceed with the amendment as proposed if it determines that it is necessary or appropriate to do so.</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25" w:lineRule="exact"/>
        <w:rPr>
          <w:sz w:val="20"/>
          <w:szCs w:val="20"/>
          <w:color w:val="auto"/>
        </w:rPr>
      </w:pPr>
    </w:p>
    <w:p>
      <w:pPr>
        <w:ind w:left="220"/>
        <w:spacing w:after="0" w:line="298" w:lineRule="auto"/>
        <w:rPr>
          <w:sz w:val="20"/>
          <w:szCs w:val="20"/>
          <w:color w:val="auto"/>
        </w:rPr>
      </w:pPr>
      <w:r>
        <w:rPr>
          <w:rFonts w:ascii="Arial" w:cs="Arial" w:eastAsia="Arial" w:hAnsi="Arial"/>
          <w:sz w:val="32"/>
          <w:szCs w:val="32"/>
          <w:b w:val="1"/>
          <w:bCs w:val="1"/>
          <w:color w:val="auto"/>
        </w:rPr>
        <w:t>Proposal 5: Ratification of Independent Registered Public Accounting Firm</w:t>
      </w:r>
    </w:p>
    <w:p>
      <w:pPr>
        <w:spacing w:after="0" w:line="7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Shareholders are being asked to ratify in a non-binding vote the selection of Grant Thornton, LLP (“GT”) as our independent registered public accounting firm for the fiscal year ending December 31, 2023. Shareholder ratification of GT is not required by our governance documents; however, the Board is soliciting shareholder views on this matter. GT has served in this role since 2002 and the Board believes it is in the best interests of the Company and our shareholders for GT to continue in this role. If the selection of GT is not ratified, the Audit Committee may (but will not be required to) reconsider whether to retain GT. Even if the selection of GT is ratified, the Audit Committee may change the appointment of GT at any time if it determines such a change would be in the best interests of the Company and our shareholders. A representative of GT will be present at the Annual Meeting and will have the opportunity to make a statement if they so desire and answer appropriate questions from shareholders.</w:t>
      </w:r>
    </w:p>
    <w:p>
      <w:pPr>
        <w:spacing w:after="0" w:line="18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Audit Committee reviews and approves in advance all audit and permissible non-audit services provided by GT to the Company as required by and in accordance with the rules and regulations of the SEC and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66675</wp:posOffset>
            </wp:positionV>
            <wp:extent cx="7012305"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0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41</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fees for services rendered by GT for the years ended December 31, 2022 and 2021:</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520" w:type="dxa"/>
            <w:vAlign w:val="bottom"/>
            <w:shd w:val="clear" w:color="auto" w:fill="FF160F"/>
          </w:tcPr>
          <w:p>
            <w:pPr>
              <w:spacing w:after="0"/>
              <w:rPr>
                <w:sz w:val="17"/>
                <w:szCs w:val="17"/>
                <w:color w:val="auto"/>
              </w:rPr>
            </w:pPr>
          </w:p>
        </w:tc>
        <w:tc>
          <w:tcPr>
            <w:tcW w:w="500" w:type="dxa"/>
            <w:vAlign w:val="bottom"/>
            <w:shd w:val="clear" w:color="auto" w:fill="FF160F"/>
          </w:tcPr>
          <w:p>
            <w:pPr>
              <w:spacing w:after="0"/>
              <w:rPr>
                <w:sz w:val="17"/>
                <w:szCs w:val="17"/>
                <w:color w:val="auto"/>
              </w:rPr>
            </w:pPr>
          </w:p>
        </w:tc>
        <w:tc>
          <w:tcPr>
            <w:tcW w:w="1020" w:type="dxa"/>
            <w:vAlign w:val="bottom"/>
            <w:shd w:val="clear" w:color="auto" w:fill="FF160F"/>
          </w:tcPr>
          <w:p>
            <w:pPr>
              <w:jc w:val="right"/>
              <w:ind w:right="30"/>
              <w:spacing w:after="0"/>
              <w:rPr>
                <w:sz w:val="20"/>
                <w:szCs w:val="20"/>
                <w:color w:val="auto"/>
              </w:rPr>
            </w:pPr>
            <w:r>
              <w:rPr>
                <w:rFonts w:ascii="Arial" w:cs="Arial" w:eastAsia="Arial" w:hAnsi="Arial"/>
                <w:sz w:val="18"/>
                <w:szCs w:val="18"/>
                <w:b w:val="1"/>
                <w:bCs w:val="1"/>
                <w:color w:val="FFFFFF"/>
              </w:rPr>
              <w:t>2022</w:t>
            </w:r>
          </w:p>
        </w:tc>
        <w:tc>
          <w:tcPr>
            <w:tcW w:w="320" w:type="dxa"/>
            <w:vAlign w:val="bottom"/>
            <w:shd w:val="clear" w:color="auto" w:fill="FF160F"/>
          </w:tcPr>
          <w:p>
            <w:pPr>
              <w:spacing w:after="0"/>
              <w:rPr>
                <w:sz w:val="17"/>
                <w:szCs w:val="17"/>
                <w:color w:val="auto"/>
              </w:rPr>
            </w:pPr>
          </w:p>
        </w:tc>
        <w:tc>
          <w:tcPr>
            <w:tcW w:w="100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2021</w:t>
            </w:r>
          </w:p>
        </w:tc>
      </w:tr>
      <w:tr>
        <w:trPr>
          <w:trHeight w:val="184"/>
        </w:trPr>
        <w:tc>
          <w:tcPr>
            <w:tcW w:w="6520" w:type="dxa"/>
            <w:vAlign w:val="bottom"/>
            <w:shd w:val="clear" w:color="auto" w:fill="D8D8D8"/>
          </w:tcPr>
          <w:p>
            <w:pPr>
              <w:spacing w:after="0" w:line="184" w:lineRule="exact"/>
              <w:rPr>
                <w:sz w:val="20"/>
                <w:szCs w:val="20"/>
                <w:color w:val="auto"/>
              </w:rPr>
            </w:pPr>
            <w:r>
              <w:rPr>
                <w:rFonts w:ascii="Arial" w:cs="Arial" w:eastAsia="Arial" w:hAnsi="Arial"/>
                <w:sz w:val="15"/>
                <w:szCs w:val="15"/>
                <w:color w:val="auto"/>
              </w:rPr>
              <w:t>Audit Fees</w:t>
            </w:r>
            <w:r>
              <w:rPr>
                <w:rFonts w:ascii="Arial" w:cs="Arial" w:eastAsia="Arial" w:hAnsi="Arial"/>
                <w:sz w:val="21"/>
                <w:szCs w:val="21"/>
                <w:color w:val="auto"/>
                <w:vertAlign w:val="superscript"/>
              </w:rPr>
              <w:t>(1)</w:t>
            </w:r>
          </w:p>
        </w:tc>
        <w:tc>
          <w:tcPr>
            <w:tcW w:w="500" w:type="dxa"/>
            <w:vAlign w:val="bottom"/>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930,131</w:t>
            </w:r>
          </w:p>
        </w:tc>
        <w:tc>
          <w:tcPr>
            <w:tcW w:w="320" w:type="dxa"/>
            <w:vAlign w:val="bottom"/>
          </w:tcPr>
          <w:p>
            <w:pPr>
              <w:jc w:val="right"/>
              <w:ind w:right="10"/>
              <w:spacing w:after="0" w:line="18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974,141</w:t>
            </w:r>
          </w:p>
        </w:tc>
      </w:tr>
      <w:tr>
        <w:trPr>
          <w:trHeight w:val="203"/>
        </w:trPr>
        <w:tc>
          <w:tcPr>
            <w:tcW w:w="6520" w:type="dxa"/>
            <w:vAlign w:val="bottom"/>
            <w:shd w:val="clear" w:color="auto" w:fill="D8D8D8"/>
          </w:tcPr>
          <w:p>
            <w:pPr>
              <w:spacing w:after="0" w:line="202" w:lineRule="exact"/>
              <w:rPr>
                <w:sz w:val="20"/>
                <w:szCs w:val="20"/>
                <w:color w:val="auto"/>
              </w:rPr>
            </w:pPr>
            <w:r>
              <w:rPr>
                <w:rFonts w:ascii="Arial" w:cs="Arial" w:eastAsia="Arial" w:hAnsi="Arial"/>
                <w:sz w:val="16"/>
                <w:szCs w:val="16"/>
                <w:color w:val="auto"/>
              </w:rPr>
              <w:t>Audit-Related Fees</w:t>
            </w:r>
            <w:r>
              <w:rPr>
                <w:rFonts w:ascii="Arial" w:cs="Arial" w:eastAsia="Arial" w:hAnsi="Arial"/>
                <w:sz w:val="23"/>
                <w:szCs w:val="23"/>
                <w:color w:val="auto"/>
                <w:vertAlign w:val="superscript"/>
              </w:rPr>
              <w:t>(2)</w:t>
            </w:r>
          </w:p>
        </w:tc>
        <w:tc>
          <w:tcPr>
            <w:tcW w:w="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70,925</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64,050</w:t>
            </w:r>
          </w:p>
        </w:tc>
      </w:tr>
      <w:tr>
        <w:trPr>
          <w:trHeight w:val="203"/>
        </w:trPr>
        <w:tc>
          <w:tcPr>
            <w:tcW w:w="6520" w:type="dxa"/>
            <w:vAlign w:val="bottom"/>
            <w:shd w:val="clear" w:color="auto" w:fill="D8D8D8"/>
          </w:tcPr>
          <w:p>
            <w:pPr>
              <w:spacing w:after="0" w:line="202" w:lineRule="exact"/>
              <w:rPr>
                <w:sz w:val="20"/>
                <w:szCs w:val="20"/>
                <w:color w:val="auto"/>
              </w:rPr>
            </w:pPr>
            <w:r>
              <w:rPr>
                <w:rFonts w:ascii="Arial" w:cs="Arial" w:eastAsia="Arial" w:hAnsi="Arial"/>
                <w:sz w:val="16"/>
                <w:szCs w:val="16"/>
                <w:color w:val="auto"/>
              </w:rPr>
              <w:t>Tax Fees</w:t>
            </w:r>
            <w:r>
              <w:rPr>
                <w:rFonts w:ascii="Arial" w:cs="Arial" w:eastAsia="Arial" w:hAnsi="Arial"/>
                <w:sz w:val="23"/>
                <w:szCs w:val="23"/>
                <w:color w:val="auto"/>
                <w:vertAlign w:val="superscript"/>
              </w:rPr>
              <w:t>(3)</w:t>
            </w:r>
          </w:p>
        </w:tc>
        <w:tc>
          <w:tcPr>
            <w:tcW w:w="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248,005</w:t>
            </w:r>
          </w:p>
        </w:tc>
      </w:tr>
      <w:tr>
        <w:trPr>
          <w:trHeight w:val="221"/>
        </w:trPr>
        <w:tc>
          <w:tcPr>
            <w:tcW w:w="65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All Other Fees</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240"/>
        </w:trPr>
        <w:tc>
          <w:tcPr>
            <w:tcW w:w="652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1,001,056</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1,286,196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1226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1" w:lineRule="exact"/>
        <w:rPr>
          <w:sz w:val="20"/>
          <w:szCs w:val="20"/>
          <w:color w:val="auto"/>
        </w:rPr>
      </w:pPr>
    </w:p>
    <w:p>
      <w:pPr>
        <w:jc w:val="both"/>
        <w:ind w:left="660" w:right="20" w:hanging="436"/>
        <w:spacing w:after="0" w:line="217" w:lineRule="auto"/>
        <w:tabs>
          <w:tab w:leader="none" w:pos="660" w:val="left"/>
        </w:tabs>
        <w:numPr>
          <w:ilvl w:val="0"/>
          <w:numId w:val="85"/>
        </w:numPr>
        <w:rPr>
          <w:rFonts w:ascii="Arial" w:cs="Arial" w:eastAsia="Arial" w:hAnsi="Arial"/>
          <w:sz w:val="24"/>
          <w:szCs w:val="24"/>
          <w:color w:val="auto"/>
          <w:vertAlign w:val="superscript"/>
        </w:rPr>
      </w:pPr>
      <w:r>
        <w:rPr>
          <w:rFonts w:ascii="Arial" w:cs="Arial" w:eastAsia="Arial" w:hAnsi="Arial"/>
          <w:sz w:val="16"/>
          <w:szCs w:val="16"/>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share offerings.</w:t>
      </w:r>
    </w:p>
    <w:p>
      <w:pPr>
        <w:ind w:left="660" w:hanging="436"/>
        <w:spacing w:after="0" w:line="197" w:lineRule="auto"/>
        <w:tabs>
          <w:tab w:leader="none" w:pos="660" w:val="left"/>
        </w:tabs>
        <w:numPr>
          <w:ilvl w:val="0"/>
          <w:numId w:val="85"/>
        </w:numPr>
        <w:rPr>
          <w:rFonts w:ascii="Arial" w:cs="Arial" w:eastAsia="Arial" w:hAnsi="Arial"/>
          <w:sz w:val="24"/>
          <w:szCs w:val="24"/>
          <w:color w:val="auto"/>
          <w:vertAlign w:val="superscript"/>
        </w:rPr>
      </w:pPr>
      <w:r>
        <w:rPr>
          <w:rFonts w:ascii="Arial" w:cs="Arial" w:eastAsia="Arial" w:hAnsi="Arial"/>
          <w:sz w:val="16"/>
          <w:szCs w:val="16"/>
          <w:color w:val="auto"/>
        </w:rPr>
        <w:t>Audit-related fees primarily include the audit of our employee benefit plan, which are paid by the plan and not the Company, and certain property level audits.</w:t>
      </w:r>
    </w:p>
    <w:p>
      <w:pPr>
        <w:ind w:left="660" w:right="20" w:hanging="436"/>
        <w:spacing w:after="0" w:line="202" w:lineRule="auto"/>
        <w:tabs>
          <w:tab w:leader="none" w:pos="660" w:val="left"/>
        </w:tabs>
        <w:numPr>
          <w:ilvl w:val="0"/>
          <w:numId w:val="85"/>
        </w:numPr>
        <w:rPr>
          <w:rFonts w:ascii="Arial" w:cs="Arial" w:eastAsia="Arial" w:hAnsi="Arial"/>
          <w:sz w:val="24"/>
          <w:szCs w:val="24"/>
          <w:color w:val="auto"/>
          <w:vertAlign w:val="superscript"/>
        </w:rPr>
      </w:pPr>
      <w:r>
        <w:rPr>
          <w:rFonts w:ascii="Arial" w:cs="Arial" w:eastAsia="Arial" w:hAnsi="Arial"/>
          <w:sz w:val="16"/>
          <w:szCs w:val="16"/>
          <w:color w:val="auto"/>
        </w:rPr>
        <w:t>The amount shown for 2021 relates solely to tax compliance and preparation, including the preparation of original and amended tax returns and refund claims and tax payment planning.</w:t>
      </w:r>
    </w:p>
    <w:p>
      <w:pPr>
        <w:spacing w:after="0" w:line="186"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7003415" cy="6261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03415" cy="626110"/>
                    </a:xfrm>
                    <a:prstGeom prst="rect">
                      <a:avLst/>
                    </a:prstGeom>
                    <a:noFill/>
                  </pic:spPr>
                </pic:pic>
              </a:graphicData>
            </a:graphic>
          </wp:anchor>
        </w:drawing>
      </w:r>
    </w:p>
    <w:p>
      <w:pPr>
        <w:spacing w:after="0" w:line="357" w:lineRule="exact"/>
        <w:rPr>
          <w:sz w:val="20"/>
          <w:szCs w:val="20"/>
          <w:color w:val="auto"/>
        </w:rPr>
      </w:pPr>
    </w:p>
    <w:p>
      <w:pPr>
        <w:ind w:left="1200" w:right="140"/>
        <w:spacing w:after="0" w:line="286" w:lineRule="auto"/>
        <w:rPr>
          <w:sz w:val="20"/>
          <w:szCs w:val="20"/>
          <w:color w:val="auto"/>
        </w:rPr>
      </w:pPr>
      <w:r>
        <w:rPr>
          <w:rFonts w:ascii="Arial" w:cs="Arial" w:eastAsia="Arial" w:hAnsi="Arial"/>
          <w:sz w:val="25"/>
          <w:szCs w:val="25"/>
          <w:color w:val="auto"/>
        </w:rPr>
        <w:t xml:space="preserve">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the ratification of the appointment of GT as our independent registered public accounting firm for fiscal year 2023</w:t>
      </w:r>
    </w:p>
    <w:p>
      <w:pPr>
        <w:spacing w:after="0" w:line="346" w:lineRule="exact"/>
        <w:rPr>
          <w:sz w:val="20"/>
          <w:szCs w:val="20"/>
          <w:color w:val="auto"/>
        </w:rPr>
      </w:pPr>
    </w:p>
    <w:p>
      <w:pPr>
        <w:ind w:left="540" w:hanging="424"/>
        <w:spacing w:after="0"/>
        <w:tabs>
          <w:tab w:leader="none" w:pos="540" w:val="left"/>
        </w:tabs>
        <w:numPr>
          <w:ilvl w:val="0"/>
          <w:numId w:val="86"/>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AUDIT COMMITTEE REPORT</w:t>
      </w:r>
    </w:p>
    <w:p>
      <w:pPr>
        <w:spacing w:after="0" w:line="106" w:lineRule="exact"/>
        <w:rPr>
          <w:sz w:val="20"/>
          <w:szCs w:val="20"/>
          <w:color w:val="auto"/>
        </w:rPr>
      </w:pPr>
    </w:p>
    <w:p>
      <w:pPr>
        <w:jc w:val="both"/>
        <w:ind w:left="120"/>
        <w:spacing w:after="0" w:line="252"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us under the Securities Act of 1933 or the Securities Exchange Act of 1934, except to the extent the Company specifically incorporates this Report by reference therein.</w:t>
      </w:r>
    </w:p>
    <w:p>
      <w:pPr>
        <w:spacing w:after="0" w:line="169"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 xml:space="preserve">The Audit Committee is made up entirely of trustees who meet all independence requirements under the rules of the SEC and NYSE and have the requisite financial competence to serve on the Audit Committee. The Audit Committee meets at least quarterly and operates pursuant to a written charter that is reviewed at least every three years. That charter can be accessed under the Investors/Corporate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In 2022, the Audit Committee met four times and each meeting included an executive session with our independent registered public accounting firm and no members of management present.</w:t>
      </w:r>
    </w:p>
    <w:p>
      <w:pPr>
        <w:spacing w:after="0" w:line="17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Audit Committee is directly responsible for the appointment, retention and oversight of GT, the independent registered public accounting firm retained to audit our financial statements, and also oversees management of our internal audit firm in performance of their financial functions. Specifically, management is responsible for the financial reporting process, including the system of internal controls, for the preparation of consolidated financial statements in accordance with generally accepted accounting principles in the United States and for reporting on internal control over financial reporting. Management uses Pricewaterhouse Coopers, LLC (“PwC”) to provide its internal audit function, including oversight of the ongoing testing of the effectiveness of our internal controls. The Audit Committee met regularly with PwC in 2022 and one meeting included an executive session with PwC with no members of GT or management present. GT is responsible for auditing the consolidated financial statements of the Company and expressing an opinion on the financial statements and the effectiveness of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85725</wp:posOffset>
            </wp:positionV>
            <wp:extent cx="7012305"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3"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42</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2022, as part of its oversight function, the Audit Committee:</w:t>
      </w:r>
    </w:p>
    <w:p>
      <w:pPr>
        <w:spacing w:after="0" w:line="239" w:lineRule="exact"/>
        <w:rPr>
          <w:sz w:val="20"/>
          <w:szCs w:val="20"/>
          <w:color w:val="auto"/>
        </w:rPr>
      </w:pPr>
    </w:p>
    <w:p>
      <w:pPr>
        <w:ind w:left="1420" w:hanging="427"/>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Met with management and GT and discussed the Company’s December 31, 2022 audited financial statements;</w:t>
      </w:r>
    </w:p>
    <w:p>
      <w:pPr>
        <w:spacing w:after="0" w:line="238" w:lineRule="exact"/>
        <w:rPr>
          <w:rFonts w:ascii="Arial" w:cs="Arial" w:eastAsia="Arial" w:hAnsi="Arial"/>
          <w:sz w:val="18"/>
          <w:szCs w:val="18"/>
          <w:color w:val="auto"/>
        </w:rPr>
      </w:pPr>
    </w:p>
    <w:p>
      <w:pPr>
        <w:jc w:val="both"/>
        <w:ind w:left="1420" w:right="20" w:hanging="427"/>
        <w:spacing w:after="0" w:line="24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Selected a new partner at GT to oversee the audit of the Company’s financial statements beginning with fiscal year 2023, consistent with the legal requirement to change audit partners at least every 5 years. The new GT audit partner has extensive experience auditing real estate investment trusts and has never been part of the GT team auditing the Company;</w:t>
      </w:r>
    </w:p>
    <w:p>
      <w:pPr>
        <w:spacing w:after="0" w:line="20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Discussed with GT the matters required to be discussed by the applicable requirements of the Public Company Accounting Oversight Board (“PCAOB”) and the SEC;</w:t>
      </w:r>
    </w:p>
    <w:p>
      <w:pPr>
        <w:spacing w:after="0" w:line="18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and discussed with management and GT, individually and collectively, all annual and quarterly financial statements and operating results prior to their issuance;</w:t>
      </w:r>
    </w:p>
    <w:p>
      <w:pPr>
        <w:spacing w:after="0" w:line="180" w:lineRule="exact"/>
        <w:rPr>
          <w:rFonts w:ascii="Arial" w:cs="Arial" w:eastAsia="Arial" w:hAnsi="Arial"/>
          <w:sz w:val="18"/>
          <w:szCs w:val="18"/>
          <w:color w:val="auto"/>
        </w:rPr>
      </w:pPr>
    </w:p>
    <w:p>
      <w:pPr>
        <w:jc w:val="both"/>
        <w:ind w:left="1420" w:right="20" w:hanging="427"/>
        <w:spacing w:after="0" w:line="253"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GT required by applicable requirements of the PCAOB regarding GT’s communications with the audit committee concerning independence, and has discussed with GT regarding its independence;</w:t>
      </w:r>
    </w:p>
    <w:p>
      <w:pPr>
        <w:spacing w:after="0" w:line="195"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Discussed with GT matters required to be discussed pursuant to applicable audit standards, including the reasonableness of judgments and the clarity and completeness of financial disclosures;</w:t>
      </w:r>
    </w:p>
    <w:p>
      <w:pPr>
        <w:spacing w:after="0" w:line="18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Monitored the non-audit services provided by GT to ensure that performance of such services did not adversely impact GT’s independence;</w:t>
      </w:r>
    </w:p>
    <w:p>
      <w:pPr>
        <w:spacing w:after="0" w:line="18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Approved management’s request to remove tax compliance and preparation from the scope of services provided by GT; and</w:t>
      </w:r>
    </w:p>
    <w:p>
      <w:pPr>
        <w:spacing w:after="0" w:line="180" w:lineRule="exact"/>
        <w:rPr>
          <w:rFonts w:ascii="Arial" w:cs="Arial" w:eastAsia="Arial" w:hAnsi="Arial"/>
          <w:sz w:val="18"/>
          <w:szCs w:val="18"/>
          <w:color w:val="auto"/>
        </w:rPr>
      </w:pPr>
    </w:p>
    <w:p>
      <w:pPr>
        <w:jc w:val="both"/>
        <w:ind w:left="1420" w:right="20" w:hanging="427"/>
        <w:spacing w:after="0" w:line="24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part of the Committee’s quarterly review of internal controls, the Committee discussed with management cybersecurity threats, cybersecurity training and ongoing areas of focus of management in protecting against cyber breaches. During those quarterly reviews in 2022, the Committee was advised that there were no breaches and that cybersecurity insurance had been procured.</w:t>
      </w:r>
    </w:p>
    <w:p>
      <w:pPr>
        <w:spacing w:after="0" w:line="17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2022 for filing with the SEC.</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 the Audit Committee: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Gail P. Steinel, Chairperson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 Faeder</w:t>
      </w:r>
    </w:p>
    <w:p>
      <w:pPr>
        <w:ind w:left="120"/>
        <w:spacing w:after="0" w:line="234" w:lineRule="auto"/>
        <w:rPr>
          <w:sz w:val="20"/>
          <w:szCs w:val="20"/>
          <w:color w:val="auto"/>
        </w:rPr>
      </w:pPr>
      <w:r>
        <w:rPr>
          <w:rFonts w:ascii="Arial" w:cs="Arial" w:eastAsia="Arial" w:hAnsi="Arial"/>
          <w:sz w:val="18"/>
          <w:szCs w:val="18"/>
          <w:color w:val="auto"/>
        </w:rPr>
        <w:t>Elizabeth I. Holland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Anthony P. Nader,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92075</wp:posOffset>
            </wp:positionV>
            <wp:extent cx="701230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4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43</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Beneficial Ownership</w:t>
      </w:r>
    </w:p>
    <w:p>
      <w:pPr>
        <w:spacing w:after="0" w:line="264" w:lineRule="exact"/>
        <w:rPr>
          <w:sz w:val="20"/>
          <w:szCs w:val="20"/>
          <w:color w:val="auto"/>
        </w:rPr>
      </w:pPr>
    </w:p>
    <w:p>
      <w:pPr>
        <w:ind w:left="540" w:hanging="424"/>
        <w:spacing w:after="0"/>
        <w:tabs>
          <w:tab w:leader="none" w:pos="540" w:val="left"/>
        </w:tabs>
        <w:numPr>
          <w:ilvl w:val="0"/>
          <w:numId w:val="8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OWNERSHIP OF PRINCIPAL SHAREHOLDERS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4460" w:type="dxa"/>
            <w:vAlign w:val="bottom"/>
            <w:shd w:val="clear" w:color="auto" w:fill="FF160F"/>
          </w:tcPr>
          <w:p>
            <w:pPr>
              <w:spacing w:after="0"/>
              <w:rPr>
                <w:sz w:val="18"/>
                <w:szCs w:val="18"/>
                <w:color w:val="auto"/>
              </w:rPr>
            </w:pPr>
          </w:p>
        </w:tc>
        <w:tc>
          <w:tcPr>
            <w:tcW w:w="3560" w:type="dxa"/>
            <w:vAlign w:val="bottom"/>
            <w:shd w:val="clear" w:color="auto" w:fill="FF160F"/>
          </w:tcPr>
          <w:p>
            <w:pPr>
              <w:jc w:val="right"/>
              <w:ind w:right="250"/>
              <w:spacing w:after="0"/>
              <w:rPr>
                <w:sz w:val="20"/>
                <w:szCs w:val="20"/>
                <w:color w:val="auto"/>
              </w:rPr>
            </w:pPr>
            <w:r>
              <w:rPr>
                <w:rFonts w:ascii="Arial" w:cs="Arial" w:eastAsia="Arial" w:hAnsi="Arial"/>
                <w:sz w:val="18"/>
                <w:szCs w:val="18"/>
                <w:b w:val="1"/>
                <w:bCs w:val="1"/>
                <w:color w:val="FFFFFF"/>
              </w:rPr>
              <w:t>Amount and Nature of</w:t>
            </w:r>
          </w:p>
        </w:tc>
        <w:tc>
          <w:tcPr>
            <w:tcW w:w="3000" w:type="dxa"/>
            <w:vAlign w:val="bottom"/>
            <w:shd w:val="clear" w:color="auto" w:fill="FF160F"/>
          </w:tcPr>
          <w:p>
            <w:pPr>
              <w:jc w:val="right"/>
              <w:ind w:right="830"/>
              <w:spacing w:after="0"/>
              <w:rPr>
                <w:sz w:val="20"/>
                <w:szCs w:val="20"/>
                <w:color w:val="auto"/>
              </w:rPr>
            </w:pPr>
            <w:r>
              <w:rPr>
                <w:rFonts w:ascii="Arial" w:cs="Arial" w:eastAsia="Arial" w:hAnsi="Arial"/>
                <w:sz w:val="18"/>
                <w:szCs w:val="18"/>
                <w:b w:val="1"/>
                <w:bCs w:val="1"/>
                <w:color w:val="FFFFFF"/>
              </w:rPr>
              <w:t>Percentage of Our</w:t>
            </w:r>
          </w:p>
        </w:tc>
      </w:tr>
      <w:tr>
        <w:trPr>
          <w:trHeight w:val="221"/>
        </w:trPr>
        <w:tc>
          <w:tcPr>
            <w:tcW w:w="4460" w:type="dxa"/>
            <w:vAlign w:val="bottom"/>
            <w:shd w:val="clear" w:color="auto" w:fill="FF160F"/>
          </w:tcPr>
          <w:p>
            <w:pPr>
              <w:spacing w:after="0"/>
              <w:rPr>
                <w:sz w:val="20"/>
                <w:szCs w:val="20"/>
                <w:color w:val="auto"/>
              </w:rPr>
            </w:pPr>
            <w:r>
              <w:rPr>
                <w:rFonts w:ascii="Arial" w:cs="Arial" w:eastAsia="Arial" w:hAnsi="Arial"/>
                <w:sz w:val="18"/>
                <w:szCs w:val="18"/>
                <w:b w:val="1"/>
                <w:bCs w:val="1"/>
                <w:color w:val="FFFFFF"/>
              </w:rPr>
              <w:t>Name and Address of Beneficial Owner</w:t>
            </w:r>
          </w:p>
        </w:tc>
        <w:tc>
          <w:tcPr>
            <w:tcW w:w="3560" w:type="dxa"/>
            <w:vAlign w:val="bottom"/>
            <w:shd w:val="clear" w:color="auto" w:fill="FF160F"/>
          </w:tcPr>
          <w:p>
            <w:pPr>
              <w:jc w:val="right"/>
              <w:ind w:right="290"/>
              <w:spacing w:after="0"/>
              <w:rPr>
                <w:sz w:val="20"/>
                <w:szCs w:val="20"/>
                <w:color w:val="auto"/>
              </w:rPr>
            </w:pPr>
            <w:r>
              <w:rPr>
                <w:rFonts w:ascii="Arial" w:cs="Arial" w:eastAsia="Arial" w:hAnsi="Arial"/>
                <w:sz w:val="18"/>
                <w:szCs w:val="18"/>
                <w:b w:val="1"/>
                <w:bCs w:val="1"/>
                <w:color w:val="FFFFFF"/>
              </w:rPr>
              <w:t>Beneficial Ownership</w:t>
            </w:r>
          </w:p>
        </w:tc>
        <w:tc>
          <w:tcPr>
            <w:tcW w:w="3000" w:type="dxa"/>
            <w:vAlign w:val="bottom"/>
            <w:shd w:val="clear" w:color="auto" w:fill="FF160F"/>
          </w:tcPr>
          <w:p>
            <w:pPr>
              <w:jc w:val="right"/>
              <w:ind w:right="670"/>
              <w:spacing w:after="0" w:line="221" w:lineRule="exact"/>
              <w:rPr>
                <w:sz w:val="20"/>
                <w:szCs w:val="20"/>
                <w:color w:val="auto"/>
              </w:rPr>
            </w:pPr>
            <w:r>
              <w:rPr>
                <w:rFonts w:ascii="Arial" w:cs="Arial" w:eastAsia="Arial" w:hAnsi="Arial"/>
                <w:sz w:val="17"/>
                <w:szCs w:val="17"/>
                <w:b w:val="1"/>
                <w:bCs w:val="1"/>
                <w:color w:val="FFFFFF"/>
              </w:rPr>
              <w:t>Outstanding Shares</w:t>
            </w:r>
            <w:r>
              <w:rPr>
                <w:rFonts w:ascii="Arial" w:cs="Arial" w:eastAsia="Arial" w:hAnsi="Arial"/>
                <w:sz w:val="25"/>
                <w:szCs w:val="25"/>
                <w:b w:val="1"/>
                <w:bCs w:val="1"/>
                <w:color w:val="FFFFFF"/>
                <w:vertAlign w:val="superscript"/>
              </w:rPr>
              <w:t>(1)</w:t>
            </w:r>
          </w:p>
        </w:tc>
      </w:tr>
      <w:tr>
        <w:trPr>
          <w:trHeight w:val="184"/>
        </w:trPr>
        <w:tc>
          <w:tcPr>
            <w:tcW w:w="4460" w:type="dxa"/>
            <w:vAlign w:val="bottom"/>
            <w:shd w:val="clear" w:color="auto" w:fill="D8D8D8"/>
          </w:tcPr>
          <w:p>
            <w:pPr>
              <w:spacing w:after="0" w:line="184" w:lineRule="exact"/>
              <w:rPr>
                <w:sz w:val="20"/>
                <w:szCs w:val="20"/>
                <w:color w:val="auto"/>
              </w:rPr>
            </w:pPr>
            <w:r>
              <w:rPr>
                <w:rFonts w:ascii="Arial" w:cs="Arial" w:eastAsia="Arial" w:hAnsi="Arial"/>
                <w:sz w:val="15"/>
                <w:szCs w:val="15"/>
                <w:color w:val="auto"/>
              </w:rPr>
              <w:t>The Vanguard Group, Inc</w:t>
            </w:r>
            <w:r>
              <w:rPr>
                <w:rFonts w:ascii="Arial" w:cs="Arial" w:eastAsia="Arial" w:hAnsi="Arial"/>
                <w:sz w:val="21"/>
                <w:szCs w:val="21"/>
                <w:color w:val="auto"/>
                <w:vertAlign w:val="superscript"/>
              </w:rPr>
              <w:t>.(2)</w:t>
            </w:r>
          </w:p>
        </w:tc>
        <w:tc>
          <w:tcPr>
            <w:tcW w:w="3560" w:type="dxa"/>
            <w:vAlign w:val="bottom"/>
          </w:tcPr>
          <w:p>
            <w:pPr>
              <w:jc w:val="right"/>
              <w:ind w:right="250"/>
              <w:spacing w:after="0" w:line="183" w:lineRule="exact"/>
              <w:rPr>
                <w:sz w:val="20"/>
                <w:szCs w:val="20"/>
                <w:color w:val="auto"/>
              </w:rPr>
            </w:pPr>
            <w:r>
              <w:rPr>
                <w:rFonts w:ascii="Arial" w:cs="Arial" w:eastAsia="Arial" w:hAnsi="Arial"/>
                <w:sz w:val="18"/>
                <w:szCs w:val="18"/>
                <w:color w:val="auto"/>
              </w:rPr>
              <w:t>12,802,837</w:t>
            </w:r>
          </w:p>
        </w:tc>
        <w:tc>
          <w:tcPr>
            <w:tcW w:w="3000" w:type="dxa"/>
            <w:vAlign w:val="bottom"/>
          </w:tcPr>
          <w:p>
            <w:pPr>
              <w:jc w:val="right"/>
              <w:ind w:right="510"/>
              <w:spacing w:after="0" w:line="183" w:lineRule="exact"/>
              <w:rPr>
                <w:sz w:val="20"/>
                <w:szCs w:val="20"/>
                <w:color w:val="auto"/>
              </w:rPr>
            </w:pPr>
            <w:r>
              <w:rPr>
                <w:rFonts w:ascii="Arial" w:cs="Arial" w:eastAsia="Arial" w:hAnsi="Arial"/>
                <w:sz w:val="18"/>
                <w:szCs w:val="18"/>
                <w:color w:val="auto"/>
              </w:rPr>
              <w:t>15.7%</w:t>
            </w:r>
          </w:p>
        </w:tc>
      </w:tr>
      <w:tr>
        <w:trPr>
          <w:trHeight w:val="203"/>
        </w:trPr>
        <w:tc>
          <w:tcPr>
            <w:tcW w:w="44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100 Vanguard Blvd.</w:t>
            </w:r>
          </w:p>
        </w:tc>
        <w:tc>
          <w:tcPr>
            <w:tcW w:w="35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21"/>
        </w:trPr>
        <w:tc>
          <w:tcPr>
            <w:tcW w:w="44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Malvern, PA 19355</w:t>
            </w:r>
          </w:p>
        </w:tc>
        <w:tc>
          <w:tcPr>
            <w:tcW w:w="35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177"/>
        </w:trPr>
        <w:tc>
          <w:tcPr>
            <w:tcW w:w="446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State Street Corporation</w:t>
            </w:r>
            <w:r>
              <w:rPr>
                <w:rFonts w:ascii="Arial" w:cs="Arial" w:eastAsia="Arial" w:hAnsi="Arial"/>
                <w:sz w:val="20"/>
                <w:szCs w:val="20"/>
                <w:color w:val="auto"/>
                <w:vertAlign w:val="superscript"/>
              </w:rPr>
              <w:t>(3)</w:t>
            </w:r>
          </w:p>
        </w:tc>
        <w:tc>
          <w:tcPr>
            <w:tcW w:w="356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10,198,880</w:t>
            </w:r>
          </w:p>
        </w:tc>
        <w:tc>
          <w:tcPr>
            <w:tcW w:w="3000" w:type="dxa"/>
            <w:vAlign w:val="bottom"/>
          </w:tcPr>
          <w:p>
            <w:pPr>
              <w:jc w:val="right"/>
              <w:ind w:right="510"/>
              <w:spacing w:after="0" w:line="177" w:lineRule="exact"/>
              <w:rPr>
                <w:sz w:val="20"/>
                <w:szCs w:val="20"/>
                <w:color w:val="auto"/>
              </w:rPr>
            </w:pPr>
            <w:r>
              <w:rPr>
                <w:rFonts w:ascii="Arial" w:cs="Arial" w:eastAsia="Arial" w:hAnsi="Arial"/>
                <w:sz w:val="18"/>
                <w:szCs w:val="18"/>
                <w:color w:val="auto"/>
              </w:rPr>
              <w:t>12.5%</w:t>
            </w:r>
          </w:p>
        </w:tc>
      </w:tr>
      <w:tr>
        <w:trPr>
          <w:trHeight w:val="203"/>
        </w:trPr>
        <w:tc>
          <w:tcPr>
            <w:tcW w:w="44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State Street Financial Center, One Lincoln Street</w:t>
            </w:r>
          </w:p>
        </w:tc>
        <w:tc>
          <w:tcPr>
            <w:tcW w:w="35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21"/>
        </w:trPr>
        <w:tc>
          <w:tcPr>
            <w:tcW w:w="44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Boston, MA 02111</w:t>
            </w:r>
          </w:p>
        </w:tc>
        <w:tc>
          <w:tcPr>
            <w:tcW w:w="35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177"/>
        </w:trPr>
        <w:tc>
          <w:tcPr>
            <w:tcW w:w="446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BlackRock, Inc.</w:t>
            </w:r>
            <w:r>
              <w:rPr>
                <w:rFonts w:ascii="Arial" w:cs="Arial" w:eastAsia="Arial" w:hAnsi="Arial"/>
                <w:sz w:val="20"/>
                <w:szCs w:val="20"/>
                <w:color w:val="auto"/>
                <w:vertAlign w:val="superscript"/>
              </w:rPr>
              <w:t>(4)</w:t>
            </w:r>
          </w:p>
        </w:tc>
        <w:tc>
          <w:tcPr>
            <w:tcW w:w="356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7,606,970</w:t>
            </w:r>
          </w:p>
        </w:tc>
        <w:tc>
          <w:tcPr>
            <w:tcW w:w="3000" w:type="dxa"/>
            <w:vAlign w:val="bottom"/>
          </w:tcPr>
          <w:p>
            <w:pPr>
              <w:jc w:val="right"/>
              <w:ind w:right="510"/>
              <w:spacing w:after="0" w:line="177" w:lineRule="exact"/>
              <w:rPr>
                <w:sz w:val="20"/>
                <w:szCs w:val="20"/>
                <w:color w:val="auto"/>
              </w:rPr>
            </w:pPr>
            <w:r>
              <w:rPr>
                <w:rFonts w:ascii="Arial" w:cs="Arial" w:eastAsia="Arial" w:hAnsi="Arial"/>
                <w:sz w:val="18"/>
                <w:szCs w:val="18"/>
                <w:color w:val="auto"/>
              </w:rPr>
              <w:t>9.3%</w:t>
            </w:r>
          </w:p>
        </w:tc>
      </w:tr>
      <w:tr>
        <w:trPr>
          <w:trHeight w:val="203"/>
        </w:trPr>
        <w:tc>
          <w:tcPr>
            <w:tcW w:w="4460" w:type="dxa"/>
            <w:vAlign w:val="bottom"/>
            <w:shd w:val="clear" w:color="auto" w:fill="D8D8D8"/>
          </w:tcPr>
          <w:p>
            <w:pPr>
              <w:spacing w:after="0" w:line="202" w:lineRule="exact"/>
              <w:rPr>
                <w:sz w:val="20"/>
                <w:szCs w:val="20"/>
                <w:color w:val="auto"/>
              </w:rPr>
            </w:pPr>
            <w:r>
              <w:rPr>
                <w:rFonts w:ascii="Arial" w:cs="Arial" w:eastAsia="Arial" w:hAnsi="Arial"/>
                <w:sz w:val="16"/>
                <w:szCs w:val="16"/>
                <w:color w:val="auto"/>
              </w:rPr>
              <w:t>55 East 52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Street</w:t>
            </w:r>
          </w:p>
        </w:tc>
        <w:tc>
          <w:tcPr>
            <w:tcW w:w="35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21"/>
        </w:trPr>
        <w:tc>
          <w:tcPr>
            <w:tcW w:w="44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New York, NY 10055</w:t>
            </w:r>
          </w:p>
        </w:tc>
        <w:tc>
          <w:tcPr>
            <w:tcW w:w="35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177"/>
        </w:trPr>
        <w:tc>
          <w:tcPr>
            <w:tcW w:w="446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Norges Bank (The Central Bank of Norway)</w:t>
            </w:r>
            <w:r>
              <w:rPr>
                <w:rFonts w:ascii="Arial" w:cs="Arial" w:eastAsia="Arial" w:hAnsi="Arial"/>
                <w:sz w:val="20"/>
                <w:szCs w:val="20"/>
                <w:color w:val="auto"/>
                <w:vertAlign w:val="superscript"/>
              </w:rPr>
              <w:t>(5)</w:t>
            </w:r>
          </w:p>
        </w:tc>
        <w:tc>
          <w:tcPr>
            <w:tcW w:w="356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7,212,626</w:t>
            </w:r>
          </w:p>
        </w:tc>
        <w:tc>
          <w:tcPr>
            <w:tcW w:w="3000" w:type="dxa"/>
            <w:vAlign w:val="bottom"/>
          </w:tcPr>
          <w:p>
            <w:pPr>
              <w:jc w:val="right"/>
              <w:ind w:right="510"/>
              <w:spacing w:after="0" w:line="177" w:lineRule="exact"/>
              <w:rPr>
                <w:sz w:val="20"/>
                <w:szCs w:val="20"/>
                <w:color w:val="auto"/>
              </w:rPr>
            </w:pPr>
            <w:r>
              <w:rPr>
                <w:rFonts w:ascii="Arial" w:cs="Arial" w:eastAsia="Arial" w:hAnsi="Arial"/>
                <w:sz w:val="18"/>
                <w:szCs w:val="18"/>
                <w:color w:val="auto"/>
              </w:rPr>
              <w:t>8.9%</w:t>
            </w:r>
          </w:p>
        </w:tc>
      </w:tr>
      <w:tr>
        <w:trPr>
          <w:trHeight w:val="203"/>
        </w:trPr>
        <w:tc>
          <w:tcPr>
            <w:tcW w:w="44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Bankplassen 2, PO Box 1179 Sentrum</w:t>
            </w:r>
          </w:p>
        </w:tc>
        <w:tc>
          <w:tcPr>
            <w:tcW w:w="35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21"/>
        </w:trPr>
        <w:tc>
          <w:tcPr>
            <w:tcW w:w="44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NO 0107 Oslo Norway</w:t>
            </w:r>
          </w:p>
        </w:tc>
        <w:tc>
          <w:tcPr>
            <w:tcW w:w="35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177"/>
        </w:trPr>
        <w:tc>
          <w:tcPr>
            <w:tcW w:w="446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Capital Research Global Investors</w:t>
            </w:r>
            <w:r>
              <w:rPr>
                <w:rFonts w:ascii="Arial" w:cs="Arial" w:eastAsia="Arial" w:hAnsi="Arial"/>
                <w:sz w:val="20"/>
                <w:szCs w:val="20"/>
                <w:color w:val="auto"/>
                <w:vertAlign w:val="superscript"/>
              </w:rPr>
              <w:t>(6)</w:t>
            </w:r>
          </w:p>
        </w:tc>
        <w:tc>
          <w:tcPr>
            <w:tcW w:w="356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5,956,420</w:t>
            </w:r>
          </w:p>
        </w:tc>
        <w:tc>
          <w:tcPr>
            <w:tcW w:w="3000" w:type="dxa"/>
            <w:vAlign w:val="bottom"/>
          </w:tcPr>
          <w:p>
            <w:pPr>
              <w:jc w:val="right"/>
              <w:ind w:right="510"/>
              <w:spacing w:after="0" w:line="177" w:lineRule="exact"/>
              <w:rPr>
                <w:sz w:val="20"/>
                <w:szCs w:val="20"/>
                <w:color w:val="auto"/>
              </w:rPr>
            </w:pPr>
            <w:r>
              <w:rPr>
                <w:rFonts w:ascii="Arial" w:cs="Arial" w:eastAsia="Arial" w:hAnsi="Arial"/>
                <w:sz w:val="18"/>
                <w:szCs w:val="18"/>
                <w:color w:val="auto"/>
              </w:rPr>
              <w:t>7.3%</w:t>
            </w:r>
          </w:p>
        </w:tc>
      </w:tr>
      <w:tr>
        <w:trPr>
          <w:trHeight w:val="203"/>
        </w:trPr>
        <w:tc>
          <w:tcPr>
            <w:tcW w:w="44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333 South Hope Street, 55th Floor</w:t>
            </w:r>
          </w:p>
        </w:tc>
        <w:tc>
          <w:tcPr>
            <w:tcW w:w="35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21"/>
        </w:trPr>
        <w:tc>
          <w:tcPr>
            <w:tcW w:w="44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Los Angeles, CA 90071</w:t>
            </w:r>
          </w:p>
        </w:tc>
        <w:tc>
          <w:tcPr>
            <w:tcW w:w="35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177"/>
        </w:trPr>
        <w:tc>
          <w:tcPr>
            <w:tcW w:w="446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JPMorgan Chase &amp; Co.</w:t>
            </w:r>
            <w:r>
              <w:rPr>
                <w:rFonts w:ascii="Arial" w:cs="Arial" w:eastAsia="Arial" w:hAnsi="Arial"/>
                <w:sz w:val="20"/>
                <w:szCs w:val="20"/>
                <w:color w:val="auto"/>
                <w:vertAlign w:val="superscript"/>
              </w:rPr>
              <w:t>(7)</w:t>
            </w:r>
          </w:p>
        </w:tc>
        <w:tc>
          <w:tcPr>
            <w:tcW w:w="356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4,377,501</w:t>
            </w:r>
          </w:p>
        </w:tc>
        <w:tc>
          <w:tcPr>
            <w:tcW w:w="3000" w:type="dxa"/>
            <w:vAlign w:val="bottom"/>
          </w:tcPr>
          <w:p>
            <w:pPr>
              <w:jc w:val="right"/>
              <w:ind w:right="510"/>
              <w:spacing w:after="0" w:line="177" w:lineRule="exact"/>
              <w:rPr>
                <w:sz w:val="20"/>
                <w:szCs w:val="20"/>
                <w:color w:val="auto"/>
              </w:rPr>
            </w:pPr>
            <w:r>
              <w:rPr>
                <w:rFonts w:ascii="Arial" w:cs="Arial" w:eastAsia="Arial" w:hAnsi="Arial"/>
                <w:sz w:val="18"/>
                <w:szCs w:val="18"/>
                <w:color w:val="auto"/>
              </w:rPr>
              <w:t>5.4%</w:t>
            </w:r>
          </w:p>
        </w:tc>
      </w:tr>
      <w:tr>
        <w:trPr>
          <w:trHeight w:val="203"/>
        </w:trPr>
        <w:tc>
          <w:tcPr>
            <w:tcW w:w="44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383 Madison Avenue</w:t>
            </w:r>
          </w:p>
        </w:tc>
        <w:tc>
          <w:tcPr>
            <w:tcW w:w="35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21"/>
        </w:trPr>
        <w:tc>
          <w:tcPr>
            <w:tcW w:w="44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New York, NY 10179</w:t>
            </w:r>
          </w:p>
        </w:tc>
        <w:tc>
          <w:tcPr>
            <w:tcW w:w="35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660" w:right="20" w:hanging="436"/>
        <w:spacing w:after="0" w:line="205"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The percentage of outstanding shares is calculated by taking the number of shares stated in the Schedule 13G or 13G/A, as applicable, filed with the SEC divided by 81,511,030, the total number of shares outstanding on March 13, 2023.</w:t>
      </w:r>
    </w:p>
    <w:p>
      <w:pPr>
        <w:spacing w:after="0" w:line="1" w:lineRule="exact"/>
        <w:rPr>
          <w:rFonts w:ascii="Arial" w:cs="Arial" w:eastAsia="Arial" w:hAnsi="Arial"/>
          <w:sz w:val="24"/>
          <w:szCs w:val="24"/>
          <w:color w:val="auto"/>
          <w:vertAlign w:val="superscript"/>
        </w:rPr>
      </w:pPr>
    </w:p>
    <w:p>
      <w:pPr>
        <w:jc w:val="both"/>
        <w:ind w:left="660" w:right="20" w:hanging="436"/>
        <w:spacing w:after="0" w:line="211"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February 9, 2023 by The Vanguard Group which states that The Vanguard Group, an investment advisor, has shared voting power over 159,514 shares, sole dispositive power over 12,419,458 shares and shared dispositive power over 383,379 shares.</w:t>
      </w:r>
    </w:p>
    <w:p>
      <w:pPr>
        <w:ind w:left="660" w:right="20" w:hanging="436"/>
        <w:spacing w:after="0" w:line="197"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February 9, 2023 by State Street Corporation which states that State Street Corporation, a parent holding company, has shared voting power over 8,985,419 shares and shared dispositive power over 10,198,486 shares.</w:t>
      </w:r>
    </w:p>
    <w:p>
      <w:pPr>
        <w:ind w:left="660" w:right="20" w:hanging="436"/>
        <w:spacing w:after="0" w:line="197"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 filed with the SEC on January 24, 2023 by BlackRock, Inc., which states that BlackRock, Inc., a parent holding company, has sole voting power over 7,004,857 shares and sole dispositive power over 7,606,970 shares.</w:t>
      </w:r>
    </w:p>
    <w:p>
      <w:pPr>
        <w:ind w:left="660" w:right="20" w:hanging="436"/>
        <w:spacing w:after="0" w:line="197"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February 14, 2023 by Norges Bank (The Central Bank of Norway) which states that Norges Bank (The Central Bank of Norway) has sole voting power and sole dispositive power over 7,212,626 shares.</w:t>
      </w:r>
    </w:p>
    <w:p>
      <w:pPr>
        <w:ind w:left="660" w:right="20" w:hanging="436"/>
        <w:spacing w:after="0" w:line="197"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February 13, 2023 by Capital Research Global Investors which states that Capital Research Global Investors, an investment advisor, has sole voting and sole dispositive power over 5,956,420 shares.</w:t>
      </w:r>
    </w:p>
    <w:p>
      <w:pPr>
        <w:jc w:val="both"/>
        <w:ind w:left="660" w:right="20" w:hanging="436"/>
        <w:spacing w:after="0" w:line="214" w:lineRule="auto"/>
        <w:tabs>
          <w:tab w:leader="none" w:pos="66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Information based on a Schedule 13G/A filed with the SEC on January 20, 2023 by JPMorgan Chase &amp; Co. which states that JPMorgan Chase &amp; Co., a parent holding company, has sole voting power over 3,009,114, sole dispositive power over 4,375,184 shares and shared dispositive power over 716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88265</wp:posOffset>
            </wp:positionV>
            <wp:extent cx="701230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7"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44</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9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OWNERSHIP OF TRUSTEES AND EXECUTIVE OFFICERS</w:t>
      </w:r>
    </w:p>
    <w:p>
      <w:pPr>
        <w:spacing w:after="0" w:line="10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table below reflects beneficial ownership of our Trustees and NEOs as of March 13, 2023 determined in accordance with Rule 13d-3 of the Securities Exchange Act of 1934, as amended. Unless noted in the footnotes following the table, each Trustee and NEO has sole voting and investment power as to all shares listed.</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08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40" w:type="dxa"/>
            <w:vAlign w:val="bottom"/>
            <w:shd w:val="clear" w:color="auto" w:fill="FF160F"/>
          </w:tcPr>
          <w:p>
            <w:pPr>
              <w:spacing w:after="0"/>
              <w:rPr>
                <w:sz w:val="17"/>
                <w:szCs w:val="17"/>
                <w:color w:val="auto"/>
              </w:rPr>
            </w:pPr>
          </w:p>
        </w:tc>
        <w:tc>
          <w:tcPr>
            <w:tcW w:w="1280" w:type="dxa"/>
            <w:vAlign w:val="bottom"/>
            <w:shd w:val="clear" w:color="auto" w:fill="FF160F"/>
          </w:tcPr>
          <w:p>
            <w:pPr>
              <w:spacing w:after="0"/>
              <w:rPr>
                <w:sz w:val="17"/>
                <w:szCs w:val="17"/>
                <w:color w:val="auto"/>
              </w:rPr>
            </w:pPr>
          </w:p>
        </w:tc>
        <w:tc>
          <w:tcPr>
            <w:tcW w:w="1440" w:type="dxa"/>
            <w:vAlign w:val="bottom"/>
            <w:shd w:val="clear" w:color="auto" w:fill="FF160F"/>
          </w:tcPr>
          <w:p>
            <w:pPr>
              <w:spacing w:after="0"/>
              <w:rPr>
                <w:sz w:val="17"/>
                <w:szCs w:val="17"/>
                <w:color w:val="auto"/>
              </w:rPr>
            </w:pPr>
          </w:p>
        </w:tc>
        <w:tc>
          <w:tcPr>
            <w:tcW w:w="1620" w:type="dxa"/>
            <w:vAlign w:val="bottom"/>
            <w:shd w:val="clear" w:color="auto" w:fill="FF160F"/>
          </w:tcPr>
          <w:p>
            <w:pPr>
              <w:jc w:val="center"/>
              <w:spacing w:after="0"/>
              <w:rPr>
                <w:sz w:val="20"/>
                <w:szCs w:val="20"/>
                <w:color w:val="auto"/>
              </w:rPr>
            </w:pPr>
            <w:r>
              <w:rPr>
                <w:rFonts w:ascii="Arial" w:cs="Arial" w:eastAsia="Arial" w:hAnsi="Arial"/>
                <w:sz w:val="18"/>
                <w:szCs w:val="18"/>
                <w:b w:val="1"/>
                <w:bCs w:val="1"/>
                <w:color w:val="FFFFFF"/>
              </w:rPr>
              <w:t>Percentage of</w:t>
            </w:r>
          </w:p>
        </w:tc>
        <w:tc>
          <w:tcPr>
            <w:tcW w:w="0" w:type="dxa"/>
            <w:vAlign w:val="bottom"/>
          </w:tcPr>
          <w:p>
            <w:pPr>
              <w:spacing w:after="0"/>
              <w:rPr>
                <w:sz w:val="1"/>
                <w:szCs w:val="1"/>
                <w:color w:val="auto"/>
              </w:rPr>
            </w:pPr>
          </w:p>
        </w:tc>
      </w:tr>
      <w:tr>
        <w:trPr>
          <w:trHeight w:val="203"/>
        </w:trPr>
        <w:tc>
          <w:tcPr>
            <w:tcW w:w="508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40" w:type="dxa"/>
            <w:vAlign w:val="bottom"/>
            <w:shd w:val="clear" w:color="auto" w:fill="FF160F"/>
          </w:tcPr>
          <w:p>
            <w:pPr>
              <w:spacing w:after="0"/>
              <w:rPr>
                <w:sz w:val="17"/>
                <w:szCs w:val="17"/>
                <w:color w:val="auto"/>
              </w:rPr>
            </w:pPr>
          </w:p>
        </w:tc>
        <w:tc>
          <w:tcPr>
            <w:tcW w:w="128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rPr>
              <w:t>Unvested</w:t>
            </w:r>
          </w:p>
        </w:tc>
        <w:tc>
          <w:tcPr>
            <w:tcW w:w="1440" w:type="dxa"/>
            <w:vAlign w:val="bottom"/>
            <w:shd w:val="clear" w:color="auto" w:fill="FF160F"/>
          </w:tcPr>
          <w:p>
            <w:pPr>
              <w:jc w:val="right"/>
              <w:ind w:right="90"/>
              <w:spacing w:after="0" w:line="202" w:lineRule="exact"/>
              <w:rPr>
                <w:sz w:val="20"/>
                <w:szCs w:val="20"/>
                <w:color w:val="auto"/>
              </w:rPr>
            </w:pPr>
            <w:r>
              <w:rPr>
                <w:rFonts w:ascii="Arial" w:cs="Arial" w:eastAsia="Arial" w:hAnsi="Arial"/>
                <w:sz w:val="18"/>
                <w:szCs w:val="18"/>
                <w:b w:val="1"/>
                <w:bCs w:val="1"/>
                <w:color w:val="FFFFFF"/>
              </w:rPr>
              <w:t>Total Shares</w:t>
            </w:r>
          </w:p>
        </w:tc>
        <w:tc>
          <w:tcPr>
            <w:tcW w:w="1620" w:type="dxa"/>
            <w:vAlign w:val="bottom"/>
            <w:shd w:val="clear" w:color="auto" w:fill="FF160F"/>
          </w:tcPr>
          <w:p>
            <w:pPr>
              <w:jc w:val="center"/>
              <w:spacing w:after="0" w:line="202" w:lineRule="exact"/>
              <w:rPr>
                <w:sz w:val="20"/>
                <w:szCs w:val="20"/>
                <w:color w:val="auto"/>
              </w:rPr>
            </w:pPr>
            <w:r>
              <w:rPr>
                <w:rFonts w:ascii="Arial" w:cs="Arial" w:eastAsia="Arial" w:hAnsi="Arial"/>
                <w:sz w:val="18"/>
                <w:szCs w:val="18"/>
                <w:b w:val="1"/>
                <w:bCs w:val="1"/>
                <w:color w:val="FFFFFF"/>
                <w:w w:val="99"/>
              </w:rPr>
              <w:t>Outstanding</w:t>
            </w:r>
          </w:p>
        </w:tc>
        <w:tc>
          <w:tcPr>
            <w:tcW w:w="0" w:type="dxa"/>
            <w:vAlign w:val="bottom"/>
          </w:tcPr>
          <w:p>
            <w:pPr>
              <w:spacing w:after="0"/>
              <w:rPr>
                <w:sz w:val="1"/>
                <w:szCs w:val="1"/>
                <w:color w:val="auto"/>
              </w:rPr>
            </w:pPr>
          </w:p>
        </w:tc>
      </w:tr>
      <w:tr>
        <w:trPr>
          <w:trHeight w:val="203"/>
        </w:trPr>
        <w:tc>
          <w:tcPr>
            <w:tcW w:w="508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40" w:type="dxa"/>
            <w:vAlign w:val="bottom"/>
            <w:shd w:val="clear" w:color="auto" w:fill="FF160F"/>
          </w:tcPr>
          <w:p>
            <w:pPr>
              <w:spacing w:after="0"/>
              <w:rPr>
                <w:sz w:val="17"/>
                <w:szCs w:val="17"/>
                <w:color w:val="auto"/>
              </w:rPr>
            </w:pPr>
          </w:p>
        </w:tc>
        <w:tc>
          <w:tcPr>
            <w:tcW w:w="128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rPr>
              <w:t>Restricted</w:t>
            </w:r>
          </w:p>
        </w:tc>
        <w:tc>
          <w:tcPr>
            <w:tcW w:w="1440" w:type="dxa"/>
            <w:vAlign w:val="bottom"/>
            <w:shd w:val="clear" w:color="auto" w:fill="FF160F"/>
          </w:tcPr>
          <w:p>
            <w:pPr>
              <w:jc w:val="right"/>
              <w:ind w:right="90"/>
              <w:spacing w:after="0" w:line="202" w:lineRule="exact"/>
              <w:rPr>
                <w:sz w:val="20"/>
                <w:szCs w:val="20"/>
                <w:color w:val="auto"/>
              </w:rPr>
            </w:pPr>
            <w:r>
              <w:rPr>
                <w:rFonts w:ascii="Arial" w:cs="Arial" w:eastAsia="Arial" w:hAnsi="Arial"/>
                <w:sz w:val="18"/>
                <w:szCs w:val="18"/>
                <w:b w:val="1"/>
                <w:bCs w:val="1"/>
                <w:color w:val="FFFFFF"/>
              </w:rPr>
              <w:t>Beneficially</w:t>
            </w:r>
          </w:p>
        </w:tc>
        <w:tc>
          <w:tcPr>
            <w:tcW w:w="1620" w:type="dxa"/>
            <w:vAlign w:val="bottom"/>
            <w:shd w:val="clear" w:color="auto" w:fill="FF160F"/>
          </w:tcPr>
          <w:p>
            <w:pPr>
              <w:jc w:val="center"/>
              <w:spacing w:after="0" w:line="202" w:lineRule="exact"/>
              <w:rPr>
                <w:sz w:val="20"/>
                <w:szCs w:val="20"/>
                <w:color w:val="auto"/>
              </w:rPr>
            </w:pPr>
            <w:r>
              <w:rPr>
                <w:rFonts w:ascii="Arial" w:cs="Arial" w:eastAsia="Arial" w:hAnsi="Arial"/>
                <w:sz w:val="18"/>
                <w:szCs w:val="18"/>
                <w:b w:val="1"/>
                <w:bCs w:val="1"/>
                <w:color w:val="FFFFFF"/>
                <w:w w:val="99"/>
              </w:rPr>
              <w:t>Shares</w:t>
            </w:r>
          </w:p>
        </w:tc>
        <w:tc>
          <w:tcPr>
            <w:tcW w:w="0" w:type="dxa"/>
            <w:vAlign w:val="bottom"/>
          </w:tcPr>
          <w:p>
            <w:pPr>
              <w:spacing w:after="0"/>
              <w:rPr>
                <w:sz w:val="1"/>
                <w:szCs w:val="1"/>
                <w:color w:val="auto"/>
              </w:rPr>
            </w:pPr>
          </w:p>
        </w:tc>
      </w:tr>
      <w:tr>
        <w:trPr>
          <w:trHeight w:val="221"/>
        </w:trPr>
        <w:tc>
          <w:tcPr>
            <w:tcW w:w="5080" w:type="dxa"/>
            <w:vAlign w:val="bottom"/>
            <w:shd w:val="clear" w:color="auto" w:fill="FF160F"/>
          </w:tcPr>
          <w:p>
            <w:pPr>
              <w:spacing w:after="0" w:line="221" w:lineRule="exact"/>
              <w:rPr>
                <w:sz w:val="20"/>
                <w:szCs w:val="20"/>
                <w:color w:val="auto"/>
              </w:rPr>
            </w:pPr>
            <w:r>
              <w:rPr>
                <w:rFonts w:ascii="Arial" w:cs="Arial" w:eastAsia="Arial" w:hAnsi="Arial"/>
                <w:sz w:val="17"/>
                <w:szCs w:val="17"/>
                <w:b w:val="1"/>
                <w:bCs w:val="1"/>
                <w:color w:val="FFFFFF"/>
              </w:rPr>
              <w:t>Name and Address of Beneficial Owner</w:t>
            </w:r>
            <w:r>
              <w:rPr>
                <w:rFonts w:ascii="Arial" w:cs="Arial" w:eastAsia="Arial" w:hAnsi="Arial"/>
                <w:sz w:val="25"/>
                <w:szCs w:val="25"/>
                <w:b w:val="1"/>
                <w:bCs w:val="1"/>
                <w:color w:val="FFFFFF"/>
                <w:vertAlign w:val="superscript"/>
              </w:rPr>
              <w:t>(1)</w:t>
            </w:r>
          </w:p>
        </w:tc>
        <w:tc>
          <w:tcPr>
            <w:tcW w:w="460" w:type="dxa"/>
            <w:vAlign w:val="bottom"/>
            <w:shd w:val="clear" w:color="auto" w:fill="FF160F"/>
          </w:tcPr>
          <w:p>
            <w:pPr>
              <w:spacing w:after="0"/>
              <w:rPr>
                <w:sz w:val="19"/>
                <w:szCs w:val="19"/>
                <w:color w:val="auto"/>
              </w:rPr>
            </w:pPr>
          </w:p>
        </w:tc>
        <w:tc>
          <w:tcPr>
            <w:tcW w:w="114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Common</w:t>
            </w:r>
          </w:p>
        </w:tc>
        <w:tc>
          <w:tcPr>
            <w:tcW w:w="128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Shares</w:t>
            </w:r>
          </w:p>
        </w:tc>
        <w:tc>
          <w:tcPr>
            <w:tcW w:w="1440" w:type="dxa"/>
            <w:vAlign w:val="bottom"/>
            <w:shd w:val="clear" w:color="auto" w:fill="FF160F"/>
          </w:tcPr>
          <w:p>
            <w:pPr>
              <w:jc w:val="right"/>
              <w:ind w:right="90"/>
              <w:spacing w:after="0"/>
              <w:rPr>
                <w:sz w:val="20"/>
                <w:szCs w:val="20"/>
                <w:color w:val="auto"/>
              </w:rPr>
            </w:pPr>
            <w:r>
              <w:rPr>
                <w:rFonts w:ascii="Arial" w:cs="Arial" w:eastAsia="Arial" w:hAnsi="Arial"/>
                <w:sz w:val="18"/>
                <w:szCs w:val="18"/>
                <w:b w:val="1"/>
                <w:bCs w:val="1"/>
                <w:color w:val="FFFFFF"/>
              </w:rPr>
              <w:t>Owned</w:t>
            </w:r>
          </w:p>
        </w:tc>
        <w:tc>
          <w:tcPr>
            <w:tcW w:w="1620" w:type="dxa"/>
            <w:vAlign w:val="bottom"/>
            <w:shd w:val="clear" w:color="auto" w:fill="FF160F"/>
          </w:tcPr>
          <w:p>
            <w:pPr>
              <w:jc w:val="center"/>
              <w:spacing w:after="0" w:line="221" w:lineRule="exact"/>
              <w:rPr>
                <w:sz w:val="20"/>
                <w:szCs w:val="20"/>
                <w:color w:val="auto"/>
              </w:rPr>
            </w:pPr>
            <w:r>
              <w:rPr>
                <w:rFonts w:ascii="Arial" w:cs="Arial" w:eastAsia="Arial" w:hAnsi="Arial"/>
                <w:sz w:val="17"/>
                <w:szCs w:val="17"/>
                <w:b w:val="1"/>
                <w:bCs w:val="1"/>
                <w:color w:val="FFFFFF"/>
                <w:w w:val="98"/>
              </w:rPr>
              <w:t>Owned</w:t>
            </w:r>
            <w:r>
              <w:rPr>
                <w:rFonts w:ascii="Arial" w:cs="Arial" w:eastAsia="Arial" w:hAnsi="Arial"/>
                <w:sz w:val="25"/>
                <w:szCs w:val="25"/>
                <w:b w:val="1"/>
                <w:bCs w:val="1"/>
                <w:color w:val="FFFFFF"/>
                <w:w w:val="98"/>
                <w:vertAlign w:val="superscript"/>
              </w:rPr>
              <w:t>(2)</w:t>
            </w:r>
          </w:p>
        </w:tc>
        <w:tc>
          <w:tcPr>
            <w:tcW w:w="0" w:type="dxa"/>
            <w:vAlign w:val="bottom"/>
          </w:tcPr>
          <w:p>
            <w:pPr>
              <w:spacing w:after="0"/>
              <w:rPr>
                <w:sz w:val="1"/>
                <w:szCs w:val="1"/>
                <w:color w:val="auto"/>
              </w:rPr>
            </w:pPr>
          </w:p>
        </w:tc>
      </w:tr>
      <w:tr>
        <w:trPr>
          <w:trHeight w:val="184"/>
        </w:trPr>
        <w:tc>
          <w:tcPr>
            <w:tcW w:w="5080" w:type="dxa"/>
            <w:vAlign w:val="bottom"/>
            <w:shd w:val="clear" w:color="auto" w:fill="D8D8D8"/>
          </w:tcPr>
          <w:p>
            <w:pPr>
              <w:spacing w:after="0" w:line="183" w:lineRule="exact"/>
              <w:rPr>
                <w:sz w:val="20"/>
                <w:szCs w:val="20"/>
                <w:color w:val="auto"/>
              </w:rPr>
            </w:pPr>
            <w:r>
              <w:rPr>
                <w:rFonts w:ascii="Arial" w:cs="Arial" w:eastAsia="Arial" w:hAnsi="Arial"/>
                <w:sz w:val="18"/>
                <w:szCs w:val="18"/>
                <w:color w:val="auto"/>
              </w:rPr>
              <w:t>Dawn M. Becker</w:t>
            </w:r>
          </w:p>
        </w:tc>
        <w:tc>
          <w:tcPr>
            <w:tcW w:w="160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142,782</w:t>
            </w:r>
          </w:p>
        </w:tc>
        <w:tc>
          <w:tcPr>
            <w:tcW w:w="128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17,156</w:t>
            </w:r>
          </w:p>
        </w:tc>
        <w:tc>
          <w:tcPr>
            <w:tcW w:w="1440" w:type="dxa"/>
            <w:vAlign w:val="bottom"/>
          </w:tcPr>
          <w:p>
            <w:pPr>
              <w:jc w:val="right"/>
              <w:ind w:right="90"/>
              <w:spacing w:after="0" w:line="183" w:lineRule="exact"/>
              <w:rPr>
                <w:sz w:val="20"/>
                <w:szCs w:val="20"/>
                <w:color w:val="auto"/>
              </w:rPr>
            </w:pPr>
            <w:r>
              <w:rPr>
                <w:rFonts w:ascii="Arial" w:cs="Arial" w:eastAsia="Arial" w:hAnsi="Arial"/>
                <w:sz w:val="18"/>
                <w:szCs w:val="18"/>
                <w:color w:val="auto"/>
              </w:rPr>
              <w:t>159,938</w:t>
            </w:r>
          </w:p>
        </w:tc>
        <w:tc>
          <w:tcPr>
            <w:tcW w:w="162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Jeffrey S. Berkes</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38,893</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31,447</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70,340</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David W. Faeder</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24,769</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24,769</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Daniel Guglielmone</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26,208</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24,574</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50,782</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Elizabeth I. Holland</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6,152</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6,152</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Nicole Y. Lamb-Hale</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2,538</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2,538</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Thomas A. McEachin</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299</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299</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Anthony P. Nader, III</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2,538</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2,538</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Gail P. Steinel</w:t>
            </w:r>
          </w:p>
        </w:tc>
        <w:tc>
          <w:tcPr>
            <w:tcW w:w="1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14,442</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14,442</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080" w:type="dxa"/>
            <w:vAlign w:val="bottom"/>
            <w:tcBorders>
              <w:bottom w:val="single" w:sz="8" w:color="D8D8D8"/>
            </w:tcBorders>
            <w:shd w:val="clear" w:color="auto" w:fill="D8D8D8"/>
          </w:tcPr>
          <w:p>
            <w:pPr>
              <w:spacing w:after="0" w:line="202" w:lineRule="exact"/>
              <w:rPr>
                <w:sz w:val="20"/>
                <w:szCs w:val="20"/>
                <w:color w:val="auto"/>
              </w:rPr>
            </w:pPr>
            <w:r>
              <w:rPr>
                <w:rFonts w:ascii="Arial" w:cs="Arial" w:eastAsia="Arial" w:hAnsi="Arial"/>
                <w:sz w:val="16"/>
                <w:szCs w:val="16"/>
                <w:color w:val="auto"/>
              </w:rPr>
              <w:t>Donald C. Wood</w:t>
            </w:r>
            <w:r>
              <w:rPr>
                <w:rFonts w:ascii="Arial" w:cs="Arial" w:eastAsia="Arial" w:hAnsi="Arial"/>
                <w:sz w:val="23"/>
                <w:szCs w:val="23"/>
                <w:color w:val="auto"/>
                <w:vertAlign w:val="superscript"/>
              </w:rPr>
              <w:t>(3)</w:t>
            </w:r>
          </w:p>
        </w:tc>
        <w:tc>
          <w:tcPr>
            <w:tcW w:w="460" w:type="dxa"/>
            <w:vAlign w:val="bottom"/>
          </w:tcPr>
          <w:p>
            <w:pPr>
              <w:spacing w:after="0"/>
              <w:rPr>
                <w:sz w:val="18"/>
                <w:szCs w:val="18"/>
                <w:color w:val="auto"/>
              </w:rPr>
            </w:pPr>
          </w:p>
        </w:tc>
        <w:tc>
          <w:tcPr>
            <w:tcW w:w="11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406,912</w:t>
            </w:r>
          </w:p>
        </w:tc>
        <w:tc>
          <w:tcPr>
            <w:tcW w:w="12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111,353</w:t>
            </w:r>
          </w:p>
        </w:tc>
        <w:tc>
          <w:tcPr>
            <w:tcW w:w="14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518,265</w:t>
            </w:r>
          </w:p>
        </w:tc>
        <w:tc>
          <w:tcPr>
            <w:tcW w:w="16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5080" w:type="dxa"/>
            <w:vAlign w:val="bottom"/>
            <w:shd w:val="clear" w:color="auto" w:fill="D8D8D8"/>
          </w:tcPr>
          <w:p>
            <w:pPr>
              <w:spacing w:after="0" w:line="170" w:lineRule="exact"/>
              <w:rPr>
                <w:sz w:val="20"/>
                <w:szCs w:val="20"/>
                <w:color w:val="auto"/>
              </w:rPr>
            </w:pPr>
            <w:r>
              <w:rPr>
                <w:rFonts w:ascii="Arial" w:cs="Arial" w:eastAsia="Arial" w:hAnsi="Arial"/>
                <w:sz w:val="18"/>
                <w:szCs w:val="18"/>
                <w:color w:val="auto"/>
              </w:rPr>
              <w:t>Trustees, trustee nominees and executive officers as a group</w:t>
            </w:r>
          </w:p>
        </w:tc>
        <w:tc>
          <w:tcPr>
            <w:tcW w:w="160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665,533</w:t>
            </w:r>
          </w:p>
        </w:tc>
        <w:tc>
          <w:tcPr>
            <w:tcW w:w="12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184,530</w:t>
            </w:r>
          </w:p>
        </w:tc>
        <w:tc>
          <w:tcPr>
            <w:tcW w:w="14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850,063</w:t>
            </w:r>
          </w:p>
        </w:tc>
        <w:tc>
          <w:tcPr>
            <w:tcW w:w="1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52"/>
        </w:trPr>
        <w:tc>
          <w:tcPr>
            <w:tcW w:w="5080" w:type="dxa"/>
            <w:vAlign w:val="bottom"/>
            <w:vMerge w:val="restart"/>
            <w:shd w:val="clear" w:color="auto" w:fill="D8D8D8"/>
          </w:tcPr>
          <w:p>
            <w:pPr>
              <w:spacing w:after="0"/>
              <w:rPr>
                <w:sz w:val="20"/>
                <w:szCs w:val="20"/>
                <w:color w:val="auto"/>
              </w:rPr>
            </w:pPr>
            <w:r>
              <w:rPr>
                <w:rFonts w:ascii="Arial" w:cs="Arial" w:eastAsia="Arial" w:hAnsi="Arial"/>
                <w:sz w:val="18"/>
                <w:szCs w:val="18"/>
                <w:color w:val="auto"/>
              </w:rPr>
              <w:t>(10 individuals)</w:t>
            </w:r>
          </w:p>
        </w:tc>
        <w:tc>
          <w:tcPr>
            <w:tcW w:w="1600" w:type="dxa"/>
            <w:vAlign w:val="bottom"/>
            <w:gridSpan w:val="2"/>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5080" w:type="dxa"/>
            <w:vAlign w:val="bottom"/>
            <w:vMerge w:val="continue"/>
            <w:shd w:val="clear" w:color="auto" w:fill="D8D8D8"/>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11226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95" w:lineRule="exact"/>
        <w:rPr>
          <w:sz w:val="20"/>
          <w:szCs w:val="20"/>
          <w:color w:val="auto"/>
        </w:rPr>
      </w:pPr>
    </w:p>
    <w:p>
      <w:pPr>
        <w:ind w:left="660" w:hanging="436"/>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Less than 1%</w:t>
      </w:r>
    </w:p>
    <w:p>
      <w:pPr>
        <w:ind w:left="660" w:hanging="436"/>
        <w:spacing w:after="0" w:line="182" w:lineRule="auto"/>
        <w:tabs>
          <w:tab w:leader="none" w:pos="660" w:val="left"/>
        </w:tabs>
        <w:numPr>
          <w:ilvl w:val="0"/>
          <w:numId w:val="92"/>
        </w:numPr>
        <w:rPr>
          <w:rFonts w:ascii="Arial" w:cs="Arial" w:eastAsia="Arial" w:hAnsi="Arial"/>
          <w:sz w:val="24"/>
          <w:szCs w:val="24"/>
          <w:color w:val="auto"/>
          <w:vertAlign w:val="superscript"/>
        </w:rPr>
      </w:pPr>
      <w:r>
        <w:rPr>
          <w:rFonts w:ascii="Arial" w:cs="Arial" w:eastAsia="Arial" w:hAnsi="Arial"/>
          <w:sz w:val="16"/>
          <w:szCs w:val="16"/>
          <w:color w:val="auto"/>
        </w:rPr>
        <w:t>The address for each of the named individuals is 909 Rose Avenue, Suite 200, North Bethesda, Maryland 20852.</w:t>
      </w:r>
    </w:p>
    <w:p>
      <w:pPr>
        <w:ind w:left="660" w:right="20" w:hanging="436"/>
        <w:spacing w:after="0" w:line="197" w:lineRule="auto"/>
        <w:tabs>
          <w:tab w:leader="none" w:pos="660" w:val="left"/>
        </w:tabs>
        <w:numPr>
          <w:ilvl w:val="0"/>
          <w:numId w:val="92"/>
        </w:numPr>
        <w:rPr>
          <w:rFonts w:ascii="Arial" w:cs="Arial" w:eastAsia="Arial" w:hAnsi="Arial"/>
          <w:sz w:val="24"/>
          <w:szCs w:val="24"/>
          <w:color w:val="auto"/>
          <w:vertAlign w:val="superscript"/>
        </w:rPr>
      </w:pPr>
      <w:r>
        <w:rPr>
          <w:rFonts w:ascii="Arial" w:cs="Arial" w:eastAsia="Arial" w:hAnsi="Arial"/>
          <w:sz w:val="16"/>
          <w:szCs w:val="16"/>
          <w:color w:val="auto"/>
        </w:rPr>
        <w:t>The percentage of outstanding shares owned is calculated by taking the number of shares reflected in the column titled “Total Shares Beneficially Owned” divided by 81,511,030, the total number of shares outstanding on March 13, 2023.</w:t>
      </w:r>
    </w:p>
    <w:p>
      <w:pPr>
        <w:ind w:left="660" w:right="20" w:hanging="436"/>
        <w:spacing w:after="0" w:line="202" w:lineRule="auto"/>
        <w:tabs>
          <w:tab w:leader="none" w:pos="660" w:val="left"/>
        </w:tabs>
        <w:numPr>
          <w:ilvl w:val="0"/>
          <w:numId w:val="92"/>
        </w:numPr>
        <w:rPr>
          <w:rFonts w:ascii="Arial" w:cs="Arial" w:eastAsia="Arial" w:hAnsi="Arial"/>
          <w:sz w:val="24"/>
          <w:szCs w:val="24"/>
          <w:color w:val="auto"/>
          <w:vertAlign w:val="superscript"/>
        </w:rPr>
      </w:pPr>
      <w:r>
        <w:rPr>
          <w:rFonts w:ascii="Arial" w:cs="Arial" w:eastAsia="Arial" w:hAnsi="Arial"/>
          <w:sz w:val="16"/>
          <w:szCs w:val="16"/>
          <w:color w:val="auto"/>
        </w:rPr>
        <w:t>Includes 53,879 shares owned by Stacey Wood Revocable Trust, 198,819 shares owned by Donald C. Wood Revocable Trust, 20,000 shares owned by Great Falls Trust, 46,500 shares owned by Wood Descendants Trust and 60,000 shares owned by IJKR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198755</wp:posOffset>
            </wp:positionV>
            <wp:extent cx="699516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Information about the Annual Meeting</w:t>
      </w:r>
    </w:p>
    <w:p>
      <w:pPr>
        <w:spacing w:after="0" w:line="264" w:lineRule="exact"/>
        <w:rPr>
          <w:sz w:val="20"/>
          <w:szCs w:val="20"/>
          <w:color w:val="auto"/>
        </w:rPr>
      </w:pPr>
    </w:p>
    <w:p>
      <w:pPr>
        <w:ind w:left="540" w:hanging="424"/>
        <w:spacing w:after="0"/>
        <w:tabs>
          <w:tab w:leader="none" w:pos="540" w:val="left"/>
        </w:tabs>
        <w:numPr>
          <w:ilvl w:val="0"/>
          <w:numId w:val="93"/>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NOTICE OF ELECTRONIC AVAILABILITY OF PROXY MATERIALS</w:t>
      </w:r>
    </w:p>
    <w:p>
      <w:pPr>
        <w:spacing w:after="0" w:line="212"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 xml:space="preserve">We are furnishing proxy materials including this proxy statement and our 2022 Annual Report to Shareholders, including our Annual Report on Form 10-K for the year ended December 31, 2022 (“Annual Report”), to each shareholder by providing access to such documents on the Internet. On or about March 24, 2023, we mailed to our shareholders a “Notice of Internet Availability of Proxy Materials” (“Notice”) containing instructions on how to access and review this proxy statement and our Annual Report and how to submit your vote on the Internet or by telephone. You cannot vote by marking the Notice and returning it. If you received the Notice, you will not automatically receive a printed copy of our proxy materials or Annual Report unless you follow the instructions for requesting these materials included in the Notice. This section does not apply if you previously requested to receive these materials by mail. Questions regarding the Notice or voting should be directed to our Investor Relations Department at (800) 937-5449 or by email at </w:t>
      </w:r>
      <w:r>
        <w:rPr>
          <w:rFonts w:ascii="Arial" w:cs="Arial" w:eastAsia="Arial" w:hAnsi="Arial"/>
          <w:sz w:val="18"/>
          <w:szCs w:val="18"/>
          <w:i w:val="1"/>
          <w:iCs w:val="1"/>
          <w:u w:val="single" w:color="auto"/>
          <w:color w:val="auto"/>
        </w:rPr>
        <w:t>IR@federalrealty.com</w:t>
      </w:r>
      <w:r>
        <w:rPr>
          <w:rFonts w:ascii="Arial" w:cs="Arial" w:eastAsia="Arial" w:hAnsi="Arial"/>
          <w:sz w:val="18"/>
          <w:szCs w:val="18"/>
          <w:i w:val="1"/>
          <w:iCs w:val="1"/>
          <w:color w:val="auto"/>
        </w:rPr>
        <w:t>.</w:t>
      </w:r>
    </w:p>
    <w:p>
      <w:pPr>
        <w:spacing w:after="0" w:line="210" w:lineRule="exact"/>
        <w:rPr>
          <w:sz w:val="20"/>
          <w:szCs w:val="20"/>
          <w:color w:val="auto"/>
        </w:rPr>
      </w:pPr>
    </w:p>
    <w:p>
      <w:pPr>
        <w:ind w:left="540" w:hanging="424"/>
        <w:spacing w:after="0"/>
        <w:tabs>
          <w:tab w:leader="none" w:pos="540" w:val="left"/>
        </w:tabs>
        <w:numPr>
          <w:ilvl w:val="0"/>
          <w:numId w:val="94"/>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WHY YOU ARE RECEIVING THESE MATERIALS</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You are receiving these materials because you owned our shares as of March 13, 2023, the record date established by our Board of Trustees for our Annual Meeting. Everyone who owned our shares as of this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66675</wp:posOffset>
            </wp:positionV>
            <wp:extent cx="701230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03"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45</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whether directly as a registered shareholder or indirectly through a bank, broker or other nominee, is entitled to vote at the Annual Meeting. We had 81,511,030 shares outstanding on March 13, 2023. Each share outstanding on the record date is entitled to one vote. A majority of the shares entitled to vote at the Annual Meeting must be present in person or by proxy for us to proceed with the Annual Meeting.</w:t>
      </w:r>
    </w:p>
    <w:p>
      <w:pPr>
        <w:spacing w:after="0" w:line="174" w:lineRule="exact"/>
        <w:rPr>
          <w:sz w:val="20"/>
          <w:szCs w:val="20"/>
          <w:color w:val="auto"/>
        </w:rPr>
      </w:pPr>
    </w:p>
    <w:p>
      <w:pPr>
        <w:ind w:left="540" w:hanging="424"/>
        <w:spacing w:after="0"/>
        <w:tabs>
          <w:tab w:leader="none" w:pos="540" w:val="left"/>
        </w:tabs>
        <w:numPr>
          <w:ilvl w:val="0"/>
          <w:numId w:val="95"/>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ACCESSING MATERIALS</w:t>
      </w:r>
    </w:p>
    <w:p>
      <w:pPr>
        <w:spacing w:after="0" w:line="18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 xml:space="preserve">Shareholders can access this Proxy Statement, our Annual Report and our other filings with the SEC on the Investors page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i w:val="1"/>
          <w:iCs w:val="1"/>
          <w:color w:val="auto"/>
        </w:rPr>
        <w:t>.</w:t>
      </w:r>
      <w:r>
        <w:rPr>
          <w:rFonts w:ascii="Arial" w:cs="Arial" w:eastAsia="Arial" w:hAnsi="Arial"/>
          <w:sz w:val="18"/>
          <w:szCs w:val="18"/>
          <w:color w:val="auto"/>
        </w:rPr>
        <w:t xml:space="preserve">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909 Rose Avenue, Suite 200, North Bethesda, Maryland 20852. The request must be accompanied by payment of a fee to cover our reasonable expenses for copying and mailing the Form 10-K.</w:t>
      </w:r>
    </w:p>
    <w:p>
      <w:pPr>
        <w:spacing w:after="0" w:line="13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In the future, if you wish to receive paper copies of our proxy materials, without charge, and are a registered shareholder, you may do so by written request addressed to American Stock Transfer &amp; Trust, LLC. For those of you holding shares indirectly in “street name”, you must write your bank, brokerage firm, broker-dealer or nominee, to obtain paper copies. Any election you make on how to receive your proxy materials will remain in effect for all future annual meetings until you revoke it.</w:t>
      </w:r>
    </w:p>
    <w:p>
      <w:pPr>
        <w:spacing w:after="0" w:line="174" w:lineRule="exact"/>
        <w:rPr>
          <w:sz w:val="20"/>
          <w:szCs w:val="20"/>
          <w:color w:val="auto"/>
        </w:rPr>
      </w:pPr>
    </w:p>
    <w:p>
      <w:pPr>
        <w:ind w:left="540" w:hanging="424"/>
        <w:spacing w:after="0"/>
        <w:tabs>
          <w:tab w:leader="none" w:pos="540" w:val="left"/>
        </w:tabs>
        <w:numPr>
          <w:ilvl w:val="0"/>
          <w:numId w:val="96"/>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HOW TO VOTE</w:t>
      </w:r>
    </w:p>
    <w:p>
      <w:pPr>
        <w:spacing w:after="0" w:line="171"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If you own your shares directly with our transfer agent, American Stock Transfer &amp; Trust, LLC, you are a registered shareholder. If you are a registered shareholder and fail to give any instructions on your proxy card on any proposal, the proxies identified on the proxy card will vote in the manner recommended by the Board of Trustees for each proposal. Registered shareholders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122555</wp:posOffset>
            </wp:positionV>
            <wp:extent cx="4989195" cy="7372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8919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If you vote by internet or telephone, you will need the control number on your Notice, proxy card or voting instruction form. Votes must be submitted by the conclusion of the Annual Meeting to be counted for the meeting. You may revoke your proxy at any time before it is voted at the Annual Meeting by notifying the secretary in writing, submitting a proxy dated later than your original proxy, or attending and voting at the Annual Meeting.</w:t>
      </w:r>
    </w:p>
    <w:p>
      <w:pPr>
        <w:spacing w:after="0" w:line="13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If you hold your shares indirectly in an account at a bank, brokerage firm, broker-dealer or nominee, you are a beneficial owner of shares held in “street name”. You will receive all proxy materials directly from your bank, brokerage firm, broker-dealer or nominee and you must either direct them as to how to vote your shares or obtain from them a proxy to vote at the Annual Meeting. Please refer to the notice of internet availability of proxy materials or the voter instruction form used by your bank, brokerage firm, broker-dealer or nominee for specific instructions on methods of voting. If you fail to give your bank, brokerage firm, broker-dealer or nominee specific instructions on how to vote your shares with respect to Proposals 1, 2, 3 or 4, that organization will inform the inspector of election that it does not have the authority to vote on the matter with respect to your shares. This is generally referred to as a “broker non-vote”. Broker non-votes will have no effect on the outcome of these matters. It is important for every shareholder’s vote to be counted on these matters so we encourage you to provide your bank, brokerage firm, broker-dealer or nominee with voting instructions. If you fail to give your bank, brokerage firm, broker-dealer or nominee specific instructions on how to vote your shares on Proposal 5, your bank, brokerage firm, broker-dealer or nominee will generally be able to vote on Proposal 5 as he, she or it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86995</wp:posOffset>
            </wp:positionV>
            <wp:extent cx="7012305"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5"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46</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You are urged to vote either by telephone (1-800-PROXIES or 1-800-776-9437) or on the Internet (</w:t>
      </w:r>
      <w:r>
        <w:rPr>
          <w:rFonts w:ascii="Arial" w:cs="Arial" w:eastAsia="Arial" w:hAnsi="Arial"/>
          <w:sz w:val="18"/>
          <w:szCs w:val="18"/>
          <w:u w:val="single" w:color="auto"/>
          <w:color w:val="auto"/>
        </w:rPr>
        <w:t>www.voteproxy.com</w:t>
      </w:r>
      <w:r>
        <w:rPr>
          <w:rFonts w:ascii="Arial" w:cs="Arial" w:eastAsia="Arial" w:hAnsi="Arial"/>
          <w:sz w:val="18"/>
          <w:szCs w:val="18"/>
          <w:color w:val="auto"/>
        </w:rPr>
        <w:t>) by following the instructions on your Notice. If you elect to receive your proxy materials by mail, please make sure to complete, sign, date and return your proxy card promptly to make certain your shares will be voted at the Annual Meeting.</w:t>
      </w:r>
    </w:p>
    <w:p>
      <w:pPr>
        <w:spacing w:after="0" w:line="14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If you do not vote your shares, your shares will not be counted and we may not be able to hold the Annual Meeting. We encourage you to vote by proxy using one of the methods described above even if you plan to attend the Annual Meeting so that we will know as soon as possible whether enough votes will be present.</w:t>
      </w:r>
    </w:p>
    <w:p>
      <w:pPr>
        <w:spacing w:after="0" w:line="169" w:lineRule="exact"/>
        <w:rPr>
          <w:sz w:val="20"/>
          <w:szCs w:val="20"/>
          <w:color w:val="auto"/>
        </w:rPr>
      </w:pPr>
    </w:p>
    <w:p>
      <w:pPr>
        <w:ind w:left="540" w:hanging="424"/>
        <w:spacing w:after="0"/>
        <w:tabs>
          <w:tab w:leader="none" w:pos="540" w:val="left"/>
        </w:tabs>
        <w:numPr>
          <w:ilvl w:val="0"/>
          <w:numId w:val="9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HOW TO PARTICIPATE IN THE ANNUAL MEETING</w:t>
      </w:r>
    </w:p>
    <w:p>
      <w:pPr>
        <w:spacing w:after="0" w:line="17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You will be able to join our Annual Meeting as either a shareholder or a guest. All registered shareholders and shareholders that own in “street name” will be able to ask questions and vote their shares at the meeting by following the instructions below. Guests will be permitted to join the meeting but will not be permitted to ask questions.</w:t>
      </w:r>
    </w:p>
    <w:p>
      <w:pPr>
        <w:spacing w:after="0" w:line="128"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 xml:space="preserve">You can access the Annual Meeting by joining through this link: </w:t>
      </w:r>
      <w:r>
        <w:rPr>
          <w:rFonts w:ascii="Arial" w:cs="Arial" w:eastAsia="Arial" w:hAnsi="Arial"/>
          <w:sz w:val="18"/>
          <w:szCs w:val="18"/>
          <w:i w:val="1"/>
          <w:iCs w:val="1"/>
          <w:u w:val="single" w:color="auto"/>
          <w:color w:val="auto"/>
        </w:rPr>
        <w:t>https://web.lumiagm.com/202329683</w:t>
      </w:r>
      <w:r>
        <w:rPr>
          <w:rFonts w:ascii="Arial" w:cs="Arial" w:eastAsia="Arial" w:hAnsi="Arial"/>
          <w:sz w:val="18"/>
          <w:szCs w:val="18"/>
          <w:i w:val="1"/>
          <w:iCs w:val="1"/>
          <w:color w:val="auto"/>
        </w:rPr>
        <w:t>.</w:t>
      </w:r>
      <w:r>
        <w:rPr>
          <w:rFonts w:ascii="Arial" w:cs="Arial" w:eastAsia="Arial" w:hAnsi="Arial"/>
          <w:sz w:val="18"/>
          <w:szCs w:val="18"/>
          <w:color w:val="auto"/>
        </w:rPr>
        <w:t xml:space="preserve"> If you are a registered shareholder owning shares directly in your name and you would like to be able to ask a question or vote at the Annual Meeting, you should click on “I have a control number”, enter the control number found on your proxy card or Notice you previously received, and enter the password “</w:t>
      </w:r>
      <w:r>
        <w:rPr>
          <w:rFonts w:ascii="Arial" w:cs="Arial" w:eastAsia="Arial" w:hAnsi="Arial"/>
          <w:sz w:val="18"/>
          <w:szCs w:val="18"/>
          <w:i w:val="1"/>
          <w:iCs w:val="1"/>
          <w:color w:val="auto"/>
        </w:rPr>
        <w:t>federal2023</w:t>
      </w:r>
      <w:r>
        <w:rPr>
          <w:rFonts w:ascii="Arial" w:cs="Arial" w:eastAsia="Arial" w:hAnsi="Arial"/>
          <w:sz w:val="18"/>
          <w:szCs w:val="18"/>
          <w:color w:val="auto"/>
        </w:rPr>
        <w:t>” to enter the meeting. The password is case sensitive. If you hold your shares in “street name” through a bank, brokerage firm, broker-dealer or nominee and you would like to be able to ask a question or vote at the Annual Meeting, you must first obtain a legal proxy from your bank, brokerage firm, broker-dealer or nominee and then submit a request for registration to American Stock Transfer &amp; Trust Company, LLC: (1) by email to proxy@astfinancial.com; (2) by facsimile to 718-765-8730; or (3) by mail to American Stock Transfer &amp; Trust Company, LLC, Attn: Proxy Tabulation Department, 6201 15th Avenue, Brooklyn, NY 11219. Requests for registration must be labeled as “Legal Proxy” and must be received by American Stock Transfer &amp; Trust Company, LLC no later than 5:00 p.m. local time on April 26, 2023. You will receive a confirmation of your registration by email from American Stock Transfer &amp; Trust Company, LLC after they receive your registration materials. The email will also include a control number so that you can ask a question or vote at the Annual Meeting by clicking on “I have a control number”. Shareholders who hold shares in “street name” will not be able to vote their shares or ask questions without first completing this registration process. Once you are in the meeting, you can vote your shares by clicking on the Proxy Voting Site link on the screen to submit your ballot. You may also continue to vote using the instructions provided in the Proxy Materials until the Annual Meeting concludes.</w:t>
      </w:r>
    </w:p>
    <w:p>
      <w:pPr>
        <w:spacing w:after="0" w:line="161"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 xml:space="preserve">If you do not want to vote your shares during the meeting or ask a question, you can join the meeting as a guest using the same link above. You will not need to have your control number or to complete a registration in order to participate as a guest. We will have technicians ready to assist you with any technical difficulties you may have accessing the Annual Meeting webcast. Electronic check in begins at 8:30 a.m. local time on May 3, 2023, the day of the Annual Meeting, so that we may address any technical difficulties before the Annual Meeting webcast begins. If you encounter any difficulties accessing the Annual Meeting webcast during the check-in or meeting time, please go to </w:t>
      </w:r>
      <w:r>
        <w:rPr>
          <w:rFonts w:ascii="Arial" w:cs="Arial" w:eastAsia="Arial" w:hAnsi="Arial"/>
          <w:sz w:val="18"/>
          <w:szCs w:val="18"/>
          <w:i w:val="1"/>
          <w:iCs w:val="1"/>
          <w:u w:val="single" w:color="auto"/>
          <w:color w:val="auto"/>
        </w:rPr>
        <w:t>https://go.lumiglobal.com/faq</w:t>
      </w:r>
      <w:r>
        <w:rPr>
          <w:rFonts w:ascii="Arial" w:cs="Arial" w:eastAsia="Arial" w:hAnsi="Arial"/>
          <w:sz w:val="18"/>
          <w:szCs w:val="18"/>
          <w:color w:val="auto"/>
        </w:rPr>
        <w:t xml:space="preserve"> or call 718-931-8300, ext. 6449.</w:t>
      </w:r>
    </w:p>
    <w:p>
      <w:pPr>
        <w:spacing w:after="0" w:line="179" w:lineRule="exact"/>
        <w:rPr>
          <w:sz w:val="20"/>
          <w:szCs w:val="20"/>
          <w:color w:val="auto"/>
        </w:rPr>
      </w:pPr>
    </w:p>
    <w:p>
      <w:pPr>
        <w:ind w:left="540" w:hanging="424"/>
        <w:spacing w:after="0"/>
        <w:tabs>
          <w:tab w:leader="none" w:pos="540" w:val="left"/>
        </w:tabs>
        <w:numPr>
          <w:ilvl w:val="0"/>
          <w:numId w:val="9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ELIMINATING DUPLICATIVE PROXY MATERIALS</w:t>
      </w:r>
    </w:p>
    <w:p>
      <w:pPr>
        <w:spacing w:after="0" w:line="171"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 xml:space="preserve">We have adopted a procedure approved by the SEC called “householding” under which multiple shareholders who share an address and do not participate in electronic delivery will receive only one copy of the annual proxy materials or Notice unless we receive contrary instructions from one or more of the shareholders. If you would like to opt out of householding and continue to receive multiple copies of the proxy materials or Notice at the same address, or if you have previously opted out of householding and would now like to participate, you can do so by notifying us in writing, by telephone or by email at: Investor Relations, 909 Rose Avenue, Suite 200, North Bethesda, Maryland 20852, (800) 937-5449, </w:t>
      </w:r>
      <w:r>
        <w:rPr>
          <w:rFonts w:ascii="Arial" w:cs="Arial" w:eastAsia="Arial" w:hAnsi="Arial"/>
          <w:sz w:val="18"/>
          <w:szCs w:val="18"/>
          <w:i w:val="1"/>
          <w:iCs w:val="1"/>
          <w:u w:val="single" w:color="auto"/>
          <w:color w:val="auto"/>
        </w:rPr>
        <w:t>IR@federalrealty.com</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82550</wp:posOffset>
            </wp:positionV>
            <wp:extent cx="701230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8" w:lineRule="exact"/>
        <w:rPr>
          <w:sz w:val="20"/>
          <w:szCs w:val="20"/>
          <w:color w:val="auto"/>
        </w:rPr>
      </w:pPr>
    </w:p>
    <w:p>
      <w:pPr>
        <w:ind w:left="8020"/>
        <w:spacing w:after="0"/>
        <w:tabs>
          <w:tab w:leader="none" w:pos="9240" w:val="left"/>
          <w:tab w:leader="none" w:pos="1084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47</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9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SOLICITATION OF PROXIES</w:t>
      </w:r>
    </w:p>
    <w:p>
      <w:pPr>
        <w:spacing w:after="0" w:line="185"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We will bear the cost of soliciting proxies from beneficial owners of our shares. Our trustees, officers and employees, acting without special compensation, and other agents may solicit proxies by telephone, internet, or otherwise. Copies of solicitation materials will be furnished to brokerage firms, fiduciaries, and other custodians who hold our shares of record for beneficial owners for forwarding to such beneficial owners. We may also reimburse persons representing beneficial owners of our shares for their reasonable expenses incurred in forwarding such materials.</w:t>
      </w:r>
    </w:p>
    <w:p>
      <w:pPr>
        <w:spacing w:after="0" w:line="13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Beneficial owners of our shares who authorize their proxies through the internet should be aware that they may incur costs to access the internet, such as usage charges from telephone companies or internet service providers and these costs must be borne by the shareholder.</w:t>
      </w:r>
    </w:p>
    <w:p>
      <w:pPr>
        <w:spacing w:after="0" w:line="169" w:lineRule="exact"/>
        <w:rPr>
          <w:sz w:val="20"/>
          <w:szCs w:val="20"/>
          <w:color w:val="auto"/>
        </w:rPr>
      </w:pPr>
    </w:p>
    <w:p>
      <w:pPr>
        <w:ind w:left="540" w:hanging="424"/>
        <w:spacing w:after="0"/>
        <w:tabs>
          <w:tab w:leader="none" w:pos="540" w:val="left"/>
        </w:tabs>
        <w:numPr>
          <w:ilvl w:val="0"/>
          <w:numId w:val="10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SHAREHOLDER PROPOSALS FOR THE 2024 ANNUAL MEETING</w:t>
      </w:r>
    </w:p>
    <w:p>
      <w:pPr>
        <w:spacing w:after="0" w:line="17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This solicitation is made by the Company on behalf of the Board. Proposals of shareholders intended to be presented at the 2024 Annual Meeting of Shareholders or nominations for persons for election to the Board of Trustees, must be delivered to us at 909 Rose Avenue, Suite 200, North Bethesda, Maryland 20852, Attention: Corporate Secretary and received by us no later than November 25, 2023 and no earlier than October 26, 2023, unless the date of the 2024 Annual Meeting of Shareholders is changed by more than 30 days from the date of the 2023 Annual Meeting of Shareholders, in which case such proposal or nomination must be received within a reasonable time before we begin to print and mail our proxy materials. All shareholder proposals and nominations must comply with the requirements set forth in our Bylaws and applicable state and federal laws. Shareholder proposals must comply with Rule 14a-8 under the Exchange Act in order to be included in the Company’s proxy statement and proxy card for the 2024 Annual Meeting of Shareholders. Pursuant to our proxy access Bylaw provision, a shareholder, or a group of up to 20 shareholders, that has continuously owned for three years at least 3% of the Company’s outstanding common shares, may nominate and include in the Company’s annual meeting proxy materials up to the greater of two trustees or 20% of the number of trustees serving on the Board, if the shareholder(s) and the nominee(s) meet the requirements specified in Article II, Section 13 of our Bylaws. Our Bylaws are available by written request made to the General Counsel &amp; Secretary, 909 Rose Avenue, Suite 200, North Bethesda, Maryland 20852.</w:t>
      </w:r>
    </w:p>
    <w:p>
      <w:pPr>
        <w:spacing w:after="0" w:line="15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shareholders who intend to solicit proxies in support of nominees other than the Company’s nominees to the Board of Trustees must satisfy the requirements of Rule 14a-19 under the Exchange Act, including by providing notice and the information required thereunder no later than March 4, 2024 (except that, if the date of the meeting has changed by more than 30 days from the previous year, then such notice must be provided by the later of 60 calendar days prior to the date of the annual meeting or the 10th day following the day on which we first publicly announce the date of the annual meeting).</w:t>
      </w:r>
    </w:p>
    <w:p>
      <w:pPr>
        <w:spacing w:after="0" w:line="20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52070</wp:posOffset>
            </wp:positionV>
            <wp:extent cx="968375" cy="2825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68375" cy="28257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Executive Vice President—General</w:t>
      </w:r>
    </w:p>
    <w:p>
      <w:pPr>
        <w:ind w:left="6740"/>
        <w:spacing w:after="0"/>
        <w:rPr>
          <w:sz w:val="20"/>
          <w:szCs w:val="20"/>
          <w:color w:val="auto"/>
        </w:rPr>
      </w:pPr>
      <w:r>
        <w:rPr>
          <w:rFonts w:ascii="Arial" w:cs="Arial" w:eastAsia="Arial" w:hAnsi="Arial"/>
          <w:sz w:val="18"/>
          <w:szCs w:val="18"/>
          <w:i w:val="1"/>
          <w:iCs w:val="1"/>
          <w:color w:val="auto"/>
        </w:rPr>
        <w:t>Counsel and Secretary</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909 Rose Avenue, Suite 200</w:t>
      </w:r>
    </w:p>
    <w:p>
      <w:pPr>
        <w:ind w:left="6740"/>
        <w:spacing w:after="0"/>
        <w:rPr>
          <w:sz w:val="20"/>
          <w:szCs w:val="20"/>
          <w:color w:val="auto"/>
        </w:rPr>
      </w:pPr>
      <w:r>
        <w:rPr>
          <w:rFonts w:ascii="Arial" w:cs="Arial" w:eastAsia="Arial" w:hAnsi="Arial"/>
          <w:sz w:val="18"/>
          <w:szCs w:val="18"/>
          <w:color w:val="auto"/>
        </w:rPr>
        <w:t>North Bethesda, Maryland 20852</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YOUR PROXY IS IMPORTANT REGARDLESS OF THE NUMBER OF SHARES YOU OWN. PLEASE SUBMIT IT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103505</wp:posOffset>
            </wp:positionV>
            <wp:extent cx="7012305"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61" w:lineRule="exact"/>
        <w:rPr>
          <w:sz w:val="20"/>
          <w:szCs w:val="20"/>
          <w:color w:val="auto"/>
        </w:rPr>
      </w:pPr>
    </w:p>
    <w:p>
      <w:pPr>
        <w:ind w:left="340"/>
        <w:spacing w:after="0"/>
        <w:tabs>
          <w:tab w:leader="none" w:pos="1580" w:val="left"/>
          <w:tab w:leader="none" w:pos="31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48</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Appendix A</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Funds from Operations:</w:t>
      </w:r>
    </w:p>
    <w:p>
      <w:pPr>
        <w:spacing w:after="0" w:line="14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fund cash needs, including the payment of dividends. 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0"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9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reconciliation of net income to FFO available for common shareholders for the years ended December 31, 2022, 2021 and 2020 is as follows: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2020</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7"/>
          </w:tcPr>
          <w:p>
            <w:pPr>
              <w:ind w:left="160"/>
              <w:spacing w:after="0" w:line="162" w:lineRule="exact"/>
              <w:rPr>
                <w:sz w:val="20"/>
                <w:szCs w:val="20"/>
                <w:color w:val="auto"/>
              </w:rPr>
            </w:pPr>
            <w:r>
              <w:rPr>
                <w:rFonts w:ascii="Arial" w:cs="Arial" w:eastAsia="Arial" w:hAnsi="Arial"/>
                <w:sz w:val="15"/>
                <w:szCs w:val="15"/>
                <w:color w:val="auto"/>
              </w:rPr>
              <w:t>(in thousands, except per share data)</w:t>
            </w:r>
          </w:p>
        </w:tc>
        <w:tc>
          <w:tcPr>
            <w:tcW w:w="0" w:type="dxa"/>
            <w:vAlign w:val="bottom"/>
          </w:tcPr>
          <w:p>
            <w:pPr>
              <w:spacing w:after="0"/>
              <w:rPr>
                <w:sz w:val="1"/>
                <w:szCs w:val="1"/>
                <w:color w:val="auto"/>
              </w:rPr>
            </w:pPr>
          </w:p>
        </w:tc>
      </w:tr>
      <w:tr>
        <w:trPr>
          <w:trHeight w:val="189"/>
        </w:trPr>
        <w:tc>
          <w:tcPr>
            <w:tcW w:w="8120" w:type="dxa"/>
            <w:vAlign w:val="bottom"/>
            <w:gridSpan w:val="2"/>
            <w:shd w:val="clear" w:color="auto" w:fill="EAEFED"/>
          </w:tcPr>
          <w:p>
            <w:pPr>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395,661</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269,081</w:t>
            </w:r>
          </w:p>
        </w:tc>
        <w:tc>
          <w:tcPr>
            <w:tcW w:w="24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AEFED"/>
          </w:tcPr>
          <w:p>
            <w:pPr>
              <w:jc w:val="right"/>
              <w:ind w:right="19"/>
              <w:spacing w:after="0"/>
              <w:rPr>
                <w:sz w:val="20"/>
                <w:szCs w:val="20"/>
                <w:color w:val="auto"/>
              </w:rPr>
            </w:pPr>
            <w:r>
              <w:rPr>
                <w:rFonts w:ascii="Arial" w:cs="Arial" w:eastAsia="Arial" w:hAnsi="Arial"/>
                <w:sz w:val="16"/>
                <w:szCs w:val="16"/>
                <w:color w:val="auto"/>
              </w:rPr>
              <w:t>135,888</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2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(10,170)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(7,583)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(4,182)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20" w:type="dxa"/>
            <w:vAlign w:val="bottom"/>
            <w:gridSpan w:val="2"/>
            <w:shd w:val="clear" w:color="auto" w:fill="EAEFED"/>
          </w:tcPr>
          <w:p>
            <w:pPr>
              <w:spacing w:after="0"/>
              <w:rPr>
                <w:sz w:val="20"/>
                <w:szCs w:val="20"/>
                <w:color w:val="auto"/>
              </w:rPr>
            </w:pPr>
            <w:r>
              <w:rPr>
                <w:rFonts w:ascii="Arial" w:cs="Arial" w:eastAsia="Arial" w:hAnsi="Arial"/>
                <w:sz w:val="16"/>
                <w:szCs w:val="16"/>
                <w:color w:val="auto"/>
              </w:rPr>
              <w:t>Gain on deconsolidation of VIE</w:t>
            </w:r>
          </w:p>
        </w:tc>
        <w:tc>
          <w:tcPr>
            <w:tcW w:w="18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(70,374)</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AEFED"/>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20" w:type="dxa"/>
            <w:vAlign w:val="bottom"/>
            <w:gridSpan w:val="2"/>
          </w:tcPr>
          <w:p>
            <w:pPr>
              <w:spacing w:after="0"/>
              <w:rPr>
                <w:sz w:val="20"/>
                <w:szCs w:val="20"/>
                <w:color w:val="auto"/>
              </w:rPr>
            </w:pPr>
            <w:r>
              <w:rPr>
                <w:rFonts w:ascii="Arial" w:cs="Arial" w:eastAsia="Arial" w:hAnsi="Arial"/>
                <w:sz w:val="16"/>
                <w:szCs w:val="16"/>
                <w:color w:val="auto"/>
              </w:rPr>
              <w:t>Gain on sale of real estate and change in control of interests, net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(93,483)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(89,892)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w w:val="97"/>
              </w:rPr>
              <w:t>(91,922)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20" w:type="dxa"/>
            <w:vAlign w:val="bottom"/>
            <w:gridSpan w:val="2"/>
            <w:shd w:val="clear" w:color="auto" w:fill="EAEFED"/>
          </w:tcPr>
          <w:p>
            <w:pPr>
              <w:spacing w:after="0"/>
              <w:rPr>
                <w:sz w:val="20"/>
                <w:szCs w:val="20"/>
                <w:color w:val="auto"/>
              </w:rPr>
            </w:pPr>
            <w:r>
              <w:rPr>
                <w:rFonts w:ascii="Arial" w:cs="Arial" w:eastAsia="Arial" w:hAnsi="Arial"/>
                <w:sz w:val="16"/>
                <w:szCs w:val="16"/>
                <w:color w:val="auto"/>
              </w:rPr>
              <w:t>Impairment charge, net</w:t>
            </w:r>
          </w:p>
        </w:tc>
        <w:tc>
          <w:tcPr>
            <w:tcW w:w="18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AEFED"/>
          </w:tcPr>
          <w:p>
            <w:pPr>
              <w:jc w:val="right"/>
              <w:ind w:right="19"/>
              <w:spacing w:after="0"/>
              <w:rPr>
                <w:sz w:val="20"/>
                <w:szCs w:val="20"/>
                <w:color w:val="auto"/>
              </w:rPr>
            </w:pPr>
            <w:r>
              <w:rPr>
                <w:rFonts w:ascii="Arial" w:cs="Arial" w:eastAsia="Arial" w:hAnsi="Arial"/>
                <w:sz w:val="16"/>
                <w:szCs w:val="16"/>
                <w:color w:val="auto"/>
              </w:rPr>
              <w:t>50,728</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20" w:type="dxa"/>
            <w:vAlign w:val="bottom"/>
            <w:gridSpan w:val="2"/>
          </w:tcPr>
          <w:p>
            <w:pPr>
              <w:spacing w:after="0"/>
              <w:rPr>
                <w:sz w:val="20"/>
                <w:szCs w:val="20"/>
                <w:color w:val="auto"/>
              </w:rPr>
            </w:pPr>
            <w:r>
              <w:rPr>
                <w:rFonts w:ascii="Arial" w:cs="Arial" w:eastAsia="Arial" w:hAnsi="Arial"/>
                <w:sz w:val="16"/>
                <w:szCs w:val="16"/>
                <w:color w:val="auto"/>
              </w:rPr>
              <w:t>Depreciation and amortization of real estate assets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266,741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243,711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228,850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20" w:type="dxa"/>
            <w:vAlign w:val="bottom"/>
            <w:gridSpan w:val="2"/>
            <w:shd w:val="clear" w:color="auto" w:fill="EAEFED"/>
          </w:tcPr>
          <w:p>
            <w:pPr>
              <w:spacing w:after="0"/>
              <w:rPr>
                <w:sz w:val="20"/>
                <w:szCs w:val="20"/>
                <w:color w:val="auto"/>
              </w:rPr>
            </w:pPr>
            <w:r>
              <w:rPr>
                <w:rFonts w:ascii="Arial" w:cs="Arial" w:eastAsia="Arial" w:hAnsi="Arial"/>
                <w:sz w:val="16"/>
                <w:szCs w:val="16"/>
                <w:color w:val="auto"/>
              </w:rPr>
              <w:t>Amortization of initial direct costs of leases</w:t>
            </w:r>
          </w:p>
        </w:tc>
        <w:tc>
          <w:tcPr>
            <w:tcW w:w="180" w:type="dxa"/>
            <w:vAlign w:val="bottom"/>
            <w:tcBorders>
              <w:bottom w:val="single" w:sz="8" w:color="auto"/>
            </w:tcBorders>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AEFED"/>
          </w:tcPr>
          <w:p>
            <w:pPr>
              <w:jc w:val="right"/>
              <w:ind w:right="59"/>
              <w:spacing w:after="0"/>
              <w:rPr>
                <w:sz w:val="20"/>
                <w:szCs w:val="20"/>
                <w:color w:val="auto"/>
              </w:rPr>
            </w:pPr>
            <w:r>
              <w:rPr>
                <w:rFonts w:ascii="Arial" w:cs="Arial" w:eastAsia="Arial" w:hAnsi="Arial"/>
                <w:sz w:val="16"/>
                <w:szCs w:val="16"/>
                <w:color w:val="auto"/>
              </w:rPr>
              <w:t>27,268</w:t>
            </w:r>
          </w:p>
        </w:tc>
        <w:tc>
          <w:tcPr>
            <w:tcW w:w="220" w:type="dxa"/>
            <w:vAlign w:val="bottom"/>
            <w:tcBorders>
              <w:bottom w:val="single" w:sz="8" w:color="auto"/>
            </w:tcBorders>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EAEFED"/>
          </w:tcPr>
          <w:p>
            <w:pPr>
              <w:jc w:val="right"/>
              <w:ind w:right="39"/>
              <w:spacing w:after="0"/>
              <w:rPr>
                <w:sz w:val="20"/>
                <w:szCs w:val="20"/>
                <w:color w:val="auto"/>
              </w:rPr>
            </w:pPr>
            <w:r>
              <w:rPr>
                <w:rFonts w:ascii="Arial" w:cs="Arial" w:eastAsia="Arial" w:hAnsi="Arial"/>
                <w:sz w:val="16"/>
                <w:szCs w:val="16"/>
                <w:color w:val="auto"/>
              </w:rPr>
              <w:t>26,051</w:t>
            </w:r>
          </w:p>
        </w:tc>
        <w:tc>
          <w:tcPr>
            <w:tcW w:w="240" w:type="dxa"/>
            <w:vAlign w:val="bottom"/>
            <w:tcBorders>
              <w:bottom w:val="single" w:sz="8" w:color="auto"/>
            </w:tcBorders>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EAEFED"/>
          </w:tcPr>
          <w:p>
            <w:pPr>
              <w:jc w:val="right"/>
              <w:ind w:right="19"/>
              <w:spacing w:after="0"/>
              <w:rPr>
                <w:sz w:val="20"/>
                <w:szCs w:val="20"/>
                <w:color w:val="auto"/>
              </w:rPr>
            </w:pPr>
            <w:r>
              <w:rPr>
                <w:rFonts w:ascii="Arial" w:cs="Arial" w:eastAsia="Arial" w:hAnsi="Arial"/>
                <w:sz w:val="16"/>
                <w:szCs w:val="16"/>
                <w:color w:val="auto"/>
              </w:rPr>
              <w:t>20,415</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20" w:type="dxa"/>
            <w:vAlign w:val="bottom"/>
            <w:gridSpan w:val="2"/>
          </w:tcPr>
          <w:p>
            <w:pPr>
              <w:ind w:left="160"/>
              <w:spacing w:after="0"/>
              <w:rPr>
                <w:sz w:val="20"/>
                <w:szCs w:val="20"/>
                <w:color w:val="auto"/>
              </w:rPr>
            </w:pPr>
            <w:r>
              <w:rPr>
                <w:rFonts w:ascii="Arial" w:cs="Arial" w:eastAsia="Arial" w:hAnsi="Arial"/>
                <w:sz w:val="16"/>
                <w:szCs w:val="16"/>
                <w:color w:val="auto"/>
              </w:rPr>
              <w:t>Funds from operations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515,643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441,368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339,777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20" w:type="dxa"/>
            <w:vAlign w:val="bottom"/>
            <w:gridSpan w:val="2"/>
            <w:shd w:val="clear" w:color="auto" w:fill="EAEFED"/>
          </w:tcPr>
          <w:p>
            <w:pPr>
              <w:spacing w:after="0" w:line="189" w:lineRule="exact"/>
              <w:rPr>
                <w:sz w:val="20"/>
                <w:szCs w:val="20"/>
                <w:color w:val="auto"/>
              </w:rPr>
            </w:pPr>
            <w:r>
              <w:rPr>
                <w:rFonts w:ascii="Arial" w:cs="Arial" w:eastAsia="Arial" w:hAnsi="Arial"/>
                <w:sz w:val="14"/>
                <w:szCs w:val="14"/>
                <w:color w:val="auto"/>
              </w:rPr>
              <w:t>Dividends on preferred shares</w:t>
            </w:r>
            <w:r>
              <w:rPr>
                <w:rFonts w:ascii="Arial" w:cs="Arial" w:eastAsia="Arial" w:hAnsi="Arial"/>
                <w:sz w:val="21"/>
                <w:szCs w:val="21"/>
                <w:color w:val="auto"/>
                <w:vertAlign w:val="superscript"/>
              </w:rPr>
              <w:t>(1)</w:t>
            </w:r>
          </w:p>
        </w:tc>
        <w:tc>
          <w:tcPr>
            <w:tcW w:w="18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(7,500)</w:t>
            </w:r>
          </w:p>
        </w:tc>
        <w:tc>
          <w:tcPr>
            <w:tcW w:w="22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auto"/>
              </w:rPr>
              <w:t>(8,042)</w:t>
            </w:r>
          </w:p>
        </w:tc>
        <w:tc>
          <w:tcPr>
            <w:tcW w:w="24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AEFED"/>
          </w:tcPr>
          <w:p>
            <w:pPr>
              <w:jc w:val="right"/>
              <w:ind w:right="19"/>
              <w:spacing w:after="0"/>
              <w:rPr>
                <w:sz w:val="20"/>
                <w:szCs w:val="20"/>
                <w:color w:val="auto"/>
              </w:rPr>
            </w:pPr>
            <w:r>
              <w:rPr>
                <w:rFonts w:ascii="Arial" w:cs="Arial" w:eastAsia="Arial" w:hAnsi="Arial"/>
                <w:sz w:val="16"/>
                <w:szCs w:val="16"/>
                <w:color w:val="auto"/>
              </w:rPr>
              <w:t>(8,042)</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20" w:type="dxa"/>
            <w:vAlign w:val="bottom"/>
            <w:gridSpan w:val="2"/>
          </w:tcPr>
          <w:p>
            <w:pPr>
              <w:spacing w:after="0"/>
              <w:rPr>
                <w:sz w:val="20"/>
                <w:szCs w:val="20"/>
                <w:color w:val="auto"/>
              </w:rPr>
            </w:pPr>
            <w:r>
              <w:rPr>
                <w:rFonts w:ascii="Arial" w:cs="Arial" w:eastAsia="Arial" w:hAnsi="Arial"/>
                <w:sz w:val="16"/>
                <w:szCs w:val="16"/>
                <w:color w:val="auto"/>
              </w:rPr>
              <w:t>Income attributable to operating partnership units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2,810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2,998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20" w:type="dxa"/>
            <w:vAlign w:val="bottom"/>
            <w:gridSpan w:val="2"/>
            <w:shd w:val="clear" w:color="auto" w:fill="EAEFED"/>
          </w:tcPr>
          <w:p>
            <w:pPr>
              <w:spacing w:after="0"/>
              <w:rPr>
                <w:sz w:val="20"/>
                <w:szCs w:val="20"/>
                <w:color w:val="auto"/>
              </w:rPr>
            </w:pPr>
            <w:r>
              <w:rPr>
                <w:rFonts w:ascii="Arial" w:cs="Arial" w:eastAsia="Arial" w:hAnsi="Arial"/>
                <w:sz w:val="16"/>
                <w:szCs w:val="16"/>
                <w:color w:val="auto"/>
              </w:rPr>
              <w:t>Income attributable to unvested shares</w:t>
            </w:r>
          </w:p>
        </w:tc>
        <w:tc>
          <w:tcPr>
            <w:tcW w:w="180" w:type="dxa"/>
            <w:vAlign w:val="bottom"/>
            <w:tcBorders>
              <w:bottom w:val="single" w:sz="8" w:color="auto"/>
            </w:tcBorders>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AEFED"/>
          </w:tcPr>
          <w:p>
            <w:pPr>
              <w:jc w:val="right"/>
              <w:ind w:right="59"/>
              <w:spacing w:after="0"/>
              <w:rPr>
                <w:sz w:val="20"/>
                <w:szCs w:val="20"/>
                <w:color w:val="auto"/>
              </w:rPr>
            </w:pPr>
            <w:r>
              <w:rPr>
                <w:rFonts w:ascii="Arial" w:cs="Arial" w:eastAsia="Arial" w:hAnsi="Arial"/>
                <w:sz w:val="16"/>
                <w:szCs w:val="16"/>
                <w:color w:val="auto"/>
              </w:rPr>
              <w:t>(1,797)</w:t>
            </w:r>
          </w:p>
        </w:tc>
        <w:tc>
          <w:tcPr>
            <w:tcW w:w="220" w:type="dxa"/>
            <w:vAlign w:val="bottom"/>
            <w:tcBorders>
              <w:bottom w:val="single" w:sz="8" w:color="auto"/>
            </w:tcBorders>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EAEFED"/>
          </w:tcPr>
          <w:p>
            <w:pPr>
              <w:jc w:val="right"/>
              <w:ind w:right="39"/>
              <w:spacing w:after="0"/>
              <w:rPr>
                <w:sz w:val="20"/>
                <w:szCs w:val="20"/>
                <w:color w:val="auto"/>
              </w:rPr>
            </w:pPr>
            <w:r>
              <w:rPr>
                <w:rFonts w:ascii="Arial" w:cs="Arial" w:eastAsia="Arial" w:hAnsi="Arial"/>
                <w:sz w:val="16"/>
                <w:szCs w:val="16"/>
                <w:color w:val="auto"/>
              </w:rPr>
              <w:t>(1,581)</w:t>
            </w:r>
          </w:p>
        </w:tc>
        <w:tc>
          <w:tcPr>
            <w:tcW w:w="240" w:type="dxa"/>
            <w:vAlign w:val="bottom"/>
            <w:tcBorders>
              <w:bottom w:val="single" w:sz="8" w:color="auto"/>
            </w:tcBorders>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EAEFED"/>
          </w:tcPr>
          <w:p>
            <w:pPr>
              <w:jc w:val="right"/>
              <w:ind w:right="19"/>
              <w:spacing w:after="0"/>
              <w:rPr>
                <w:sz w:val="20"/>
                <w:szCs w:val="20"/>
                <w:color w:val="auto"/>
              </w:rPr>
            </w:pPr>
            <w:r>
              <w:rPr>
                <w:rFonts w:ascii="Arial" w:cs="Arial" w:eastAsia="Arial" w:hAnsi="Arial"/>
                <w:sz w:val="16"/>
                <w:szCs w:val="16"/>
                <w:color w:val="auto"/>
              </w:rPr>
              <w:t>(1,037)</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20" w:type="dxa"/>
            <w:vAlign w:val="bottom"/>
            <w:gridSpan w:val="2"/>
          </w:tcPr>
          <w:p>
            <w:pPr>
              <w:ind w:left="160"/>
              <w:spacing w:after="0" w:line="195" w:lineRule="exact"/>
              <w:rPr>
                <w:sz w:val="20"/>
                <w:szCs w:val="20"/>
                <w:color w:val="auto"/>
              </w:rPr>
            </w:pPr>
            <w:r>
              <w:rPr>
                <w:rFonts w:ascii="Arial" w:cs="Arial" w:eastAsia="Arial" w:hAnsi="Arial"/>
                <w:sz w:val="15"/>
                <w:szCs w:val="15"/>
                <w:color w:val="auto"/>
              </w:rPr>
              <w:t>Funds from operations available for common shareholders</w:t>
            </w:r>
            <w:r>
              <w:rPr>
                <w:rFonts w:ascii="Arial" w:cs="Arial" w:eastAsia="Arial" w:hAnsi="Arial"/>
                <w:sz w:val="22"/>
                <w:szCs w:val="22"/>
                <w:color w:val="auto"/>
                <w:vertAlign w:val="superscript"/>
              </w:rPr>
              <w:t>(2)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509,156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434,743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333,849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20" w:type="dxa"/>
            <w:vAlign w:val="bottom"/>
            <w:gridSpan w:val="2"/>
            <w:shd w:val="clear" w:color="auto" w:fill="EAEFED"/>
          </w:tcPr>
          <w:p>
            <w:pPr>
              <w:spacing w:after="0" w:line="183" w:lineRule="exact"/>
              <w:rPr>
                <w:sz w:val="20"/>
                <w:szCs w:val="20"/>
                <w:color w:val="auto"/>
              </w:rPr>
            </w:pPr>
            <w:r>
              <w:rPr>
                <w:rFonts w:ascii="Arial" w:cs="Arial" w:eastAsia="Arial" w:hAnsi="Arial"/>
                <w:sz w:val="14"/>
                <w:szCs w:val="14"/>
                <w:color w:val="auto"/>
              </w:rPr>
              <w:t>Weighted average number of common shares, diluted</w:t>
            </w:r>
            <w:r>
              <w:rPr>
                <w:rFonts w:ascii="Arial" w:cs="Arial" w:eastAsia="Arial" w:hAnsi="Arial"/>
                <w:sz w:val="21"/>
                <w:szCs w:val="21"/>
                <w:color w:val="auto"/>
                <w:vertAlign w:val="superscript"/>
              </w:rPr>
              <w:t>(1)(2)(3)</w:t>
            </w:r>
          </w:p>
        </w:tc>
        <w:tc>
          <w:tcPr>
            <w:tcW w:w="180" w:type="dxa"/>
            <w:vAlign w:val="bottom"/>
            <w:tcBorders>
              <w:bottom w:val="single" w:sz="8" w:color="auto"/>
            </w:tcBorders>
            <w:shd w:val="clear" w:color="auto" w:fill="EAEFED"/>
          </w:tcPr>
          <w:p>
            <w:pPr>
              <w:spacing w:after="0"/>
              <w:rPr>
                <w:sz w:val="15"/>
                <w:szCs w:val="15"/>
                <w:color w:val="auto"/>
              </w:rPr>
            </w:pPr>
          </w:p>
        </w:tc>
        <w:tc>
          <w:tcPr>
            <w:tcW w:w="760" w:type="dxa"/>
            <w:vAlign w:val="bottom"/>
            <w:tcBorders>
              <w:bottom w:val="single" w:sz="8" w:color="auto"/>
            </w:tcBorders>
            <w:shd w:val="clear" w:color="auto" w:fill="EAEFED"/>
          </w:tcPr>
          <w:p>
            <w:pPr>
              <w:jc w:val="right"/>
              <w:ind w:right="59"/>
              <w:spacing w:after="0"/>
              <w:rPr>
                <w:sz w:val="20"/>
                <w:szCs w:val="20"/>
                <w:color w:val="auto"/>
              </w:rPr>
            </w:pPr>
            <w:r>
              <w:rPr>
                <w:rFonts w:ascii="Arial" w:cs="Arial" w:eastAsia="Arial" w:hAnsi="Arial"/>
                <w:sz w:val="16"/>
                <w:szCs w:val="16"/>
                <w:color w:val="auto"/>
              </w:rPr>
              <w:t>80,603</w:t>
            </w:r>
          </w:p>
        </w:tc>
        <w:tc>
          <w:tcPr>
            <w:tcW w:w="220" w:type="dxa"/>
            <w:vAlign w:val="bottom"/>
            <w:tcBorders>
              <w:bottom w:val="single" w:sz="8" w:color="auto"/>
            </w:tcBorders>
            <w:shd w:val="clear" w:color="auto" w:fill="EAEFED"/>
          </w:tcPr>
          <w:p>
            <w:pPr>
              <w:spacing w:after="0"/>
              <w:rPr>
                <w:sz w:val="15"/>
                <w:szCs w:val="15"/>
                <w:color w:val="auto"/>
              </w:rPr>
            </w:pPr>
          </w:p>
        </w:tc>
        <w:tc>
          <w:tcPr>
            <w:tcW w:w="740" w:type="dxa"/>
            <w:vAlign w:val="bottom"/>
            <w:tcBorders>
              <w:bottom w:val="single" w:sz="8" w:color="auto"/>
            </w:tcBorders>
            <w:shd w:val="clear" w:color="auto" w:fill="EAEFED"/>
          </w:tcPr>
          <w:p>
            <w:pPr>
              <w:jc w:val="right"/>
              <w:ind w:right="39"/>
              <w:spacing w:after="0"/>
              <w:rPr>
                <w:sz w:val="20"/>
                <w:szCs w:val="20"/>
                <w:color w:val="auto"/>
              </w:rPr>
            </w:pPr>
            <w:r>
              <w:rPr>
                <w:rFonts w:ascii="Arial" w:cs="Arial" w:eastAsia="Arial" w:hAnsi="Arial"/>
                <w:sz w:val="16"/>
                <w:szCs w:val="16"/>
                <w:color w:val="auto"/>
              </w:rPr>
              <w:t>78,072</w:t>
            </w:r>
          </w:p>
        </w:tc>
        <w:tc>
          <w:tcPr>
            <w:tcW w:w="240" w:type="dxa"/>
            <w:vAlign w:val="bottom"/>
            <w:tcBorders>
              <w:bottom w:val="single" w:sz="8" w:color="auto"/>
            </w:tcBorders>
            <w:shd w:val="clear" w:color="auto" w:fill="EAEFED"/>
          </w:tcPr>
          <w:p>
            <w:pPr>
              <w:spacing w:after="0"/>
              <w:rPr>
                <w:sz w:val="15"/>
                <w:szCs w:val="15"/>
                <w:color w:val="auto"/>
              </w:rPr>
            </w:pPr>
          </w:p>
        </w:tc>
        <w:tc>
          <w:tcPr>
            <w:tcW w:w="700" w:type="dxa"/>
            <w:vAlign w:val="bottom"/>
            <w:tcBorders>
              <w:bottom w:val="single" w:sz="8" w:color="auto"/>
            </w:tcBorders>
            <w:shd w:val="clear" w:color="auto" w:fill="EAEFED"/>
          </w:tcPr>
          <w:p>
            <w:pPr>
              <w:jc w:val="right"/>
              <w:ind w:right="19"/>
              <w:spacing w:after="0"/>
              <w:rPr>
                <w:sz w:val="20"/>
                <w:szCs w:val="20"/>
                <w:color w:val="auto"/>
              </w:rPr>
            </w:pPr>
            <w:r>
              <w:rPr>
                <w:rFonts w:ascii="Arial" w:cs="Arial" w:eastAsia="Arial" w:hAnsi="Arial"/>
                <w:sz w:val="16"/>
                <w:szCs w:val="16"/>
                <w:color w:val="auto"/>
              </w:rPr>
              <w:t>76,621</w:t>
            </w:r>
          </w:p>
        </w:tc>
        <w:tc>
          <w:tcPr>
            <w:tcW w:w="60" w:type="dxa"/>
            <w:vAlign w:val="bottom"/>
            <w:shd w:val="clear" w:color="auto" w:fill="EAEFED"/>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6"/>
                <w:szCs w:val="16"/>
                <w:color w:val="auto"/>
              </w:rPr>
              <w:t>Funds from operations available for common shareholders, per diluted share</w:t>
            </w:r>
            <w:r>
              <w:rPr>
                <w:rFonts w:ascii="Arial" w:cs="Arial" w:eastAsia="Arial" w:hAnsi="Arial"/>
                <w:sz w:val="24"/>
                <w:szCs w:val="24"/>
                <w:color w:val="auto"/>
                <w:vertAlign w:val="superscript"/>
              </w:rPr>
              <w:t>(2)</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120" w:type="dxa"/>
            <w:vAlign w:val="bottom"/>
            <w:gridSpan w:val="2"/>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6.32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7715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6" w:lineRule="exact"/>
        <w:rPr>
          <w:sz w:val="20"/>
          <w:szCs w:val="20"/>
          <w:color w:val="auto"/>
        </w:rPr>
      </w:pPr>
    </w:p>
    <w:p>
      <w:pPr>
        <w:ind w:left="540" w:right="20" w:hanging="424"/>
        <w:spacing w:after="0" w:line="205" w:lineRule="auto"/>
        <w:tabs>
          <w:tab w:leader="none" w:pos="540" w:val="left"/>
        </w:tabs>
        <w:numPr>
          <w:ilvl w:val="0"/>
          <w:numId w:val="101"/>
        </w:numPr>
        <w:rPr>
          <w:rFonts w:ascii="Arial" w:cs="Arial" w:eastAsia="Arial" w:hAnsi="Arial"/>
          <w:sz w:val="24"/>
          <w:szCs w:val="24"/>
          <w:color w:val="auto"/>
          <w:vertAlign w:val="superscript"/>
        </w:rPr>
      </w:pPr>
      <w:r>
        <w:rPr>
          <w:rFonts w:ascii="Arial" w:cs="Arial" w:eastAsia="Arial" w:hAnsi="Arial"/>
          <w:sz w:val="16"/>
          <w:szCs w:val="16"/>
          <w:color w:val="auto"/>
        </w:rPr>
        <w:t>For the year ended December 31, 2022, dividends on our Series 1 preferred stock were not deducted in the calculation of FFO available to common shareholders, as the related shares were dilutive and included in “weighted average common shares, diluted.”</w:t>
      </w:r>
    </w:p>
    <w:p>
      <w:pPr>
        <w:spacing w:after="0" w:line="1" w:lineRule="exact"/>
        <w:rPr>
          <w:rFonts w:ascii="Arial" w:cs="Arial" w:eastAsia="Arial" w:hAnsi="Arial"/>
          <w:sz w:val="24"/>
          <w:szCs w:val="24"/>
          <w:color w:val="auto"/>
          <w:vertAlign w:val="superscript"/>
        </w:rPr>
      </w:pPr>
    </w:p>
    <w:p>
      <w:pPr>
        <w:jc w:val="both"/>
        <w:ind w:left="540" w:right="20" w:hanging="424"/>
        <w:spacing w:after="0" w:line="211" w:lineRule="auto"/>
        <w:tabs>
          <w:tab w:leader="none" w:pos="540" w:val="left"/>
        </w:tabs>
        <w:numPr>
          <w:ilvl w:val="0"/>
          <w:numId w:val="101"/>
        </w:numPr>
        <w:rPr>
          <w:rFonts w:ascii="Arial" w:cs="Arial" w:eastAsia="Arial" w:hAnsi="Arial"/>
          <w:sz w:val="24"/>
          <w:szCs w:val="24"/>
          <w:color w:val="auto"/>
          <w:vertAlign w:val="superscript"/>
        </w:rPr>
      </w:pPr>
      <w:r>
        <w:rPr>
          <w:rFonts w:ascii="Arial" w:cs="Arial" w:eastAsia="Arial" w:hAnsi="Arial"/>
          <w:sz w:val="16"/>
          <w:szCs w:val="16"/>
          <w:color w:val="auto"/>
        </w:rPr>
        <w:t>For the year ended December 31, 2020, FFO available for common shareholders includes a $11.2 million charge related to early extinguishment of debt. If this charge was excluded, our FFO available for common shareholders for 2020 would have been $345.0 million, and FFO available for common shareholders, per diluted share would have been $4.52.</w:t>
      </w:r>
    </w:p>
    <w:p>
      <w:pPr>
        <w:jc w:val="both"/>
        <w:ind w:left="540" w:right="20" w:hanging="424"/>
        <w:spacing w:after="0" w:line="214" w:lineRule="auto"/>
        <w:tabs>
          <w:tab w:leader="none" w:pos="540" w:val="left"/>
        </w:tabs>
        <w:numPr>
          <w:ilvl w:val="0"/>
          <w:numId w:val="101"/>
        </w:numPr>
        <w:rPr>
          <w:rFonts w:ascii="Arial" w:cs="Arial" w:eastAsia="Arial" w:hAnsi="Arial"/>
          <w:sz w:val="24"/>
          <w:szCs w:val="24"/>
          <w:color w:val="auto"/>
          <w:vertAlign w:val="superscript"/>
        </w:rPr>
      </w:pPr>
      <w:r>
        <w:rPr>
          <w:rFonts w:ascii="Arial" w:cs="Arial" w:eastAsia="Arial" w:hAnsi="Arial"/>
          <w:sz w:val="16"/>
          <w:szCs w:val="16"/>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common share but is anti-dilutive for the computation of diluted EPS for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88265</wp:posOffset>
            </wp:positionV>
            <wp:extent cx="7012305"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37" w:lineRule="exact"/>
        <w:rPr>
          <w:sz w:val="20"/>
          <w:szCs w:val="20"/>
          <w:color w:val="auto"/>
        </w:rPr>
      </w:pPr>
    </w:p>
    <w:p>
      <w:pPr>
        <w:ind w:left="7960"/>
        <w:spacing w:after="0"/>
        <w:tabs>
          <w:tab w:leader="none" w:pos="9200" w:val="left"/>
          <w:tab w:leader="none" w:pos="10760" w:val="left"/>
        </w:tabs>
        <w:rPr>
          <w:sz w:val="20"/>
          <w:szCs w:val="20"/>
          <w:color w:val="auto"/>
        </w:rPr>
      </w:pPr>
      <w:r>
        <w:rPr>
          <w:rFonts w:ascii="Arial" w:cs="Arial" w:eastAsia="Arial" w:hAnsi="Arial"/>
          <w:sz w:val="14"/>
          <w:szCs w:val="14"/>
          <w:color w:val="FF160F"/>
        </w:rPr>
        <w:t>Federal Realty</w:t>
      </w:r>
      <w:r>
        <w:rPr>
          <w:sz w:val="20"/>
          <w:szCs w:val="20"/>
          <w:color w:val="auto"/>
        </w:rPr>
        <w:tab/>
      </w:r>
      <w:r>
        <w:rPr>
          <w:rFonts w:ascii="Arial" w:cs="Arial" w:eastAsia="Arial" w:hAnsi="Arial"/>
          <w:sz w:val="14"/>
          <w:szCs w:val="14"/>
          <w:color w:val="auto"/>
        </w:rPr>
        <w:t>2023 Proxy Statement</w:t>
        <w:tab/>
        <w:t>A-1</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56921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29300" cy="569214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Ø"/>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Ø"/>
      <w:numFmt w:val="bullet"/>
      <w:start w:val="1"/>
    </w:lvl>
  </w:abstractNum>
  <w:abstractNum w:abstractNumId="8">
    <w:nsid w:val="23F9C13C"/>
    <w:multiLevelType w:val="hybridMultilevel"/>
    <w:lvl w:ilvl="0">
      <w:lvlJc w:val="left"/>
      <w:lvlText w:val="Ø"/>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Ø"/>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Ø"/>
      <w:numFmt w:val="bullet"/>
      <w:start w:val="1"/>
    </w:lvl>
  </w:abstractNum>
  <w:abstractNum w:abstractNumId="16">
    <w:nsid w:val="354FE9F9"/>
    <w:multiLevelType w:val="hybridMultilevel"/>
    <w:lvl w:ilvl="0">
      <w:lvlJc w:val="left"/>
      <w:lvlText w:val=" "/>
      <w:numFmt w:val="bullet"/>
      <w:start w:val="1"/>
    </w:lvl>
  </w:abstractNum>
  <w:abstractNum w:abstractNumId="17">
    <w:nsid w:val="15B5AF5C"/>
    <w:multiLevelType w:val="hybridMultilevel"/>
    <w:lvl w:ilvl="0">
      <w:lvlJc w:val="left"/>
      <w:lvlText w:val="Ø"/>
      <w:numFmt w:val="bullet"/>
      <w:start w:val="1"/>
    </w:lvl>
  </w:abstractNum>
  <w:abstractNum w:abstractNumId="18">
    <w:nsid w:val="741226BB"/>
    <w:multiLevelType w:val="hybridMultilevel"/>
    <w:lvl w:ilvl="0">
      <w:lvlJc w:val="left"/>
      <w:lvlText w:val="Ø"/>
      <w:numFmt w:val="bullet"/>
      <w:start w:val="1"/>
    </w:lvl>
  </w:abstractNum>
  <w:abstractNum w:abstractNumId="19">
    <w:nsid w:val="D34B6A8"/>
    <w:multiLevelType w:val="hybridMultilevel"/>
    <w:lvl w:ilvl="0">
      <w:lvlJc w:val="left"/>
      <w:lvlText w:val="Ø"/>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Ø"/>
      <w:numFmt w:val="bullet"/>
      <w:start w:val="1"/>
    </w:lvl>
  </w:abstractNum>
  <w:abstractNum w:abstractNumId="28">
    <w:nsid w:val="2F305DEF"/>
    <w:multiLevelType w:val="hybridMultilevel"/>
    <w:lvl w:ilvl="0">
      <w:lvlJc w:val="left"/>
      <w:lvlText w:val="Ø"/>
      <w:numFmt w:val="bullet"/>
      <w:start w:val="1"/>
    </w:lvl>
  </w:abstractNum>
  <w:abstractNum w:abstractNumId="29">
    <w:nsid w:val="25A70BF7"/>
    <w:multiLevelType w:val="hybridMultilevel"/>
    <w:lvl w:ilvl="0">
      <w:lvlJc w:val="left"/>
      <w:lvlText w:val="∎"/>
      <w:numFmt w:val="bullet"/>
      <w:start w:val="1"/>
    </w:lvl>
    <w:lvl w:ilvl="1">
      <w:lvlJc w:val="left"/>
      <w:lvlText w:val="∎"/>
      <w:numFmt w:val="bullet"/>
      <w:start w:val="1"/>
    </w:lvl>
  </w:abstractNum>
  <w:abstractNum w:abstractNumId="30">
    <w:nsid w:val="1DBABF00"/>
    <w:multiLevelType w:val="hybridMultilevel"/>
    <w:lvl w:ilvl="0">
      <w:lvlJc w:val="left"/>
      <w:lvlText w:val="∎"/>
      <w:numFmt w:val="bullet"/>
      <w:start w:val="1"/>
    </w:lvl>
    <w:lvl w:ilvl="1">
      <w:lvlJc w:val="left"/>
      <w:lvlText w:val="∎"/>
      <w:numFmt w:val="bullet"/>
      <w:start w:val="1"/>
    </w:lvl>
  </w:abstractNum>
  <w:abstractNum w:abstractNumId="31">
    <w:nsid w:val="4AD084E9"/>
    <w:multiLevelType w:val="hybridMultilevel"/>
    <w:lvl w:ilvl="0">
      <w:lvlJc w:val="left"/>
      <w:lvlText w:val="Ø"/>
      <w:numFmt w:val="bullet"/>
      <w:start w:val="1"/>
    </w:lvl>
  </w:abstractNum>
  <w:abstractNum w:abstractNumId="32">
    <w:nsid w:val="1F48EAA1"/>
    <w:multiLevelType w:val="hybridMultilevel"/>
    <w:lvl w:ilvl="0">
      <w:lvlJc w:val="left"/>
      <w:lvlText w:val="Ø"/>
      <w:numFmt w:val="bullet"/>
      <w:start w:val="1"/>
    </w:lvl>
  </w:abstractNum>
  <w:abstractNum w:abstractNumId="33">
    <w:nsid w:val="1381823A"/>
    <w:multiLevelType w:val="hybridMultilevel"/>
    <w:lvl w:ilvl="0">
      <w:lvlJc w:val="left"/>
      <w:lvlText w:val="Ø"/>
      <w:numFmt w:val="bullet"/>
      <w:start w:val="1"/>
    </w:lvl>
  </w:abstractNum>
  <w:abstractNum w:abstractNumId="34">
    <w:nsid w:val="5DB70AE5"/>
    <w:multiLevelType w:val="hybridMultilevel"/>
    <w:lvl w:ilvl="0">
      <w:lvlJc w:val="left"/>
      <w:lvlText w:val="Ø"/>
      <w:numFmt w:val="bullet"/>
      <w:start w:val="1"/>
    </w:lvl>
  </w:abstractNum>
  <w:abstractNum w:abstractNumId="35">
    <w:nsid w:val="100F8FCA"/>
    <w:multiLevelType w:val="hybridMultilevel"/>
    <w:lvl w:ilvl="0">
      <w:lvlJc w:val="left"/>
      <w:lvlText w:val="Ø"/>
      <w:numFmt w:val="bullet"/>
      <w:start w:val="1"/>
    </w:lvl>
  </w:abstractNum>
  <w:abstractNum w:abstractNumId="36">
    <w:nsid w:val="6590700B"/>
    <w:multiLevelType w:val="hybridMultilevel"/>
    <w:lvl w:ilvl="0">
      <w:lvlJc w:val="left"/>
      <w:lvlText w:val="Ø"/>
      <w:numFmt w:val="bullet"/>
      <w:start w:val="1"/>
    </w:lvl>
  </w:abstractNum>
  <w:abstractNum w:abstractNumId="37">
    <w:nsid w:val="15014ACB"/>
    <w:multiLevelType w:val="hybridMultilevel"/>
    <w:lvl w:ilvl="0">
      <w:lvlJc w:val="left"/>
      <w:lvlText w:val="Ø"/>
      <w:numFmt w:val="bullet"/>
      <w:start w:val="1"/>
    </w:lvl>
  </w:abstractNum>
  <w:abstractNum w:abstractNumId="38">
    <w:nsid w:val="5F5E7FD0"/>
    <w:multiLevelType w:val="hybridMultilevel"/>
    <w:lvl w:ilvl="0">
      <w:lvlJc w:val="left"/>
      <w:lvlText w:val="Ø"/>
      <w:numFmt w:val="bullet"/>
      <w:start w:val="1"/>
    </w:lvl>
  </w:abstractNum>
  <w:abstractNum w:abstractNumId="39">
    <w:nsid w:val="98A3148"/>
    <w:multiLevelType w:val="hybridMultilevel"/>
    <w:lvl w:ilvl="0">
      <w:lvlJc w:val="left"/>
      <w:lvlText w:val="Ø"/>
      <w:numFmt w:val="bullet"/>
      <w:start w:val="1"/>
    </w:lvl>
  </w:abstractNum>
  <w:abstractNum w:abstractNumId="40">
    <w:nsid w:val="799D0247"/>
    <w:multiLevelType w:val="hybridMultilevel"/>
    <w:lvl w:ilvl="0">
      <w:lvlJc w:val="left"/>
      <w:lvlText w:val="Ø"/>
      <w:numFmt w:val="bullet"/>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Ø"/>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Ø"/>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Ø"/>
      <w:numFmt w:val="bullet"/>
      <w:start w:val="1"/>
    </w:lvl>
  </w:abstractNum>
  <w:abstractNum w:abstractNumId="48">
    <w:nsid w:val="7BD3EE7B"/>
    <w:multiLevelType w:val="hybridMultilevel"/>
    <w:lvl w:ilvl="0">
      <w:lvlJc w:val="left"/>
      <w:lvlText w:val="Ø"/>
      <w:numFmt w:val="bullet"/>
      <w:start w:val="1"/>
    </w:lvl>
  </w:abstractNum>
  <w:abstractNum w:abstractNumId="49">
    <w:nsid w:val="51D9C564"/>
    <w:multiLevelType w:val="hybridMultilevel"/>
    <w:lvl w:ilvl="0">
      <w:lvlJc w:val="left"/>
      <w:lvlText w:val="Ø"/>
      <w:numFmt w:val="bullet"/>
      <w:start w:val="1"/>
    </w:lvl>
  </w:abstractNum>
  <w:abstractNum w:abstractNumId="50">
    <w:nsid w:val="613EFDC5"/>
    <w:multiLevelType w:val="hybridMultilevel"/>
    <w:lvl w:ilvl="0">
      <w:lvlJc w:val="left"/>
      <w:lvlText w:val="Ø"/>
      <w:numFmt w:val="bullet"/>
      <w:start w:val="1"/>
    </w:lvl>
  </w:abstractNum>
  <w:abstractNum w:abstractNumId="51">
    <w:nsid w:val="BF72B14"/>
    <w:multiLevelType w:val="hybridMultilevel"/>
    <w:lvl w:ilvl="0">
      <w:lvlJc w:val="left"/>
      <w:lvlText w:val="Ø"/>
      <w:numFmt w:val="bullet"/>
      <w:start w:val="1"/>
    </w:lvl>
  </w:abstractNum>
  <w:abstractNum w:abstractNumId="52">
    <w:nsid w:val="11447B73"/>
    <w:multiLevelType w:val="hybridMultilevel"/>
    <w:lvl w:ilvl="0">
      <w:lvlJc w:val="left"/>
      <w:lvlText w:val="Ø"/>
      <w:numFmt w:val="bullet"/>
      <w:start w:val="1"/>
    </w:lvl>
  </w:abstractNum>
  <w:abstractNum w:abstractNumId="53">
    <w:nsid w:val="42963E5A"/>
    <w:multiLevelType w:val="hybridMultilevel"/>
    <w:lvl w:ilvl="0">
      <w:lvlJc w:val="left"/>
      <w:lvlText w:val="Ø"/>
      <w:numFmt w:val="bullet"/>
      <w:start w:val="1"/>
    </w:lvl>
  </w:abstractNum>
  <w:abstractNum w:abstractNumId="54">
    <w:nsid w:val="A0382C5"/>
    <w:multiLevelType w:val="hybridMultilevel"/>
    <w:lvl w:ilvl="0">
      <w:lvlJc w:val="left"/>
      <w:lvlText w:val="Ø"/>
      <w:numFmt w:val="bullet"/>
      <w:start w:val="1"/>
    </w:lvl>
  </w:abstractNum>
  <w:abstractNum w:abstractNumId="55">
    <w:nsid w:val="8F2B15E"/>
    <w:multiLevelType w:val="hybridMultilevel"/>
    <w:lvl w:ilvl="0">
      <w:lvlJc w:val="left"/>
      <w:lvlText w:val="Ø"/>
      <w:numFmt w:val="bullet"/>
      <w:start w:val="1"/>
    </w:lvl>
  </w:abstractNum>
  <w:abstractNum w:abstractNumId="56">
    <w:nsid w:val="1A32234B"/>
    <w:multiLevelType w:val="hybridMultilevel"/>
    <w:lvl w:ilvl="0">
      <w:lvlJc w:val="left"/>
      <w:lvlText w:val="Ø"/>
      <w:numFmt w:val="bullet"/>
      <w:start w:val="1"/>
    </w:lvl>
  </w:abstractNum>
  <w:abstractNum w:abstractNumId="57">
    <w:nsid w:val="3B0FD379"/>
    <w:multiLevelType w:val="hybridMultilevel"/>
    <w:lvl w:ilvl="0">
      <w:lvlJc w:val="left"/>
      <w:lvlText w:val="Ø"/>
      <w:numFmt w:val="bullet"/>
      <w:start w:val="1"/>
    </w:lvl>
  </w:abstractNum>
  <w:abstractNum w:abstractNumId="58">
    <w:nsid w:val="68EB2F63"/>
    <w:multiLevelType w:val="hybridMultilevel"/>
    <w:lvl w:ilvl="0">
      <w:lvlJc w:val="left"/>
      <w:lvlText w:val="Ø"/>
      <w:numFmt w:val="bullet"/>
      <w:start w:val="1"/>
    </w:lvl>
  </w:abstractNum>
  <w:abstractNum w:abstractNumId="59">
    <w:nsid w:val="4962813B"/>
    <w:multiLevelType w:val="hybridMultilevel"/>
    <w:lvl w:ilvl="0">
      <w:lvlJc w:val="left"/>
      <w:lvlText w:val="Ø"/>
      <w:numFmt w:val="bullet"/>
      <w:start w:val="1"/>
    </w:lvl>
  </w:abstractNum>
  <w:abstractNum w:abstractNumId="60">
    <w:nsid w:val="60B6DF70"/>
    <w:multiLevelType w:val="hybridMultilevel"/>
    <w:lvl w:ilvl="0">
      <w:lvlJc w:val="left"/>
      <w:lvlText w:val="Ø"/>
      <w:numFmt w:val="bullet"/>
      <w:start w:val="1"/>
    </w:lvl>
  </w:abstractNum>
  <w:abstractNum w:abstractNumId="61">
    <w:nsid w:val="6A5EE64"/>
    <w:multiLevelType w:val="hybridMultilevel"/>
    <w:lvl w:ilvl="0">
      <w:lvlJc w:val="left"/>
      <w:lvlText w:val="Ø"/>
      <w:numFmt w:val="bullet"/>
      <w:start w:val="1"/>
    </w:lvl>
  </w:abstractNum>
  <w:abstractNum w:abstractNumId="62">
    <w:nsid w:val="14330624"/>
    <w:multiLevelType w:val="hybridMultilevel"/>
    <w:lvl w:ilvl="0">
      <w:lvlJc w:val="left"/>
      <w:lvlText w:val="Ø"/>
      <w:numFmt w:val="bullet"/>
      <w:start w:val="1"/>
    </w:lvl>
  </w:abstractNum>
  <w:abstractNum w:abstractNumId="63">
    <w:nsid w:val="7FFFCA11"/>
    <w:multiLevelType w:val="hybridMultilevel"/>
    <w:lvl w:ilvl="0">
      <w:lvlJc w:val="left"/>
      <w:lvlText w:val="Ø"/>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1)"/>
      <w:numFmt w:val="decimal"/>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1)"/>
      <w:numFmt w:val="decimal"/>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lvl w:ilvl="1">
      <w:lvlJc w:val="left"/>
      <w:lvlText w:val="(%2)"/>
      <w:numFmt w:val="decimal"/>
      <w:start w:val="1"/>
    </w:lvl>
  </w:abstractNum>
  <w:abstractNum w:abstractNumId="74">
    <w:nsid w:val="1716703B"/>
    <w:multiLevelType w:val="hybridMultilevel"/>
    <w:lvl w:ilvl="0">
      <w:lvlJc w:val="left"/>
      <w:lvlText w:val="(%1)"/>
      <w:numFmt w:val="decimal"/>
      <w:start w:val="1"/>
    </w:lvl>
  </w:abstractNum>
  <w:abstractNum w:abstractNumId="75">
    <w:nsid w:val="14E17E33"/>
    <w:multiLevelType w:val="hybridMultilevel"/>
    <w:lvl w:ilvl="0">
      <w:lvlJc w:val="left"/>
      <w:lvlText w:val="(%1)"/>
      <w:numFmt w:val="decimal"/>
      <w:start w:val="3"/>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1)"/>
      <w:numFmt w:val="decimal"/>
      <w:start w:val="1"/>
    </w:lvl>
  </w:abstractNum>
  <w:abstractNum w:abstractNumId="79">
    <w:nsid w:val="2DF6D648"/>
    <w:multiLevelType w:val="hybridMultilevel"/>
    <w:lvl w:ilvl="0">
      <w:lvlJc w:val="left"/>
      <w:lvlText w:val="(%1)"/>
      <w:numFmt w:val="decimal"/>
      <w:start w:val="2"/>
    </w:lvl>
  </w:abstractNum>
  <w:abstractNum w:abstractNumId="80">
    <w:nsid w:val="46B7D447"/>
    <w:multiLevelType w:val="hybridMultilevel"/>
    <w:lvl w:ilvl="0">
      <w:lvlJc w:val="left"/>
      <w:lvlText w:val="(%1)"/>
      <w:numFmt w:val="decimal"/>
      <w:start w:val="3"/>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1)"/>
      <w:numFmt w:val="decimal"/>
      <w:start w:val="1"/>
    </w:lvl>
  </w:abstractNum>
  <w:abstractNum w:abstractNumId="85">
    <w:nsid w:val="43F18422"/>
    <w:multiLevelType w:val="hybridMultilevel"/>
    <w:lvl w:ilvl="0">
      <w:lvlJc w:val="left"/>
      <w:lvlText w:val="Ø"/>
      <w:numFmt w:val="bullet"/>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Ø"/>
      <w:numFmt w:val="bullet"/>
      <w:start w:val="1"/>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Ø"/>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Ø"/>
      <w:numFmt w:val="bullet"/>
      <w:start w:val="1"/>
    </w:lvl>
  </w:abstractNum>
  <w:abstractNum w:abstractNumId="93">
    <w:nsid w:val="488AC1A"/>
    <w:multiLevelType w:val="hybridMultilevel"/>
    <w:lvl w:ilvl="0">
      <w:lvlJc w:val="left"/>
      <w:lvlText w:val="Ø"/>
      <w:numFmt w:val="bullet"/>
      <w:start w:val="1"/>
    </w:lvl>
  </w:abstractNum>
  <w:abstractNum w:abstractNumId="94">
    <w:nsid w:val="5FB8011C"/>
    <w:multiLevelType w:val="hybridMultilevel"/>
    <w:lvl w:ilvl="0">
      <w:lvlJc w:val="left"/>
      <w:lvlText w:val="Ø"/>
      <w:numFmt w:val="bullet"/>
      <w:start w:val="1"/>
    </w:lvl>
  </w:abstractNum>
  <w:abstractNum w:abstractNumId="95">
    <w:nsid w:val="6AA78F7F"/>
    <w:multiLevelType w:val="hybridMultilevel"/>
    <w:lvl w:ilvl="0">
      <w:lvlJc w:val="left"/>
      <w:lvlText w:val="Ø"/>
      <w:numFmt w:val="bullet"/>
      <w:start w:val="1"/>
    </w:lvl>
  </w:abstractNum>
  <w:abstractNum w:abstractNumId="96">
    <w:nsid w:val="7672BD23"/>
    <w:multiLevelType w:val="hybridMultilevel"/>
    <w:lvl w:ilvl="0">
      <w:lvlJc w:val="left"/>
      <w:lvlText w:val="Ø"/>
      <w:numFmt w:val="bullet"/>
      <w:start w:val="1"/>
    </w:lvl>
  </w:abstractNum>
  <w:abstractNum w:abstractNumId="97">
    <w:nsid w:val="6FC75AF8"/>
    <w:multiLevelType w:val="hybridMultilevel"/>
    <w:lvl w:ilvl="0">
      <w:lvlJc w:val="left"/>
      <w:lvlText w:val="Ø"/>
      <w:numFmt w:val="bullet"/>
      <w:start w:val="1"/>
    </w:lvl>
  </w:abstractNum>
  <w:abstractNum w:abstractNumId="98">
    <w:nsid w:val="6A5F7029"/>
    <w:multiLevelType w:val="hybridMultilevel"/>
    <w:lvl w:ilvl="0">
      <w:lvlJc w:val="left"/>
      <w:lvlText w:val="Ø"/>
      <w:numFmt w:val="bullet"/>
      <w:start w:val="1"/>
    </w:lvl>
  </w:abstractNum>
  <w:abstractNum w:abstractNumId="99">
    <w:nsid w:val="7D5E18F8"/>
    <w:multiLevelType w:val="hybridMultilevel"/>
    <w:lvl w:ilvl="0">
      <w:lvlJc w:val="left"/>
      <w:lvlText w:val="Ø"/>
      <w:numFmt w:val="bullet"/>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2023-03-24T08:08:21Z</dcterms:created>
  <dcterms:modified xsi:type="dcterms:W3CDTF">2023-03-24T08:08:21Z</dcterms:modified>
</cp:coreProperties>
</file>