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76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440" w:type="dxa"/>
            <w:vAlign w:val="bottom"/>
            <w:gridSpan w:val="2"/>
          </w:tcPr>
          <w:p>
            <w:pPr>
              <w:jc w:val="center"/>
              <w:ind w:right="2620"/>
              <w:spacing w:after="0"/>
              <w:rPr>
                <w:sz w:val="20"/>
                <w:szCs w:val="20"/>
                <w:color w:val="auto"/>
              </w:rPr>
            </w:pPr>
            <w:r>
              <w:rPr>
                <w:rFonts w:ascii="Arial" w:cs="Arial" w:eastAsia="Arial" w:hAnsi="Arial"/>
                <w:sz w:val="18"/>
                <w:szCs w:val="18"/>
                <w:b w:val="1"/>
                <w:bCs w:val="1"/>
                <w:color w:val="auto"/>
                <w:w w:val="93"/>
              </w:rPr>
              <w:t>Maryland</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1-07533</w:t>
            </w:r>
          </w:p>
        </w:tc>
        <w:tc>
          <w:tcPr>
            <w:tcW w:w="1880" w:type="dxa"/>
            <w:vAlign w:val="bottom"/>
          </w:tcPr>
          <w:p>
            <w:pPr>
              <w:spacing w:after="0"/>
              <w:rPr>
                <w:sz w:val="19"/>
                <w:szCs w:val="19"/>
                <w:color w:val="auto"/>
              </w:rPr>
            </w:pPr>
          </w:p>
        </w:tc>
        <w:tc>
          <w:tcPr>
            <w:tcW w:w="2040" w:type="dxa"/>
            <w:vAlign w:val="bottom"/>
            <w:gridSpan w:val="3"/>
          </w:tcPr>
          <w:p>
            <w:pPr>
              <w:jc w:val="center"/>
              <w:ind w:left="839"/>
              <w:spacing w:after="0"/>
              <w:rPr>
                <w:sz w:val="20"/>
                <w:szCs w:val="20"/>
                <w:color w:val="auto"/>
              </w:rPr>
            </w:pPr>
            <w:r>
              <w:rPr>
                <w:rFonts w:ascii="Arial" w:cs="Arial" w:eastAsia="Arial" w:hAnsi="Arial"/>
                <w:sz w:val="18"/>
                <w:szCs w:val="18"/>
                <w:b w:val="1"/>
                <w:bCs w:val="1"/>
                <w:color w:val="auto"/>
                <w:w w:val="87"/>
              </w:rPr>
              <w:t>52-0782497</w:t>
            </w:r>
          </w:p>
        </w:tc>
      </w:tr>
      <w:tr>
        <w:trPr>
          <w:trHeight w:val="110"/>
        </w:trPr>
        <w:tc>
          <w:tcPr>
            <w:tcW w:w="7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237"/>
        </w:trPr>
        <w:tc>
          <w:tcPr>
            <w:tcW w:w="422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7"/>
              </w:rPr>
              <w:t>(State or other jurisdiction</w:t>
            </w:r>
          </w:p>
        </w:tc>
        <w:tc>
          <w:tcPr>
            <w:tcW w:w="314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7"/>
              </w:rPr>
              <w:t>(Commission File Number)</w:t>
            </w:r>
          </w:p>
        </w:tc>
        <w:tc>
          <w:tcPr>
            <w:tcW w:w="9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422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7"/>
              </w:rPr>
              <w:t>of incorporation)</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63"/>
        </w:trPr>
        <w:tc>
          <w:tcPr>
            <w:tcW w:w="4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9"/>
              </w:rPr>
              <w:t>20852-4041</w:t>
            </w:r>
          </w:p>
        </w:tc>
        <w:tc>
          <w:tcPr>
            <w:tcW w:w="900" w:type="dxa"/>
            <w:vAlign w:val="bottom"/>
          </w:tcPr>
          <w:p>
            <w:pPr>
              <w:spacing w:after="0"/>
              <w:rPr>
                <w:sz w:val="24"/>
                <w:szCs w:val="24"/>
                <w:color w:val="auto"/>
              </w:rPr>
            </w:pPr>
          </w:p>
        </w:tc>
      </w:tr>
      <w:tr>
        <w:trPr>
          <w:trHeight w:val="110"/>
        </w:trPr>
        <w:tc>
          <w:tcPr>
            <w:tcW w:w="78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gridSpan w:val="2"/>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900" w:type="dxa"/>
            <w:vAlign w:val="bottom"/>
          </w:tcPr>
          <w:p>
            <w:pPr>
              <w:spacing w:after="0"/>
              <w:rPr>
                <w:sz w:val="9"/>
                <w:szCs w:val="9"/>
                <w:color w:val="auto"/>
              </w:rPr>
            </w:pPr>
          </w:p>
        </w:tc>
      </w:tr>
      <w:tr>
        <w:trPr>
          <w:trHeight w:val="263"/>
        </w:trPr>
        <w:tc>
          <w:tcPr>
            <w:tcW w:w="780" w:type="dxa"/>
            <w:vAlign w:val="bottom"/>
          </w:tcPr>
          <w:p>
            <w:pPr>
              <w:spacing w:after="0"/>
              <w:rPr>
                <w:sz w:val="22"/>
                <w:szCs w:val="22"/>
                <w:color w:val="auto"/>
              </w:rPr>
            </w:pPr>
          </w:p>
        </w:tc>
        <w:tc>
          <w:tcPr>
            <w:tcW w:w="3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October 31, 2005, Federal Realty Investment Trust issued supplemental data pertaining to its operations, as well as a press release, to report its financial results for the quarter ended September 30, 2005. The supplemental data and press release are furnished as Exhibit 99.1 hereto.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Supplemental information at September 30, 2005 (including press release dated October 31, 2005)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31, 2005</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58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jc w:val="right"/>
              <w:ind w:right="82"/>
              <w:spacing w:after="0"/>
              <w:rPr>
                <w:sz w:val="20"/>
                <w:szCs w:val="20"/>
                <w:color w:val="auto"/>
              </w:rPr>
            </w:pPr>
            <w:r>
              <w:rPr>
                <w:rFonts w:ascii="Arial" w:cs="Arial" w:eastAsia="Arial" w:hAnsi="Arial"/>
                <w:sz w:val="14"/>
                <w:szCs w:val="14"/>
                <w:b w:val="1"/>
                <w:bCs w:val="1"/>
                <w:color w:val="auto"/>
                <w:w w:val="88"/>
              </w:rPr>
              <w:t>Exh No.</w:t>
            </w:r>
          </w:p>
        </w:tc>
        <w:tc>
          <w:tcPr>
            <w:tcW w:w="540" w:type="dxa"/>
            <w:vAlign w:val="bottom"/>
          </w:tcPr>
          <w:p>
            <w:pPr>
              <w:spacing w:after="0"/>
              <w:rPr>
                <w:sz w:val="15"/>
                <w:szCs w:val="15"/>
                <w:color w:val="auto"/>
              </w:rPr>
            </w:pPr>
          </w:p>
        </w:tc>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95"/>
        </w:trPr>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r>
      <w:tr>
        <w:trPr>
          <w:trHeight w:val="316"/>
        </w:trPr>
        <w:tc>
          <w:tcPr>
            <w:tcW w:w="64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87"/>
              </w:rPr>
              <w:t>Supplemental Information at September 30, 2005</w:t>
            </w:r>
          </w:p>
        </w:tc>
      </w:tr>
    </w:tbl>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284"/>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358"/>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89"/>
              </w:rPr>
              <w:t>Supplemental Information</w:t>
            </w:r>
          </w:p>
        </w:tc>
        <w:tc>
          <w:tcPr>
            <w:tcW w:w="2440" w:type="dxa"/>
            <w:vAlign w:val="bottom"/>
          </w:tcPr>
          <w:p>
            <w:pPr>
              <w:spacing w:after="0"/>
              <w:rPr>
                <w:sz w:val="24"/>
                <w:szCs w:val="24"/>
                <w:color w:val="auto"/>
              </w:rPr>
            </w:pPr>
          </w:p>
        </w:tc>
      </w:tr>
      <w:tr>
        <w:trPr>
          <w:trHeight w:val="222"/>
        </w:trPr>
        <w:tc>
          <w:tcPr>
            <w:tcW w:w="8980" w:type="dxa"/>
            <w:vAlign w:val="bottom"/>
          </w:tcPr>
          <w:p>
            <w:pPr>
              <w:jc w:val="center"/>
              <w:ind w:left="2352"/>
              <w:spacing w:after="0"/>
              <w:rPr>
                <w:sz w:val="20"/>
                <w:szCs w:val="20"/>
                <w:color w:val="auto"/>
              </w:rPr>
            </w:pPr>
            <w:r>
              <w:rPr>
                <w:rFonts w:ascii="Arial" w:cs="Arial" w:eastAsia="Arial" w:hAnsi="Arial"/>
                <w:sz w:val="18"/>
                <w:szCs w:val="18"/>
                <w:color w:val="auto"/>
                <w:w w:val="87"/>
              </w:rPr>
              <w:t>September 30, 2005</w:t>
            </w:r>
          </w:p>
        </w:tc>
        <w:tc>
          <w:tcPr>
            <w:tcW w:w="2440" w:type="dxa"/>
            <w:vAlign w:val="bottom"/>
          </w:tcPr>
          <w:p>
            <w:pPr>
              <w:spacing w:after="0"/>
              <w:rPr>
                <w:sz w:val="19"/>
                <w:szCs w:val="19"/>
                <w:color w:val="auto"/>
              </w:rPr>
            </w:pPr>
          </w:p>
        </w:tc>
      </w:tr>
      <w:tr>
        <w:trPr>
          <w:trHeight w:val="365"/>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365"/>
        </w:trPr>
        <w:tc>
          <w:tcPr>
            <w:tcW w:w="8980" w:type="dxa"/>
            <w:vAlign w:val="bottom"/>
          </w:tcPr>
          <w:p>
            <w:pPr>
              <w:spacing w:after="0"/>
              <w:rPr>
                <w:sz w:val="20"/>
                <w:szCs w:val="20"/>
                <w:color w:val="auto"/>
              </w:rPr>
            </w:pPr>
            <w:r>
              <w:rPr>
                <w:rFonts w:ascii="Arial" w:cs="Arial" w:eastAsia="Arial" w:hAnsi="Arial"/>
                <w:sz w:val="18"/>
                <w:szCs w:val="18"/>
                <w:color w:val="auto"/>
              </w:rPr>
              <w:t>1.   Third Quarter 2005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Summarized Operating Results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80" w:type="dxa"/>
            <w:vAlign w:val="bottom"/>
          </w:tcPr>
          <w:p>
            <w:pPr>
              <w:ind w:left="760"/>
              <w:spacing w:after="0"/>
              <w:rPr>
                <w:sz w:val="20"/>
                <w:szCs w:val="20"/>
                <w:color w:val="auto"/>
              </w:rPr>
            </w:pPr>
            <w:r>
              <w:rPr>
                <w:rFonts w:ascii="Arial" w:cs="Arial" w:eastAsia="Arial" w:hAnsi="Arial"/>
                <w:sz w:val="18"/>
                <w:szCs w:val="18"/>
                <w:color w:val="auto"/>
              </w:rPr>
              <w:t>Market Data / Capital Availability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980" w:type="dxa"/>
            <w:vAlign w:val="bottom"/>
          </w:tcPr>
          <w:p>
            <w:pPr>
              <w:ind w:left="76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Summary of Outstanding Debt</w:t>
            </w:r>
          </w:p>
        </w:tc>
        <w:tc>
          <w:tcPr>
            <w:tcW w:w="3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8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Summary of Debt Maturities</w:t>
            </w:r>
          </w:p>
        </w:tc>
        <w:tc>
          <w:tcPr>
            <w:tcW w:w="3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52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520" w:type="dxa"/>
            <w:vAlign w:val="bottom"/>
          </w:tcPr>
          <w:p>
            <w:pPr>
              <w:ind w:left="60"/>
              <w:spacing w:after="0"/>
              <w:rPr>
                <w:sz w:val="20"/>
                <w:szCs w:val="20"/>
                <w:color w:val="auto"/>
              </w:rPr>
            </w:pPr>
            <w:r>
              <w:rPr>
                <w:rFonts w:ascii="Arial" w:cs="Arial" w:eastAsia="Arial" w:hAnsi="Arial"/>
                <w:sz w:val="18"/>
                <w:szCs w:val="18"/>
                <w:color w:val="auto"/>
              </w:rPr>
              <w:t>Santana Row Summary</w:t>
            </w:r>
          </w:p>
        </w:tc>
        <w:tc>
          <w:tcPr>
            <w:tcW w:w="3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520" w:type="dxa"/>
            <w:vAlign w:val="bottom"/>
          </w:tcPr>
          <w:p>
            <w:pPr>
              <w:ind w:left="60"/>
              <w:spacing w:after="0"/>
              <w:rPr>
                <w:sz w:val="20"/>
                <w:szCs w:val="20"/>
                <w:color w:val="auto"/>
              </w:rPr>
            </w:pPr>
            <w:r>
              <w:rPr>
                <w:rFonts w:ascii="Arial" w:cs="Arial" w:eastAsia="Arial" w:hAnsi="Arial"/>
                <w:sz w:val="18"/>
                <w:szCs w:val="18"/>
                <w:color w:val="auto"/>
              </w:rPr>
              <w:t>2005 Acquisitions and Dispositions</w:t>
            </w:r>
          </w:p>
        </w:tc>
        <w:tc>
          <w:tcPr>
            <w:tcW w:w="3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52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52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52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52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52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520" w:type="dxa"/>
            <w:vAlign w:val="bottom"/>
          </w:tcPr>
          <w:p>
            <w:pPr>
              <w:ind w:left="60"/>
              <w:spacing w:after="0"/>
              <w:rPr>
                <w:sz w:val="20"/>
                <w:szCs w:val="20"/>
                <w:color w:val="auto"/>
              </w:rPr>
            </w:pPr>
            <w:r>
              <w:rPr>
                <w:rFonts w:ascii="Arial" w:cs="Arial" w:eastAsia="Arial" w:hAnsi="Arial"/>
                <w:sz w:val="18"/>
                <w:szCs w:val="18"/>
                <w:color w:val="auto"/>
              </w:rPr>
              <w:t>2004 Comparable Sales/Occupancy Costs</w:t>
            </w:r>
          </w:p>
        </w:tc>
        <w:tc>
          <w:tcPr>
            <w:tcW w:w="3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752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752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62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Summarized Operating Results and Balance Sheet</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Summary of Outstanding Debt and Debt Maturities</w:t>
            </w:r>
          </w:p>
        </w:tc>
        <w:tc>
          <w:tcPr>
            <w:tcW w:w="3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8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Real Estate Status Report</w:t>
            </w:r>
          </w:p>
        </w:tc>
        <w:tc>
          <w:tcPr>
            <w:tcW w:w="3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752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6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2, 2005, and include the following:</w:t>
      </w:r>
    </w:p>
    <w:p>
      <w:pPr>
        <w:spacing w:after="0" w:line="49"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i w:val="1"/>
          <w:iCs w:val="1"/>
          <w:color w:val="auto"/>
        </w:rPr>
      </w:pPr>
    </w:p>
    <w:p>
      <w:pPr>
        <w:ind w:left="780" w:hanging="326"/>
        <w:spacing w:after="0" w:line="268"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i w:val="1"/>
          <w:iCs w:val="1"/>
          <w:color w:val="auto"/>
        </w:rPr>
      </w:pPr>
    </w:p>
    <w:p>
      <w:pPr>
        <w:ind w:left="780" w:right="20" w:hanging="326"/>
        <w:spacing w:after="0" w:line="268"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i w:val="1"/>
          <w:iCs w:val="1"/>
          <w:color w:val="auto"/>
        </w:rPr>
      </w:pPr>
    </w:p>
    <w:p>
      <w:pPr>
        <w:ind w:left="780" w:right="80" w:hanging="326"/>
        <w:spacing w:after="0" w:line="256"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i w:val="1"/>
          <w:iCs w:val="1"/>
          <w:color w:val="auto"/>
        </w:rPr>
      </w:pPr>
    </w:p>
    <w:p>
      <w:pPr>
        <w:ind w:left="780" w:hanging="326"/>
        <w:spacing w:after="0"/>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i w:val="1"/>
          <w:iCs w:val="1"/>
          <w:color w:val="auto"/>
        </w:rPr>
      </w:pPr>
    </w:p>
    <w:p>
      <w:pPr>
        <w:ind w:left="780" w:right="80" w:hanging="326"/>
        <w:spacing w:after="0" w:line="259"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i w:val="1"/>
          <w:iCs w:val="1"/>
          <w:color w:val="auto"/>
        </w:rPr>
      </w:pPr>
    </w:p>
    <w:p>
      <w:pPr>
        <w:ind w:left="780" w:right="100" w:hanging="326"/>
        <w:spacing w:after="0" w:line="259" w:lineRule="auto"/>
        <w:tabs>
          <w:tab w:leader="none" w:pos="7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2, 2005.</w:t>
      </w:r>
    </w:p>
    <w:p>
      <w:pPr>
        <w:sectPr>
          <w:pgSz w:w="11900" w:h="16838" w:orient="portrait"/>
          <w:cols w:equalWidth="0" w:num="1">
            <w:col w:w="11320"/>
          </w:cols>
          <w:pgMar w:left="240" w:top="27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680" w:type="dxa"/>
            <w:vAlign w:val="bottom"/>
          </w:tcPr>
          <w:p>
            <w:pPr>
              <w:spacing w:after="0"/>
              <w:rPr>
                <w:sz w:val="19"/>
                <w:szCs w:val="19"/>
                <w:color w:val="auto"/>
              </w:rPr>
            </w:pPr>
          </w:p>
        </w:tc>
      </w:tr>
      <w:tr>
        <w:trPr>
          <w:trHeight w:val="326"/>
        </w:trPr>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2680" w:type="dxa"/>
            <w:vAlign w:val="bottom"/>
          </w:tcPr>
          <w:p>
            <w:pPr>
              <w:spacing w:after="0"/>
              <w:rPr>
                <w:sz w:val="24"/>
                <w:szCs w:val="24"/>
                <w:color w:val="auto"/>
              </w:rPr>
            </w:pPr>
          </w:p>
        </w:tc>
      </w:tr>
      <w:tr>
        <w:trPr>
          <w:trHeight w:val="336"/>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Blocher</w:t>
            </w:r>
          </w:p>
        </w:tc>
        <w:tc>
          <w:tcPr>
            <w:tcW w:w="2400" w:type="dxa"/>
            <w:vAlign w:val="bottom"/>
          </w:tcPr>
          <w:p>
            <w:pPr>
              <w:spacing w:after="0"/>
              <w:rPr>
                <w:sz w:val="24"/>
                <w:szCs w:val="24"/>
                <w:color w:val="auto"/>
              </w:rPr>
            </w:pPr>
          </w:p>
        </w:tc>
        <w:tc>
          <w:tcPr>
            <w:tcW w:w="2680" w:type="dxa"/>
            <w:vAlign w:val="bottom"/>
          </w:tcPr>
          <w:p>
            <w:pPr>
              <w:ind w:left="700"/>
              <w:spacing w:after="0"/>
              <w:rPr>
                <w:sz w:val="20"/>
                <w:szCs w:val="20"/>
                <w:color w:val="auto"/>
              </w:rPr>
            </w:pPr>
            <w:r>
              <w:rPr>
                <w:rFonts w:ascii="Arial" w:cs="Arial" w:eastAsia="Arial" w:hAnsi="Arial"/>
                <w:sz w:val="18"/>
                <w:szCs w:val="18"/>
                <w:color w:val="auto"/>
              </w:rPr>
              <w:t>Suzanne O’Neill</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2680" w:type="dxa"/>
            <w:vAlign w:val="bottom"/>
          </w:tcPr>
          <w:p>
            <w:pPr>
              <w:ind w:left="700"/>
              <w:spacing w:after="0"/>
              <w:rPr>
                <w:sz w:val="20"/>
                <w:szCs w:val="20"/>
                <w:color w:val="auto"/>
              </w:rPr>
            </w:pPr>
            <w:r>
              <w:rPr>
                <w:rFonts w:ascii="Arial" w:cs="Arial" w:eastAsia="Arial" w:hAnsi="Arial"/>
                <w:sz w:val="18"/>
                <w:szCs w:val="18"/>
                <w:color w:val="auto"/>
                <w:w w:val="87"/>
              </w:rPr>
              <w:t>Manager, Investor Relations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301/998-8166</w:t>
            </w:r>
          </w:p>
        </w:tc>
        <w:tc>
          <w:tcPr>
            <w:tcW w:w="2400" w:type="dxa"/>
            <w:vAlign w:val="bottom"/>
          </w:tcPr>
          <w:p>
            <w:pPr>
              <w:spacing w:after="0"/>
              <w:rPr>
                <w:sz w:val="18"/>
                <w:szCs w:val="18"/>
                <w:color w:val="auto"/>
              </w:rPr>
            </w:pPr>
          </w:p>
        </w:tc>
        <w:tc>
          <w:tcPr>
            <w:tcW w:w="2680" w:type="dxa"/>
            <w:vAlign w:val="bottom"/>
          </w:tcPr>
          <w:p>
            <w:pPr>
              <w:ind w:left="700"/>
              <w:spacing w:after="0"/>
              <w:rPr>
                <w:sz w:val="20"/>
                <w:szCs w:val="20"/>
                <w:color w:val="auto"/>
              </w:rPr>
            </w:pPr>
            <w:r>
              <w:rPr>
                <w:rFonts w:ascii="Arial" w:cs="Arial" w:eastAsia="Arial" w:hAnsi="Arial"/>
                <w:sz w:val="18"/>
                <w:szCs w:val="18"/>
                <w:color w:val="auto"/>
              </w:rPr>
              <w:t>301/998-8358</w:t>
            </w: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2680" w:type="dxa"/>
            <w:vAlign w:val="bottom"/>
          </w:tcPr>
          <w:p>
            <w:pPr>
              <w:ind w:left="700"/>
              <w:spacing w:after="0"/>
              <w:rPr>
                <w:sz w:val="20"/>
                <w:szCs w:val="20"/>
                <w:color w:val="auto"/>
              </w:rPr>
            </w:pPr>
            <w:r>
              <w:rPr>
                <w:rFonts w:ascii="Arial" w:cs="Arial" w:eastAsia="Arial" w:hAnsi="Arial"/>
                <w:sz w:val="18"/>
                <w:szCs w:val="18"/>
                <w:i w:val="1"/>
                <w:iCs w:val="1"/>
                <w:color w:val="auto"/>
                <w:w w:val="94"/>
              </w:rPr>
              <w:t>soneill@federalrealty.com</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2005 OPERATING RESULTS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Santana Row Condominium Sales Result in Special Dividend of $0.20 per Common Share -</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ROCKVILLE, Md. (October 31, 2005) – Federal Realty Investment Trust (NYSE:FRT) today reported operating results for its third quarter ended September 30, 2005.</w:t>
      </w:r>
    </w:p>
    <w:p>
      <w:pPr>
        <w:spacing w:after="0" w:line="31" w:lineRule="exact"/>
        <w:rPr>
          <w:sz w:val="20"/>
          <w:szCs w:val="20"/>
          <w:color w:val="auto"/>
        </w:rPr>
      </w:pPr>
    </w:p>
    <w:p>
      <w:pPr>
        <w:ind w:left="780" w:right="180" w:hanging="326"/>
        <w:spacing w:after="0" w:line="275" w:lineRule="auto"/>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Funds from operations available for common shareholders (FFO) per diluted share was $0.77 and earnings per common share (diluted) was $0.52 for the quarter ended September 30, 2005.</w:t>
      </w:r>
    </w:p>
    <w:p>
      <w:pPr>
        <w:spacing w:after="0" w:line="25" w:lineRule="exact"/>
        <w:rPr>
          <w:rFonts w:ascii="Arial" w:cs="Arial" w:eastAsia="Arial" w:hAnsi="Arial"/>
          <w:sz w:val="18"/>
          <w:szCs w:val="18"/>
          <w:b w:val="1"/>
          <w:bCs w:val="1"/>
          <w:color w:val="auto"/>
        </w:rPr>
      </w:pPr>
    </w:p>
    <w:p>
      <w:pPr>
        <w:ind w:left="780" w:hanging="326"/>
        <w:spacing w:after="0"/>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For the nine months ended September 30, 2005 FFO per diluted share was $2.28 and earnings per common share (diluted) was $1.34.</w:t>
      </w:r>
    </w:p>
    <w:p>
      <w:pPr>
        <w:spacing w:after="0" w:line="126" w:lineRule="exact"/>
        <w:rPr>
          <w:rFonts w:ascii="Arial" w:cs="Arial" w:eastAsia="Arial" w:hAnsi="Arial"/>
          <w:sz w:val="16"/>
          <w:szCs w:val="16"/>
          <w:b w:val="1"/>
          <w:bCs w:val="1"/>
          <w:color w:val="auto"/>
        </w:rPr>
      </w:pPr>
    </w:p>
    <w:p>
      <w:pPr>
        <w:ind w:left="780" w:hanging="326"/>
        <w:spacing w:after="0" w:line="275" w:lineRule="auto"/>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When compared to third quarter 2004, same-center property operating income increased 5.3% including redevelopments and expansions, and 5.9% excluding redevelopments and expansions.</w:t>
      </w:r>
    </w:p>
    <w:p>
      <w:pPr>
        <w:spacing w:after="0" w:line="25" w:lineRule="exact"/>
        <w:rPr>
          <w:rFonts w:ascii="Arial" w:cs="Arial" w:eastAsia="Arial" w:hAnsi="Arial"/>
          <w:sz w:val="18"/>
          <w:szCs w:val="18"/>
          <w:b w:val="1"/>
          <w:bCs w:val="1"/>
          <w:color w:val="auto"/>
        </w:rPr>
      </w:pPr>
    </w:p>
    <w:p>
      <w:pPr>
        <w:ind w:left="780" w:right="160" w:hanging="326"/>
        <w:spacing w:after="0" w:line="275" w:lineRule="auto"/>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Rent increases on lease rollovers for retail space for which there was a prior tenant were 20% on a cash-basis and 32% on a GAAP-basis for the quarter ended September 30, 2005.</w:t>
      </w:r>
    </w:p>
    <w:p>
      <w:pPr>
        <w:spacing w:after="0" w:line="25" w:lineRule="exact"/>
        <w:rPr>
          <w:rFonts w:ascii="Arial" w:cs="Arial" w:eastAsia="Arial" w:hAnsi="Arial"/>
          <w:sz w:val="18"/>
          <w:szCs w:val="18"/>
          <w:b w:val="1"/>
          <w:bCs w:val="1"/>
          <w:color w:val="auto"/>
        </w:rPr>
      </w:pPr>
    </w:p>
    <w:p>
      <w:pPr>
        <w:ind w:left="780" w:hanging="326"/>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Trust’s portfolio was 95.5% leased as of September 30, 2005.</w:t>
      </w:r>
    </w:p>
    <w:p>
      <w:pPr>
        <w:spacing w:after="0" w:line="103" w:lineRule="exact"/>
        <w:rPr>
          <w:rFonts w:ascii="Arial" w:cs="Arial" w:eastAsia="Arial" w:hAnsi="Arial"/>
          <w:sz w:val="18"/>
          <w:szCs w:val="18"/>
          <w:b w:val="1"/>
          <w:bCs w:val="1"/>
          <w:color w:val="auto"/>
        </w:rPr>
      </w:pPr>
    </w:p>
    <w:p>
      <w:pPr>
        <w:ind w:left="780" w:hanging="326"/>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Initial guidance is being provided for 2006 FFO per diluted share of $3.30 to $3.35.</w:t>
      </w:r>
    </w:p>
    <w:p>
      <w:pPr>
        <w:spacing w:after="0" w:line="103" w:lineRule="exact"/>
        <w:rPr>
          <w:rFonts w:ascii="Arial" w:cs="Arial" w:eastAsia="Arial" w:hAnsi="Arial"/>
          <w:sz w:val="18"/>
          <w:szCs w:val="18"/>
          <w:b w:val="1"/>
          <w:bCs w:val="1"/>
          <w:color w:val="auto"/>
        </w:rPr>
      </w:pPr>
    </w:p>
    <w:p>
      <w:pPr>
        <w:ind w:left="780" w:hanging="326"/>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Guidance for 2005 FFO per diluted share was increased to a range of $3.05 to $3.06.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Federal Realty reported FFO of $41.0 million, or $0.77 per diluted share, in third quarter 2005. This compares to FFO of $38.3 million, or $0.72 per diluted share, reported in third quarter 2004, which included $0.7 million ($0.01 per diluted share) of insurance recovery for lost income from the Santana Row fire. For the nine months ended September 30, 2005, Federal Realty reported FFO of $121.5 million, or $2.28 per diluted share. This compares to FFO of $111.7 million, or $2.14 per diluted share, for the same nine-month period in 2004, which included $2.8 million ($0.05 per diluted share) of Santana Row insurance proceeds.</w:t>
      </w:r>
    </w:p>
    <w:p>
      <w:pPr>
        <w:spacing w:after="0" w:line="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Net income available for common shareholders was $27.8 million, and earnings per common share (diluted) was $0.52 for the quarter ended September 30, 2005, versus $15.8 million and $0.30, respectively, for third quarter 2004. Year-to-date, Federal Realty reported net income available for common shareholders of $70.9 million, or $1.34 per diluted share. This compares to net income available for common shareholders of $53.6 million, or $1.04 per diluted share, for the nine months ended September 30, 2004, both of which included insurance recovery for lost income from the Santana Row fire.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FFO is a non-GAAP supplemental earnings measure which the Trust considers meaningful in measuring its operating performance. A reconciliation of FFO and FFO per diluted share to net income available for common shareholders and earnings per common share (diluted), respectively, is attached to this press release.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 same-center basis, including redevelopment and expansion properties, property operating income increased 5.3% over third quarter 2004. When redevelopment and expansion properties are excluded from same-center results, property operating income increased 5.9% from third quarter 2004. On a year-to-date basis, same center property operating income has increased 5.2% including redevelopments and expansions, and 5.0% when redevelopments and expansions are excluded.</w:t>
      </w:r>
    </w:p>
    <w:p>
      <w:pPr>
        <w:spacing w:after="0" w:line="13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Overall, the Trust’s portfolio improved to 95.5% leased as of September 30, 2005, compared to 94.2% on September 30, 2004. Federal Realty’s same-center portfolio was 96.7% leased on September 30, 2005, compared to 96.4% on September 30, 2004.</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third quarter 2005, the Trust signed 93 leases for approximately 441,000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395,000 square feet at a weighted-average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20%. The weighted-average contractual rent on this comparable space for the first year of the new lease is $24.25 per square foot compared to the weighted-average contractual rent of $20.19 per square foot for the last year of the prior lease. The previous weighted-average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32% for third quarter 2005.</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Year-to-date, Federal Realty has leased more than 860,000 square feet of comparable retail space at a weighted-average cash-basis contractual rent increase per square foot of 23%, and 35% on a GAAP-basis. As of September 30, 2005, Federal Realty’s weighted-average contractual minimum rent for retail and commercial space in its portfolio is $18.63 per square foot.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“It is very satisfying to be producing the strong and reliable results that we’ve been promising to our shareholders,” commented Donald C. Wood, president and chief executive officer of Federal Realty Investment Trust. “By aggressively leasing our existing high quality portfolio, effectively executing our pipeline of redevelopment opportunities, and opportunistically acquiring assets that meet our return thresholds, Federal Realty should continue to deliver consistently strong results without taking excessive risk.”</w:t>
      </w:r>
    </w:p>
    <w:p>
      <w:pPr>
        <w:spacing w:after="0" w:line="130"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 August 2005, Federal Realty began closing sales of residential condominiums at Santana Row. Through October 24, 2005, the Trust had closed 79 units and had 37 units under contract, with associated gross sales proceeds of $47.7 million and $27.0 million, respectively. In addition, Federal Realty had reservations for 13 units. Federal Realty expects the sale of the 219 units to generate total gross sales proceeds of approximately $135 million with sell-out completed in 2006.</w:t>
      </w:r>
    </w:p>
    <w:p>
      <w:pPr>
        <w:spacing w:after="0" w:line="7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As a result of the success of the Santana Row condominium sales to date, the Trust’s Board of Trustees declared a special dividend of $0.20 per share on its common shares. The special dividend will be payable on December 20, 2005 to common shareholders of record as of November 28, 2005. As a result of the special dividend, cash dividends paid in 2005 will represent a 17% increase over cash dividends paid in 2004. Depending on the future success of the Santana Row condominium sales, Federal Realty currently anticipates that an additional special dividend is likely to be paid in first quarter 2006.</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Initial occupancy of the 256 new residential rental units on the podium of Building Seven commenced in April 2005, with 90 units leased as of October 24, 2005, and lease-up expected to continue through mid-2006.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$0.555 per share on its common shares, resulting in an indicated annual rate of $2.22 per share. The regular common dividend will be payable on January 16, 2006, to common shareholders of record as of January 3, 2006.</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Federal Realty’s Board of Trustees declared a regular quarterly cash dividend of $0.53125 per share on the Trust’s Series B Cumulative Redeemable Preferred Shares (NYSE: FRTprB). Dividends on the Series B Cumulative Redeemable Preferred Shares will be payable on January 31, 2006 to shareholders of record on January 16, 2006.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Federal Realty today increased its guidance for 2005 FFO per diluted share to a range of $3.05 to $3.06, and increased its earnings per common share (diluted) guidance to range of $1.65 to $1.66. In addition, the Trust provided initial guidance for 2006 FFO per diluted share of $3.30 to $3.35, and earnings per common share (diluted) of $1.56 to $1.61.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83" w:lineRule="exact"/>
        <w:rPr>
          <w:sz w:val="20"/>
          <w:szCs w:val="20"/>
          <w:color w:val="auto"/>
        </w:rPr>
      </w:pPr>
    </w:p>
    <w:p>
      <w:pPr>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September 7, 2005 – Federal Realty declared a regular quarterly cash dividend of $0.555 per common share, resulting in an indicated annual rate of $2.22 per share, and marking 2005 as the 38th consecutive year that Federal Realty has increased its common dividend, the longest consecutive record in the REIT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third quarter 2005 earnings conference call, which is scheduled for November 1, 2005, at 11 a.m. Eastern Standard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Thursday, December 1, 2005, by dialing (866) 448-4809.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8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17.3 million square feet located primarily in strategic metropolitan markets in the Northeast, Mid-Atlantic, and California. In addition, the Trust has an ownership interest in approximately 0.5 million square feet of retail space through its joint venture with Clarion Lion Properties Fund in which the Trust has a 30% interest. Our operating portfolio (excluding joint venture properties) was 95.5% leased to national, regional, and local retailers as of September 30, 2005, with no single tenant accounting for more than 2.2% of annualized base rent. Federal Realty has paid quarterly dividends to its shareholders continuously since its founding in 1962, and has increased its dividend rate for 38 consecutive years, the longest consecutive record in the REIT industry. Shares of Federal Realty are traded on the NYSE under the symbol FRT.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2, 2005, and include the following:</w:t>
      </w:r>
    </w:p>
    <w:p>
      <w:pPr>
        <w:spacing w:after="0" w:line="4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i w:val="1"/>
          <w:iCs w:val="1"/>
          <w:color w:val="auto"/>
        </w:rPr>
      </w:pPr>
    </w:p>
    <w:p>
      <w:pPr>
        <w:ind w:left="780" w:right="40" w:hanging="326"/>
        <w:spacing w:after="0" w:line="268"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i w:val="1"/>
          <w:iCs w:val="1"/>
          <w:color w:val="auto"/>
        </w:rPr>
      </w:pPr>
    </w:p>
    <w:p>
      <w:pPr>
        <w:ind w:left="780" w:hanging="326"/>
        <w:spacing w:after="0"/>
        <w:tabs>
          <w:tab w:leader="none" w:pos="7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sell the condominium units at Santana Row for the expected prices or within the anticipated time frames;</w:t>
      </w:r>
    </w:p>
    <w:p>
      <w:pPr>
        <w:spacing w:after="0" w:line="126" w:lineRule="exact"/>
        <w:rPr>
          <w:rFonts w:ascii="Arial" w:cs="Arial" w:eastAsia="Arial" w:hAnsi="Arial"/>
          <w:sz w:val="16"/>
          <w:szCs w:val="16"/>
          <w:i w:val="1"/>
          <w:iCs w:val="1"/>
          <w:color w:val="auto"/>
        </w:rPr>
      </w:pPr>
    </w:p>
    <w:p>
      <w:pPr>
        <w:ind w:left="780" w:right="60" w:hanging="326"/>
        <w:spacing w:after="0" w:line="268"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i w:val="1"/>
          <w:iCs w:val="1"/>
          <w:color w:val="auto"/>
        </w:rPr>
      </w:pPr>
    </w:p>
    <w:p>
      <w:pPr>
        <w:ind w:left="780" w:right="120" w:hanging="326"/>
        <w:spacing w:after="0" w:line="256"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i w:val="1"/>
          <w:iCs w:val="1"/>
          <w:color w:val="auto"/>
        </w:rPr>
      </w:pPr>
    </w:p>
    <w:p>
      <w:pPr>
        <w:ind w:left="780" w:hanging="326"/>
        <w:spacing w:after="0"/>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i w:val="1"/>
          <w:iCs w:val="1"/>
          <w:color w:val="auto"/>
        </w:rPr>
      </w:pPr>
    </w:p>
    <w:p>
      <w:pPr>
        <w:ind w:left="780" w:right="120" w:hanging="326"/>
        <w:spacing w:after="0" w:line="259"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i w:val="1"/>
          <w:iCs w:val="1"/>
          <w:color w:val="auto"/>
        </w:rPr>
      </w:pPr>
    </w:p>
    <w:p>
      <w:pPr>
        <w:ind w:left="780" w:right="140" w:hanging="326"/>
        <w:spacing w:after="0" w:line="259" w:lineRule="auto"/>
        <w:tabs>
          <w:tab w:leader="none" w:pos="7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2, 2005.</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60"/>
          </w:cols>
          <w:pgMar w:left="240" w:top="280" w:right="299" w:bottom="1440" w:gutter="0" w:footer="0" w:header="0"/>
        </w:sectPr>
      </w:pPr>
    </w:p>
    <w:bookmarkStart w:id="11" w:name="page12"/>
    <w:bookmarkEnd w:id="1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CONSOLIDATED OPERATING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8"/>
              </w:rPr>
              <w:t>Three months ended September 30,</w:t>
            </w:r>
          </w:p>
        </w:tc>
        <w:tc>
          <w:tcPr>
            <w:tcW w:w="21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ind w:left="420"/>
              <w:spacing w:after="0"/>
              <w:rPr>
                <w:sz w:val="20"/>
                <w:szCs w:val="20"/>
                <w:color w:val="auto"/>
              </w:rPr>
            </w:pPr>
            <w:r>
              <w:rPr>
                <w:rFonts w:ascii="Arial" w:cs="Arial" w:eastAsia="Arial" w:hAnsi="Arial"/>
                <w:sz w:val="18"/>
                <w:szCs w:val="18"/>
                <w:color w:val="auto"/>
              </w:rPr>
              <w:t>Rental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98,071</w:t>
            </w:r>
          </w:p>
        </w:tc>
        <w:tc>
          <w:tcPr>
            <w:tcW w:w="2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94,374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294,501</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4"/>
          </w:tcPr>
          <w:p>
            <w:pPr>
              <w:ind w:left="420"/>
              <w:spacing w:after="0"/>
              <w:rPr>
                <w:sz w:val="20"/>
                <w:szCs w:val="20"/>
                <w:color w:val="auto"/>
              </w:rPr>
            </w:pPr>
            <w:r>
              <w:rPr>
                <w:rFonts w:ascii="Arial" w:cs="Arial" w:eastAsia="Arial" w:hAnsi="Arial"/>
                <w:sz w:val="18"/>
                <w:szCs w:val="18"/>
                <w:color w:val="auto"/>
              </w:rPr>
              <w:t>Mortgage interest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ind w:left="420"/>
              <w:spacing w:after="0"/>
              <w:rPr>
                <w:sz w:val="20"/>
                <w:szCs w:val="20"/>
                <w:color w:val="auto"/>
              </w:rPr>
            </w:pPr>
            <w:r>
              <w:rPr>
                <w:rFonts w:ascii="Arial" w:cs="Arial" w:eastAsia="Arial" w:hAnsi="Arial"/>
                <w:sz w:val="18"/>
                <w:szCs w:val="18"/>
                <w:color w:val="auto"/>
              </w:rPr>
              <w:t>Real estate taxes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4"/>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23,292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00" w:type="dxa"/>
            <w:vAlign w:val="bottom"/>
            <w:gridSpan w:val="5"/>
          </w:tcPr>
          <w:p>
            <w:pPr>
              <w:spacing w:after="0"/>
              <w:rPr>
                <w:sz w:val="20"/>
                <w:szCs w:val="20"/>
                <w:color w:val="auto"/>
              </w:rPr>
            </w:pPr>
            <w:r>
              <w:rPr>
                <w:rFonts w:ascii="Arial" w:cs="Arial" w:eastAsia="Arial" w:hAnsi="Arial"/>
                <w:sz w:val="18"/>
                <w:szCs w:val="18"/>
                <w:color w:val="auto"/>
              </w:rPr>
              <w:t>Other interest income</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(21,664)</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(21,125)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(65,554)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Income from real estate partnership</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800" w:type="dxa"/>
            <w:vAlign w:val="bottom"/>
            <w:gridSpan w:val="5"/>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(Loss) income before gain on sale of real estate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4"/>
          </w:tcPr>
          <w:p>
            <w:pPr>
              <w:ind w:left="42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00" w:type="dxa"/>
            <w:vAlign w:val="bottom"/>
            <w:gridSpan w:val="5"/>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24"/>
                <w:szCs w:val="2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(2,869)</w:t>
            </w:r>
          </w:p>
        </w:tc>
        <w:tc>
          <w:tcPr>
            <w:tcW w:w="2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(8,607)</w:t>
            </w: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FUNDS FROM OPERATIONS AVAILABLE FOR COMMON SHAREHOLDERS</w:t>
            </w: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30,680</w:t>
            </w:r>
          </w:p>
        </w:tc>
        <w:tc>
          <w:tcPr>
            <w:tcW w:w="2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79,484</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(9,463)</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Depreciation on real estate partnership assets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(2,869)</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(8,607)</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EARNINGS PER COMMON SHARE, BASIC</w:t>
            </w:r>
          </w:p>
        </w:tc>
        <w:tc>
          <w:tcPr>
            <w:tcW w:w="346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EARNINGS PER COMMON SHARE, DILUTED</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3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-4110990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-4110990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-4110990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-4110990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-4110990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-4110990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-4110990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-4110990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-4110990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-4110990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-4110990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-4110990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-2284095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-2284095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-2284095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-2284095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-2284095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-2284095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-2284095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-2284095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-2284095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-2284095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-2284095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-2284095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-723265</wp:posOffset>
            </wp:positionV>
            <wp:extent cx="8877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773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-723265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-723265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-723265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-723265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-723265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-723265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-723265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900" w:orient="portrait"/>
          <w:cols w:equalWidth="0" w:num="1">
            <w:col w:w="11420"/>
          </w:cols>
          <w:pgMar w:left="240" w:top="274"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discontinued operations before gain on sale of real estate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68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-309880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-309880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-309880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-309880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-309880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-309880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-309880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-309880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-309880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-309880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-309880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-309880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CONSOLIDATED BALANCE SHEETS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00" w:type="dxa"/>
            <w:vAlign w:val="bottom"/>
          </w:tcPr>
          <w:p>
            <w:pPr>
              <w:spacing w:after="0"/>
              <w:rPr>
                <w:sz w:val="21"/>
                <w:szCs w:val="21"/>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2,620,941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2,480,626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135,052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2,768,789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2,666,276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(644,988)</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(595,338)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2,123,801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2,070,938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16,573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37,173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81,717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2,303,072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leases and mortgage notes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407,643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357,298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and debentures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568,546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172,390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1,505,877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1,457,408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19,282</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2,303,072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-2619375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-2619375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-2619375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-2619375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-2619375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-2619375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07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0"/>
              </w:rPr>
              <w:t>Three months ended September 30,</w:t>
            </w:r>
          </w:p>
        </w:tc>
        <w:tc>
          <w:tcPr>
            <w:tcW w:w="160" w:type="dxa"/>
            <w:vAlign w:val="bottom"/>
          </w:tcPr>
          <w:p>
            <w:pPr>
              <w:spacing w:after="0"/>
              <w:rPr>
                <w:sz w:val="15"/>
                <w:szCs w:val="15"/>
                <w:color w:val="auto"/>
              </w:rPr>
            </w:pPr>
          </w:p>
        </w:tc>
        <w:tc>
          <w:tcPr>
            <w:tcW w:w="2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70" w:type="dxa"/>
            <w:vAlign w:val="bottom"/>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740" w:type="dxa"/>
            <w:vAlign w:val="bottom"/>
            <w:gridSpan w:val="2"/>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307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w w:val="87"/>
              </w:rPr>
              <w:t>(in thousands, except per share data)</w:t>
            </w:r>
          </w:p>
        </w:tc>
        <w:tc>
          <w:tcPr>
            <w:tcW w:w="160" w:type="dxa"/>
            <w:vAlign w:val="bottom"/>
          </w:tcPr>
          <w:p>
            <w:pPr>
              <w:spacing w:after="0"/>
              <w:rPr>
                <w:sz w:val="21"/>
                <w:szCs w:val="21"/>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(in thousands, except per share data)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7"/>
              </w:rPr>
              <w:t>Funds from Operations available for common shareholders (FFO)</w:t>
            </w: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1"/>
              </w:rPr>
              <w:t>(1)</w:t>
            </w:r>
          </w:p>
        </w:tc>
        <w:tc>
          <w:tcPr>
            <w:tcW w:w="54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2380" w:type="dxa"/>
            <w:vAlign w:val="bottom"/>
            <w:tcBorders>
              <w:top w:val="single" w:sz="8" w:color="auto"/>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0" w:type="dxa"/>
            <w:vAlign w:val="bottom"/>
            <w:tcBorders>
              <w:top w:val="single" w:sz="8" w:color="CCEEFF"/>
              <w:bottom w:val="single" w:sz="8" w:color="CCEEFF"/>
            </w:tcBorders>
            <w:shd w:val="clear" w:color="auto" w:fill="CCEEFF"/>
          </w:tcPr>
          <w:p>
            <w:pPr>
              <w:spacing w:after="0"/>
              <w:rPr>
                <w:sz w:val="18"/>
                <w:szCs w:val="18"/>
                <w:color w:val="auto"/>
              </w:rPr>
            </w:pPr>
          </w:p>
        </w:tc>
        <w:tc>
          <w:tcPr>
            <w:tcW w:w="77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20" w:type="dxa"/>
            <w:vAlign w:val="bottom"/>
            <w:gridSpan w:val="8"/>
          </w:tcPr>
          <w:p>
            <w:pPr>
              <w:spacing w:after="0"/>
              <w:rPr>
                <w:sz w:val="20"/>
                <w:szCs w:val="20"/>
                <w:color w:val="auto"/>
              </w:rPr>
            </w:pPr>
            <w:r>
              <w:rPr>
                <w:rFonts w:ascii="Arial" w:cs="Arial" w:eastAsia="Arial" w:hAnsi="Arial"/>
                <w:sz w:val="18"/>
                <w:szCs w:val="18"/>
                <w:color w:val="auto"/>
              </w:rPr>
              <w:t>Net income</w:t>
            </w:r>
          </w:p>
        </w:tc>
        <w:tc>
          <w:tcPr>
            <w:tcW w:w="13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70" w:type="dxa"/>
            <w:vAlign w:val="bottom"/>
          </w:tcPr>
          <w:p>
            <w:pPr>
              <w:jc w:val="right"/>
              <w:spacing w:after="0"/>
              <w:rPr>
                <w:sz w:val="20"/>
                <w:szCs w:val="20"/>
                <w:color w:val="auto"/>
              </w:rPr>
            </w:pPr>
            <w:r>
              <w:rPr>
                <w:rFonts w:ascii="Arial" w:cs="Arial" w:eastAsia="Arial" w:hAnsi="Arial"/>
                <w:sz w:val="18"/>
                <w:szCs w:val="18"/>
                <w:color w:val="auto"/>
              </w:rPr>
              <w:t>30,680</w:t>
            </w:r>
          </w:p>
        </w:tc>
        <w:tc>
          <w:tcPr>
            <w:tcW w:w="720" w:type="dxa"/>
            <w:vAlign w:val="bottom"/>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18,660</w:t>
            </w:r>
          </w:p>
        </w:tc>
        <w:tc>
          <w:tcPr>
            <w:tcW w:w="6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79,484</w:t>
            </w:r>
          </w:p>
        </w:tc>
        <w:tc>
          <w:tcPr>
            <w:tcW w:w="6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62,238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(17,347)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7"/>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20,506</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21,376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61,760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7"/>
          </w:tcPr>
          <w:p>
            <w:pPr>
              <w:spacing w:after="0"/>
              <w:rPr>
                <w:sz w:val="20"/>
                <w:szCs w:val="20"/>
                <w:color w:val="auto"/>
              </w:rPr>
            </w:pPr>
            <w:r>
              <w:rPr>
                <w:rFonts w:ascii="Arial" w:cs="Arial" w:eastAsia="Arial" w:hAnsi="Arial"/>
                <w:sz w:val="18"/>
                <w:szCs w:val="18"/>
                <w:color w:val="auto"/>
              </w:rPr>
              <w:t>Depreciation of real estate partnership assets</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157</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7"/>
          </w:tcPr>
          <w:p>
            <w:pPr>
              <w:spacing w:after="0"/>
              <w:rPr>
                <w:sz w:val="20"/>
                <w:szCs w:val="20"/>
                <w:color w:val="auto"/>
              </w:rPr>
            </w:pPr>
            <w:r>
              <w:rPr>
                <w:rFonts w:ascii="Arial" w:cs="Arial" w:eastAsia="Arial" w:hAnsi="Arial"/>
                <w:sz w:val="18"/>
                <w:szCs w:val="18"/>
                <w:color w:val="auto"/>
              </w:rPr>
              <w:t>Dividends on preferred stock</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490" w:type="dxa"/>
            <w:vAlign w:val="bottom"/>
            <w:gridSpan w:val="2"/>
          </w:tcPr>
          <w:p>
            <w:pPr>
              <w:jc w:val="right"/>
              <w:ind w:right="660"/>
              <w:spacing w:after="0"/>
              <w:rPr>
                <w:sz w:val="20"/>
                <w:szCs w:val="20"/>
                <w:color w:val="auto"/>
              </w:rPr>
            </w:pPr>
            <w:r>
              <w:rPr>
                <w:rFonts w:ascii="Arial" w:cs="Arial" w:eastAsia="Arial" w:hAnsi="Arial"/>
                <w:sz w:val="18"/>
                <w:szCs w:val="18"/>
                <w:color w:val="auto"/>
              </w:rPr>
              <w:t>(2,869)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(2,869)</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(8,607)</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for common shareholders (2)</w:t>
            </w:r>
          </w:p>
        </w:tc>
        <w:tc>
          <w:tcPr>
            <w:tcW w:w="1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40,994</w:t>
            </w:r>
          </w:p>
        </w:tc>
        <w:tc>
          <w:tcPr>
            <w:tcW w:w="7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38,344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121,529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1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diluted</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53,559</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20" w:type="dxa"/>
            <w:vAlign w:val="bottom"/>
            <w:gridSpan w:val="8"/>
          </w:tcPr>
          <w:p>
            <w:pPr>
              <w:spacing w:after="0"/>
              <w:rPr>
                <w:sz w:val="20"/>
                <w:szCs w:val="20"/>
                <w:color w:val="auto"/>
              </w:rPr>
            </w:pPr>
            <w:r>
              <w:rPr>
                <w:rFonts w:ascii="Arial" w:cs="Arial" w:eastAsia="Arial" w:hAnsi="Arial"/>
                <w:sz w:val="18"/>
                <w:szCs w:val="18"/>
                <w:b w:val="1"/>
                <w:bCs w:val="1"/>
                <w:color w:val="auto"/>
              </w:rPr>
              <w:t>Funds from operations available for common shareholders per</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00" w:type="dxa"/>
            <w:vAlign w:val="bottom"/>
            <w:gridSpan w:val="6"/>
          </w:tcPr>
          <w:p>
            <w:pPr>
              <w:spacing w:after="0"/>
              <w:rPr>
                <w:sz w:val="20"/>
                <w:szCs w:val="20"/>
                <w:color w:val="auto"/>
              </w:rPr>
            </w:pPr>
            <w:r>
              <w:rPr>
                <w:rFonts w:ascii="Arial" w:cs="Arial" w:eastAsia="Arial" w:hAnsi="Arial"/>
                <w:sz w:val="18"/>
                <w:szCs w:val="18"/>
                <w:b w:val="1"/>
                <w:bCs w:val="1"/>
                <w:color w:val="auto"/>
              </w:rPr>
              <w:t>diluted share (2)</w:t>
            </w:r>
          </w:p>
        </w:tc>
        <w:tc>
          <w:tcPr>
            <w:tcW w:w="13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70" w:type="dxa"/>
            <w:vAlign w:val="bottom"/>
          </w:tcPr>
          <w:p>
            <w:pPr>
              <w:jc w:val="right"/>
              <w:spacing w:after="0"/>
              <w:rPr>
                <w:sz w:val="20"/>
                <w:szCs w:val="20"/>
                <w:color w:val="auto"/>
              </w:rPr>
            </w:pPr>
            <w:r>
              <w:rPr>
                <w:rFonts w:ascii="Arial" w:cs="Arial" w:eastAsia="Arial" w:hAnsi="Arial"/>
                <w:sz w:val="18"/>
                <w:szCs w:val="18"/>
                <w:color w:val="auto"/>
              </w:rPr>
              <w:t>0.77</w:t>
            </w:r>
          </w:p>
        </w:tc>
        <w:tc>
          <w:tcPr>
            <w:tcW w:w="72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0.72</w:t>
            </w:r>
          </w:p>
        </w:tc>
        <w:tc>
          <w:tcPr>
            <w:tcW w:w="6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6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Summary of Capital Expenditures</w:t>
            </w: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 w:type="dxa"/>
            <w:vAlign w:val="bottom"/>
            <w:tcBorders>
              <w:top w:val="single" w:sz="8" w:color="CCEEFF"/>
            </w:tcBorders>
            <w:shd w:val="clear" w:color="auto" w:fill="CCEEFF"/>
          </w:tcPr>
          <w:p>
            <w:pPr>
              <w:spacing w:after="0" w:line="20" w:lineRule="exact"/>
              <w:rPr>
                <w:sz w:val="1"/>
                <w:szCs w:val="1"/>
                <w:color w:val="auto"/>
              </w:rPr>
            </w:pPr>
          </w:p>
        </w:tc>
        <w:tc>
          <w:tcPr>
            <w:tcW w:w="77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520" w:type="dxa"/>
            <w:vAlign w:val="bottom"/>
            <w:gridSpan w:val="8"/>
          </w:tcPr>
          <w:p>
            <w:pPr>
              <w:spacing w:after="0"/>
              <w:rPr>
                <w:sz w:val="20"/>
                <w:szCs w:val="20"/>
                <w:color w:val="auto"/>
              </w:rPr>
            </w:pPr>
            <w:r>
              <w:rPr>
                <w:rFonts w:ascii="Arial" w:cs="Arial" w:eastAsia="Arial" w:hAnsi="Arial"/>
                <w:sz w:val="18"/>
                <w:szCs w:val="18"/>
                <w:color w:val="auto"/>
              </w:rPr>
              <w:t>Non-maintenance capital expenditures</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1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Development, redevelopment and expansions</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00" w:type="dxa"/>
            <w:vAlign w:val="bottom"/>
            <w:gridSpan w:val="5"/>
          </w:tcPr>
          <w:p>
            <w:pPr>
              <w:ind w:left="20"/>
              <w:spacing w:after="0"/>
              <w:rPr>
                <w:sz w:val="20"/>
                <w:szCs w:val="20"/>
                <w:color w:val="auto"/>
              </w:rPr>
            </w:pPr>
            <w:r>
              <w:rPr>
                <w:rFonts w:ascii="Arial" w:cs="Arial" w:eastAsia="Arial" w:hAnsi="Arial"/>
                <w:sz w:val="18"/>
                <w:szCs w:val="18"/>
                <w:color w:val="auto"/>
              </w:rPr>
              <w:t>Tenant improvements and incentives</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4,715</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6,151</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11,118</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41,866</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7"/>
          </w:tcPr>
          <w:p>
            <w:pPr>
              <w:spacing w:after="0"/>
              <w:rPr>
                <w:sz w:val="20"/>
                <w:szCs w:val="20"/>
                <w:color w:val="auto"/>
              </w:rPr>
            </w:pPr>
            <w:r>
              <w:rPr>
                <w:rFonts w:ascii="Arial" w:cs="Arial" w:eastAsia="Arial" w:hAnsi="Arial"/>
                <w:sz w:val="18"/>
                <w:szCs w:val="18"/>
                <w:color w:val="auto"/>
              </w:rPr>
              <w:t>Maintenance capital expenditures</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2,554</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2,007</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4,094</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44,420</w:t>
            </w:r>
          </w:p>
        </w:tc>
        <w:tc>
          <w:tcPr>
            <w:tcW w:w="7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33,502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110,586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6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Dividends and Payout Ratios</w:t>
            </w:r>
          </w:p>
        </w:tc>
        <w:tc>
          <w:tcPr>
            <w:tcW w:w="334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10" w:type="dxa"/>
            <w:vAlign w:val="bottom"/>
            <w:tcBorders>
              <w:bottom w:val="single" w:sz="8" w:color="CCEEFF"/>
            </w:tcBorders>
            <w:shd w:val="clear" w:color="auto" w:fill="CCEEFF"/>
          </w:tcPr>
          <w:p>
            <w:pPr>
              <w:spacing w:after="0"/>
              <w:rPr>
                <w:sz w:val="17"/>
                <w:szCs w:val="17"/>
                <w:color w:val="auto"/>
              </w:rPr>
            </w:pPr>
          </w:p>
        </w:tc>
        <w:tc>
          <w:tcPr>
            <w:tcW w:w="77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00" w:type="dxa"/>
            <w:vAlign w:val="bottom"/>
            <w:gridSpan w:val="5"/>
          </w:tcPr>
          <w:p>
            <w:pPr>
              <w:ind w:left="20"/>
              <w:spacing w:after="0"/>
              <w:rPr>
                <w:sz w:val="20"/>
                <w:szCs w:val="20"/>
                <w:color w:val="auto"/>
              </w:rPr>
            </w:pPr>
            <w:r>
              <w:rPr>
                <w:rFonts w:ascii="Arial" w:cs="Arial" w:eastAsia="Arial" w:hAnsi="Arial"/>
                <w:sz w:val="18"/>
                <w:szCs w:val="18"/>
                <w:color w:val="auto"/>
              </w:rPr>
              <w:t>Common dividends declared</w:t>
            </w:r>
          </w:p>
        </w:tc>
        <w:tc>
          <w:tcPr>
            <w:tcW w:w="13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70" w:type="dxa"/>
            <w:vAlign w:val="bottom"/>
          </w:tcPr>
          <w:p>
            <w:pPr>
              <w:jc w:val="right"/>
              <w:spacing w:after="0"/>
              <w:rPr>
                <w:sz w:val="20"/>
                <w:szCs w:val="20"/>
                <w:color w:val="auto"/>
              </w:rPr>
            </w:pPr>
            <w:r>
              <w:rPr>
                <w:rFonts w:ascii="Arial" w:cs="Arial" w:eastAsia="Arial" w:hAnsi="Arial"/>
                <w:sz w:val="18"/>
                <w:szCs w:val="18"/>
                <w:color w:val="auto"/>
              </w:rPr>
              <w:t>29,266</w:t>
            </w:r>
          </w:p>
        </w:tc>
        <w:tc>
          <w:tcPr>
            <w:tcW w:w="72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26,151</w:t>
            </w:r>
          </w:p>
        </w:tc>
        <w:tc>
          <w:tcPr>
            <w:tcW w:w="6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85,001</w:t>
            </w:r>
          </w:p>
        </w:tc>
        <w:tc>
          <w:tcPr>
            <w:tcW w:w="6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75,640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1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Dividend payout ratio % - FFO</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-2780030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-2780030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-2780030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-2780030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-2780030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-2780030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-2780030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-2780030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-2780030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-2780030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-2780030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-2780030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-2136775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-2136775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-2136775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-2136775</wp:posOffset>
            </wp:positionV>
            <wp:extent cx="62992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-2136775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-2136775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-2136775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-2136775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-2136775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-2136775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-653415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-653415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-653415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-653415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-653415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-653415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-653415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-653415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-653415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-653415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-653415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-653415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 w:lineRule="exact"/>
        <w:rPr>
          <w:rFonts w:ascii="Arial" w:cs="Arial" w:eastAsia="Arial" w:hAnsi="Arial"/>
          <w:sz w:val="18"/>
          <w:szCs w:val="18"/>
          <w:color w:val="auto"/>
        </w:rPr>
      </w:pPr>
    </w:p>
    <w:p>
      <w:pPr>
        <w:ind w:left="460" w:right="20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2004, includes $0.7 million ($0.01 per diluted share) and $2.8 million ($0.05 per diluted share) for Santana Row fire insurance proceeds. For the three and nine months ended September 30, 2005, the amount of insurance proceeds were insignificant and had no per diluted share impact.</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 Capital Availability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September 30, 2005</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7"/>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Market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Common shares outstanding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52,732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 price per common share</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Common equity market capitalization</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3,212,961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2,283,952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Series B preferred shares outstanding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 price per Series B preferred share</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Preferred equity market capitalization</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market capitalization</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3,353,577</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Total debt (2)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1,333,487</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1,299,901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market capitalization</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4,687,064</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3,730,571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debt to market capitalization at then current market price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Total debt to market capitalization at constant common share price of $44.00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rate debt ratio: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860"/>
              <w:spacing w:after="0"/>
              <w:rPr>
                <w:sz w:val="20"/>
                <w:szCs w:val="20"/>
                <w:color w:val="auto"/>
              </w:rPr>
            </w:pPr>
            <w:r>
              <w:rPr>
                <w:rFonts w:ascii="Arial" w:cs="Arial" w:eastAsia="Arial" w:hAnsi="Arial"/>
                <w:sz w:val="18"/>
                <w:szCs w:val="18"/>
                <w:color w:val="auto"/>
              </w:rPr>
              <w:t>Fixed rate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Variable rate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availability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 on hand</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16,573</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 capacity under line of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Available for issuance under shelf registration statement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445,573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-2437130</wp:posOffset>
            </wp:positionV>
            <wp:extent cx="1933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3357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-1167765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-1167765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-1167765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-1167765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-1167765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-1167765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-172720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-172720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-172720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10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54,212,112 shares issued net of 1,480,359 shares held in Treasury as of September 30, 2005. As of September 30, 2004, consists of 53,387,604 shares issued net of 1,479,393 shares held in Treasury. Amounts do not include 420,426 and 449,325 Operating Units outstanding at September 30, 2005 and September 30, 2004, respectively.</w:t>
      </w:r>
    </w:p>
    <w:p>
      <w:pPr>
        <w:ind w:left="460" w:right="8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includes capital leases and mortgages payable, notes payable, and senior notes and debentures. It does not include the $14.2 million which is the Trust’s 30% share of the total $47.2 million debt of the partnership with Clarion Lion Properties Fund.</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Three months ended</w:t>
            </w:r>
          </w:p>
        </w:tc>
        <w:tc>
          <w:tcPr>
            <w:tcW w:w="20" w:type="dxa"/>
            <w:vAlign w:val="bottom"/>
          </w:tcPr>
          <w:p>
            <w:pPr>
              <w:spacing w:after="0"/>
              <w:rPr>
                <w:sz w:val="14"/>
                <w:szCs w:val="14"/>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5"/>
                <w:szCs w:val="15"/>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7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8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7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7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Rental Income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Minimum rents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Retail and commercial properties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$74,725</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$ 70,757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$ 221,976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880"/>
              <w:spacing w:after="0"/>
              <w:rPr>
                <w:sz w:val="20"/>
                <w:szCs w:val="20"/>
                <w:color w:val="auto"/>
              </w:rPr>
            </w:pPr>
            <w:r>
              <w:rPr>
                <w:rFonts w:ascii="Arial" w:cs="Arial" w:eastAsia="Arial" w:hAnsi="Arial"/>
                <w:sz w:val="18"/>
                <w:szCs w:val="18"/>
                <w:color w:val="auto"/>
              </w:rPr>
              <w:t>Residential (2)</w:t>
            </w:r>
          </w:p>
        </w:tc>
        <w:tc>
          <w:tcPr>
            <w:tcW w:w="580" w:type="dxa"/>
            <w:vAlign w:val="bottom"/>
          </w:tcPr>
          <w:p>
            <w:pPr>
              <w:jc w:val="right"/>
              <w:spacing w:after="0"/>
              <w:rPr>
                <w:sz w:val="20"/>
                <w:szCs w:val="20"/>
                <w:color w:val="auto"/>
              </w:rPr>
            </w:pPr>
            <w:r>
              <w:rPr>
                <w:rFonts w:ascii="Arial" w:cs="Arial" w:eastAsia="Arial" w:hAnsi="Arial"/>
                <w:sz w:val="18"/>
                <w:szCs w:val="18"/>
                <w:color w:val="auto"/>
              </w:rPr>
              <w:t>2,655</w:t>
            </w: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2,322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19,019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Percentage rents</w:t>
            </w:r>
          </w:p>
        </w:tc>
        <w:tc>
          <w:tcPr>
            <w:tcW w:w="580" w:type="dxa"/>
            <w:vAlign w:val="bottom"/>
          </w:tcPr>
          <w:p>
            <w:pPr>
              <w:jc w:val="right"/>
              <w:spacing w:after="0"/>
              <w:rPr>
                <w:sz w:val="20"/>
                <w:szCs w:val="20"/>
                <w:color w:val="auto"/>
              </w:rPr>
            </w:pPr>
            <w:r>
              <w:rPr>
                <w:rFonts w:ascii="Arial" w:cs="Arial" w:eastAsia="Arial" w:hAnsi="Arial"/>
                <w:sz w:val="18"/>
                <w:szCs w:val="18"/>
                <w:color w:val="auto"/>
              </w:rPr>
              <w:t>1,170</w:t>
            </w: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790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rental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72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7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rental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$98,071</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$ 94,374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$ 294,501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$ 278,725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7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-172720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-172720</wp:posOffset>
            </wp:positionV>
            <wp:extent cx="19939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93900" cy="2984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180" w:hanging="452"/>
        <w:spacing w:after="0" w:line="28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$4.3 million and $2.5 million for the nine months ended September 30, 2005 and 2004, respectively, and $1.2 million and $0.7 million for the three months ended September 30, 2005 and 2004, respectively, that represent amounts included in minimum rents in order to reflect the recognition of minimum rents on a straight line basis as required by GAAP. Minimum rents include $1.2 million and $1.1 million for the nine months ended September 30, 2005 and 2004, respectively and $0.4 million and $0.5 million for the three months ended September 30, 2005 and 2004, that represent amounts included in minimum rents in order to reflect the recognition of income attributable to market lease adjustments on acquired properties in accordance with SFAS 141. Minimum rents include fire insurance proceeds attributable to rental income lost at Santana Row as a result of the August 2002 fire of $2.8 million for the nine months ended September 30, 2004 and $0.7 million for the three months ended September 30, 2004. For 2005, the amount of insurance proceeds was insignificant.</w:t>
      </w:r>
    </w:p>
    <w:p>
      <w:pPr>
        <w:spacing w:after="0" w:line="5"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minimum rents comprise the rents at Rollingwood Apartments, The Crest at Congressional Apartments and the residential units at Santana Row except for Building Four. In the third quarter of 2005, we commenced closing sales of the 100 units located in Building Four, which has been classified as discontinued operations. Accordingly, the rental income for the 100 units in Building Four have been excluded for all periods presented to assure comparability of these periods.</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Interest Rate as of</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Maturity Date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 (a)</w:t>
            </w:r>
          </w:p>
        </w:tc>
        <w:tc>
          <w:tcPr>
            <w:tcW w:w="3460" w:type="dxa"/>
            <w:vAlign w:val="bottom"/>
            <w:tcBorders>
              <w:bottom w:val="single" w:sz="8" w:color="CCEEFF"/>
            </w:tcBorders>
            <w:gridSpan w:val="3"/>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164 E Houston Street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10/06/08</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04/01/09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8.375%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Federal Plaza</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06/01/11</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6.750%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34,786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Tysons Station</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09/01/11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7.400%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Barracks Road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7.950%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43,330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11/01/15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Lawrence Park</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7.950%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30,713</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11/01/15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26,996</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Wynnewood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7.950%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31,300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Mount Vernon</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04/15/28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5.660%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(b)</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Brick Plaza</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11/01/15</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7.415%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32,210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Mortgage Loans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249,483</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Notes Payable</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01/31/13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various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various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Unsecured Variable Rate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Revolving credit facility</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10/08/06</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LIBOR + .75%</w:t>
            </w:r>
          </w:p>
        </w:tc>
        <w:tc>
          <w:tcPr>
            <w:tcW w:w="3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5"/>
              </w:rPr>
              <w:t>(c)</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96,000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Term note with banks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10/08/06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LIBOR + .95%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Term note with banks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10/08/08</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LIBOR + .95%</w:t>
            </w:r>
          </w:p>
        </w:tc>
        <w:tc>
          <w:tcPr>
            <w:tcW w:w="3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150,000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Escondido (Municipal bonds)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10/01/16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1"/>
              </w:rPr>
              <w:t>(e)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Notes Payable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357,298</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Senior Notes and Debentures</w:t>
            </w: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gridSpan w:val="4"/>
          </w:tcPr>
          <w:p>
            <w:pPr>
              <w:ind w:left="420"/>
              <w:spacing w:after="0"/>
              <w:rPr>
                <w:sz w:val="20"/>
                <w:szCs w:val="20"/>
                <w:color w:val="auto"/>
              </w:rPr>
            </w:pPr>
            <w:r>
              <w:rPr>
                <w:rFonts w:ascii="Arial" w:cs="Arial" w:eastAsia="Arial" w:hAnsi="Arial"/>
                <w:sz w:val="18"/>
                <w:szCs w:val="18"/>
                <w:b w:val="1"/>
                <w:bCs w:val="1"/>
                <w:i w:val="1"/>
                <w:iCs w:val="1"/>
                <w:color w:val="auto"/>
                <w:w w:val="90"/>
              </w:rPr>
              <w:t>Unsecured Fixed Rate</w:t>
            </w:r>
          </w:p>
        </w:tc>
        <w:tc>
          <w:tcPr>
            <w:tcW w:w="2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6.625% Notes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12/01/05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6.99% Medium Term Notes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03/10/06</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6.894%</w:t>
            </w:r>
          </w:p>
        </w:tc>
        <w:tc>
          <w:tcPr>
            <w:tcW w:w="3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(f)</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40,500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6.125% Notes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11/15/07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(g)</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8.75% Notes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12/01/09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8.750%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175,000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02/15/11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7.48% Debentures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08/15/26</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7.480%</w:t>
            </w:r>
          </w:p>
        </w:tc>
        <w:tc>
          <w:tcPr>
            <w:tcW w:w="3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(h)</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08/01/27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5"/>
          </w:tcPr>
          <w:p>
            <w:pPr>
              <w:ind w:left="420"/>
              <w:spacing w:after="0"/>
              <w:rPr>
                <w:sz w:val="20"/>
                <w:szCs w:val="20"/>
                <w:color w:val="auto"/>
              </w:rPr>
            </w:pPr>
            <w:r>
              <w:rPr>
                <w:rFonts w:ascii="Arial" w:cs="Arial" w:eastAsia="Arial" w:hAnsi="Arial"/>
                <w:sz w:val="18"/>
                <w:szCs w:val="18"/>
                <w:color w:val="auto"/>
              </w:rPr>
              <w:t>Unamortized Debt Discount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2"/>
          </w:tcPr>
          <w:p>
            <w:pPr>
              <w:jc w:val="right"/>
              <w:ind w:right="246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Senior Notes and Debentures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568,546</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Capital Lease Obligations</w:t>
            </w: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8"/>
              </w:rPr>
              <w:t>Various through</w:t>
            </w: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2077</w:t>
            </w:r>
          </w:p>
        </w:tc>
        <w:tc>
          <w:tcPr>
            <w:tcW w:w="3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(j)</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158,160</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Total Debt and Capital Lease Obligations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20"/>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1,333,487</w:t>
            </w: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8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Effective Rate at</w:t>
            </w:r>
          </w:p>
        </w:tc>
      </w:tr>
      <w:tr>
        <w:trPr>
          <w:trHeight w:val="149"/>
        </w:trPr>
        <w:tc>
          <w:tcPr>
            <w:tcW w:w="8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74"/>
        </w:trPr>
        <w:tc>
          <w:tcPr>
            <w:tcW w:w="8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2005 (k)</w:t>
            </w:r>
          </w:p>
        </w:tc>
      </w:tr>
      <w:tr>
        <w:trPr>
          <w:trHeight w:val="95"/>
        </w:trPr>
        <w:tc>
          <w:tcPr>
            <w:tcW w:w="8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8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fixed rate debt and capital lease obligations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$ 1,128,087</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84.60%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22"/>
        </w:trPr>
        <w:tc>
          <w:tcPr>
            <w:tcW w:w="8060" w:type="dxa"/>
            <w:vAlign w:val="bottom"/>
          </w:tcPr>
          <w:p>
            <w:pPr>
              <w:ind w:left="1300"/>
              <w:spacing w:after="0"/>
              <w:rPr>
                <w:sz w:val="20"/>
                <w:szCs w:val="20"/>
                <w:color w:val="auto"/>
              </w:rPr>
            </w:pPr>
            <w:r>
              <w:rPr>
                <w:rFonts w:ascii="Arial" w:cs="Arial" w:eastAsia="Arial" w:hAnsi="Arial"/>
                <w:sz w:val="18"/>
                <w:szCs w:val="18"/>
                <w:color w:val="auto"/>
              </w:rPr>
              <w:t>Total variable rate debt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205,400</w:t>
            </w: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15.40%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4.28%</w:t>
            </w:r>
          </w:p>
        </w:tc>
      </w:tr>
      <w:tr>
        <w:trPr>
          <w:trHeight w:val="102"/>
        </w:trPr>
        <w:tc>
          <w:tcPr>
            <w:tcW w:w="8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8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DEBT AND CAPITAL LEASES OBLIGATIONS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$ 1,333,487</w:t>
            </w: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132"/>
        </w:trPr>
        <w:tc>
          <w:tcPr>
            <w:tcW w:w="8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0" w:gutter="0" w:footer="0" w:header="0"/>
        </w:sectPr>
      </w:pPr>
    </w:p>
    <w:p>
      <w:pPr>
        <w:spacing w:after="0" w:line="241" w:lineRule="exact"/>
        <w:rPr>
          <w:sz w:val="20"/>
          <w:szCs w:val="20"/>
          <w:color w:val="auto"/>
        </w:rPr>
      </w:pPr>
    </w:p>
    <w:p>
      <w:pPr>
        <w:jc w:val="center"/>
        <w:ind w:left="8460"/>
        <w:spacing w:after="0"/>
        <w:rPr>
          <w:sz w:val="20"/>
          <w:szCs w:val="20"/>
          <w:color w:val="auto"/>
        </w:rPr>
      </w:pPr>
      <w:r>
        <w:rPr>
          <w:rFonts w:ascii="Arial" w:cs="Arial" w:eastAsia="Arial" w:hAnsi="Arial"/>
          <w:sz w:val="11"/>
          <w:szCs w:val="11"/>
          <w:b w:val="1"/>
          <w:bCs w:val="1"/>
          <w:color w:val="auto"/>
        </w:rPr>
        <w:t>Three months ended</w:t>
      </w:r>
    </w:p>
    <w:p>
      <w:pPr>
        <w:spacing w:after="0" w:line="3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60325</wp:posOffset>
            </wp:positionV>
            <wp:extent cx="8921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auto"/>
        </w:rPr>
        <w:t>Nine months ended</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8489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40" w:space="560"/>
            <w:col w:w="1220"/>
          </w:cols>
          <w:pgMar w:left="240" w:top="274" w:right="239" w:bottom="0" w:gutter="0" w:footer="0" w:header="0"/>
          <w:type w:val="continuous"/>
        </w:sectPr>
      </w:pPr>
    </w:p>
    <w:p>
      <w:pPr>
        <w:spacing w:after="0" w:line="4" w:lineRule="exact"/>
        <w:rPr>
          <w:sz w:val="20"/>
          <w:szCs w:val="20"/>
          <w:color w:val="auto"/>
        </w:rPr>
      </w:pPr>
    </w:p>
    <w:p>
      <w:pPr>
        <w:ind w:left="8480"/>
        <w:spacing w:after="0"/>
        <w:tabs>
          <w:tab w:leader="none" w:pos="9320" w:val="left"/>
          <w:tab w:leader="none" w:pos="10180" w:val="left"/>
          <w:tab w:leader="none" w:pos="1100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2"/>
          <w:szCs w:val="12"/>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68580</wp:posOffset>
            </wp:positionV>
            <wp:extent cx="19469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274" w:right="239"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28"/>
        </w:trPr>
        <w:tc>
          <w:tcPr>
            <w:tcW w:w="1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Operational Statistics</w:t>
            </w:r>
          </w:p>
        </w:tc>
        <w:tc>
          <w:tcPr>
            <w:tcW w:w="59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(l)</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2.79</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2.44</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2.65</w:t>
            </w: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 (l)</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2.44</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2.40</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($14.2 million) of the $47.2 million debt of the partnership with Clarion Lion Properties Fund.</w:t>
      </w:r>
    </w:p>
    <w:p>
      <w:pPr>
        <w:spacing w:after="0" w:line="38"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anytime thereafter.</w:t>
      </w:r>
    </w:p>
    <w:p>
      <w:pPr>
        <w:ind w:left="460" w:right="3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$300 million three-year revolving credit facility, with a one-year extension option. The weighted average effective rate, including the amortization of deferred financing fees, was 3.73% and 3.54% for the three and nine months ended September 30, 2005, respectively.</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January 2004, the Trust purchased an interest rate swap on this note thereby locking in the LIBOR portion of the interest rate at 2.401% through October 2006.</w:t>
      </w:r>
    </w:p>
    <w:p>
      <w:pPr>
        <w:ind w:left="460" w:right="140" w:hanging="452"/>
        <w:spacing w:after="0" w:line="30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bonds bear interest at a variable rate determined weekly which would enable the bonds to be remarketed at 100% of their principal amount. The weighted average effective interest rate, including the amortization of deferred financing fees, was 3.65% for the three months ended September 30, 2005.</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 purchased interest rate swaps at issuance, thereby reducing the effective interest on these notes.</w:t>
      </w:r>
    </w:p>
    <w:p>
      <w:pPr>
        <w:spacing w:after="0" w:line="9"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9"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annualized interest rate on capital lease obligations as of September 30, 2005 is 8.82% on a basis of minimum rent and 11.52% including performance-based participation rent paid by the Trust.</w:t>
      </w:r>
    </w:p>
    <w:p>
      <w:pPr>
        <w:ind w:left="460" w:right="9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and discounts, if applicable, and excludes performance-based rent on capital lease obligations.</w:t>
      </w:r>
    </w:p>
    <w:p>
      <w:pPr>
        <w:ind w:left="460" w:right="300" w:hanging="452"/>
        <w:spacing w:after="0" w:line="30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 and expense and the portion of rent expense representing an interest factor. Preferred share dividends consist of dividends paid on outstanding Series B preferred shares. Adjusted EBITDA excludes gain or loss on sale of real estate and is defined and reconciled to net income in the Glossary of Terms.</w:t>
      </w:r>
    </w:p>
    <w:p>
      <w:pPr>
        <w:sectPr>
          <w:pgSz w:w="11900" w:h="16838" w:orient="portrait"/>
          <w:cols w:equalWidth="0" w:num="1">
            <w:col w:w="11420"/>
          </w:cols>
          <w:pgMar w:left="240" w:top="14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Scheduled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74"/>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04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Maturities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Debt Maturing</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4120" w:type="dxa"/>
            <w:vAlign w:val="bottom"/>
            <w:gridSpan w:val="2"/>
            <w:shd w:val="clear" w:color="auto" w:fill="CCEEFF"/>
          </w:tcPr>
          <w:p>
            <w:pPr>
              <w:ind w:left="4040"/>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40,990</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2006</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236,500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241,537(1)</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155,436</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2008</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5,828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159,541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165,369</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185,558</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2010</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6,639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6,639</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118,896</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2012</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6,801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6,801</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2014</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5,771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5,771</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157,876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403,083</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ind w:left="4040"/>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212,573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1,122,868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1,335,441(2)</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-172720</wp:posOffset>
            </wp:positionV>
            <wp:extent cx="308292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82925" cy="2984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Maturities in 2006 include a $100 million term loan and $96 million drawn under the Trust’s $300 million three-year revolving credit facility.</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discount recorded for GAAP purposes on certain senior notes and debentures.</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Projected</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4"/>
              </w:rPr>
              <w:t>Projected</w:t>
            </w:r>
          </w:p>
        </w:tc>
        <w:tc>
          <w:tcPr>
            <w:tcW w:w="30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b w:val="1"/>
                <w:bCs w:val="1"/>
                <w:color w:val="auto"/>
                <w:w w:val="87"/>
              </w:rPr>
              <w:t>Cost to</w:t>
            </w:r>
          </w:p>
        </w:tc>
        <w:tc>
          <w:tcPr>
            <w:tcW w:w="0" w:type="dxa"/>
            <w:vAlign w:val="bottom"/>
          </w:tcPr>
          <w:p>
            <w:pPr>
              <w:spacing w:after="0"/>
              <w:rPr>
                <w:sz w:val="1"/>
                <w:szCs w:val="1"/>
                <w:color w:val="auto"/>
              </w:rPr>
            </w:pPr>
          </w:p>
        </w:tc>
      </w:tr>
      <w:tr>
        <w:trPr>
          <w:trHeight w:val="174"/>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680" w:type="dxa"/>
            <w:vAlign w:val="bottom"/>
            <w:gridSpan w:val="3"/>
          </w:tcPr>
          <w:p>
            <w:pPr>
              <w:ind w:left="160"/>
              <w:spacing w:after="0"/>
              <w:rPr>
                <w:sz w:val="20"/>
                <w:szCs w:val="20"/>
                <w:color w:val="auto"/>
              </w:rPr>
            </w:pPr>
            <w:r>
              <w:rPr>
                <w:rFonts w:ascii="Arial" w:cs="Arial" w:eastAsia="Arial" w:hAnsi="Arial"/>
                <w:sz w:val="14"/>
                <w:szCs w:val="14"/>
                <w:b w:val="1"/>
                <w:bCs w:val="1"/>
                <w:color w:val="auto"/>
              </w:rPr>
              <w:t>Opportunity</w:t>
            </w: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ROI (2)</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Cost (1)</w:t>
            </w:r>
          </w:p>
        </w:tc>
        <w:tc>
          <w:tcPr>
            <w:tcW w:w="300" w:type="dxa"/>
            <w:vAlign w:val="bottom"/>
          </w:tcPr>
          <w:p>
            <w:pPr>
              <w:spacing w:after="0"/>
              <w:rPr>
                <w:sz w:val="15"/>
                <w:szCs w:val="15"/>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Projects Anticipated to Stabilize in 2005 (3)</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Bala Cynwyd</w:t>
            </w:r>
          </w:p>
        </w:tc>
        <w:tc>
          <w:tcPr>
            <w:tcW w:w="1640" w:type="dxa"/>
            <w:vAlign w:val="bottom"/>
            <w:gridSpan w:val="2"/>
          </w:tcPr>
          <w:p>
            <w:pPr>
              <w:spacing w:after="0"/>
              <w:rPr>
                <w:sz w:val="20"/>
                <w:szCs w:val="20"/>
                <w:color w:val="auto"/>
              </w:rPr>
            </w:pPr>
            <w:r>
              <w:rPr>
                <w:rFonts w:ascii="Arial" w:cs="Arial" w:eastAsia="Arial" w:hAnsi="Arial"/>
                <w:sz w:val="18"/>
                <w:szCs w:val="18"/>
                <w:color w:val="auto"/>
              </w:rPr>
              <w:t>Philadelphia, PA</w:t>
            </w: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Grocer re-location and expansion and re-</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tenanting (new health club)</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&gt;20%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Andorra</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Philadelphia, PA</w:t>
            </w: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Re-tenanting (new health club)</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Pan Am</w:t>
            </w:r>
          </w:p>
        </w:tc>
        <w:tc>
          <w:tcPr>
            <w:tcW w:w="1640" w:type="dxa"/>
            <w:vAlign w:val="bottom"/>
            <w:gridSpan w:val="2"/>
          </w:tcPr>
          <w:p>
            <w:pPr>
              <w:spacing w:after="0"/>
              <w:rPr>
                <w:sz w:val="20"/>
                <w:szCs w:val="20"/>
                <w:color w:val="auto"/>
              </w:rPr>
            </w:pPr>
            <w:r>
              <w:rPr>
                <w:rFonts w:ascii="Arial" w:cs="Arial" w:eastAsia="Arial" w:hAnsi="Arial"/>
                <w:sz w:val="18"/>
                <w:szCs w:val="18"/>
                <w:color w:val="auto"/>
              </w:rPr>
              <w:t>Fairfax, VA</w:t>
            </w: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Grocer expansion, small shop re-tenanting</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and site improvements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Greenlawn Plaza</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Greenlawn, NY</w:t>
            </w: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Re-tenanting and new pad site (child care)</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&gt;20%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Bristol Plaza</w:t>
            </w:r>
          </w:p>
        </w:tc>
        <w:tc>
          <w:tcPr>
            <w:tcW w:w="1640" w:type="dxa"/>
            <w:vAlign w:val="bottom"/>
            <w:gridSpan w:val="2"/>
          </w:tcPr>
          <w:p>
            <w:pPr>
              <w:spacing w:after="0"/>
              <w:rPr>
                <w:sz w:val="20"/>
                <w:szCs w:val="20"/>
                <w:color w:val="auto"/>
              </w:rPr>
            </w:pPr>
            <w:r>
              <w:rPr>
                <w:rFonts w:ascii="Arial" w:cs="Arial" w:eastAsia="Arial" w:hAnsi="Arial"/>
                <w:sz w:val="18"/>
                <w:szCs w:val="18"/>
                <w:color w:val="auto"/>
              </w:rPr>
              <w:t>Bristol, CT</w:t>
            </w: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Grocer relocation, canopy and façade</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renovation</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Brunswick</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North Brunswick, NJ</w:t>
            </w: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Re-tenanting (new health club)</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Rutgers Plaza</w:t>
            </w:r>
          </w:p>
        </w:tc>
        <w:tc>
          <w:tcPr>
            <w:tcW w:w="1640" w:type="dxa"/>
            <w:vAlign w:val="bottom"/>
            <w:gridSpan w:val="2"/>
          </w:tcPr>
          <w:p>
            <w:pPr>
              <w:spacing w:after="0"/>
              <w:rPr>
                <w:sz w:val="20"/>
                <w:szCs w:val="20"/>
                <w:color w:val="auto"/>
              </w:rPr>
            </w:pPr>
            <w:r>
              <w:rPr>
                <w:rFonts w:ascii="Arial" w:cs="Arial" w:eastAsia="Arial" w:hAnsi="Arial"/>
                <w:sz w:val="18"/>
                <w:szCs w:val="18"/>
                <w:color w:val="auto"/>
              </w:rPr>
              <w:t>Franklin, NJ</w:t>
            </w: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Grocer re-location and expansion and</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backfill of existing grocer space</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78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2005 (3) (4)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Projects Anticipated to Stabilize in 2006 (3)</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Santana Phase IV</w:t>
            </w:r>
          </w:p>
        </w:tc>
        <w:tc>
          <w:tcPr>
            <w:tcW w:w="1640" w:type="dxa"/>
            <w:vAlign w:val="bottom"/>
            <w:gridSpan w:val="2"/>
          </w:tcPr>
          <w:p>
            <w:pPr>
              <w:spacing w:after="0"/>
              <w:rPr>
                <w:sz w:val="20"/>
                <w:szCs w:val="20"/>
                <w:color w:val="auto"/>
              </w:rPr>
            </w:pPr>
            <w:r>
              <w:rPr>
                <w:rFonts w:ascii="Arial" w:cs="Arial" w:eastAsia="Arial" w:hAnsi="Arial"/>
                <w:sz w:val="18"/>
                <w:szCs w:val="18"/>
                <w:color w:val="auto"/>
              </w:rPr>
              <w:t>San Jose, CA</w:t>
            </w: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Building Seven residential re-build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Mount Vernon / South Valley</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Alexandria, VA</w:t>
            </w: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Grocer expansion, anchor &amp; small shop re-</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tenanting, four new “main street” buildings</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&amp; a bank pad.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Mercer Mall</w:t>
            </w:r>
          </w:p>
        </w:tc>
        <w:tc>
          <w:tcPr>
            <w:tcW w:w="1640" w:type="dxa"/>
            <w:vAlign w:val="bottom"/>
            <w:gridSpan w:val="2"/>
          </w:tcPr>
          <w:p>
            <w:pPr>
              <w:spacing w:after="0"/>
              <w:rPr>
                <w:sz w:val="20"/>
                <w:szCs w:val="20"/>
                <w:color w:val="auto"/>
              </w:rPr>
            </w:pPr>
            <w:r>
              <w:rPr>
                <w:rFonts w:ascii="Arial" w:cs="Arial" w:eastAsia="Arial" w:hAnsi="Arial"/>
                <w:sz w:val="18"/>
                <w:szCs w:val="18"/>
                <w:color w:val="auto"/>
              </w:rPr>
              <w:t>Lawrenceville , NJ</w:t>
            </w: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Demolish, redevelop and re-tenant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Leesburg Plaza</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Leesburg, VA</w:t>
            </w: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Re-demise the former Kmart &amp; Peebles</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buildings, re-tenant, and add three pad sites.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Village of Shirlington</w:t>
            </w:r>
          </w:p>
        </w:tc>
        <w:tc>
          <w:tcPr>
            <w:tcW w:w="1640" w:type="dxa"/>
            <w:vAlign w:val="bottom"/>
            <w:gridSpan w:val="2"/>
          </w:tcPr>
          <w:p>
            <w:pPr>
              <w:spacing w:after="0"/>
              <w:rPr>
                <w:sz w:val="20"/>
                <w:szCs w:val="20"/>
                <w:color w:val="auto"/>
              </w:rPr>
            </w:pPr>
            <w:r>
              <w:rPr>
                <w:rFonts w:ascii="Arial" w:cs="Arial" w:eastAsia="Arial" w:hAnsi="Arial"/>
                <w:sz w:val="18"/>
                <w:szCs w:val="18"/>
                <w:color w:val="auto"/>
              </w:rPr>
              <w:t>Arlington, VA</w:t>
            </w: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New ground floor retail and parking garage</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Brick Plaza</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Brick, NJ</w:t>
            </w: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Re-tenanting (electronics)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78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4"/>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2006 (3) (4)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78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 Projects Anticipated to Stabilize in 2005 and 2006 (3) (4)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-2216150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-2216150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-2216150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-2216150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-2216150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-2216150</wp:posOffset>
            </wp:positionV>
            <wp:extent cx="2698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-329565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-329565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3556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-329565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60"/>
        <w:spacing w:after="0" w:line="339" w:lineRule="auto"/>
        <w:rPr>
          <w:sz w:val="20"/>
          <w:szCs w:val="20"/>
          <w:color w:val="auto"/>
        </w:rPr>
      </w:pPr>
      <w:r>
        <w:rPr>
          <w:rFonts w:ascii="Arial" w:cs="Arial" w:eastAsia="Arial" w:hAnsi="Arial"/>
          <w:sz w:val="15"/>
          <w:szCs w:val="15"/>
          <w:b w:val="1"/>
          <w:bCs w:val="1"/>
          <w:color w:val="auto"/>
        </w:rPr>
        <w:t>Redevelopments anticipated to stabilize in 2007 and 2008 include the final phase of Bethesda Row, Galaxy Building, Rockville Town Square, Shops at Willow Lawn, Loehmann’s Plaza, and Flourtown representing $150 million to $200 million of redevelopment capital. Projects anticipated to stabilize after 2008 include future phases of Santana Row, redevelopment phases of Assembly Square, and future phases of Bala Cynwyd.(3)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000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77" w:lineRule="exact"/>
        <w:rPr>
          <w:sz w:val="20"/>
          <w:szCs w:val="20"/>
          <w:color w:val="auto"/>
        </w:rPr>
      </w:pPr>
    </w:p>
    <w:p>
      <w:pPr>
        <w:ind w:left="460" w:right="280" w:hanging="452"/>
        <w:spacing w:after="0" w:line="303" w:lineRule="auto"/>
        <w:tabs>
          <w:tab w:leader="none" w:pos="46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5"/>
          <w:szCs w:val="15"/>
          <w:b w:val="1"/>
          <w:bCs w:val="1"/>
          <w:i w:val="1"/>
          <w:iCs w:val="1"/>
          <w:color w:val="auto"/>
        </w:rPr>
      </w:pPr>
    </w:p>
    <w:p>
      <w:pPr>
        <w:ind w:left="460" w:right="20" w:hanging="452"/>
        <w:spacing w:after="0" w:line="281" w:lineRule="auto"/>
        <w:tabs>
          <w:tab w:leader="none" w:pos="4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 ROI for Mount Vernon/South Valley and Mercer Mall (properties acquired on the basis of redevelopment potential) are calculated as the increase in POI between acquisition and stabilization divided by the increase in cost basis between acquisition and stabilization.</w:t>
      </w:r>
    </w:p>
    <w:p>
      <w:pPr>
        <w:spacing w:after="0" w:line="4" w:lineRule="exact"/>
        <w:rPr>
          <w:rFonts w:ascii="Arial" w:cs="Arial" w:eastAsia="Arial" w:hAnsi="Arial"/>
          <w:sz w:val="16"/>
          <w:szCs w:val="16"/>
          <w:b w:val="1"/>
          <w:bCs w:val="1"/>
          <w:i w:val="1"/>
          <w:i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Anticipated Stabilization is the year in which 95% occupancy of the redeveloped space is anticipated to be achieved.</w:t>
      </w:r>
    </w:p>
    <w:p>
      <w:pPr>
        <w:spacing w:after="0" w:line="9"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subtotals and totals reflect cost weighted-average ROIs.</w:t>
      </w:r>
    </w:p>
    <w:p>
      <w:pPr>
        <w:spacing w:after="0" w:line="9" w:lineRule="exact"/>
        <w:rPr>
          <w:rFonts w:ascii="Arial" w:cs="Arial" w:eastAsia="Arial" w:hAnsi="Arial"/>
          <w:sz w:val="18"/>
          <w:szCs w:val="18"/>
          <w:b w:val="1"/>
          <w:bCs w:val="1"/>
          <w:i w:val="1"/>
          <w:iCs w:val="1"/>
          <w:color w:val="auto"/>
        </w:rPr>
      </w:pPr>
    </w:p>
    <w:p>
      <w:pPr>
        <w:ind w:left="460" w:right="20" w:hanging="452"/>
        <w:spacing w:after="0" w:line="261" w:lineRule="auto"/>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6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Comments</w:t>
            </w:r>
          </w:p>
        </w:tc>
      </w:tr>
      <w:tr>
        <w:trPr>
          <w:trHeight w:val="95"/>
        </w:trPr>
        <w:tc>
          <w:tcPr>
            <w:tcW w:w="9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Operational - Phases I, II and III (2) (5)</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77"/>
        </w:trPr>
        <w:tc>
          <w:tcPr>
            <w:tcW w:w="3740" w:type="dxa"/>
            <w:vAlign w:val="bottom"/>
            <w:gridSpan w:val="2"/>
          </w:tcPr>
          <w:p>
            <w:pPr>
              <w:ind w:left="880"/>
              <w:spacing w:after="0"/>
              <w:rPr>
                <w:sz w:val="20"/>
                <w:szCs w:val="20"/>
                <w:color w:val="auto"/>
              </w:rPr>
            </w:pPr>
            <w:r>
              <w:rPr>
                <w:rFonts w:ascii="Arial" w:cs="Arial" w:eastAsia="Arial" w:hAnsi="Arial"/>
                <w:sz w:val="18"/>
                <w:szCs w:val="18"/>
                <w:color w:val="auto"/>
              </w:rPr>
              <w:t>Retail</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558,000 sf</w:t>
            </w:r>
          </w:p>
        </w:tc>
        <w:tc>
          <w:tcPr>
            <w:tcW w:w="6060" w:type="dxa"/>
            <w:vAlign w:val="bottom"/>
            <w:gridSpan w:val="2"/>
          </w:tcPr>
          <w:p>
            <w:pPr>
              <w:spacing w:after="0"/>
              <w:rPr>
                <w:sz w:val="20"/>
                <w:szCs w:val="20"/>
                <w:color w:val="auto"/>
              </w:rPr>
            </w:pPr>
            <w:r>
              <w:rPr>
                <w:rFonts w:ascii="Arial" w:cs="Arial" w:eastAsia="Arial" w:hAnsi="Arial"/>
                <w:sz w:val="18"/>
                <w:szCs w:val="18"/>
                <w:color w:val="auto"/>
                <w:w w:val="86"/>
              </w:rPr>
              <w:t>Retail was 93% leased as of September 30, 2005. Sino Restaurant and Lounge opened</w:t>
            </w:r>
          </w:p>
        </w:tc>
      </w:tr>
      <w:tr>
        <w:trPr>
          <w:trHeight w:val="216"/>
        </w:trPr>
        <w:tc>
          <w:tcPr>
            <w:tcW w:w="9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 third quarter 2005. Lucy, Furla, Vintage Wine Bar, Pink Stripes and Bella</w:t>
            </w:r>
          </w:p>
        </w:tc>
      </w:tr>
      <w:tr>
        <w:trPr>
          <w:trHeight w:val="222"/>
        </w:trPr>
        <w:tc>
          <w:tcPr>
            <w:tcW w:w="9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w w:val="97"/>
              </w:rPr>
              <w:t>Boutique, representing 5,581 sf, are scheduled to open in fourth quarter 2005.</w:t>
            </w:r>
          </w:p>
        </w:tc>
      </w:tr>
      <w:tr>
        <w:trPr>
          <w:trHeight w:val="325"/>
        </w:trPr>
        <w:tc>
          <w:tcPr>
            <w:tcW w:w="374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Residential</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 units</w:t>
            </w:r>
          </w:p>
        </w:tc>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36 townhouse units in Building Eight were 92% leased on September 30, 2005.</w:t>
            </w:r>
          </w:p>
        </w:tc>
      </w:tr>
    </w:tbl>
    <w:p>
      <w:pPr>
        <w:spacing w:after="0" w:line="2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Progress (3) (5)</w:t>
      </w:r>
    </w:p>
    <w:p>
      <w:pPr>
        <w:spacing w:after="0" w:line="21" w:lineRule="exact"/>
        <w:rPr>
          <w:sz w:val="20"/>
          <w:szCs w:val="20"/>
          <w:color w:val="auto"/>
        </w:rPr>
      </w:pPr>
    </w:p>
    <w:p>
      <w:pPr>
        <w:jc w:val="right"/>
        <w:ind w:right="2200"/>
        <w:spacing w:after="0"/>
        <w:rPr>
          <w:sz w:val="20"/>
          <w:szCs w:val="20"/>
          <w:color w:val="auto"/>
        </w:rPr>
      </w:pPr>
      <w:r>
        <w:rPr>
          <w:rFonts w:ascii="Arial" w:cs="Arial" w:eastAsia="Arial" w:hAnsi="Arial"/>
          <w:sz w:val="18"/>
          <w:szCs w:val="18"/>
          <w:b w:val="1"/>
          <w:bCs w:val="1"/>
          <w:color w:val="auto"/>
        </w:rPr>
        <w:t>Residential - for rent</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Phase IV</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00" w:hanging="756"/>
        <w:spacing w:after="0" w:line="290" w:lineRule="auto"/>
        <w:rPr>
          <w:sz w:val="20"/>
          <w:szCs w:val="20"/>
          <w:color w:val="auto"/>
        </w:rPr>
      </w:pPr>
      <w:r>
        <w:rPr>
          <w:rFonts w:ascii="Arial" w:cs="Arial" w:eastAsia="Arial" w:hAnsi="Arial"/>
          <w:sz w:val="16"/>
          <w:szCs w:val="16"/>
          <w:color w:val="auto"/>
        </w:rPr>
        <w:t>256 units 256 rental units being built on the Building Seven podium. Initial occupancy commenced in April 2005 with lease-up expected to continue through mid-2006. As of September 30, 2005, 90 units (50 townhomes and 40 flats) have been leased at an average rental rate of $2.55 per square foot per month. 41 residents of Buildings Three, Four and Six (the buildings planned to be sold as condominiums) have signed leases to relocate to new units in Building Seven. Projected cost of $67 million is expected to yield 10% upon stabilization in 2006.</w:t>
      </w:r>
    </w:p>
    <w:p>
      <w:pPr>
        <w:spacing w:after="0" w:line="58" w:lineRule="exact"/>
        <w:rPr>
          <w:sz w:val="20"/>
          <w:szCs w:val="20"/>
          <w:color w:val="auto"/>
        </w:rPr>
      </w:pPr>
    </w:p>
    <w:p>
      <w:pPr>
        <w:sectPr>
          <w:pgSz w:w="11900" w:h="16838" w:orient="portrait"/>
          <w:cols w:equalWidth="0" w:num="2">
            <w:col w:w="4640" w:space="720"/>
            <w:col w:w="606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220" w:type="dxa"/>
            <w:vAlign w:val="bottom"/>
            <w:gridSpan w:val="2"/>
          </w:tcPr>
          <w:p>
            <w:pPr>
              <w:ind w:left="880"/>
              <w:spacing w:after="0"/>
              <w:rPr>
                <w:sz w:val="20"/>
                <w:szCs w:val="20"/>
                <w:color w:val="auto"/>
              </w:rPr>
            </w:pPr>
            <w:r>
              <w:rPr>
                <w:rFonts w:ascii="Arial" w:cs="Arial" w:eastAsia="Arial" w:hAnsi="Arial"/>
                <w:sz w:val="18"/>
                <w:szCs w:val="18"/>
                <w:b w:val="1"/>
                <w:bCs w:val="1"/>
                <w:color w:val="auto"/>
              </w:rPr>
              <w:t>Residential - for sale</w:t>
            </w:r>
          </w:p>
        </w:tc>
        <w:tc>
          <w:tcPr>
            <w:tcW w:w="2080" w:type="dxa"/>
            <w:vAlign w:val="bottom"/>
          </w:tcPr>
          <w:p>
            <w:pPr>
              <w:jc w:val="right"/>
              <w:spacing w:after="0"/>
              <w:rPr>
                <w:sz w:val="20"/>
                <w:szCs w:val="20"/>
                <w:color w:val="auto"/>
              </w:rPr>
            </w:pPr>
            <w:r>
              <w:rPr>
                <w:rFonts w:ascii="Arial" w:cs="Arial" w:eastAsia="Arial" w:hAnsi="Arial"/>
                <w:sz w:val="18"/>
                <w:szCs w:val="18"/>
                <w:color w:val="auto"/>
              </w:rPr>
              <w:t>219 units</w:t>
            </w:r>
          </w:p>
        </w:tc>
        <w:tc>
          <w:tcPr>
            <w:tcW w:w="6120" w:type="dxa"/>
            <w:vAlign w:val="bottom"/>
          </w:tcPr>
          <w:p>
            <w:pPr>
              <w:ind w:left="60"/>
              <w:spacing w:after="0"/>
              <w:rPr>
                <w:sz w:val="20"/>
                <w:szCs w:val="20"/>
                <w:color w:val="auto"/>
              </w:rPr>
            </w:pPr>
            <w:r>
              <w:rPr>
                <w:rFonts w:ascii="Arial" w:cs="Arial" w:eastAsia="Arial" w:hAnsi="Arial"/>
                <w:sz w:val="18"/>
                <w:szCs w:val="18"/>
                <w:color w:val="auto"/>
                <w:w w:val="91"/>
              </w:rPr>
              <w:t>Closings on sale of loft and villa units commenced in August 2005. Projected gross</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60"/>
              <w:spacing w:after="0"/>
              <w:rPr>
                <w:sz w:val="20"/>
                <w:szCs w:val="20"/>
                <w:color w:val="auto"/>
              </w:rPr>
            </w:pPr>
            <w:r>
              <w:rPr>
                <w:rFonts w:ascii="Arial" w:cs="Arial" w:eastAsia="Arial" w:hAnsi="Arial"/>
                <w:sz w:val="18"/>
                <w:szCs w:val="18"/>
                <w:color w:val="auto"/>
                <w:w w:val="96"/>
              </w:rPr>
              <w:t>sales proceeds of approximately $135 million. 5,700 people have registered as</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60"/>
              <w:spacing w:after="0"/>
              <w:rPr>
                <w:sz w:val="20"/>
                <w:szCs w:val="20"/>
                <w:color w:val="auto"/>
              </w:rPr>
            </w:pPr>
            <w:r>
              <w:rPr>
                <w:rFonts w:ascii="Arial" w:cs="Arial" w:eastAsia="Arial" w:hAnsi="Arial"/>
                <w:sz w:val="18"/>
                <w:szCs w:val="18"/>
                <w:color w:val="auto"/>
                <w:w w:val="95"/>
              </w:rPr>
              <w:t>“interested” in owning units and 445 of these people have been pre-qualified by</w:t>
            </w:r>
          </w:p>
        </w:tc>
      </w:tr>
      <w:tr>
        <w:trPr>
          <w:trHeight w:val="222"/>
        </w:trPr>
        <w:tc>
          <w:tcPr>
            <w:tcW w:w="9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120" w:type="dxa"/>
            <w:vAlign w:val="bottom"/>
          </w:tcPr>
          <w:p>
            <w:pPr>
              <w:ind w:left="60"/>
              <w:spacing w:after="0"/>
              <w:rPr>
                <w:sz w:val="20"/>
                <w:szCs w:val="20"/>
                <w:color w:val="auto"/>
              </w:rPr>
            </w:pPr>
            <w:r>
              <w:rPr>
                <w:rFonts w:ascii="Arial" w:cs="Arial" w:eastAsia="Arial" w:hAnsi="Arial"/>
                <w:sz w:val="18"/>
                <w:szCs w:val="18"/>
                <w:color w:val="auto"/>
              </w:rPr>
              <w:t>approved lenders and are on a “preferred” interest list to purchase units. (4)</w:t>
            </w:r>
          </w:p>
        </w:tc>
      </w:tr>
      <w:tr>
        <w:trPr>
          <w:trHeight w:val="318"/>
        </w:trPr>
        <w:tc>
          <w:tcPr>
            <w:tcW w:w="960" w:type="dxa"/>
            <w:vAlign w:val="bottom"/>
          </w:tcPr>
          <w:p>
            <w:pPr>
              <w:spacing w:after="0"/>
              <w:rPr>
                <w:sz w:val="24"/>
                <w:szCs w:val="24"/>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w w:val="99"/>
              </w:rPr>
              <w:t>Commitments/Closings:</w:t>
            </w:r>
          </w:p>
        </w:tc>
        <w:tc>
          <w:tcPr>
            <w:tcW w:w="2080" w:type="dxa"/>
            <w:vAlign w:val="bottom"/>
          </w:tcPr>
          <w:p>
            <w:pPr>
              <w:spacing w:after="0"/>
              <w:rPr>
                <w:sz w:val="24"/>
                <w:szCs w:val="24"/>
                <w:color w:val="auto"/>
              </w:rPr>
            </w:pPr>
          </w:p>
        </w:tc>
        <w:tc>
          <w:tcPr>
            <w:tcW w:w="6120" w:type="dxa"/>
            <w:vAlign w:val="bottom"/>
          </w:tcPr>
          <w:p>
            <w:pPr>
              <w:ind w:left="60"/>
              <w:spacing w:after="0"/>
              <w:rPr>
                <w:sz w:val="20"/>
                <w:szCs w:val="20"/>
                <w:color w:val="auto"/>
              </w:rPr>
            </w:pPr>
            <w:r>
              <w:rPr>
                <w:rFonts w:ascii="Arial" w:cs="Arial" w:eastAsia="Arial" w:hAnsi="Arial"/>
                <w:sz w:val="18"/>
                <w:szCs w:val="18"/>
                <w:color w:val="auto"/>
              </w:rPr>
              <w:t>79 units have been closed</w:t>
            </w:r>
          </w:p>
        </w:tc>
      </w:tr>
      <w:tr>
        <w:trPr>
          <w:trHeight w:val="216"/>
        </w:trPr>
        <w:tc>
          <w:tcPr>
            <w:tcW w:w="960" w:type="dxa"/>
            <w:vAlign w:val="bottom"/>
          </w:tcPr>
          <w:p>
            <w:pPr>
              <w:spacing w:after="0"/>
              <w:rPr>
                <w:sz w:val="18"/>
                <w:szCs w:val="18"/>
                <w:color w:val="auto"/>
              </w:rPr>
            </w:pPr>
          </w:p>
        </w:tc>
        <w:tc>
          <w:tcPr>
            <w:tcW w:w="2260" w:type="dxa"/>
            <w:vAlign w:val="bottom"/>
          </w:tcPr>
          <w:p>
            <w:pPr>
              <w:ind w:left="340"/>
              <w:spacing w:after="0"/>
              <w:rPr>
                <w:sz w:val="20"/>
                <w:szCs w:val="20"/>
                <w:color w:val="auto"/>
              </w:rPr>
            </w:pPr>
            <w:r>
              <w:rPr>
                <w:rFonts w:ascii="Arial" w:cs="Arial" w:eastAsia="Arial" w:hAnsi="Arial"/>
                <w:sz w:val="18"/>
                <w:szCs w:val="18"/>
                <w:i w:val="1"/>
                <w:iCs w:val="1"/>
                <w:color w:val="auto"/>
                <w:w w:val="97"/>
              </w:rPr>
              <w:t>(as of October 24, 2005)</w:t>
            </w:r>
          </w:p>
        </w:tc>
        <w:tc>
          <w:tcPr>
            <w:tcW w:w="2080" w:type="dxa"/>
            <w:vAlign w:val="bottom"/>
          </w:tcPr>
          <w:p>
            <w:pPr>
              <w:spacing w:after="0"/>
              <w:rPr>
                <w:sz w:val="18"/>
                <w:szCs w:val="18"/>
                <w:color w:val="auto"/>
              </w:rPr>
            </w:pPr>
          </w:p>
        </w:tc>
        <w:tc>
          <w:tcPr>
            <w:tcW w:w="6120" w:type="dxa"/>
            <w:vAlign w:val="bottom"/>
          </w:tcPr>
          <w:p>
            <w:pPr>
              <w:ind w:left="60"/>
              <w:spacing w:after="0"/>
              <w:rPr>
                <w:sz w:val="20"/>
                <w:szCs w:val="20"/>
                <w:color w:val="auto"/>
              </w:rPr>
            </w:pPr>
            <w:r>
              <w:rPr>
                <w:rFonts w:ascii="Arial" w:cs="Arial" w:eastAsia="Arial" w:hAnsi="Arial"/>
                <w:sz w:val="18"/>
                <w:szCs w:val="18"/>
                <w:color w:val="auto"/>
              </w:rPr>
              <w:t>37 units are under binding contracts</w:t>
            </w:r>
          </w:p>
        </w:tc>
      </w:tr>
      <w:tr>
        <w:trPr>
          <w:trHeight w:val="222"/>
        </w:trPr>
        <w:tc>
          <w:tcPr>
            <w:tcW w:w="9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120" w:type="dxa"/>
            <w:vAlign w:val="bottom"/>
          </w:tcPr>
          <w:p>
            <w:pPr>
              <w:ind w:left="60"/>
              <w:spacing w:after="0"/>
              <w:rPr>
                <w:sz w:val="20"/>
                <w:szCs w:val="20"/>
                <w:color w:val="auto"/>
              </w:rPr>
            </w:pPr>
            <w:r>
              <w:rPr>
                <w:rFonts w:ascii="Arial" w:cs="Arial" w:eastAsia="Arial" w:hAnsi="Arial"/>
                <w:sz w:val="18"/>
                <w:szCs w:val="18"/>
                <w:color w:val="auto"/>
              </w:rPr>
              <w:t>13 units are reserved and being converted to contracts</w:t>
            </w:r>
          </w:p>
        </w:tc>
      </w:tr>
      <w:tr>
        <w:trPr>
          <w:trHeight w:val="324"/>
        </w:trPr>
        <w:tc>
          <w:tcPr>
            <w:tcW w:w="960" w:type="dxa"/>
            <w:vAlign w:val="bottom"/>
          </w:tcPr>
          <w:p>
            <w:pPr>
              <w:spacing w:after="0"/>
              <w:rPr>
                <w:sz w:val="24"/>
                <w:szCs w:val="24"/>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rPr>
              <w:t>Approvals:</w:t>
            </w:r>
          </w:p>
        </w:tc>
        <w:tc>
          <w:tcPr>
            <w:tcW w:w="8200" w:type="dxa"/>
            <w:vAlign w:val="bottom"/>
            <w:gridSpan w:val="2"/>
          </w:tcPr>
          <w:p>
            <w:pPr>
              <w:ind w:left="200"/>
              <w:spacing w:after="0"/>
              <w:rPr>
                <w:sz w:val="20"/>
                <w:szCs w:val="20"/>
                <w:color w:val="auto"/>
              </w:rPr>
            </w:pPr>
            <w:r>
              <w:rPr>
                <w:rFonts w:ascii="Arial" w:cs="Arial" w:eastAsia="Arial" w:hAnsi="Arial"/>
                <w:sz w:val="18"/>
                <w:szCs w:val="18"/>
                <w:i w:val="1"/>
                <w:iCs w:val="1"/>
                <w:color w:val="auto"/>
              </w:rPr>
              <w:t xml:space="preserve">Building Four (100 lofts): </w:t>
            </w:r>
            <w:r>
              <w:rPr>
                <w:rFonts w:ascii="Arial" w:cs="Arial" w:eastAsia="Arial" w:hAnsi="Arial"/>
                <w:sz w:val="18"/>
                <w:szCs w:val="18"/>
                <w:color w:val="auto"/>
              </w:rPr>
              <w:t>Closings commenced in August 2005</w:t>
            </w:r>
          </w:p>
        </w:tc>
      </w:tr>
      <w:tr>
        <w:trPr>
          <w:trHeight w:val="324"/>
        </w:trPr>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Building Six (21 villas):</w:t>
            </w:r>
          </w:p>
        </w:tc>
        <w:tc>
          <w:tcPr>
            <w:tcW w:w="6120" w:type="dxa"/>
            <w:vAlign w:val="bottom"/>
          </w:tcPr>
          <w:p>
            <w:pPr>
              <w:ind w:left="60"/>
              <w:spacing w:after="0"/>
              <w:rPr>
                <w:sz w:val="20"/>
                <w:szCs w:val="20"/>
                <w:color w:val="auto"/>
              </w:rPr>
            </w:pPr>
            <w:r>
              <w:rPr>
                <w:rFonts w:ascii="Arial" w:cs="Arial" w:eastAsia="Arial" w:hAnsi="Arial"/>
                <w:sz w:val="18"/>
                <w:szCs w:val="18"/>
                <w:color w:val="auto"/>
              </w:rPr>
              <w:t>Closings commenced in October 2005</w:t>
            </w:r>
          </w:p>
        </w:tc>
      </w:tr>
      <w:tr>
        <w:trPr>
          <w:trHeight w:val="318"/>
        </w:trPr>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200" w:type="dxa"/>
            <w:vAlign w:val="bottom"/>
            <w:gridSpan w:val="2"/>
          </w:tcPr>
          <w:p>
            <w:pPr>
              <w:ind w:left="240"/>
              <w:spacing w:after="0"/>
              <w:rPr>
                <w:sz w:val="20"/>
                <w:szCs w:val="20"/>
                <w:color w:val="auto"/>
              </w:rPr>
            </w:pPr>
            <w:r>
              <w:rPr>
                <w:rFonts w:ascii="Arial" w:cs="Arial" w:eastAsia="Arial" w:hAnsi="Arial"/>
                <w:sz w:val="18"/>
                <w:szCs w:val="18"/>
                <w:i w:val="1"/>
                <w:iCs w:val="1"/>
                <w:color w:val="auto"/>
              </w:rPr>
              <w:t xml:space="preserve">Building Three (98 lofts): </w:t>
            </w:r>
            <w:r>
              <w:rPr>
                <w:rFonts w:ascii="Arial" w:cs="Arial" w:eastAsia="Arial" w:hAnsi="Arial"/>
                <w:sz w:val="18"/>
                <w:szCs w:val="18"/>
                <w:color w:val="auto"/>
              </w:rPr>
              <w:t>Approval in place to sign contracts</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60"/>
              <w:spacing w:after="0"/>
              <w:rPr>
                <w:sz w:val="20"/>
                <w:szCs w:val="20"/>
                <w:color w:val="auto"/>
              </w:rPr>
            </w:pPr>
            <w:r>
              <w:rPr>
                <w:rFonts w:ascii="Arial" w:cs="Arial" w:eastAsia="Arial" w:hAnsi="Arial"/>
                <w:sz w:val="18"/>
                <w:szCs w:val="18"/>
                <w:color w:val="auto"/>
              </w:rPr>
              <w:t>Approval to close sales expected in November/December 2005</w:t>
            </w:r>
          </w:p>
        </w:tc>
      </w:tr>
      <w:tr>
        <w:trPr>
          <w:trHeight w:val="223"/>
        </w:trPr>
        <w:tc>
          <w:tcPr>
            <w:tcW w:w="9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Closings expected to commence in December 2005/January 2006</w:t>
            </w:r>
          </w:p>
        </w:tc>
      </w:tr>
      <w:tr>
        <w:trPr>
          <w:trHeight w:val="445"/>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Future (6)</w:t>
            </w:r>
          </w:p>
        </w:tc>
        <w:tc>
          <w:tcPr>
            <w:tcW w:w="208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22"/>
        </w:trPr>
        <w:tc>
          <w:tcPr>
            <w:tcW w:w="322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2080" w:type="dxa"/>
            <w:vAlign w:val="bottom"/>
          </w:tcPr>
          <w:p>
            <w:pPr>
              <w:jc w:val="right"/>
              <w:spacing w:after="0"/>
              <w:rPr>
                <w:sz w:val="20"/>
                <w:szCs w:val="20"/>
                <w:color w:val="auto"/>
              </w:rPr>
            </w:pPr>
            <w:r>
              <w:rPr>
                <w:rFonts w:ascii="Arial" w:cs="Arial" w:eastAsia="Arial" w:hAnsi="Arial"/>
                <w:sz w:val="18"/>
                <w:szCs w:val="18"/>
                <w:color w:val="auto"/>
              </w:rPr>
              <w:t>125,000 sf</w:t>
            </w:r>
          </w:p>
        </w:tc>
        <w:tc>
          <w:tcPr>
            <w:tcW w:w="6120" w:type="dxa"/>
            <w:vAlign w:val="bottom"/>
          </w:tcPr>
          <w:p>
            <w:pPr>
              <w:ind w:left="60"/>
              <w:spacing w:after="0"/>
              <w:rPr>
                <w:sz w:val="20"/>
                <w:szCs w:val="20"/>
                <w:color w:val="auto"/>
              </w:rPr>
            </w:pPr>
            <w:r>
              <w:rPr>
                <w:rFonts w:ascii="Arial" w:cs="Arial" w:eastAsia="Arial" w:hAnsi="Arial"/>
                <w:sz w:val="18"/>
                <w:szCs w:val="18"/>
                <w:color w:val="auto"/>
              </w:rPr>
              <w:t>Currently being master planned</w:t>
            </w:r>
          </w:p>
        </w:tc>
      </w:tr>
      <w:tr>
        <w:trPr>
          <w:trHeight w:val="324"/>
        </w:trPr>
        <w:tc>
          <w:tcPr>
            <w:tcW w:w="3220" w:type="dxa"/>
            <w:vAlign w:val="bottom"/>
            <w:gridSpan w:val="2"/>
          </w:tcPr>
          <w:p>
            <w:pPr>
              <w:ind w:left="440"/>
              <w:spacing w:after="0"/>
              <w:rPr>
                <w:sz w:val="20"/>
                <w:szCs w:val="20"/>
                <w:color w:val="auto"/>
              </w:rPr>
            </w:pPr>
            <w:r>
              <w:rPr>
                <w:rFonts w:ascii="Arial" w:cs="Arial" w:eastAsia="Arial" w:hAnsi="Arial"/>
                <w:sz w:val="18"/>
                <w:szCs w:val="18"/>
                <w:color w:val="auto"/>
              </w:rPr>
              <w:t>Residential</w:t>
            </w:r>
          </w:p>
        </w:tc>
        <w:tc>
          <w:tcPr>
            <w:tcW w:w="2080" w:type="dxa"/>
            <w:vAlign w:val="bottom"/>
          </w:tcPr>
          <w:p>
            <w:pPr>
              <w:jc w:val="right"/>
              <w:spacing w:after="0"/>
              <w:rPr>
                <w:sz w:val="20"/>
                <w:szCs w:val="20"/>
                <w:color w:val="auto"/>
              </w:rPr>
            </w:pPr>
            <w:r>
              <w:rPr>
                <w:rFonts w:ascii="Arial" w:cs="Arial" w:eastAsia="Arial" w:hAnsi="Arial"/>
                <w:sz w:val="18"/>
                <w:szCs w:val="18"/>
                <w:color w:val="auto"/>
              </w:rPr>
              <w:t>690 units</w:t>
            </w:r>
          </w:p>
        </w:tc>
        <w:tc>
          <w:tcPr>
            <w:tcW w:w="6120" w:type="dxa"/>
            <w:vAlign w:val="bottom"/>
          </w:tcPr>
          <w:p>
            <w:pPr>
              <w:ind w:left="60"/>
              <w:spacing w:after="0"/>
              <w:rPr>
                <w:sz w:val="20"/>
                <w:szCs w:val="20"/>
                <w:color w:val="auto"/>
              </w:rPr>
            </w:pPr>
            <w:r>
              <w:rPr>
                <w:rFonts w:ascii="Arial" w:cs="Arial" w:eastAsia="Arial" w:hAnsi="Arial"/>
                <w:sz w:val="18"/>
                <w:szCs w:val="18"/>
                <w:color w:val="auto"/>
              </w:rPr>
              <w:t>Currently being master planned</w:t>
            </w:r>
          </w:p>
        </w:tc>
      </w:tr>
      <w:tr>
        <w:trPr>
          <w:trHeight w:val="325"/>
        </w:trPr>
        <w:tc>
          <w:tcPr>
            <w:tcW w:w="32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Hotel</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 rooms</w:t>
            </w:r>
          </w:p>
        </w:tc>
        <w:tc>
          <w:tcPr>
            <w:tcW w:w="6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Currently being master planned</w:t>
            </w:r>
          </w:p>
        </w:tc>
      </w:tr>
      <w:tr>
        <w:trPr>
          <w:trHeight w:val="103"/>
        </w:trPr>
        <w:tc>
          <w:tcPr>
            <w:tcW w:w="96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12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All costs are projected final costs. Yield represents stabilized projected Property Operating Income divided by projected final costs.</w:t>
      </w:r>
    </w:p>
    <w:p>
      <w:pPr>
        <w:spacing w:after="0" w:line="15" w:lineRule="exact"/>
        <w:rPr>
          <w:rFonts w:ascii="Arial" w:cs="Arial" w:eastAsia="Arial" w:hAnsi="Arial"/>
          <w:sz w:val="18"/>
          <w:szCs w:val="18"/>
          <w:b w:val="1"/>
          <w:bCs w:val="1"/>
          <w:color w:val="auto"/>
        </w:rPr>
      </w:pPr>
    </w:p>
    <w:p>
      <w:pPr>
        <w:ind w:left="460" w:right="160" w:hanging="452"/>
        <w:spacing w:after="0" w:line="250"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portions of the property currently open and operating which include luxury and lifestyle retail components, loft, townhome and villa residential units, and the 213-room Hotel Valencia Santana Row.</w:t>
      </w: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Developments and other significant activities being actively pursued at Santana Row.</w:t>
      </w:r>
    </w:p>
    <w:p>
      <w:pPr>
        <w:spacing w:after="0" w:line="9" w:lineRule="exact"/>
        <w:rPr>
          <w:rFonts w:ascii="Arial" w:cs="Arial" w:eastAsia="Arial" w:hAnsi="Arial"/>
          <w:sz w:val="18"/>
          <w:szCs w:val="18"/>
          <w:b w:val="1"/>
          <w:bCs w:val="1"/>
          <w:color w:val="auto"/>
        </w:rPr>
      </w:pPr>
    </w:p>
    <w:p>
      <w:pPr>
        <w:ind w:left="460" w:right="560" w:hanging="452"/>
        <w:spacing w:after="0" w:line="250"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Projected gross sales proceeds represent management’s current estimate of total sales prices for the 219 units expected to be sold without taking into account any costs of sale, including, without limitation, any income taxes that may be paid.</w:t>
      </w:r>
    </w:p>
    <w:p>
      <w:pPr>
        <w:jc w:val="both"/>
        <w:ind w:left="460" w:right="20" w:hanging="452"/>
        <w:spacing w:after="0" w:line="250"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$436 million of projected costs at Santana Row is expected to yield 7% upon both of the following having occurred: (i) stabilization of Phases I - IV (net of insurance proceeds) and (ii) closings on sales of 219 condominiums. The projected cost includes $11 million invested in restaurant joint ventures at Santana Row.</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Remaining entitlements for development or sale.</w:t>
      </w:r>
    </w:p>
    <w:p>
      <w:pPr>
        <w:sectPr>
          <w:pgSz w:w="11900" w:h="16838" w:orient="portrait"/>
          <w:cols w:equalWidth="0" w:num="1">
            <w:col w:w="11420"/>
          </w:cols>
          <w:pgMar w:left="240" w:top="27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September 30,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Realty Investment Trust Acquisitions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5"/>
              </w:rPr>
              <w:t>Anchor tenants</w:t>
            </w:r>
          </w:p>
        </w:tc>
      </w:tr>
      <w:tr>
        <w:trPr>
          <w:trHeight w:val="95"/>
        </w:trPr>
        <w:tc>
          <w:tcPr>
            <w:tcW w:w="2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r>
      <w:tr>
        <w:trPr>
          <w:trHeight w:val="250"/>
        </w:trPr>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Pr>
          <w:p>
            <w:pPr>
              <w:spacing w:after="0"/>
              <w:rPr>
                <w:sz w:val="21"/>
                <w:szCs w:val="2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2005</w:t>
            </w: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Assembly Square/Sturtevant Street</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4"/>
              </w:rPr>
              <w:t>Somerville, MA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551,233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63,900</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K-Mart / Good Times Emporium (1)</w:t>
            </w:r>
          </w:p>
        </w:tc>
      </w:tr>
      <w:tr>
        <w:trPr>
          <w:trHeight w:val="324"/>
        </w:trPr>
        <w:tc>
          <w:tcPr>
            <w:tcW w:w="3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Federal Realty Investment Trust Dispositions</w:t>
            </w:r>
          </w:p>
        </w:tc>
        <w:tc>
          <w:tcPr>
            <w:tcW w:w="2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44"/>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Sales price</w:t>
            </w:r>
          </w:p>
        </w:tc>
        <w:tc>
          <w:tcPr>
            <w:tcW w:w="2640" w:type="dxa"/>
            <w:vAlign w:val="bottom"/>
          </w:tcPr>
          <w:p>
            <w:pPr>
              <w:spacing w:after="0"/>
              <w:rPr>
                <w:sz w:val="24"/>
                <w:szCs w:val="24"/>
                <w:color w:val="auto"/>
              </w:rPr>
            </w:pPr>
          </w:p>
        </w:tc>
      </w:tr>
      <w:tr>
        <w:trPr>
          <w:trHeight w:val="95"/>
        </w:trPr>
        <w:tc>
          <w:tcPr>
            <w:tcW w:w="2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640" w:type="dxa"/>
            <w:vAlign w:val="bottom"/>
          </w:tcPr>
          <w:p>
            <w:pPr>
              <w:spacing w:after="0"/>
              <w:rPr>
                <w:sz w:val="8"/>
                <w:szCs w:val="8"/>
                <w:color w:val="auto"/>
              </w:rPr>
            </w:pPr>
          </w:p>
        </w:tc>
      </w:tr>
      <w:tr>
        <w:trPr>
          <w:trHeight w:val="250"/>
        </w:trPr>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Pr>
          <w:p>
            <w:pPr>
              <w:spacing w:after="0"/>
              <w:rPr>
                <w:sz w:val="21"/>
                <w:szCs w:val="2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15, 2005</w:t>
            </w: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420 South Mill Avenue</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Tempe, AZ</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7,385</w:t>
            </w:r>
          </w:p>
        </w:tc>
        <w:tc>
          <w:tcPr>
            <w:tcW w:w="2640" w:type="dxa"/>
            <w:vAlign w:val="bottom"/>
            <w:shd w:val="clear" w:color="auto" w:fill="CCEEFF"/>
          </w:tcPr>
          <w:p>
            <w:pPr>
              <w:spacing w:after="0"/>
              <w:rPr>
                <w:sz w:val="18"/>
                <w:szCs w:val="18"/>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February 15, 2005</w:t>
            </w:r>
          </w:p>
        </w:tc>
        <w:tc>
          <w:tcPr>
            <w:tcW w:w="2680" w:type="dxa"/>
            <w:vAlign w:val="bottom"/>
            <w:gridSpan w:val="3"/>
          </w:tcPr>
          <w:p>
            <w:pPr>
              <w:spacing w:after="0"/>
              <w:rPr>
                <w:sz w:val="20"/>
                <w:szCs w:val="20"/>
                <w:color w:val="auto"/>
              </w:rPr>
            </w:pPr>
            <w:r>
              <w:rPr>
                <w:rFonts w:ascii="Arial" w:cs="Arial" w:eastAsia="Arial" w:hAnsi="Arial"/>
                <w:sz w:val="18"/>
                <w:szCs w:val="18"/>
                <w:color w:val="auto"/>
              </w:rPr>
              <w:t>501 South Mill Avenue</w:t>
            </w:r>
          </w:p>
        </w:tc>
        <w:tc>
          <w:tcPr>
            <w:tcW w:w="1160" w:type="dxa"/>
            <w:vAlign w:val="bottom"/>
          </w:tcPr>
          <w:p>
            <w:pPr>
              <w:spacing w:after="0"/>
              <w:rPr>
                <w:sz w:val="20"/>
                <w:szCs w:val="20"/>
                <w:color w:val="auto"/>
              </w:rPr>
            </w:pPr>
            <w:r>
              <w:rPr>
                <w:rFonts w:ascii="Arial" w:cs="Arial" w:eastAsia="Arial" w:hAnsi="Arial"/>
                <w:sz w:val="18"/>
                <w:szCs w:val="18"/>
                <w:color w:val="auto"/>
              </w:rPr>
              <w:t>Tempe, AZ</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24,013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6,265</w:t>
            </w:r>
          </w:p>
        </w:tc>
        <w:tc>
          <w:tcPr>
            <w:tcW w:w="2640" w:type="dxa"/>
            <w:vAlign w:val="bottom"/>
          </w:tcPr>
          <w:p>
            <w:pPr>
              <w:spacing w:after="0"/>
              <w:rPr>
                <w:sz w:val="18"/>
                <w:szCs w:val="18"/>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 2005</w:t>
            </w: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Andary Building</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1"/>
              </w:rPr>
              <w:t>Winter Park, FL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w:t>
            </w:r>
          </w:p>
        </w:tc>
        <w:tc>
          <w:tcPr>
            <w:tcW w:w="2640" w:type="dxa"/>
            <w:vAlign w:val="bottom"/>
            <w:shd w:val="clear" w:color="auto" w:fill="CCEEFF"/>
          </w:tcPr>
          <w:p>
            <w:pPr>
              <w:spacing w:after="0"/>
              <w:rPr>
                <w:sz w:val="18"/>
                <w:szCs w:val="18"/>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June 2, 2005</w:t>
            </w:r>
          </w:p>
        </w:tc>
        <w:tc>
          <w:tcPr>
            <w:tcW w:w="2680" w:type="dxa"/>
            <w:vAlign w:val="bottom"/>
            <w:gridSpan w:val="3"/>
          </w:tcPr>
          <w:p>
            <w:pPr>
              <w:spacing w:after="0"/>
              <w:rPr>
                <w:sz w:val="20"/>
                <w:szCs w:val="20"/>
                <w:color w:val="auto"/>
              </w:rPr>
            </w:pPr>
            <w:r>
              <w:rPr>
                <w:rFonts w:ascii="Arial" w:cs="Arial" w:eastAsia="Arial" w:hAnsi="Arial"/>
                <w:sz w:val="18"/>
                <w:szCs w:val="18"/>
                <w:color w:val="auto"/>
              </w:rPr>
              <w:t>Cone Building</w:t>
            </w:r>
          </w:p>
        </w:tc>
        <w:tc>
          <w:tcPr>
            <w:tcW w:w="1160" w:type="dxa"/>
            <w:vAlign w:val="bottom"/>
          </w:tcPr>
          <w:p>
            <w:pPr>
              <w:spacing w:after="0"/>
              <w:rPr>
                <w:sz w:val="20"/>
                <w:szCs w:val="20"/>
                <w:color w:val="auto"/>
              </w:rPr>
            </w:pPr>
            <w:r>
              <w:rPr>
                <w:rFonts w:ascii="Arial" w:cs="Arial" w:eastAsia="Arial" w:hAnsi="Arial"/>
                <w:sz w:val="18"/>
                <w:szCs w:val="18"/>
                <w:color w:val="auto"/>
                <w:w w:val="91"/>
              </w:rPr>
              <w:t>Winter Park, FL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24,846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9,500</w:t>
            </w:r>
          </w:p>
        </w:tc>
        <w:tc>
          <w:tcPr>
            <w:tcW w:w="2640" w:type="dxa"/>
            <w:vAlign w:val="bottom"/>
          </w:tcPr>
          <w:p>
            <w:pPr>
              <w:spacing w:after="0"/>
              <w:rPr>
                <w:sz w:val="18"/>
                <w:szCs w:val="18"/>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12, 2005</w:t>
            </w: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Shaw’s Plaza</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Carver, MA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3,960</w:t>
            </w:r>
          </w:p>
        </w:tc>
        <w:tc>
          <w:tcPr>
            <w:tcW w:w="2640" w:type="dxa"/>
            <w:vAlign w:val="bottom"/>
            <w:shd w:val="clear" w:color="auto" w:fill="CCEEFF"/>
          </w:tcPr>
          <w:p>
            <w:pPr>
              <w:spacing w:after="0"/>
              <w:rPr>
                <w:sz w:val="18"/>
                <w:szCs w:val="18"/>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August - September 2005</w:t>
            </w:r>
          </w:p>
        </w:tc>
        <w:tc>
          <w:tcPr>
            <w:tcW w:w="2680" w:type="dxa"/>
            <w:vAlign w:val="bottom"/>
            <w:gridSpan w:val="3"/>
          </w:tcPr>
          <w:p>
            <w:pPr>
              <w:spacing w:after="0"/>
              <w:rPr>
                <w:sz w:val="20"/>
                <w:szCs w:val="20"/>
                <w:color w:val="auto"/>
              </w:rPr>
            </w:pPr>
            <w:r>
              <w:rPr>
                <w:rFonts w:ascii="Arial" w:cs="Arial" w:eastAsia="Arial" w:hAnsi="Arial"/>
                <w:sz w:val="18"/>
                <w:szCs w:val="18"/>
                <w:color w:val="auto"/>
                <w:w w:val="99"/>
              </w:rPr>
              <w:t>Santana Row - Building 4 condos</w:t>
            </w:r>
          </w:p>
        </w:tc>
        <w:tc>
          <w:tcPr>
            <w:tcW w:w="1160" w:type="dxa"/>
            <w:vAlign w:val="bottom"/>
          </w:tcPr>
          <w:p>
            <w:pPr>
              <w:spacing w:after="0"/>
              <w:rPr>
                <w:sz w:val="20"/>
                <w:szCs w:val="20"/>
                <w:color w:val="auto"/>
              </w:rPr>
            </w:pPr>
            <w:r>
              <w:rPr>
                <w:rFonts w:ascii="Arial" w:cs="Arial" w:eastAsia="Arial" w:hAnsi="Arial"/>
                <w:sz w:val="18"/>
                <w:szCs w:val="18"/>
                <w:color w:val="auto"/>
              </w:rPr>
              <w:t>San Jose, CA</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62 units</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33,876</w:t>
            </w:r>
          </w:p>
        </w:tc>
        <w:tc>
          <w:tcPr>
            <w:tcW w:w="2640" w:type="dxa"/>
            <w:vAlign w:val="bottom"/>
          </w:tcPr>
          <w:p>
            <w:pPr>
              <w:spacing w:after="0"/>
              <w:rPr>
                <w:sz w:val="18"/>
                <w:szCs w:val="18"/>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Various</w:t>
            </w: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w:t>
            </w:r>
          </w:p>
        </w:tc>
        <w:tc>
          <w:tcPr>
            <w:tcW w:w="2640" w:type="dxa"/>
            <w:vAlign w:val="bottom"/>
            <w:shd w:val="clear" w:color="auto" w:fill="CCEEFF"/>
          </w:tcPr>
          <w:p>
            <w:pPr>
              <w:spacing w:after="0"/>
              <w:rPr>
                <w:sz w:val="18"/>
                <w:szCs w:val="18"/>
                <w:color w:val="auto"/>
              </w:rPr>
            </w:pPr>
          </w:p>
        </w:tc>
      </w:tr>
      <w:tr>
        <w:trPr>
          <w:trHeight w:val="108"/>
        </w:trPr>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40" w:type="dxa"/>
            <w:vAlign w:val="bottom"/>
          </w:tcPr>
          <w:p>
            <w:pPr>
              <w:spacing w:after="0"/>
              <w:rPr>
                <w:sz w:val="9"/>
                <w:szCs w:val="9"/>
                <w:color w:val="auto"/>
              </w:rPr>
            </w:pPr>
          </w:p>
        </w:tc>
      </w:tr>
      <w:tr>
        <w:trPr>
          <w:trHeight w:val="102"/>
        </w:trPr>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40" w:type="dxa"/>
            <w:vAlign w:val="bottom"/>
          </w:tcPr>
          <w:p>
            <w:pPr>
              <w:spacing w:after="0"/>
              <w:rPr>
                <w:sz w:val="8"/>
                <w:szCs w:val="8"/>
                <w:color w:val="auto"/>
              </w:rPr>
            </w:pPr>
          </w:p>
        </w:tc>
      </w:tr>
      <w:tr>
        <w:trPr>
          <w:trHeight w:val="216"/>
        </w:trPr>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143,732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63,947</w:t>
            </w:r>
          </w:p>
        </w:tc>
        <w:tc>
          <w:tcPr>
            <w:tcW w:w="2640" w:type="dxa"/>
            <w:vAlign w:val="bottom"/>
            <w:shd w:val="clear" w:color="auto" w:fill="CCEEFF"/>
          </w:tcPr>
          <w:p>
            <w:pPr>
              <w:spacing w:after="0"/>
              <w:rPr>
                <w:sz w:val="18"/>
                <w:szCs w:val="18"/>
                <w:color w:val="auto"/>
              </w:rPr>
            </w:pPr>
          </w:p>
        </w:tc>
      </w:tr>
      <w:tr>
        <w:trPr>
          <w:trHeight w:val="132"/>
        </w:trPr>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213"/>
        </w:trPr>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-172720</wp:posOffset>
            </wp:positionV>
            <wp:extent cx="10674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67435" cy="2984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right="1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Property currently under redevelopment. Tenants with signed leases who were not in occupancy as of September 30, 2005 include TJ Maxx, Bed, Bath &amp; Beyond, Staples, Sports Authority and AC Moore.</w:t>
      </w:r>
    </w:p>
    <w:p>
      <w:pPr>
        <w:sectPr>
          <w:pgSz w:w="11900" w:h="16838" w:orient="portrait"/>
          <w:cols w:equalWidth="0" w:num="1">
            <w:col w:w="11420"/>
          </w:cols>
          <w:pgMar w:left="240" w:top="274" w:right="239" w:bottom="1440" w:gutter="0" w:footer="0" w:header="0"/>
        </w:sectPr>
      </w:pPr>
    </w:p>
    <w:bookmarkStart w:id="23" w:name="page24"/>
    <w:bookmarkEnd w:id="2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Mortgage or</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Grocery</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Ownership</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Capital Lease</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Anchor</w:t>
            </w: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Other Principal</w:t>
            </w:r>
          </w:p>
        </w:tc>
      </w:tr>
      <w:tr>
        <w:trPr>
          <w:trHeight w:val="174"/>
        </w:trPr>
        <w:tc>
          <w:tcPr>
            <w:tcW w:w="196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w w:val="98"/>
              </w:rPr>
              <w:t>MSA Description</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Investment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Percentage</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GLA (1)</w:t>
            </w: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 Leased</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Obligation</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GLA (2)</w:t>
            </w:r>
          </w:p>
        </w:tc>
        <w:tc>
          <w:tcPr>
            <w:tcW w:w="6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w w:val="90"/>
              </w:rPr>
              <w:t>Grocery Anchor (2)</w:t>
            </w:r>
          </w:p>
        </w:tc>
        <w:tc>
          <w:tcPr>
            <w:tcW w:w="60" w:type="dxa"/>
            <w:vAlign w:val="bottom"/>
          </w:tcPr>
          <w:p>
            <w:pPr>
              <w:spacing w:after="0"/>
              <w:rPr>
                <w:sz w:val="15"/>
                <w:szCs w:val="15"/>
                <w:color w:val="auto"/>
              </w:rPr>
            </w:pPr>
          </w:p>
        </w:tc>
        <w:tc>
          <w:tcPr>
            <w:tcW w:w="1420" w:type="dxa"/>
            <w:vAlign w:val="bottom"/>
          </w:tcPr>
          <w:p>
            <w:pPr>
              <w:ind w:left="480"/>
              <w:spacing w:after="0"/>
              <w:rPr>
                <w:sz w:val="20"/>
                <w:szCs w:val="20"/>
                <w:color w:val="auto"/>
              </w:rPr>
            </w:pPr>
            <w:r>
              <w:rPr>
                <w:rFonts w:ascii="Arial" w:cs="Arial" w:eastAsia="Arial" w:hAnsi="Arial"/>
                <w:sz w:val="14"/>
                <w:szCs w:val="14"/>
                <w:b w:val="1"/>
                <w:bCs w:val="1"/>
                <w:color w:val="auto"/>
              </w:rPr>
              <w:t>Tenants</w:t>
            </w:r>
          </w:p>
        </w:tc>
      </w:tr>
      <w:tr>
        <w:trPr>
          <w:trHeight w:val="95"/>
        </w:trPr>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35"/>
        </w:trPr>
        <w:tc>
          <w:tcPr>
            <w:tcW w:w="20" w:type="dxa"/>
            <w:vAlign w:val="bottom"/>
          </w:tcPr>
          <w:p>
            <w:pPr>
              <w:spacing w:after="0"/>
              <w:rPr>
                <w:sz w:val="11"/>
                <w:szCs w:val="11"/>
                <w:color w:val="auto"/>
              </w:rPr>
            </w:pPr>
          </w:p>
        </w:tc>
        <w:tc>
          <w:tcPr>
            <w:tcW w:w="194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East Region</w:t>
            </w: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r>
      <w:tr>
        <w:trPr>
          <w:trHeight w:val="237"/>
        </w:trPr>
        <w:tc>
          <w:tcPr>
            <w:tcW w:w="1960" w:type="dxa"/>
            <w:vAlign w:val="bottom"/>
            <w:gridSpan w:val="6"/>
          </w:tcPr>
          <w:p>
            <w:pPr>
              <w:spacing w:after="0"/>
              <w:rPr>
                <w:sz w:val="20"/>
                <w:szCs w:val="20"/>
                <w:color w:val="auto"/>
              </w:rPr>
            </w:pPr>
            <w:r>
              <w:rPr>
                <w:rFonts w:ascii="Arial" w:cs="Arial" w:eastAsia="Arial" w:hAnsi="Arial"/>
                <w:sz w:val="14"/>
                <w:szCs w:val="14"/>
                <w:b w:val="1"/>
                <w:bCs w:val="1"/>
                <w:color w:val="auto"/>
                <w:w w:val="95"/>
              </w:rPr>
              <w:t>Washington Metropolitan Area</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31"/>
        </w:trPr>
        <w:tc>
          <w:tcPr>
            <w:tcW w:w="20" w:type="dxa"/>
            <w:vAlign w:val="bottom"/>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Barnes &amp; Noble /</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Bethesda Row</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1993-98</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81,140</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440,000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12,576</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Giant Food</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Landmark Theater</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Buy Buy Baby /</w:t>
            </w: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w w:val="94"/>
              </w:rPr>
              <w:t>Container Store / Tower</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Congressional Plaza</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1965</w:t>
            </w:r>
          </w:p>
        </w:tc>
        <w:tc>
          <w:tcPr>
            <w:tcW w:w="11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68,050(4)</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64.1%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338,000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28,000</w:t>
            </w:r>
          </w:p>
        </w:tc>
        <w:tc>
          <w:tcPr>
            <w:tcW w:w="13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Whole Foods</w:t>
            </w: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Records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Courthouse Center</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1997</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4,597</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Falls Plaza</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1967</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8,154</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73,000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51,000</w:t>
            </w:r>
          </w:p>
        </w:tc>
        <w:tc>
          <w:tcPr>
            <w:tcW w:w="13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Giant Food</w:t>
            </w: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Falls Plaza-East</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1972</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3,404</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71,000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CVS / Staples</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TJ Maxx / CompUSA /</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Federal Plaza</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1989</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62,192</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247,000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99%</w:t>
            </w: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34,786</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Ross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Borders / Linens ‘n</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Friendship Center</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2001</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33,309</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Things / Maggiano’s</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Bed, Bath &amp; Beyond /</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Gaithersburg Square</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1993</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23,792</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204,000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91%</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Borders / Ross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Idylwood Plaza</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1994</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15,061</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73,000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Whole Foods</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Laurel</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1986</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45,991</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387,000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99%</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61,000</w:t>
            </w:r>
          </w:p>
        </w:tc>
        <w:tc>
          <w:tcPr>
            <w:tcW w:w="13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Giant Food</w:t>
            </w: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Marshalls / Toys R Us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Leesburg Plaza</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1998</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27,671</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235,000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91%</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9,900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Giant Food</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6"/>
              </w:rPr>
              <w:t>Pier One / Office Depot</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w w:val="90"/>
              </w:rPr>
              <w:t>Bally’s / Linens ‘n Things</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Loehmann’s Plaza</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1983</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23,781</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251,000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95%</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 Loehmann’s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Linens ‘n Things / Toys R</w:t>
            </w: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Us / Bally’s / AC Moore /</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Mid-Pike Plaza</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1982</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18,483</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309,000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10,041</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Filene’s Basement</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Shoppers Food</w:t>
            </w: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Mount Vernon</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2003</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37,385</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236,000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12,626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54,000</w:t>
            </w:r>
          </w:p>
        </w:tc>
        <w:tc>
          <w:tcPr>
            <w:tcW w:w="60" w:type="dxa"/>
            <w:vAlign w:val="bottom"/>
          </w:tcPr>
          <w:p>
            <w:pPr>
              <w:spacing w:after="0"/>
              <w:rPr>
                <w:sz w:val="13"/>
                <w:szCs w:val="13"/>
                <w:color w:val="auto"/>
              </w:rPr>
            </w:pPr>
          </w:p>
        </w:tc>
        <w:tc>
          <w:tcPr>
            <w:tcW w:w="1240" w:type="dxa"/>
            <w:vAlign w:val="bottom"/>
          </w:tcPr>
          <w:p>
            <w:pPr>
              <w:ind w:left="220"/>
              <w:spacing w:after="0" w:line="159" w:lineRule="exact"/>
              <w:rPr>
                <w:sz w:val="20"/>
                <w:szCs w:val="20"/>
                <w:color w:val="auto"/>
              </w:rPr>
            </w:pPr>
            <w:r>
              <w:rPr>
                <w:rFonts w:ascii="Arial" w:cs="Arial" w:eastAsia="Arial" w:hAnsi="Arial"/>
                <w:sz w:val="14"/>
                <w:szCs w:val="14"/>
                <w:color w:val="auto"/>
              </w:rPr>
              <w:t>Warehouse</w:t>
            </w: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Old Keene Mill</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1976</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5,183</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Whole Foods</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Pan Am</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1993</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27,029</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227,000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63,000</w:t>
            </w:r>
          </w:p>
        </w:tc>
        <w:tc>
          <w:tcPr>
            <w:tcW w:w="13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Safeway</w:t>
            </w: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w w:val="95"/>
              </w:rPr>
              <w:t>Micro Center / Michaels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Bally’s / Bed, Bath &amp;</w:t>
            </w: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Beyond / DSW / Cost</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Pentagon Row</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1999</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87,382</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296,000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Harris Teeter</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Plus</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Staples / TJ Maxx /</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Pike 7</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1997</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33,633</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164,000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Tower Records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Quince Orchard</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1993</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19,991</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252,000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96%</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Magruders</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Circuit City / Staples</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Rockville Town Square</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4,332</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N/A</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Rollingwood Apartments</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1971</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6,795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Sam’s Park &amp; Shop</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1995</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12,170</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51,000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Petco</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South Valley</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19,140</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218,000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95%</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7"/>
              </w:rPr>
              <w:t>Home Depot / TJ Maxx</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Virginia Fine Wine /</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Tower</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1998</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18,932</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109,000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96%</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Talbots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Tyson’s Station</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1978</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3,427</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6,538</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Trader Joes</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w w:val="89"/>
              </w:rPr>
              <w:t>Cineplex Odeon / Carlyle</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Village at Shirlington</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1995</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31,909</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99%</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Grand Café</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Washington, DC-MD-</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Wildwood</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1969</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17,494</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86,000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26,996</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Balducci’s</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CVS</w:t>
            </w: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36"/>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Washington</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Metropolitan</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Area</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740,427</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4,767,000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98%</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43"/>
        </w:trPr>
        <w:tc>
          <w:tcPr>
            <w:tcW w:w="1960" w:type="dxa"/>
            <w:vAlign w:val="bottom"/>
            <w:gridSpan w:val="6"/>
          </w:tcPr>
          <w:p>
            <w:pPr>
              <w:spacing w:after="0"/>
              <w:rPr>
                <w:sz w:val="20"/>
                <w:szCs w:val="20"/>
                <w:color w:val="auto"/>
              </w:rPr>
            </w:pPr>
            <w:r>
              <w:rPr>
                <w:rFonts w:ascii="Arial" w:cs="Arial" w:eastAsia="Arial" w:hAnsi="Arial"/>
                <w:sz w:val="14"/>
                <w:szCs w:val="14"/>
                <w:b w:val="1"/>
                <w:bCs w:val="1"/>
                <w:color w:val="auto"/>
              </w:rPr>
              <w:t>New York / New Jersey</w:t>
            </w: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Allwood</w:t>
            </w:r>
          </w:p>
        </w:tc>
        <w:tc>
          <w:tcPr>
            <w:tcW w:w="620" w:type="dxa"/>
            <w:vAlign w:val="bottom"/>
            <w:gridSpan w:val="2"/>
            <w:shd w:val="clear" w:color="auto" w:fill="CCEEFF"/>
          </w:tcPr>
          <w:p>
            <w:pPr>
              <w:spacing w:after="0"/>
              <w:rPr>
                <w:sz w:val="12"/>
                <w:szCs w:val="12"/>
                <w:color w:val="auto"/>
              </w:rPr>
            </w:pPr>
          </w:p>
        </w:tc>
        <w:tc>
          <w:tcPr>
            <w:tcW w:w="1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Bergen-Passaic, NJ</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1988</w:t>
            </w:r>
          </w:p>
        </w:tc>
        <w:tc>
          <w:tcPr>
            <w:tcW w:w="1120" w:type="dxa"/>
            <w:vAlign w:val="bottom"/>
            <w:gridSpan w:val="3"/>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4,298</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52,000</w:t>
            </w:r>
          </w:p>
        </w:tc>
        <w:tc>
          <w:tcPr>
            <w:tcW w:w="84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100%</w:t>
            </w:r>
          </w:p>
        </w:tc>
        <w:tc>
          <w:tcPr>
            <w:tcW w:w="9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3,478</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25,000</w:t>
            </w:r>
          </w:p>
        </w:tc>
        <w:tc>
          <w:tcPr>
            <w:tcW w:w="130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Stop &amp; Shop</w:t>
            </w: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Mandee Shop</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Middlesex-Somerset-</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w w:val="95"/>
              </w:rPr>
              <w:t>Kohl’s / Michaels / Toys</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Blue Star</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Hunterdon, NJ</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1988</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39,767</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410,000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99%</w:t>
            </w: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26,545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43,000</w:t>
            </w:r>
          </w:p>
        </w:tc>
        <w:tc>
          <w:tcPr>
            <w:tcW w:w="13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Shop Rite</w:t>
            </w: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R Us / Marshalls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Loews Theatre / Barnes</w:t>
            </w: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&amp; Noble / Sports</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Brick Plaza</w:t>
            </w: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0"/>
              </w:rPr>
              <w:t>Monmouth-Ocean, NJ</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1989</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55,405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409,000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98%</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32,210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A&amp;P</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Authority</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w w:val="93"/>
              </w:rPr>
              <w:t>Middlesex-Somerset-</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Brunswick</w:t>
            </w:r>
          </w:p>
        </w:tc>
        <w:tc>
          <w:tcPr>
            <w:tcW w:w="1260" w:type="dxa"/>
            <w:vAlign w:val="bottom"/>
          </w:tcPr>
          <w:p>
            <w:pPr>
              <w:ind w:left="200"/>
              <w:spacing w:after="0" w:line="159" w:lineRule="exact"/>
              <w:rPr>
                <w:sz w:val="20"/>
                <w:szCs w:val="20"/>
                <w:color w:val="auto"/>
              </w:rPr>
            </w:pPr>
            <w:r>
              <w:rPr>
                <w:rFonts w:ascii="Arial" w:cs="Arial" w:eastAsia="Arial" w:hAnsi="Arial"/>
                <w:sz w:val="14"/>
                <w:szCs w:val="14"/>
                <w:color w:val="auto"/>
              </w:rPr>
              <w:t>Hunterdon, NJ</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1988</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23,710</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303,000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96%</w:t>
            </w: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11,050</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55,000</w:t>
            </w:r>
          </w:p>
        </w:tc>
        <w:tc>
          <w:tcPr>
            <w:tcW w:w="13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A&amp;P</w:t>
            </w: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w w:val="90"/>
              </w:rPr>
              <w:t>A.J. Wright / L.A. Fitness</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Drug Fair / Dollar</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Clifton</w:t>
            </w: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Bergen-Passaic, NJ</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1988</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5,120</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96%</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3,234</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Express</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w w:val="91"/>
              </w:rPr>
              <w:t>Midway Theatre / Duane</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Forest Hills</w:t>
            </w:r>
          </w:p>
        </w:tc>
        <w:tc>
          <w:tcPr>
            <w:tcW w:w="1260" w:type="dxa"/>
            <w:vAlign w:val="bottom"/>
          </w:tcPr>
          <w:p>
            <w:pPr>
              <w:spacing w:after="0" w:line="159" w:lineRule="exact"/>
              <w:rPr>
                <w:sz w:val="20"/>
                <w:szCs w:val="20"/>
                <w:color w:val="auto"/>
              </w:rPr>
            </w:pPr>
            <w:r>
              <w:rPr>
                <w:rFonts w:ascii="Arial" w:cs="Arial" w:eastAsia="Arial" w:hAnsi="Arial"/>
                <w:sz w:val="14"/>
                <w:szCs w:val="14"/>
                <w:color w:val="auto"/>
              </w:rPr>
              <w:t>New York, NY</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1997</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24,019</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86,000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Reade / Gap</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Filene’s Basement /</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Fresh Meadows</w:t>
            </w: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New York, NY</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1997</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65,802</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403,000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96%</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3"/>
              </w:rPr>
              <w:t>Kohl’s / Cineplex Odeon</w:t>
            </w:r>
          </w:p>
        </w:tc>
      </w:tr>
      <w:tr>
        <w:trPr>
          <w:trHeight w:val="149"/>
        </w:trPr>
        <w:tc>
          <w:tcPr>
            <w:tcW w:w="20" w:type="dxa"/>
            <w:vAlign w:val="bottom"/>
          </w:tcPr>
          <w:p>
            <w:pPr>
              <w:spacing w:after="0"/>
              <w:rPr>
                <w:sz w:val="12"/>
                <w:szCs w:val="12"/>
                <w:color w:val="auto"/>
              </w:rPr>
            </w:pPr>
          </w:p>
        </w:tc>
        <w:tc>
          <w:tcPr>
            <w:tcW w:w="1940" w:type="dxa"/>
            <w:vAlign w:val="bottom"/>
            <w:gridSpan w:val="5"/>
          </w:tcPr>
          <w:p>
            <w:pPr>
              <w:spacing w:after="0" w:line="149" w:lineRule="exact"/>
              <w:rPr>
                <w:sz w:val="20"/>
                <w:szCs w:val="20"/>
                <w:color w:val="auto"/>
              </w:rPr>
            </w:pPr>
            <w:r>
              <w:rPr>
                <w:rFonts w:ascii="Arial" w:cs="Arial" w:eastAsia="Arial" w:hAnsi="Arial"/>
                <w:sz w:val="14"/>
                <w:szCs w:val="14"/>
                <w:color w:val="auto"/>
              </w:rPr>
              <w:t>Greenlawn Plaza</w:t>
            </w: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Nassau-Suffolk, NY</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11,966</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46,000</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Waldbaum’s</w:t>
            </w: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 Moore / Stevens</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Hamilton</w:t>
            </w: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Trenton, NJ</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1988</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8,161</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190,000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94%</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4,795</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Shop Rite</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Furniture</w:t>
            </w:r>
          </w:p>
        </w:tc>
      </w:tr>
      <w:tr>
        <w:trPr>
          <w:trHeight w:val="149"/>
        </w:trPr>
        <w:tc>
          <w:tcPr>
            <w:tcW w:w="20" w:type="dxa"/>
            <w:vAlign w:val="bottom"/>
          </w:tcPr>
          <w:p>
            <w:pPr>
              <w:spacing w:after="0"/>
              <w:rPr>
                <w:sz w:val="12"/>
                <w:szCs w:val="12"/>
                <w:color w:val="auto"/>
              </w:rPr>
            </w:pPr>
          </w:p>
        </w:tc>
        <w:tc>
          <w:tcPr>
            <w:tcW w:w="1940" w:type="dxa"/>
            <w:vAlign w:val="bottom"/>
            <w:gridSpan w:val="5"/>
          </w:tcPr>
          <w:p>
            <w:pPr>
              <w:spacing w:after="0" w:line="149" w:lineRule="exact"/>
              <w:rPr>
                <w:sz w:val="20"/>
                <w:szCs w:val="20"/>
                <w:color w:val="auto"/>
              </w:rPr>
            </w:pPr>
            <w:r>
              <w:rPr>
                <w:rFonts w:ascii="Arial" w:cs="Arial" w:eastAsia="Arial" w:hAnsi="Arial"/>
                <w:sz w:val="14"/>
                <w:szCs w:val="14"/>
                <w:color w:val="auto"/>
              </w:rPr>
              <w:t>Hauppauge</w:t>
            </w: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Nassau-Suffolk, NY</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26,564</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131,000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16,335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61,000</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Shop Rite</w:t>
            </w:r>
          </w:p>
        </w:tc>
        <w:tc>
          <w:tcPr>
            <w:tcW w:w="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AC Moore</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Buy Buy Baby / Toys R</w:t>
            </w:r>
          </w:p>
        </w:tc>
      </w:tr>
      <w:tr>
        <w:trPr>
          <w:trHeight w:val="149"/>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Us / Bed, Bath &amp; Beyond</w:t>
            </w: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Huntington</w:t>
            </w: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Nassau-Suffolk, NY</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1988</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22,741</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279,000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14,201</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 Barnes &amp; Noble</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rPr>
              <w:t>Bed, Bath &amp; Beyond /</w:t>
            </w: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line="149" w:lineRule="exact"/>
              <w:rPr>
                <w:sz w:val="20"/>
                <w:szCs w:val="20"/>
                <w:color w:val="auto"/>
              </w:rPr>
            </w:pPr>
            <w:r>
              <w:rPr>
                <w:rFonts w:ascii="Arial" w:cs="Arial" w:eastAsia="Arial" w:hAnsi="Arial"/>
                <w:sz w:val="14"/>
                <w:szCs w:val="14"/>
                <w:color w:val="auto"/>
              </w:rPr>
              <w:t>DSW / TJ Maxx /</w:t>
            </w:r>
          </w:p>
        </w:tc>
      </w:tr>
      <w:tr>
        <w:trPr>
          <w:trHeight w:val="159"/>
        </w:trPr>
        <w:tc>
          <w:tcPr>
            <w:tcW w:w="1960" w:type="dxa"/>
            <w:vAlign w:val="bottom"/>
            <w:gridSpan w:val="6"/>
          </w:tcPr>
          <w:p>
            <w:pPr>
              <w:spacing w:after="0" w:line="159" w:lineRule="exact"/>
              <w:rPr>
                <w:sz w:val="20"/>
                <w:szCs w:val="20"/>
                <w:color w:val="auto"/>
              </w:rPr>
            </w:pPr>
            <w:r>
              <w:rPr>
                <w:rFonts w:ascii="Arial" w:cs="Arial" w:eastAsia="Arial" w:hAnsi="Arial"/>
                <w:sz w:val="14"/>
                <w:szCs w:val="14"/>
                <w:color w:val="auto"/>
              </w:rPr>
              <w:t>Mercer Mall</w:t>
            </w:r>
          </w:p>
        </w:tc>
        <w:tc>
          <w:tcPr>
            <w:tcW w:w="1260" w:type="dxa"/>
            <w:vAlign w:val="bottom"/>
          </w:tcPr>
          <w:p>
            <w:pPr>
              <w:spacing w:after="0" w:line="159" w:lineRule="exact"/>
              <w:rPr>
                <w:sz w:val="20"/>
                <w:szCs w:val="20"/>
                <w:color w:val="auto"/>
              </w:rPr>
            </w:pPr>
            <w:r>
              <w:rPr>
                <w:rFonts w:ascii="Arial" w:cs="Arial" w:eastAsia="Arial" w:hAnsi="Arial"/>
                <w:sz w:val="14"/>
                <w:szCs w:val="14"/>
                <w:color w:val="auto"/>
              </w:rPr>
              <w:t>Trenton, NJ</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2003</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91,632</w:t>
            </w: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492,000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96%</w:t>
            </w: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59,124</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75,000</w:t>
            </w:r>
          </w:p>
        </w:tc>
        <w:tc>
          <w:tcPr>
            <w:tcW w:w="13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Shop Rite</w:t>
            </w:r>
          </w:p>
        </w:tc>
        <w:tc>
          <w:tcPr>
            <w:tcW w:w="60" w:type="dxa"/>
            <w:vAlign w:val="bottom"/>
          </w:tcPr>
          <w:p>
            <w:pPr>
              <w:spacing w:after="0"/>
              <w:rPr>
                <w:sz w:val="13"/>
                <w:szCs w:val="13"/>
                <w:color w:val="auto"/>
              </w:rPr>
            </w:pPr>
          </w:p>
        </w:tc>
        <w:tc>
          <w:tcPr>
            <w:tcW w:w="1420" w:type="dxa"/>
            <w:vAlign w:val="bottom"/>
          </w:tcPr>
          <w:p>
            <w:pPr>
              <w:spacing w:after="0" w:line="159" w:lineRule="exact"/>
              <w:rPr>
                <w:sz w:val="20"/>
                <w:szCs w:val="20"/>
                <w:color w:val="auto"/>
              </w:rPr>
            </w:pPr>
            <w:r>
              <w:rPr>
                <w:rFonts w:ascii="Arial" w:cs="Arial" w:eastAsia="Arial" w:hAnsi="Arial"/>
                <w:sz w:val="14"/>
                <w:szCs w:val="14"/>
                <w:color w:val="auto"/>
              </w:rPr>
              <w:t>Raymour &amp; Flanigan</w:t>
            </w:r>
          </w:p>
        </w:tc>
      </w:tr>
      <w:tr>
        <w:trPr>
          <w:trHeight w:val="138"/>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Middlesex-Somerset-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9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Rutgers</w:t>
            </w: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Hunterdon, NJ</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1988</w:t>
            </w:r>
          </w:p>
        </w:tc>
        <w:tc>
          <w:tcPr>
            <w:tcW w:w="112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16,133</w:t>
            </w: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267,000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9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12,801</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44,000</w:t>
            </w:r>
          </w:p>
        </w:tc>
        <w:tc>
          <w:tcPr>
            <w:tcW w:w="130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Stop &amp; Shop</w:t>
            </w: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Kmart</w:t>
            </w: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line="138" w:lineRule="exact"/>
              <w:rPr>
                <w:sz w:val="20"/>
                <w:szCs w:val="20"/>
                <w:color w:val="auto"/>
              </w:rPr>
            </w:pPr>
            <w:r>
              <w:rPr>
                <w:rFonts w:ascii="Arial" w:cs="Arial" w:eastAsia="Arial" w:hAnsi="Arial"/>
                <w:sz w:val="14"/>
                <w:szCs w:val="14"/>
                <w:color w:val="auto"/>
                <w:w w:val="91"/>
              </w:rPr>
              <w:t>AC Moore / Comp USA /</w:t>
            </w:r>
          </w:p>
        </w:tc>
      </w:tr>
      <w:tr>
        <w:trPr>
          <w:trHeight w:val="172"/>
        </w:trPr>
        <w:tc>
          <w:tcPr>
            <w:tcW w:w="1960" w:type="dxa"/>
            <w:vAlign w:val="bottom"/>
            <w:gridSpan w:val="6"/>
          </w:tcPr>
          <w:p>
            <w:pPr>
              <w:spacing w:after="0"/>
              <w:rPr>
                <w:sz w:val="20"/>
                <w:szCs w:val="20"/>
                <w:color w:val="auto"/>
              </w:rPr>
            </w:pPr>
            <w:r>
              <w:rPr>
                <w:rFonts w:ascii="Arial" w:cs="Arial" w:eastAsia="Arial" w:hAnsi="Arial"/>
                <w:sz w:val="14"/>
                <w:szCs w:val="14"/>
                <w:color w:val="auto"/>
              </w:rPr>
              <w:t>Troy</w:t>
            </w:r>
          </w:p>
        </w:tc>
        <w:tc>
          <w:tcPr>
            <w:tcW w:w="1260" w:type="dxa"/>
            <w:vAlign w:val="bottom"/>
          </w:tcPr>
          <w:p>
            <w:pPr>
              <w:spacing w:after="0"/>
              <w:rPr>
                <w:sz w:val="20"/>
                <w:szCs w:val="20"/>
                <w:color w:val="auto"/>
              </w:rPr>
            </w:pPr>
            <w:r>
              <w:rPr>
                <w:rFonts w:ascii="Arial" w:cs="Arial" w:eastAsia="Arial" w:hAnsi="Arial"/>
                <w:sz w:val="14"/>
                <w:szCs w:val="14"/>
                <w:color w:val="auto"/>
              </w:rPr>
              <w:t>Newark, NJ</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1980</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19,875</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202,000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93%</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64,000</w:t>
            </w: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Pathmark</w:t>
            </w:r>
          </w:p>
        </w:tc>
        <w:tc>
          <w:tcPr>
            <w:tcW w:w="6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Toys R Us</w:t>
            </w: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36"/>
        </w:trPr>
        <w:tc>
          <w:tcPr>
            <w:tcW w:w="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7"/>
              </w:rPr>
              <w:t>Total New York / New</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Jersey</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415,193</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3,406,000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97%</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Philadelphia Metropolitan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7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7305"/>
                    </a:xfrm>
                    <a:prstGeom prst="rect">
                      <a:avLst/>
                    </a:prstGeom>
                    <a:noFill/>
                  </pic:spPr>
                </pic:pic>
              </a:graphicData>
            </a:graphic>
          </wp:anchor>
        </w:drawing>
      </w:r>
    </w:p>
    <w:p>
      <w:pPr>
        <w:sectPr>
          <w:pgSz w:w="11900" w:h="16857" w:orient="portrait"/>
          <w:cols w:equalWidth="0" w:num="1">
            <w:col w:w="11420"/>
          </w:cols>
          <w:pgMar w:left="240" w:top="274" w:right="2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Andorra</w:t>
            </w:r>
          </w:p>
        </w:tc>
        <w:tc>
          <w:tcPr>
            <w:tcW w:w="1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Philadelphia, PA-NJ</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22,859</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267,000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w:t>
            </w: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Acme Markets</w:t>
            </w:r>
          </w:p>
        </w:tc>
        <w:tc>
          <w:tcPr>
            <w:tcW w:w="1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Kohl’s / Staples / L.A.</w:t>
            </w:r>
          </w:p>
        </w:tc>
      </w:tr>
      <w:tr>
        <w:trPr>
          <w:trHeight w:val="159"/>
        </w:trPr>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Fitness</w:t>
            </w:r>
          </w:p>
        </w:tc>
      </w:tr>
      <w:tr>
        <w:trPr>
          <w:trHeight w:val="138"/>
        </w:trPr>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ind w:left="80"/>
              <w:spacing w:after="0" w:line="138" w:lineRule="exact"/>
              <w:rPr>
                <w:sz w:val="20"/>
                <w:szCs w:val="20"/>
                <w:color w:val="auto"/>
              </w:rPr>
            </w:pPr>
            <w:r>
              <w:rPr>
                <w:rFonts w:ascii="Arial" w:cs="Arial" w:eastAsia="Arial" w:hAnsi="Arial"/>
                <w:sz w:val="14"/>
                <w:szCs w:val="14"/>
                <w:color w:val="auto"/>
              </w:rPr>
              <w:t>Lord &amp; Taylor / L.A.</w:t>
            </w:r>
          </w:p>
        </w:tc>
      </w:tr>
      <w:tr>
        <w:trPr>
          <w:trHeight w:val="159"/>
        </w:trPr>
        <w:tc>
          <w:tcPr>
            <w:tcW w:w="1920" w:type="dxa"/>
            <w:vAlign w:val="bottom"/>
            <w:gridSpan w:val="2"/>
          </w:tcPr>
          <w:p>
            <w:pPr>
              <w:spacing w:after="0" w:line="159" w:lineRule="exact"/>
              <w:rPr>
                <w:sz w:val="20"/>
                <w:szCs w:val="20"/>
                <w:color w:val="auto"/>
              </w:rPr>
            </w:pPr>
            <w:r>
              <w:rPr>
                <w:rFonts w:ascii="Arial" w:cs="Arial" w:eastAsia="Arial" w:hAnsi="Arial"/>
                <w:sz w:val="14"/>
                <w:szCs w:val="14"/>
                <w:color w:val="auto"/>
              </w:rPr>
              <w:t>Bala Cynwyd</w:t>
            </w:r>
          </w:p>
        </w:tc>
        <w:tc>
          <w:tcPr>
            <w:tcW w:w="1440" w:type="dxa"/>
            <w:vAlign w:val="bottom"/>
          </w:tcPr>
          <w:p>
            <w:pPr>
              <w:ind w:left="40"/>
              <w:spacing w:after="0" w:line="159" w:lineRule="exact"/>
              <w:rPr>
                <w:sz w:val="20"/>
                <w:szCs w:val="20"/>
                <w:color w:val="auto"/>
              </w:rPr>
            </w:pPr>
            <w:r>
              <w:rPr>
                <w:rFonts w:ascii="Arial" w:cs="Arial" w:eastAsia="Arial" w:hAnsi="Arial"/>
                <w:sz w:val="14"/>
                <w:szCs w:val="14"/>
                <w:color w:val="auto"/>
              </w:rPr>
              <w:t>Philadelphia, PA-NJ</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1993</w:t>
            </w:r>
          </w:p>
        </w:tc>
        <w:tc>
          <w:tcPr>
            <w:tcW w:w="11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25,861</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280,000</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100%</w:t>
            </w:r>
          </w:p>
        </w:tc>
        <w:tc>
          <w:tcPr>
            <w:tcW w:w="7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45,000</w:t>
            </w:r>
          </w:p>
        </w:tc>
        <w:tc>
          <w:tcPr>
            <w:tcW w:w="1240" w:type="dxa"/>
            <w:vAlign w:val="bottom"/>
          </w:tcPr>
          <w:p>
            <w:pPr>
              <w:ind w:left="20"/>
              <w:spacing w:after="0" w:line="159" w:lineRule="exact"/>
              <w:rPr>
                <w:sz w:val="20"/>
                <w:szCs w:val="20"/>
                <w:color w:val="auto"/>
              </w:rPr>
            </w:pPr>
            <w:r>
              <w:rPr>
                <w:rFonts w:ascii="Arial" w:cs="Arial" w:eastAsia="Arial" w:hAnsi="Arial"/>
                <w:sz w:val="14"/>
                <w:szCs w:val="14"/>
                <w:color w:val="auto"/>
              </w:rPr>
              <w:t>Acme Markets</w:t>
            </w:r>
          </w:p>
        </w:tc>
        <w:tc>
          <w:tcPr>
            <w:tcW w:w="1500" w:type="dxa"/>
            <w:vAlign w:val="bottom"/>
          </w:tcPr>
          <w:p>
            <w:pPr>
              <w:ind w:left="80"/>
              <w:spacing w:after="0" w:line="159" w:lineRule="exact"/>
              <w:rPr>
                <w:sz w:val="20"/>
                <w:szCs w:val="20"/>
                <w:color w:val="auto"/>
              </w:rPr>
            </w:pPr>
            <w:r>
              <w:rPr>
                <w:rFonts w:ascii="Arial" w:cs="Arial" w:eastAsia="Arial" w:hAnsi="Arial"/>
                <w:sz w:val="14"/>
                <w:szCs w:val="14"/>
                <w:color w:val="auto"/>
              </w:rPr>
              <w:t>Fitness</w:t>
            </w:r>
          </w:p>
        </w:tc>
      </w:tr>
      <w:tr>
        <w:trPr>
          <w:trHeight w:val="138"/>
        </w:trPr>
        <w:tc>
          <w:tcPr>
            <w:tcW w:w="4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Bed, Bath &amp; Beyond /</w:t>
            </w:r>
          </w:p>
        </w:tc>
      </w:tr>
      <w:tr>
        <w:trPr>
          <w:trHeight w:val="159"/>
        </w:trPr>
        <w:tc>
          <w:tcPr>
            <w:tcW w:w="19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Ellisburg Circle</w:t>
            </w:r>
          </w:p>
        </w:tc>
        <w:tc>
          <w:tcPr>
            <w:tcW w:w="14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Philadelphia, PA-NJ</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1992</w:t>
            </w:r>
          </w:p>
        </w:tc>
        <w:tc>
          <w:tcPr>
            <w:tcW w:w="11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29,116</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267,000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47,000</w:t>
            </w:r>
          </w:p>
        </w:tc>
        <w:tc>
          <w:tcPr>
            <w:tcW w:w="1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Genuardi’s</w:t>
            </w:r>
          </w:p>
        </w:tc>
        <w:tc>
          <w:tcPr>
            <w:tcW w:w="15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Stein Mart</w:t>
            </w: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Feasterville</w:t>
            </w:r>
          </w:p>
        </w:tc>
        <w:tc>
          <w:tcPr>
            <w:tcW w:w="1440" w:type="dxa"/>
            <w:vAlign w:val="bottom"/>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1980</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11,680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w:t>
            </w:r>
          </w:p>
        </w:tc>
        <w:tc>
          <w:tcPr>
            <w:tcW w:w="7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Genuardi’s</w:t>
            </w:r>
          </w:p>
        </w:tc>
        <w:tc>
          <w:tcPr>
            <w:tcW w:w="1500" w:type="dxa"/>
            <w:vAlign w:val="bottom"/>
          </w:tcPr>
          <w:p>
            <w:pPr>
              <w:ind w:left="80"/>
              <w:spacing w:after="0" w:line="149" w:lineRule="exact"/>
              <w:rPr>
                <w:sz w:val="20"/>
                <w:szCs w:val="20"/>
                <w:color w:val="auto"/>
              </w:rPr>
            </w:pPr>
            <w:r>
              <w:rPr>
                <w:rFonts w:ascii="Arial" w:cs="Arial" w:eastAsia="Arial" w:hAnsi="Arial"/>
                <w:sz w:val="14"/>
                <w:szCs w:val="14"/>
                <w:color w:val="auto"/>
              </w:rPr>
              <w:t>OfficeMax</w:t>
            </w: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Flourtown</w:t>
            </w:r>
          </w:p>
        </w:tc>
        <w:tc>
          <w:tcPr>
            <w:tcW w:w="1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9,188</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w:t>
            </w:r>
          </w:p>
        </w:tc>
        <w:tc>
          <w:tcPr>
            <w:tcW w:w="1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Genuardi’s</w:t>
            </w:r>
          </w:p>
        </w:tc>
        <w:tc>
          <w:tcPr>
            <w:tcW w:w="1500" w:type="dxa"/>
            <w:vAlign w:val="bottom"/>
            <w:shd w:val="clear" w:color="auto" w:fill="CCEEFF"/>
          </w:tcPr>
          <w:p>
            <w:pPr>
              <w:spacing w:after="0"/>
              <w:rPr>
                <w:sz w:val="12"/>
                <w:szCs w:val="12"/>
                <w:color w:val="auto"/>
              </w:rPr>
            </w:pPr>
          </w:p>
        </w:tc>
      </w:tr>
      <w:tr>
        <w:trPr>
          <w:trHeight w:val="138"/>
        </w:trPr>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ind w:left="20"/>
              <w:spacing w:after="0" w:line="138" w:lineRule="exact"/>
              <w:rPr>
                <w:sz w:val="20"/>
                <w:szCs w:val="20"/>
                <w:color w:val="auto"/>
              </w:rPr>
            </w:pPr>
            <w:r>
              <w:rPr>
                <w:rFonts w:ascii="Arial" w:cs="Arial" w:eastAsia="Arial" w:hAnsi="Arial"/>
                <w:sz w:val="14"/>
                <w:szCs w:val="14"/>
                <w:color w:val="auto"/>
                <w:w w:val="91"/>
              </w:rPr>
              <w:t>Redner’s Warehouse</w:t>
            </w:r>
          </w:p>
        </w:tc>
        <w:tc>
          <w:tcPr>
            <w:tcW w:w="1500" w:type="dxa"/>
            <w:vAlign w:val="bottom"/>
          </w:tcPr>
          <w:p>
            <w:pPr>
              <w:spacing w:after="0"/>
              <w:rPr>
                <w:sz w:val="11"/>
                <w:szCs w:val="11"/>
                <w:color w:val="auto"/>
              </w:rPr>
            </w:pPr>
          </w:p>
        </w:tc>
      </w:tr>
      <w:tr>
        <w:trPr>
          <w:trHeight w:val="159"/>
        </w:trPr>
        <w:tc>
          <w:tcPr>
            <w:tcW w:w="1920" w:type="dxa"/>
            <w:vAlign w:val="bottom"/>
            <w:gridSpan w:val="2"/>
          </w:tcPr>
          <w:p>
            <w:pPr>
              <w:spacing w:after="0" w:line="159" w:lineRule="exact"/>
              <w:rPr>
                <w:sz w:val="20"/>
                <w:szCs w:val="20"/>
                <w:color w:val="auto"/>
              </w:rPr>
            </w:pPr>
            <w:r>
              <w:rPr>
                <w:rFonts w:ascii="Arial" w:cs="Arial" w:eastAsia="Arial" w:hAnsi="Arial"/>
                <w:sz w:val="14"/>
                <w:szCs w:val="14"/>
                <w:color w:val="auto"/>
              </w:rPr>
              <w:t>Langhorne Square</w:t>
            </w:r>
          </w:p>
        </w:tc>
        <w:tc>
          <w:tcPr>
            <w:tcW w:w="1440" w:type="dxa"/>
            <w:vAlign w:val="bottom"/>
          </w:tcPr>
          <w:p>
            <w:pPr>
              <w:ind w:left="40"/>
              <w:spacing w:after="0" w:line="159" w:lineRule="exact"/>
              <w:rPr>
                <w:sz w:val="20"/>
                <w:szCs w:val="20"/>
                <w:color w:val="auto"/>
              </w:rPr>
            </w:pPr>
            <w:r>
              <w:rPr>
                <w:rFonts w:ascii="Arial" w:cs="Arial" w:eastAsia="Arial" w:hAnsi="Arial"/>
                <w:sz w:val="14"/>
                <w:szCs w:val="14"/>
                <w:color w:val="auto"/>
              </w:rPr>
              <w:t>Philadelphia, PA-NJ</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1985</w:t>
            </w:r>
          </w:p>
        </w:tc>
        <w:tc>
          <w:tcPr>
            <w:tcW w:w="11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17,858</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216,000</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91%</w:t>
            </w:r>
          </w:p>
        </w:tc>
        <w:tc>
          <w:tcPr>
            <w:tcW w:w="7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55,000</w:t>
            </w:r>
          </w:p>
        </w:tc>
        <w:tc>
          <w:tcPr>
            <w:tcW w:w="1240" w:type="dxa"/>
            <w:vAlign w:val="bottom"/>
          </w:tcPr>
          <w:p>
            <w:pPr>
              <w:ind w:left="240"/>
              <w:spacing w:after="0" w:line="159" w:lineRule="exact"/>
              <w:rPr>
                <w:sz w:val="20"/>
                <w:szCs w:val="20"/>
                <w:color w:val="auto"/>
              </w:rPr>
            </w:pPr>
            <w:r>
              <w:rPr>
                <w:rFonts w:ascii="Arial" w:cs="Arial" w:eastAsia="Arial" w:hAnsi="Arial"/>
                <w:sz w:val="14"/>
                <w:szCs w:val="14"/>
                <w:color w:val="auto"/>
              </w:rPr>
              <w:t>Mkts.</w:t>
            </w:r>
          </w:p>
        </w:tc>
        <w:tc>
          <w:tcPr>
            <w:tcW w:w="1500" w:type="dxa"/>
            <w:vAlign w:val="bottom"/>
          </w:tcPr>
          <w:p>
            <w:pPr>
              <w:ind w:left="80"/>
              <w:spacing w:after="0" w:line="159" w:lineRule="exact"/>
              <w:rPr>
                <w:sz w:val="20"/>
                <w:szCs w:val="20"/>
                <w:color w:val="auto"/>
              </w:rPr>
            </w:pPr>
            <w:r>
              <w:rPr>
                <w:rFonts w:ascii="Arial" w:cs="Arial" w:eastAsia="Arial" w:hAnsi="Arial"/>
                <w:sz w:val="14"/>
                <w:szCs w:val="14"/>
                <w:color w:val="auto"/>
              </w:rPr>
              <w:t>Marshalls</w:t>
            </w: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Lawrence Park</w:t>
            </w:r>
          </w:p>
        </w:tc>
        <w:tc>
          <w:tcPr>
            <w:tcW w:w="1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27,812</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30,713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w:t>
            </w:r>
          </w:p>
        </w:tc>
        <w:tc>
          <w:tcPr>
            <w:tcW w:w="1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Acme Markets</w:t>
            </w:r>
          </w:p>
        </w:tc>
        <w:tc>
          <w:tcPr>
            <w:tcW w:w="1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CHI / TJ Maxx / CVS</w:t>
            </w:r>
          </w:p>
        </w:tc>
      </w:tr>
      <w:tr>
        <w:trPr>
          <w:trHeight w:val="138"/>
        </w:trPr>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ind w:left="80"/>
              <w:spacing w:after="0" w:line="138" w:lineRule="exact"/>
              <w:rPr>
                <w:sz w:val="20"/>
                <w:szCs w:val="20"/>
                <w:color w:val="auto"/>
              </w:rPr>
            </w:pPr>
            <w:r>
              <w:rPr>
                <w:rFonts w:ascii="Arial" w:cs="Arial" w:eastAsia="Arial" w:hAnsi="Arial"/>
                <w:sz w:val="14"/>
                <w:szCs w:val="14"/>
                <w:color w:val="auto"/>
              </w:rPr>
              <w:t>Burlington Coat /</w:t>
            </w:r>
          </w:p>
        </w:tc>
      </w:tr>
      <w:tr>
        <w:trPr>
          <w:trHeight w:val="149"/>
        </w:trPr>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ind w:left="80"/>
              <w:spacing w:after="0" w:line="149" w:lineRule="exact"/>
              <w:rPr>
                <w:sz w:val="20"/>
                <w:szCs w:val="20"/>
                <w:color w:val="auto"/>
              </w:rPr>
            </w:pPr>
            <w:r>
              <w:rPr>
                <w:rFonts w:ascii="Arial" w:cs="Arial" w:eastAsia="Arial" w:hAnsi="Arial"/>
                <w:sz w:val="14"/>
                <w:szCs w:val="14"/>
                <w:color w:val="auto"/>
              </w:rPr>
              <w:t>Marshalls / Tower</w:t>
            </w:r>
          </w:p>
        </w:tc>
      </w:tr>
      <w:tr>
        <w:trPr>
          <w:trHeight w:val="159"/>
        </w:trPr>
        <w:tc>
          <w:tcPr>
            <w:tcW w:w="1920" w:type="dxa"/>
            <w:vAlign w:val="bottom"/>
            <w:gridSpan w:val="2"/>
          </w:tcPr>
          <w:p>
            <w:pPr>
              <w:spacing w:after="0" w:line="159" w:lineRule="exact"/>
              <w:rPr>
                <w:sz w:val="20"/>
                <w:szCs w:val="20"/>
                <w:color w:val="auto"/>
              </w:rPr>
            </w:pPr>
            <w:r>
              <w:rPr>
                <w:rFonts w:ascii="Arial" w:cs="Arial" w:eastAsia="Arial" w:hAnsi="Arial"/>
                <w:sz w:val="14"/>
                <w:szCs w:val="14"/>
                <w:color w:val="auto"/>
              </w:rPr>
              <w:t>Northeast</w:t>
            </w:r>
          </w:p>
        </w:tc>
        <w:tc>
          <w:tcPr>
            <w:tcW w:w="1440" w:type="dxa"/>
            <w:vAlign w:val="bottom"/>
          </w:tcPr>
          <w:p>
            <w:pPr>
              <w:ind w:left="40"/>
              <w:spacing w:after="0" w:line="159" w:lineRule="exact"/>
              <w:rPr>
                <w:sz w:val="20"/>
                <w:szCs w:val="20"/>
                <w:color w:val="auto"/>
              </w:rPr>
            </w:pPr>
            <w:r>
              <w:rPr>
                <w:rFonts w:ascii="Arial" w:cs="Arial" w:eastAsia="Arial" w:hAnsi="Arial"/>
                <w:sz w:val="14"/>
                <w:szCs w:val="14"/>
                <w:color w:val="auto"/>
              </w:rPr>
              <w:t>Philadelphia, PA-NJ</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1983</w:t>
            </w:r>
          </w:p>
        </w:tc>
        <w:tc>
          <w:tcPr>
            <w:tcW w:w="11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22,012</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292,000</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90%</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ind w:left="80"/>
              <w:spacing w:after="0" w:line="159" w:lineRule="exact"/>
              <w:rPr>
                <w:sz w:val="20"/>
                <w:szCs w:val="20"/>
                <w:color w:val="auto"/>
              </w:rPr>
            </w:pPr>
            <w:r>
              <w:rPr>
                <w:rFonts w:ascii="Arial" w:cs="Arial" w:eastAsia="Arial" w:hAnsi="Arial"/>
                <w:sz w:val="14"/>
                <w:szCs w:val="14"/>
                <w:color w:val="auto"/>
              </w:rPr>
              <w:t>Records</w:t>
            </w:r>
          </w:p>
        </w:tc>
      </w:tr>
      <w:tr>
        <w:trPr>
          <w:trHeight w:val="138"/>
        </w:trPr>
        <w:tc>
          <w:tcPr>
            <w:tcW w:w="4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Barnes &amp; Noble /</w:t>
            </w:r>
          </w:p>
        </w:tc>
      </w:tr>
      <w:tr>
        <w:trPr>
          <w:trHeight w:val="159"/>
        </w:trPr>
        <w:tc>
          <w:tcPr>
            <w:tcW w:w="19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Willow Grove</w:t>
            </w:r>
          </w:p>
        </w:tc>
        <w:tc>
          <w:tcPr>
            <w:tcW w:w="14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Philadelphia, PA-NJ</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1984</w:t>
            </w:r>
          </w:p>
        </w:tc>
        <w:tc>
          <w:tcPr>
            <w:tcW w:w="11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26,499</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215,000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99%</w:t>
            </w: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Marshalls / Toys R Us</w:t>
            </w:r>
          </w:p>
        </w:tc>
      </w:tr>
      <w:tr>
        <w:trPr>
          <w:trHeight w:val="138"/>
        </w:trPr>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ind w:left="80"/>
              <w:spacing w:after="0" w:line="138" w:lineRule="exact"/>
              <w:rPr>
                <w:sz w:val="20"/>
                <w:szCs w:val="20"/>
                <w:color w:val="auto"/>
              </w:rPr>
            </w:pPr>
            <w:r>
              <w:rPr>
                <w:rFonts w:ascii="Arial" w:cs="Arial" w:eastAsia="Arial" w:hAnsi="Arial"/>
                <w:sz w:val="14"/>
                <w:szCs w:val="14"/>
                <w:color w:val="auto"/>
              </w:rPr>
              <w:t>Bed, Bath &amp; Beyond /</w:t>
            </w:r>
          </w:p>
        </w:tc>
      </w:tr>
      <w:tr>
        <w:trPr>
          <w:trHeight w:val="172"/>
        </w:trPr>
        <w:tc>
          <w:tcPr>
            <w:tcW w:w="1920" w:type="dxa"/>
            <w:vAlign w:val="bottom"/>
            <w:gridSpan w:val="2"/>
          </w:tcPr>
          <w:p>
            <w:pPr>
              <w:spacing w:after="0"/>
              <w:rPr>
                <w:sz w:val="20"/>
                <w:szCs w:val="20"/>
                <w:color w:val="auto"/>
              </w:rPr>
            </w:pPr>
            <w:r>
              <w:rPr>
                <w:rFonts w:ascii="Arial" w:cs="Arial" w:eastAsia="Arial" w:hAnsi="Arial"/>
                <w:sz w:val="14"/>
                <w:szCs w:val="14"/>
                <w:color w:val="auto"/>
              </w:rPr>
              <w:t>Wynnewood</w:t>
            </w:r>
          </w:p>
        </w:tc>
        <w:tc>
          <w:tcPr>
            <w:tcW w:w="1440" w:type="dxa"/>
            <w:vAlign w:val="bottom"/>
          </w:tcPr>
          <w:p>
            <w:pPr>
              <w:ind w:left="40"/>
              <w:spacing w:after="0"/>
              <w:rPr>
                <w:sz w:val="20"/>
                <w:szCs w:val="20"/>
                <w:color w:val="auto"/>
              </w:rPr>
            </w:pPr>
            <w:r>
              <w:rPr>
                <w:rFonts w:ascii="Arial" w:cs="Arial" w:eastAsia="Arial" w:hAnsi="Arial"/>
                <w:sz w:val="14"/>
                <w:szCs w:val="14"/>
                <w:color w:val="auto"/>
              </w:rPr>
              <w:t>Philadelphia, PA-NJ</w:t>
            </w:r>
          </w:p>
        </w:tc>
        <w:tc>
          <w:tcPr>
            <w:tcW w:w="540" w:type="dxa"/>
            <w:vAlign w:val="bottom"/>
          </w:tcPr>
          <w:p>
            <w:pPr>
              <w:jc w:val="right"/>
              <w:spacing w:after="0"/>
              <w:rPr>
                <w:sz w:val="20"/>
                <w:szCs w:val="20"/>
                <w:color w:val="auto"/>
              </w:rPr>
            </w:pPr>
            <w:r>
              <w:rPr>
                <w:rFonts w:ascii="Arial" w:cs="Arial" w:eastAsia="Arial" w:hAnsi="Arial"/>
                <w:sz w:val="14"/>
                <w:szCs w:val="14"/>
                <w:color w:val="auto"/>
              </w:rPr>
              <w:t>1996</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35,433</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255,000</w:t>
            </w: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98%</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31,300</w:t>
            </w:r>
          </w:p>
        </w:tc>
        <w:tc>
          <w:tcPr>
            <w:tcW w:w="500" w:type="dxa"/>
            <w:vAlign w:val="bottom"/>
          </w:tcPr>
          <w:p>
            <w:pPr>
              <w:jc w:val="right"/>
              <w:spacing w:after="0"/>
              <w:rPr>
                <w:sz w:val="20"/>
                <w:szCs w:val="20"/>
                <w:color w:val="auto"/>
              </w:rPr>
            </w:pPr>
            <w:r>
              <w:rPr>
                <w:rFonts w:ascii="Arial" w:cs="Arial" w:eastAsia="Arial" w:hAnsi="Arial"/>
                <w:sz w:val="14"/>
                <w:szCs w:val="14"/>
                <w:color w:val="auto"/>
              </w:rPr>
              <w:t>98,000</w:t>
            </w:r>
          </w:p>
        </w:tc>
        <w:tc>
          <w:tcPr>
            <w:tcW w:w="1240" w:type="dxa"/>
            <w:vAlign w:val="bottom"/>
          </w:tcPr>
          <w:p>
            <w:pPr>
              <w:ind w:left="20"/>
              <w:spacing w:after="0"/>
              <w:rPr>
                <w:sz w:val="20"/>
                <w:szCs w:val="20"/>
                <w:color w:val="auto"/>
              </w:rPr>
            </w:pPr>
            <w:r>
              <w:rPr>
                <w:rFonts w:ascii="Arial" w:cs="Arial" w:eastAsia="Arial" w:hAnsi="Arial"/>
                <w:sz w:val="14"/>
                <w:szCs w:val="14"/>
                <w:color w:val="auto"/>
              </w:rPr>
              <w:t>Genuardi’s</w:t>
            </w:r>
          </w:p>
        </w:tc>
        <w:tc>
          <w:tcPr>
            <w:tcW w:w="1500" w:type="dxa"/>
            <w:vAlign w:val="bottom"/>
          </w:tcPr>
          <w:p>
            <w:pPr>
              <w:ind w:left="80"/>
              <w:spacing w:after="0"/>
              <w:rPr>
                <w:sz w:val="20"/>
                <w:szCs w:val="20"/>
                <w:color w:val="auto"/>
              </w:rPr>
            </w:pPr>
            <w:r>
              <w:rPr>
                <w:rFonts w:ascii="Arial" w:cs="Arial" w:eastAsia="Arial" w:hAnsi="Arial"/>
                <w:sz w:val="14"/>
                <w:szCs w:val="14"/>
                <w:color w:val="auto"/>
              </w:rPr>
              <w:t>Borders / Old Navy</w:t>
            </w:r>
          </w:p>
        </w:tc>
      </w:tr>
      <w:tr>
        <w:trPr>
          <w:trHeight w:val="95"/>
        </w:trPr>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36"/>
        </w:trPr>
        <w:tc>
          <w:tcPr>
            <w:tcW w:w="4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40" w:type="dxa"/>
            <w:vAlign w:val="bottom"/>
            <w:shd w:val="clear" w:color="auto" w:fill="CCEEFF"/>
          </w:tcPr>
          <w:p>
            <w:pPr>
              <w:ind w:left="40"/>
              <w:spacing w:after="0" w:line="136" w:lineRule="exact"/>
              <w:rPr>
                <w:sz w:val="20"/>
                <w:szCs w:val="20"/>
                <w:color w:val="auto"/>
              </w:rPr>
            </w:pPr>
            <w:r>
              <w:rPr>
                <w:rFonts w:ascii="Arial" w:cs="Arial" w:eastAsia="Arial" w:hAnsi="Arial"/>
                <w:sz w:val="14"/>
                <w:szCs w:val="14"/>
                <w:b w:val="1"/>
                <w:bCs w:val="1"/>
                <w:color w:val="auto"/>
              </w:rPr>
              <w:t>Total Philadelphia</w:t>
            </w: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49"/>
        </w:trPr>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Metropolitan</w:t>
            </w: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61"/>
        </w:trPr>
        <w:tc>
          <w:tcPr>
            <w:tcW w:w="4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Area</w:t>
            </w:r>
          </w:p>
        </w:tc>
        <w:tc>
          <w:tcPr>
            <w:tcW w:w="5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228,318</w:t>
            </w:r>
          </w:p>
        </w:tc>
        <w:tc>
          <w:tcPr>
            <w:tcW w:w="8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2,444,000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94%</w:t>
            </w: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43"/>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Boston</w:t>
            </w:r>
          </w:p>
        </w:tc>
        <w:tc>
          <w:tcPr>
            <w:tcW w:w="1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131"/>
        </w:trPr>
        <w:tc>
          <w:tcPr>
            <w:tcW w:w="400" w:type="dxa"/>
            <w:vAlign w:val="bottom"/>
            <w:tcBorders>
              <w:top w:val="single" w:sz="8" w:color="auto"/>
            </w:tcBorders>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40" w:type="dxa"/>
            <w:vAlign w:val="bottom"/>
            <w:shd w:val="clear" w:color="auto" w:fill="CCEEFF"/>
          </w:tcPr>
          <w:p>
            <w:pPr>
              <w:ind w:left="40"/>
              <w:spacing w:after="0" w:line="131" w:lineRule="exact"/>
              <w:rPr>
                <w:sz w:val="20"/>
                <w:szCs w:val="20"/>
                <w:color w:val="auto"/>
              </w:rPr>
            </w:pPr>
            <w:r>
              <w:rPr>
                <w:rFonts w:ascii="Arial" w:cs="Arial" w:eastAsia="Arial" w:hAnsi="Arial"/>
                <w:sz w:val="14"/>
                <w:szCs w:val="14"/>
                <w:color w:val="auto"/>
              </w:rPr>
              <w:t>Boston-Worcester-</w:t>
            </w: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49"/>
        </w:trPr>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Lawrence-Lowell-</w:t>
            </w: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59"/>
        </w:trPr>
        <w:tc>
          <w:tcPr>
            <w:tcW w:w="19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86"/>
              </w:rPr>
              <w:t>Assembly Square/Sturtevant Street</w:t>
            </w:r>
          </w:p>
        </w:tc>
        <w:tc>
          <w:tcPr>
            <w:tcW w:w="1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Brockton, MA</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2005</w:t>
            </w:r>
          </w:p>
        </w:tc>
        <w:tc>
          <w:tcPr>
            <w:tcW w:w="11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93,073</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552,000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Kmart</w:t>
            </w:r>
          </w:p>
        </w:tc>
      </w:tr>
      <w:tr>
        <w:trPr>
          <w:trHeight w:val="138"/>
        </w:trPr>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tcPr>
          <w:p>
            <w:pPr>
              <w:ind w:left="40"/>
              <w:spacing w:after="0" w:line="138" w:lineRule="exact"/>
              <w:rPr>
                <w:sz w:val="20"/>
                <w:szCs w:val="20"/>
                <w:color w:val="auto"/>
              </w:rPr>
            </w:pPr>
            <w:r>
              <w:rPr>
                <w:rFonts w:ascii="Arial" w:cs="Arial" w:eastAsia="Arial" w:hAnsi="Arial"/>
                <w:sz w:val="14"/>
                <w:szCs w:val="14"/>
                <w:color w:val="auto"/>
              </w:rPr>
              <w:t>Boston-Worcester-</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49"/>
        </w:trPr>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ind w:left="240"/>
              <w:spacing w:after="0" w:line="149" w:lineRule="exact"/>
              <w:rPr>
                <w:sz w:val="20"/>
                <w:szCs w:val="20"/>
                <w:color w:val="auto"/>
              </w:rPr>
            </w:pPr>
            <w:r>
              <w:rPr>
                <w:rFonts w:ascii="Arial" w:cs="Arial" w:eastAsia="Arial" w:hAnsi="Arial"/>
                <w:sz w:val="14"/>
                <w:szCs w:val="14"/>
                <w:color w:val="auto"/>
              </w:rPr>
              <w:t>Lawrence-Lowell-</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9"/>
        </w:trPr>
        <w:tc>
          <w:tcPr>
            <w:tcW w:w="1920" w:type="dxa"/>
            <w:vAlign w:val="bottom"/>
            <w:gridSpan w:val="2"/>
          </w:tcPr>
          <w:p>
            <w:pPr>
              <w:spacing w:after="0" w:line="159" w:lineRule="exact"/>
              <w:rPr>
                <w:sz w:val="20"/>
                <w:szCs w:val="20"/>
                <w:color w:val="auto"/>
              </w:rPr>
            </w:pPr>
            <w:r>
              <w:rPr>
                <w:rFonts w:ascii="Arial" w:cs="Arial" w:eastAsia="Arial" w:hAnsi="Arial"/>
                <w:sz w:val="14"/>
                <w:szCs w:val="14"/>
                <w:color w:val="auto"/>
              </w:rPr>
              <w:t>Dedham Plaza</w:t>
            </w:r>
          </w:p>
        </w:tc>
        <w:tc>
          <w:tcPr>
            <w:tcW w:w="1440" w:type="dxa"/>
            <w:vAlign w:val="bottom"/>
          </w:tcPr>
          <w:p>
            <w:pPr>
              <w:ind w:left="240"/>
              <w:spacing w:after="0" w:line="159" w:lineRule="exact"/>
              <w:rPr>
                <w:sz w:val="20"/>
                <w:szCs w:val="20"/>
                <w:color w:val="auto"/>
              </w:rPr>
            </w:pPr>
            <w:r>
              <w:rPr>
                <w:rFonts w:ascii="Arial" w:cs="Arial" w:eastAsia="Arial" w:hAnsi="Arial"/>
                <w:sz w:val="14"/>
                <w:szCs w:val="14"/>
                <w:color w:val="auto"/>
              </w:rPr>
              <w:t>Brockton, MA</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1993</w:t>
            </w:r>
          </w:p>
        </w:tc>
        <w:tc>
          <w:tcPr>
            <w:tcW w:w="11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29,642</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241,000</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97%</w:t>
            </w:r>
          </w:p>
        </w:tc>
        <w:tc>
          <w:tcPr>
            <w:tcW w:w="74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80,000</w:t>
            </w:r>
          </w:p>
        </w:tc>
        <w:tc>
          <w:tcPr>
            <w:tcW w:w="1240" w:type="dxa"/>
            <w:vAlign w:val="bottom"/>
          </w:tcPr>
          <w:p>
            <w:pPr>
              <w:ind w:left="20"/>
              <w:spacing w:after="0" w:line="159" w:lineRule="exact"/>
              <w:rPr>
                <w:sz w:val="20"/>
                <w:szCs w:val="20"/>
                <w:color w:val="auto"/>
              </w:rPr>
            </w:pPr>
            <w:r>
              <w:rPr>
                <w:rFonts w:ascii="Arial" w:cs="Arial" w:eastAsia="Arial" w:hAnsi="Arial"/>
                <w:sz w:val="14"/>
                <w:szCs w:val="14"/>
                <w:color w:val="auto"/>
              </w:rPr>
              <w:t>Star Market</w:t>
            </w:r>
          </w:p>
        </w:tc>
        <w:tc>
          <w:tcPr>
            <w:tcW w:w="1500" w:type="dxa"/>
            <w:vAlign w:val="bottom"/>
          </w:tcPr>
          <w:p>
            <w:pPr>
              <w:ind w:left="80"/>
              <w:spacing w:after="0" w:line="159" w:lineRule="exact"/>
              <w:rPr>
                <w:sz w:val="20"/>
                <w:szCs w:val="20"/>
                <w:color w:val="auto"/>
              </w:rPr>
            </w:pPr>
            <w:r>
              <w:rPr>
                <w:rFonts w:ascii="Arial" w:cs="Arial" w:eastAsia="Arial" w:hAnsi="Arial"/>
                <w:sz w:val="14"/>
                <w:szCs w:val="14"/>
                <w:color w:val="auto"/>
              </w:rPr>
              <w:t>Pier One</w:t>
            </w:r>
          </w:p>
        </w:tc>
      </w:tr>
      <w:tr>
        <w:trPr>
          <w:trHeight w:val="138"/>
        </w:trPr>
        <w:tc>
          <w:tcPr>
            <w:tcW w:w="4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4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Boston-Worcester-</w:t>
            </w: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49"/>
        </w:trPr>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Lawrence-Lowell-</w:t>
            </w: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59"/>
        </w:trPr>
        <w:tc>
          <w:tcPr>
            <w:tcW w:w="19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Queen Anne Plaza</w:t>
            </w:r>
          </w:p>
        </w:tc>
        <w:tc>
          <w:tcPr>
            <w:tcW w:w="1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Brockton, MA</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1994</w:t>
            </w:r>
          </w:p>
        </w:tc>
        <w:tc>
          <w:tcPr>
            <w:tcW w:w="11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14,967</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149,000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1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4"/>
              </w:rPr>
              <w:t>Victory Supermarket</w:t>
            </w:r>
          </w:p>
        </w:tc>
        <w:tc>
          <w:tcPr>
            <w:tcW w:w="15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TJ Maxx</w:t>
            </w:r>
          </w:p>
        </w:tc>
      </w:tr>
      <w:tr>
        <w:trPr>
          <w:trHeight w:val="138"/>
        </w:trPr>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tcPr>
          <w:p>
            <w:pPr>
              <w:ind w:left="40"/>
              <w:spacing w:after="0" w:line="138" w:lineRule="exact"/>
              <w:rPr>
                <w:sz w:val="20"/>
                <w:szCs w:val="20"/>
                <w:color w:val="auto"/>
              </w:rPr>
            </w:pPr>
            <w:r>
              <w:rPr>
                <w:rFonts w:ascii="Arial" w:cs="Arial" w:eastAsia="Arial" w:hAnsi="Arial"/>
                <w:sz w:val="14"/>
                <w:szCs w:val="14"/>
                <w:color w:val="auto"/>
              </w:rPr>
              <w:t>Boston-Worcester-</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49"/>
        </w:trPr>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ind w:left="240"/>
              <w:spacing w:after="0" w:line="149" w:lineRule="exact"/>
              <w:rPr>
                <w:sz w:val="20"/>
                <w:szCs w:val="20"/>
                <w:color w:val="auto"/>
              </w:rPr>
            </w:pPr>
            <w:r>
              <w:rPr>
                <w:rFonts w:ascii="Arial" w:cs="Arial" w:eastAsia="Arial" w:hAnsi="Arial"/>
                <w:sz w:val="14"/>
                <w:szCs w:val="14"/>
                <w:color w:val="auto"/>
              </w:rPr>
              <w:t>Lawrence-Lowell-</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2"/>
        </w:trPr>
        <w:tc>
          <w:tcPr>
            <w:tcW w:w="1920" w:type="dxa"/>
            <w:vAlign w:val="bottom"/>
            <w:gridSpan w:val="2"/>
          </w:tcPr>
          <w:p>
            <w:pPr>
              <w:spacing w:after="0"/>
              <w:rPr>
                <w:sz w:val="20"/>
                <w:szCs w:val="20"/>
                <w:color w:val="auto"/>
              </w:rPr>
            </w:pPr>
            <w:r>
              <w:rPr>
                <w:rFonts w:ascii="Arial" w:cs="Arial" w:eastAsia="Arial" w:hAnsi="Arial"/>
                <w:sz w:val="14"/>
                <w:szCs w:val="14"/>
                <w:color w:val="auto"/>
              </w:rPr>
              <w:t>Saugus Plaza</w:t>
            </w:r>
          </w:p>
        </w:tc>
        <w:tc>
          <w:tcPr>
            <w:tcW w:w="1440" w:type="dxa"/>
            <w:vAlign w:val="bottom"/>
          </w:tcPr>
          <w:p>
            <w:pPr>
              <w:ind w:left="240"/>
              <w:spacing w:after="0"/>
              <w:rPr>
                <w:sz w:val="20"/>
                <w:szCs w:val="20"/>
                <w:color w:val="auto"/>
              </w:rPr>
            </w:pPr>
            <w:r>
              <w:rPr>
                <w:rFonts w:ascii="Arial" w:cs="Arial" w:eastAsia="Arial" w:hAnsi="Arial"/>
                <w:sz w:val="14"/>
                <w:szCs w:val="14"/>
                <w:color w:val="auto"/>
              </w:rPr>
              <w:t>Brockton, MA</w:t>
            </w:r>
          </w:p>
        </w:tc>
        <w:tc>
          <w:tcPr>
            <w:tcW w:w="540" w:type="dxa"/>
            <w:vAlign w:val="bottom"/>
          </w:tcPr>
          <w:p>
            <w:pPr>
              <w:jc w:val="right"/>
              <w:spacing w:after="0"/>
              <w:rPr>
                <w:sz w:val="20"/>
                <w:szCs w:val="20"/>
                <w:color w:val="auto"/>
              </w:rPr>
            </w:pPr>
            <w:r>
              <w:rPr>
                <w:rFonts w:ascii="Arial" w:cs="Arial" w:eastAsia="Arial" w:hAnsi="Arial"/>
                <w:sz w:val="14"/>
                <w:szCs w:val="14"/>
                <w:color w:val="auto"/>
              </w:rPr>
              <w:t>1996</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13,433</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100.0%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171,000</w:t>
            </w:r>
          </w:p>
        </w:tc>
        <w:tc>
          <w:tcPr>
            <w:tcW w:w="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100%</w:t>
            </w:r>
          </w:p>
        </w:tc>
        <w:tc>
          <w:tcPr>
            <w:tcW w:w="7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55,000</w:t>
            </w:r>
          </w:p>
        </w:tc>
        <w:tc>
          <w:tcPr>
            <w:tcW w:w="1240" w:type="dxa"/>
            <w:vAlign w:val="bottom"/>
          </w:tcPr>
          <w:p>
            <w:pPr>
              <w:ind w:left="20"/>
              <w:spacing w:after="0"/>
              <w:rPr>
                <w:sz w:val="20"/>
                <w:szCs w:val="20"/>
                <w:color w:val="auto"/>
              </w:rPr>
            </w:pPr>
            <w:r>
              <w:rPr>
                <w:rFonts w:ascii="Arial" w:cs="Arial" w:eastAsia="Arial" w:hAnsi="Arial"/>
                <w:sz w:val="14"/>
                <w:szCs w:val="14"/>
                <w:color w:val="auto"/>
              </w:rPr>
              <w:t>Super Stop &amp; Shop</w:t>
            </w:r>
          </w:p>
        </w:tc>
        <w:tc>
          <w:tcPr>
            <w:tcW w:w="1500" w:type="dxa"/>
            <w:vAlign w:val="bottom"/>
          </w:tcPr>
          <w:p>
            <w:pPr>
              <w:ind w:left="80"/>
              <w:spacing w:after="0"/>
              <w:rPr>
                <w:sz w:val="20"/>
                <w:szCs w:val="20"/>
                <w:color w:val="auto"/>
              </w:rPr>
            </w:pPr>
            <w:r>
              <w:rPr>
                <w:rFonts w:ascii="Arial" w:cs="Arial" w:eastAsia="Arial" w:hAnsi="Arial"/>
                <w:sz w:val="14"/>
                <w:szCs w:val="14"/>
                <w:color w:val="auto"/>
              </w:rPr>
              <w:t>Kmart</w:t>
            </w:r>
          </w:p>
        </w:tc>
      </w:tr>
      <w:tr>
        <w:trPr>
          <w:trHeight w:val="95"/>
        </w:trPr>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49"/>
        </w:trPr>
        <w:tc>
          <w:tcPr>
            <w:tcW w:w="4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Total Boston</w:t>
            </w:r>
          </w:p>
        </w:tc>
        <w:tc>
          <w:tcPr>
            <w:tcW w:w="5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151,115</w:t>
            </w:r>
          </w:p>
        </w:tc>
        <w:tc>
          <w:tcPr>
            <w:tcW w:w="8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1,113,000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w:t>
            </w: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bl>
    <w:p>
      <w:pPr>
        <w:sectPr>
          <w:pgSz w:w="11900" w:h="16838" w:orient="portrait"/>
          <w:cols w:equalWidth="0" w:num="1">
            <w:col w:w="11420"/>
          </w:cols>
          <w:pgMar w:left="240" w:top="11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Mortgage or</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Grocery</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Ownership</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Anchor</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80" w:type="dxa"/>
            <w:vAlign w:val="bottom"/>
            <w:gridSpan w:val="9"/>
          </w:tcPr>
          <w:p>
            <w:pPr>
              <w:spacing w:after="0"/>
              <w:rPr>
                <w:sz w:val="20"/>
                <w:szCs w:val="20"/>
                <w:color w:val="auto"/>
              </w:rPr>
            </w:pPr>
            <w:r>
              <w:rPr>
                <w:rFonts w:ascii="Arial" w:cs="Arial" w:eastAsia="Arial" w:hAnsi="Arial"/>
                <w:sz w:val="14"/>
                <w:szCs w:val="14"/>
                <w:b w:val="1"/>
                <w:bCs w:val="1"/>
                <w:color w:val="auto"/>
              </w:rPr>
              <w:t>Property Name</w:t>
            </w:r>
          </w:p>
        </w:tc>
        <w:tc>
          <w:tcPr>
            <w:tcW w:w="1540" w:type="dxa"/>
            <w:vAlign w:val="bottom"/>
          </w:tcPr>
          <w:p>
            <w:pPr>
              <w:ind w:left="28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Acquired</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3"/>
              </w:rPr>
              <w:t>Investment</w:t>
            </w: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Percentage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GLA (1)</w:t>
            </w:r>
          </w:p>
        </w:tc>
        <w:tc>
          <w:tcPr>
            <w:tcW w:w="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 Leased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Obligation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GLA (2)</w:t>
            </w:r>
          </w:p>
        </w:tc>
        <w:tc>
          <w:tcPr>
            <w:tcW w:w="1200" w:type="dxa"/>
            <w:vAlign w:val="bottom"/>
          </w:tcPr>
          <w:p>
            <w:pPr>
              <w:ind w:left="20"/>
              <w:spacing w:after="0"/>
              <w:rPr>
                <w:sz w:val="20"/>
                <w:szCs w:val="20"/>
                <w:color w:val="auto"/>
              </w:rPr>
            </w:pPr>
            <w:r>
              <w:rPr>
                <w:rFonts w:ascii="Arial" w:cs="Arial" w:eastAsia="Arial" w:hAnsi="Arial"/>
                <w:sz w:val="14"/>
                <w:szCs w:val="14"/>
                <w:b w:val="1"/>
                <w:bCs w:val="1"/>
                <w:color w:val="auto"/>
                <w:w w:val="90"/>
              </w:rPr>
              <w:t>Grocery Anchor (2)</w:t>
            </w:r>
          </w:p>
        </w:tc>
        <w:tc>
          <w:tcPr>
            <w:tcW w:w="8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Arial" w:cs="Arial" w:eastAsia="Arial" w:hAnsi="Arial"/>
                <w:sz w:val="14"/>
                <w:szCs w:val="14"/>
                <w:b w:val="1"/>
                <w:bCs w:val="1"/>
                <w:color w:val="auto"/>
                <w:w w:val="89"/>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60" w:type="dxa"/>
            <w:vAlign w:val="bottom"/>
            <w:gridSpan w:val="8"/>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Chicago</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5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8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color w:val="auto"/>
                <w:w w:val="98"/>
              </w:rPr>
              <w:t>Comp USA / Golfsmith /</w:t>
            </w: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rPr>
              <w:t>Crossroads</w:t>
            </w: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Chicago, IL</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1993</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22,311</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173,000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Finley Square</w:t>
            </w:r>
          </w:p>
        </w:tc>
        <w:tc>
          <w:tcPr>
            <w:tcW w:w="15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Chicago, IL</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1995</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29,008</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314,000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spacing w:after="0" w:line="149" w:lineRule="exact"/>
              <w:rPr>
                <w:sz w:val="20"/>
                <w:szCs w:val="20"/>
                <w:color w:val="auto"/>
              </w:rPr>
            </w:pPr>
            <w:r>
              <w:rPr>
                <w:rFonts w:ascii="Arial" w:cs="Arial" w:eastAsia="Arial" w:hAnsi="Arial"/>
                <w:sz w:val="14"/>
                <w:szCs w:val="14"/>
                <w:color w:val="auto"/>
              </w:rPr>
              <w:t>Garden Market</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11,126</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140,000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96%</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63,000</w:t>
            </w: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Dominick’s</w:t>
            </w:r>
          </w:p>
        </w:tc>
        <w:tc>
          <w:tcPr>
            <w:tcW w:w="8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North Lake Commons</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13,071</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77,000</w:t>
            </w: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Dominick’s</w:t>
            </w: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Chicago</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75,516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756,000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880" w:type="dxa"/>
            <w:vAlign w:val="bottom"/>
            <w:gridSpan w:val="9"/>
          </w:tcPr>
          <w:p>
            <w:pPr>
              <w:spacing w:after="0"/>
              <w:rPr>
                <w:sz w:val="20"/>
                <w:szCs w:val="20"/>
                <w:color w:val="auto"/>
              </w:rPr>
            </w:pPr>
            <w:r>
              <w:rPr>
                <w:rFonts w:ascii="Arial" w:cs="Arial" w:eastAsia="Arial" w:hAnsi="Arial"/>
                <w:sz w:val="14"/>
                <w:szCs w:val="14"/>
                <w:b w:val="1"/>
                <w:bCs w:val="1"/>
                <w:color w:val="auto"/>
              </w:rPr>
              <w:t>East Region - Other</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Barnes &amp; Noble / Old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Barracks Road</w:t>
            </w:r>
          </w:p>
        </w:tc>
        <w:tc>
          <w:tcPr>
            <w:tcW w:w="15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Charlottesville, VA</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1985</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40,872</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483,000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43,331</w:t>
            </w:r>
          </w:p>
        </w:tc>
        <w:tc>
          <w:tcPr>
            <w:tcW w:w="178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w w:val="90"/>
              </w:rPr>
              <w:t>91,000 Harris Teeter / Kroger</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spacing w:after="0" w:line="149" w:lineRule="exact"/>
              <w:rPr>
                <w:sz w:val="20"/>
                <w:szCs w:val="20"/>
                <w:color w:val="auto"/>
              </w:rPr>
            </w:pPr>
            <w:r>
              <w:rPr>
                <w:rFonts w:ascii="Arial" w:cs="Arial" w:eastAsia="Arial" w:hAnsi="Arial"/>
                <w:sz w:val="14"/>
                <w:szCs w:val="14"/>
                <w:color w:val="auto"/>
              </w:rPr>
              <w:t>Bristol Plaza</w:t>
            </w: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Hartford, CT</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22,957</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277,000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74,000</w:t>
            </w: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Stop &amp; Shop</w:t>
            </w:r>
          </w:p>
        </w:tc>
        <w:tc>
          <w:tcPr>
            <w:tcW w:w="8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Raleigh-Durham- Chapel</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Eastgate</w:t>
            </w:r>
          </w:p>
        </w:tc>
        <w:tc>
          <w:tcPr>
            <w:tcW w:w="1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Hill, NC</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1986</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17,024</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88%</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23,000</w:t>
            </w:r>
          </w:p>
        </w:tc>
        <w:tc>
          <w:tcPr>
            <w:tcW w:w="1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Earth Fare</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Bally’s / Comp USA /</w:t>
            </w: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rPr>
              <w:t>Governor Plaza</w:t>
            </w: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Baltimore, MD</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1985</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18,700</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99.9%</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268,000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80%</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Bed, Bath &amp; Beyond / Best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Gratiot Plaza</w:t>
            </w:r>
          </w:p>
        </w:tc>
        <w:tc>
          <w:tcPr>
            <w:tcW w:w="15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Detroit, MI</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1973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18,022</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69,000</w:t>
            </w:r>
          </w:p>
        </w:tc>
        <w:tc>
          <w:tcPr>
            <w:tcW w:w="1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Farmer Jacks</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Buy / 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rPr>
              <w:t>New Haven-Bridgeport-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rPr>
              <w:t>Greenwich Avenue</w:t>
            </w:r>
          </w:p>
        </w:tc>
        <w:tc>
          <w:tcPr>
            <w:tcW w:w="1540" w:type="dxa"/>
            <w:vAlign w:val="bottom"/>
          </w:tcPr>
          <w:p>
            <w:pPr>
              <w:ind w:left="200"/>
              <w:spacing w:after="0" w:line="159" w:lineRule="exact"/>
              <w:rPr>
                <w:sz w:val="20"/>
                <w:szCs w:val="20"/>
                <w:color w:val="auto"/>
              </w:rPr>
            </w:pPr>
            <w:r>
              <w:rPr>
                <w:rFonts w:ascii="Arial" w:cs="Arial" w:eastAsia="Arial" w:hAnsi="Arial"/>
                <w:sz w:val="14"/>
                <w:szCs w:val="14"/>
                <w:color w:val="auto"/>
              </w:rPr>
              <w:t>Stamford-Waterbury</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1995</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15,993</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42,000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Lancaster, PA</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10,862</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4,907</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39,000</w:t>
            </w: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w w:val="95"/>
              </w:rPr>
              <w:t>Home Depot / Burlington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Shoppers Food</w:t>
            </w:r>
          </w:p>
        </w:tc>
        <w:tc>
          <w:tcPr>
            <w:tcW w:w="8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Coat Factory / Jo-Ann</w:t>
            </w: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rPr>
              <w:t>Perring Plaza</w:t>
            </w: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Baltimore, MD</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1985</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26,172</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99.9%</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401,000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58,000</w:t>
            </w:r>
          </w:p>
        </w:tc>
        <w:tc>
          <w:tcPr>
            <w:tcW w:w="1200" w:type="dxa"/>
            <w:vAlign w:val="bottom"/>
          </w:tcPr>
          <w:p>
            <w:pPr>
              <w:ind w:left="60"/>
              <w:spacing w:after="0" w:line="159" w:lineRule="exact"/>
              <w:rPr>
                <w:sz w:val="20"/>
                <w:szCs w:val="20"/>
                <w:color w:val="auto"/>
              </w:rPr>
            </w:pPr>
            <w:r>
              <w:rPr>
                <w:rFonts w:ascii="Arial" w:cs="Arial" w:eastAsia="Arial" w:hAnsi="Arial"/>
                <w:sz w:val="14"/>
                <w:szCs w:val="14"/>
                <w:color w:val="auto"/>
              </w:rPr>
              <w:t>Warehouse</w:t>
            </w:r>
          </w:p>
        </w:tc>
        <w:tc>
          <w:tcPr>
            <w:tcW w:w="8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Arial" w:cs="Arial" w:eastAsia="Arial" w:hAnsi="Arial"/>
                <w:sz w:val="14"/>
                <w:szCs w:val="14"/>
                <w:color w:val="auto"/>
              </w:rPr>
              <w:t>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Old Navy / Tower Records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Shops at Willow Lawn</w:t>
            </w:r>
          </w:p>
        </w:tc>
        <w:tc>
          <w:tcPr>
            <w:tcW w:w="15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3"/>
              </w:rPr>
              <w:t>Richmond-Petersburg, VA</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1983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59,924</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99.9%</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482,000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74%</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60,000</w:t>
            </w:r>
          </w:p>
        </w:tc>
        <w:tc>
          <w:tcPr>
            <w:tcW w:w="1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Kroger</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 Staples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Total East Region - Other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230,526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2,434,000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0"/>
                <w:szCs w:val="20"/>
                <w:color w:val="auto"/>
              </w:rPr>
            </w:pPr>
            <w:r>
              <w:rPr>
                <w:rFonts w:ascii="Arial" w:cs="Arial" w:eastAsia="Arial" w:hAnsi="Arial"/>
                <w:sz w:val="14"/>
                <w:szCs w:val="14"/>
                <w:b w:val="1"/>
                <w:bCs w:val="1"/>
                <w:color w:val="auto"/>
              </w:rPr>
              <w:t>Total East Region</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1,841,095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14,920,000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96%</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2"/>
              </w:rPr>
              <w:t>West Region</w:t>
            </w:r>
          </w:p>
        </w:tc>
        <w:tc>
          <w:tcPr>
            <w:tcW w:w="1140" w:type="dxa"/>
            <w:vAlign w:val="bottom"/>
            <w:tcBorders>
              <w:bottom w:val="single" w:sz="8" w:color="CCEEFF"/>
            </w:tcBorders>
            <w:gridSpan w:val="5"/>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880" w:type="dxa"/>
            <w:vAlign w:val="bottom"/>
            <w:gridSpan w:val="9"/>
          </w:tcPr>
          <w:p>
            <w:pPr>
              <w:spacing w:after="0"/>
              <w:rPr>
                <w:sz w:val="20"/>
                <w:szCs w:val="20"/>
                <w:color w:val="auto"/>
              </w:rPr>
            </w:pPr>
            <w:r>
              <w:rPr>
                <w:rFonts w:ascii="Arial" w:cs="Arial" w:eastAsia="Arial" w:hAnsi="Arial"/>
                <w:sz w:val="14"/>
                <w:szCs w:val="14"/>
                <w:b w:val="1"/>
                <w:bCs w:val="1"/>
                <w:color w:val="auto"/>
              </w:rPr>
              <w:t>California</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4"/>
              </w:rPr>
              <w:t>Los Angeles-Long Beach,</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Pottery Barn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Colorado Blvd</w:t>
            </w:r>
          </w:p>
        </w:tc>
        <w:tc>
          <w:tcPr>
            <w:tcW w:w="1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1996-1998</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16,663</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w w:val="87"/>
              </w:rPr>
              <w:t>Cost Plus / TJ Maxx / Toys</w:t>
            </w: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rPr>
              <w:t>Escondido</w:t>
            </w: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San Diego, CA</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1996</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25,587</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70.0%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222,000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Arial" w:cs="Arial" w:eastAsia="Arial" w:hAnsi="Arial"/>
                <w:sz w:val="14"/>
                <w:szCs w:val="14"/>
                <w:color w:val="auto"/>
              </w:rPr>
              <w:t>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Diego, CA</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1996-1997</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12,645</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line="138" w:lineRule="exact"/>
              <w:rPr>
                <w:sz w:val="20"/>
                <w:szCs w:val="20"/>
                <w:color w:val="auto"/>
              </w:rPr>
            </w:pPr>
            <w:r>
              <w:rPr>
                <w:rFonts w:ascii="Arial" w:cs="Arial" w:eastAsia="Arial" w:hAnsi="Arial"/>
                <w:sz w:val="14"/>
                <w:szCs w:val="14"/>
                <w:color w:val="auto"/>
                <w:w w:val="94"/>
              </w:rPr>
              <w:t>Los Angeles-Long Beach,</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rPr>
              <w:t>Hermosa Ave</w:t>
            </w:r>
          </w:p>
        </w:tc>
        <w:tc>
          <w:tcPr>
            <w:tcW w:w="1540" w:type="dxa"/>
            <w:vAlign w:val="bottom"/>
          </w:tcPr>
          <w:p>
            <w:pPr>
              <w:ind w:left="200"/>
              <w:spacing w:after="0" w:line="159" w:lineRule="exact"/>
              <w:rPr>
                <w:sz w:val="20"/>
                <w:szCs w:val="20"/>
                <w:color w:val="auto"/>
              </w:rPr>
            </w:pPr>
            <w:r>
              <w:rPr>
                <w:rFonts w:ascii="Arial" w:cs="Arial" w:eastAsia="Arial" w:hAnsi="Arial"/>
                <w:sz w:val="14"/>
                <w:szCs w:val="14"/>
                <w:color w:val="auto"/>
              </w:rPr>
              <w:t>CA</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1997</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4,721</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90.0%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23,000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Los Angeles-Long Beach,</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Hollywood Entertainment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Hollywood Blvd</w:t>
            </w:r>
          </w:p>
        </w:tc>
        <w:tc>
          <w:tcPr>
            <w:tcW w:w="1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1999</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25,949</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90.0%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78%</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Museum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line="138" w:lineRule="exact"/>
              <w:rPr>
                <w:sz w:val="20"/>
                <w:szCs w:val="20"/>
                <w:color w:val="auto"/>
              </w:rPr>
            </w:pPr>
            <w:r>
              <w:rPr>
                <w:rFonts w:ascii="Arial" w:cs="Arial" w:eastAsia="Arial" w:hAnsi="Arial"/>
                <w:sz w:val="14"/>
                <w:szCs w:val="14"/>
                <w:color w:val="auto"/>
              </w:rPr>
              <w:t>Lunardi’s Super</w:t>
            </w: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rPr>
              <w:t>Kings Court</w:t>
            </w: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San Jose, CA</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1998</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11,258</w:t>
            </w:r>
          </w:p>
        </w:tc>
        <w:tc>
          <w:tcPr>
            <w:tcW w:w="92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(5)</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79,000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100%</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25,000</w:t>
            </w:r>
          </w:p>
        </w:tc>
        <w:tc>
          <w:tcPr>
            <w:tcW w:w="1200" w:type="dxa"/>
            <w:vAlign w:val="bottom"/>
          </w:tcPr>
          <w:p>
            <w:pPr>
              <w:ind w:left="60"/>
              <w:spacing w:after="0" w:line="159" w:lineRule="exact"/>
              <w:rPr>
                <w:sz w:val="20"/>
                <w:szCs w:val="20"/>
                <w:color w:val="auto"/>
              </w:rPr>
            </w:pPr>
            <w:r>
              <w:rPr>
                <w:rFonts w:ascii="Arial" w:cs="Arial" w:eastAsia="Arial" w:hAnsi="Arial"/>
                <w:sz w:val="14"/>
                <w:szCs w:val="14"/>
                <w:color w:val="auto"/>
              </w:rPr>
              <w:t>Market</w:t>
            </w:r>
          </w:p>
        </w:tc>
        <w:tc>
          <w:tcPr>
            <w:tcW w:w="8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Arial" w:cs="Arial" w:eastAsia="Arial" w:hAnsi="Arial"/>
                <w:sz w:val="14"/>
                <w:szCs w:val="14"/>
                <w:color w:val="auto"/>
              </w:rPr>
              <w:t>Longs Drug Store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Borders / Gap Kids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Old Town Center</w:t>
            </w:r>
          </w:p>
        </w:tc>
        <w:tc>
          <w:tcPr>
            <w:tcW w:w="15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San Jose, CA</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1997</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33,283</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w w:val="90"/>
              </w:rPr>
              <w:t>Crate &amp; Barrel / Container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w w:val="90"/>
              </w:rPr>
              <w:t>Store / Best Buy / Borders</w:t>
            </w: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w w:val="98"/>
              </w:rPr>
              <w:t>Santana Row (Phase I, II &amp; III)</w:t>
            </w: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San Jose, CA</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1997</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508,267</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558,000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93%</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Arial" w:cs="Arial" w:eastAsia="Arial" w:hAnsi="Arial"/>
                <w:sz w:val="14"/>
                <w:szCs w:val="14"/>
                <w:color w:val="auto"/>
              </w:rPr>
              <w:t>/ CineArts 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J. Crew / Banana Republic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Los Angeles-Long Beach,</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 Old Navy / Abercrombie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gridSpan w:val="8"/>
            <w:shd w:val="clear" w:color="auto" w:fill="CCEEFF"/>
          </w:tcPr>
          <w:p>
            <w:pPr>
              <w:spacing w:after="0" w:line="159" w:lineRule="exact"/>
              <w:rPr>
                <w:sz w:val="20"/>
                <w:szCs w:val="20"/>
                <w:color w:val="auto"/>
              </w:rPr>
            </w:pPr>
            <w:r>
              <w:rPr>
                <w:rFonts w:ascii="Arial" w:cs="Arial" w:eastAsia="Arial" w:hAnsi="Arial"/>
                <w:sz w:val="14"/>
                <w:szCs w:val="14"/>
                <w:color w:val="auto"/>
              </w:rPr>
              <w:t>Third St Promenade</w:t>
            </w:r>
          </w:p>
        </w:tc>
        <w:tc>
          <w:tcPr>
            <w:tcW w:w="1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1996-2000</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75,244</w:t>
            </w:r>
          </w:p>
        </w:tc>
        <w:tc>
          <w:tcPr>
            <w:tcW w:w="92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209,000</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&amp; 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w w:val="98"/>
              </w:rPr>
              <w:t>Target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w w:val="88"/>
              </w:rPr>
              <w:t>Factory / Barnes &amp; Noble /</w:t>
            </w:r>
          </w:p>
        </w:tc>
        <w:tc>
          <w:tcPr>
            <w:tcW w:w="0" w:type="dxa"/>
            <w:vAlign w:val="bottom"/>
          </w:tcPr>
          <w:p>
            <w:pPr>
              <w:spacing w:after="0"/>
              <w:rPr>
                <w:sz w:val="1"/>
                <w:szCs w:val="1"/>
                <w:color w:val="auto"/>
              </w:rPr>
            </w:pPr>
          </w:p>
        </w:tc>
      </w:tr>
      <w:tr>
        <w:trPr>
          <w:trHeight w:val="159"/>
        </w:trPr>
        <w:tc>
          <w:tcPr>
            <w:tcW w:w="1880" w:type="dxa"/>
            <w:vAlign w:val="bottom"/>
            <w:gridSpan w:val="9"/>
          </w:tcPr>
          <w:p>
            <w:pPr>
              <w:spacing w:after="0" w:line="159" w:lineRule="exact"/>
              <w:rPr>
                <w:sz w:val="20"/>
                <w:szCs w:val="20"/>
                <w:color w:val="auto"/>
              </w:rPr>
            </w:pPr>
            <w:r>
              <w:rPr>
                <w:rFonts w:ascii="Arial" w:cs="Arial" w:eastAsia="Arial" w:hAnsi="Arial"/>
                <w:sz w:val="14"/>
                <w:szCs w:val="14"/>
                <w:color w:val="auto"/>
              </w:rPr>
              <w:t>Westgate</w:t>
            </w:r>
          </w:p>
        </w:tc>
        <w:tc>
          <w:tcPr>
            <w:tcW w:w="1540" w:type="dxa"/>
            <w:vAlign w:val="bottom"/>
          </w:tcPr>
          <w:p>
            <w:pPr>
              <w:spacing w:after="0" w:line="159" w:lineRule="exact"/>
              <w:rPr>
                <w:sz w:val="20"/>
                <w:szCs w:val="20"/>
                <w:color w:val="auto"/>
              </w:rPr>
            </w:pPr>
            <w:r>
              <w:rPr>
                <w:rFonts w:ascii="Arial" w:cs="Arial" w:eastAsia="Arial" w:hAnsi="Arial"/>
                <w:sz w:val="14"/>
                <w:szCs w:val="14"/>
                <w:color w:val="auto"/>
              </w:rPr>
              <w:t>San Jose, CA</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2004</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114,476</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646,000</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98%</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38,000</w:t>
            </w:r>
          </w:p>
        </w:tc>
        <w:tc>
          <w:tcPr>
            <w:tcW w:w="1200" w:type="dxa"/>
            <w:vAlign w:val="bottom"/>
          </w:tcPr>
          <w:p>
            <w:pPr>
              <w:spacing w:after="0" w:line="159" w:lineRule="exact"/>
              <w:rPr>
                <w:sz w:val="20"/>
                <w:szCs w:val="20"/>
                <w:color w:val="auto"/>
              </w:rPr>
            </w:pPr>
            <w:r>
              <w:rPr>
                <w:rFonts w:ascii="Arial" w:cs="Arial" w:eastAsia="Arial" w:hAnsi="Arial"/>
                <w:sz w:val="14"/>
                <w:szCs w:val="14"/>
                <w:color w:val="auto"/>
              </w:rPr>
              <w:t>Safeway</w:t>
            </w:r>
          </w:p>
        </w:tc>
        <w:tc>
          <w:tcPr>
            <w:tcW w:w="8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150 Post Street</w:t>
            </w: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Francisco, CA</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1997</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35,544</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California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863,637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2,204,000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gridSpan w:val="8"/>
          </w:tcPr>
          <w:p>
            <w:pPr>
              <w:spacing w:after="0" w:line="135" w:lineRule="exact"/>
              <w:rPr>
                <w:sz w:val="20"/>
                <w:szCs w:val="20"/>
                <w:color w:val="auto"/>
              </w:rPr>
            </w:pPr>
            <w:r>
              <w:rPr>
                <w:rFonts w:ascii="Arial" w:cs="Arial" w:eastAsia="Arial" w:hAnsi="Arial"/>
                <w:sz w:val="14"/>
                <w:szCs w:val="14"/>
                <w:b w:val="1"/>
                <w:bCs w:val="1"/>
                <w:color w:val="auto"/>
              </w:rPr>
              <w:t>West Region - Other</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Borders>
              <w:top w:val="single" w:sz="8" w:color="auto"/>
            </w:tcBorders>
            <w:gridSpan w:val="7"/>
            <w:shd w:val="clear" w:color="auto" w:fill="CCEEFF"/>
          </w:tcPr>
          <w:p>
            <w:pPr>
              <w:spacing w:after="0" w:line="142" w:lineRule="exact"/>
              <w:rPr>
                <w:sz w:val="20"/>
                <w:szCs w:val="20"/>
                <w:color w:val="auto"/>
              </w:rPr>
            </w:pPr>
            <w:r>
              <w:rPr>
                <w:rFonts w:ascii="Arial" w:cs="Arial" w:eastAsia="Arial" w:hAnsi="Arial"/>
                <w:sz w:val="14"/>
                <w:szCs w:val="14"/>
                <w:color w:val="auto"/>
              </w:rPr>
              <w:t>Houston St</w:t>
            </w:r>
          </w:p>
        </w:tc>
        <w:tc>
          <w:tcPr>
            <w:tcW w:w="7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San Antonio, TX</w:t>
            </w:r>
          </w:p>
        </w:tc>
        <w:tc>
          <w:tcPr>
            <w:tcW w:w="7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1998</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64,057</w:t>
            </w:r>
          </w:p>
        </w:tc>
        <w:tc>
          <w:tcPr>
            <w:tcW w:w="9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100.0%</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171,000</w:t>
            </w:r>
          </w:p>
        </w:tc>
        <w:tc>
          <w:tcPr>
            <w:tcW w:w="84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67%</w:t>
            </w:r>
          </w:p>
        </w:tc>
        <w:tc>
          <w:tcPr>
            <w:tcW w:w="8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156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0"/>
                <w:szCs w:val="20"/>
                <w:color w:val="auto"/>
              </w:rPr>
            </w:pPr>
            <w:r>
              <w:rPr>
                <w:rFonts w:ascii="Arial" w:cs="Arial" w:eastAsia="Arial" w:hAnsi="Arial"/>
                <w:sz w:val="14"/>
                <w:szCs w:val="14"/>
                <w:b w:val="1"/>
                <w:bCs w:val="1"/>
                <w:color w:val="auto"/>
              </w:rPr>
              <w:t>Total West Region</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927,694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2,375,000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93%</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2,768,789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17,295,000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407,643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74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redevelopment square footage not yet in service, Santana Row residential, future phases of Santana Row, Rollingwood and The Crest at Congressional Apartments.</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investment includes dollars associated with the 146 units of The Crest at Congressional.</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Currently under contract to acquire the retail square footage upon completion of development.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four properties, three at 100% and one at 90%.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nine properties, eight at 100% and one at 90%.</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Renewal Lease Summary - Comparable (2) (7)</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19"/>
              <w:spacing w:after="0" w:line="159" w:lineRule="exact"/>
              <w:rPr>
                <w:sz w:val="20"/>
                <w:szCs w:val="20"/>
                <w:color w:val="auto"/>
              </w:rPr>
            </w:pPr>
            <w:r>
              <w:rPr>
                <w:rFonts w:ascii="Arial" w:cs="Arial" w:eastAsia="Arial" w:hAnsi="Arial"/>
                <w:sz w:val="14"/>
                <w:szCs w:val="14"/>
                <w:b w:val="1"/>
                <w:bCs w:val="1"/>
                <w:color w:val="auto"/>
                <w:w w:val="87"/>
              </w:rPr>
              <w:t>Tenant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Cash Basis</w:t>
            </w: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Tenant</w:t>
            </w:r>
          </w:p>
        </w:tc>
        <w:tc>
          <w:tcPr>
            <w:tcW w:w="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 of Comparable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 Increase</w:t>
            </w: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Basis % Increase</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Leases Signed</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3"/>
              </w:rPr>
              <w:t>Leases Signed</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Per Sq. Ft.</w:t>
            </w:r>
          </w:p>
        </w:tc>
        <w:tc>
          <w:tcPr>
            <w:tcW w:w="60" w:type="dxa"/>
            <w:vAlign w:val="bottom"/>
          </w:tcPr>
          <w:p>
            <w:pPr>
              <w:spacing w:after="0"/>
              <w:rPr>
                <w:sz w:val="15"/>
                <w:szCs w:val="15"/>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Increase in Rent</w:t>
            </w: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Lease Term (5)</w:t>
            </w:r>
          </w:p>
        </w:tc>
        <w:tc>
          <w:tcPr>
            <w:tcW w:w="60" w:type="dxa"/>
            <w:vAlign w:val="bottom"/>
          </w:tcPr>
          <w:p>
            <w:pPr>
              <w:spacing w:after="0"/>
              <w:rPr>
                <w:sz w:val="15"/>
                <w:szCs w:val="15"/>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&amp; Incentives (6)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Per Sq. Ft.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197,246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303,787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469,514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2nd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gridSpan w:val="3"/>
          </w:tcPr>
          <w:p>
            <w:pPr>
              <w:ind w:left="22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121,201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28.51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26.12</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289,432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267,390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162,672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418,304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4th</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212,409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25.16</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22.65</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533,083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392,568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693,528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1,544,606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1,129,472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820" w:type="dxa"/>
            <w:vAlign w:val="bottom"/>
            <w:gridSpan w:val="3"/>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2940" w:type="dxa"/>
            <w:vAlign w:val="bottom"/>
            <w:gridSpan w:val="10"/>
          </w:tcPr>
          <w:p>
            <w:pPr>
              <w:spacing w:after="0"/>
              <w:rPr>
                <w:sz w:val="20"/>
                <w:szCs w:val="20"/>
                <w:color w:val="auto"/>
              </w:rPr>
            </w:pPr>
            <w:r>
              <w:rPr>
                <w:rFonts w:ascii="Arial" w:cs="Arial" w:eastAsia="Arial" w:hAnsi="Arial"/>
                <w:sz w:val="18"/>
                <w:szCs w:val="18"/>
                <w:b w:val="1"/>
                <w:bCs w:val="1"/>
                <w:color w:val="auto"/>
                <w:w w:val="89"/>
              </w:rPr>
              <w:t>New Lease Summary - Comparable (2)</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Tenant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Cash Basis</w:t>
            </w: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Tenant</w:t>
            </w:r>
          </w:p>
        </w:tc>
        <w:tc>
          <w:tcPr>
            <w:tcW w:w="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 of Comparable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 Increase</w:t>
            </w: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Basis % Increase</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Leases Signed</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3"/>
              </w:rPr>
              <w:t>Leases Signed</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Per Sq. Ft.</w:t>
            </w:r>
          </w:p>
        </w:tc>
        <w:tc>
          <w:tcPr>
            <w:tcW w:w="60" w:type="dxa"/>
            <w:vAlign w:val="bottom"/>
          </w:tcPr>
          <w:p>
            <w:pPr>
              <w:spacing w:after="0"/>
              <w:rPr>
                <w:sz w:val="15"/>
                <w:szCs w:val="15"/>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Increase in Rent</w:t>
            </w: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Lease Term (5)</w:t>
            </w:r>
          </w:p>
        </w:tc>
        <w:tc>
          <w:tcPr>
            <w:tcW w:w="60" w:type="dxa"/>
            <w:vAlign w:val="bottom"/>
          </w:tcPr>
          <w:p>
            <w:pPr>
              <w:spacing w:after="0"/>
              <w:rPr>
                <w:sz w:val="15"/>
                <w:szCs w:val="15"/>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&amp; Incentives (6)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Per Sq. Ft.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197,380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1,300,320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5,405,665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2nd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gridSpan w:val="3"/>
          </w:tcPr>
          <w:p>
            <w:pPr>
              <w:ind w:left="22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120,207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32.37</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19.10</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1,594,789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1,775,952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62,410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316,818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1,785,819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4th</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185,703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18.77</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14.30</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830,620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3,616,757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565,700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4,042,547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10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87"/>
              </w:rPr>
              <w:t>$ 12,584,193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820" w:type="dxa"/>
            <w:vAlign w:val="bottom"/>
            <w:gridSpan w:val="3"/>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3660" w:type="dxa"/>
            <w:vAlign w:val="bottom"/>
            <w:gridSpan w:val="12"/>
          </w:tcPr>
          <w:p>
            <w:pPr>
              <w:spacing w:after="0"/>
              <w:rPr>
                <w:sz w:val="20"/>
                <w:szCs w:val="20"/>
                <w:color w:val="auto"/>
              </w:rPr>
            </w:pPr>
            <w:r>
              <w:rPr>
                <w:rFonts w:ascii="Arial" w:cs="Arial" w:eastAsia="Arial" w:hAnsi="Arial"/>
                <w:sz w:val="18"/>
                <w:szCs w:val="18"/>
                <w:b w:val="1"/>
                <w:bCs w:val="1"/>
                <w:color w:val="auto"/>
              </w:rPr>
              <w:t>Total Lease Summary - Comparable (2)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Tenant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Cash Basis</w:t>
            </w: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Tenant</w:t>
            </w:r>
          </w:p>
        </w:tc>
        <w:tc>
          <w:tcPr>
            <w:tcW w:w="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 of Comparable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Annual</w:t>
            </w: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 Increase</w:t>
            </w: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Basis % Increase</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Leases Signed</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3"/>
              </w:rPr>
              <w:t>Leases Signed</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Per Sq. Ft.</w:t>
            </w:r>
          </w:p>
        </w:tc>
        <w:tc>
          <w:tcPr>
            <w:tcW w:w="60" w:type="dxa"/>
            <w:vAlign w:val="bottom"/>
          </w:tcPr>
          <w:p>
            <w:pPr>
              <w:spacing w:after="0"/>
              <w:rPr>
                <w:sz w:val="15"/>
                <w:szCs w:val="15"/>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w w:val="90"/>
              </w:rPr>
              <w:t>Increase in Rent</w:t>
            </w: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Lease Term (5)</w:t>
            </w:r>
          </w:p>
        </w:tc>
        <w:tc>
          <w:tcPr>
            <w:tcW w:w="60" w:type="dxa"/>
            <w:vAlign w:val="bottom"/>
          </w:tcPr>
          <w:p>
            <w:pPr>
              <w:spacing w:after="0"/>
              <w:rPr>
                <w:sz w:val="15"/>
                <w:szCs w:val="15"/>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&amp; Incentives (6)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Per Sq. Ft.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394,626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1,604,107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5,875,179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2nd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gridSpan w:val="3"/>
          </w:tcPr>
          <w:p>
            <w:pPr>
              <w:ind w:left="22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241,408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30.43</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22.63</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1,884,221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2,043,342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225,082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735,122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1,785,819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4th</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w w:val="98"/>
              </w:rPr>
              <w:t>Quarter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398,112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22.18</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18.75</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1,363,703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4,009,325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1,259,228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5,587,153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0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87"/>
              </w:rPr>
              <w:t>$ 13,713,665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820" w:type="dxa"/>
            <w:vAlign w:val="bottom"/>
            <w:gridSpan w:val="3"/>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gridSpan w:val="3"/>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300" w:type="dxa"/>
            <w:vAlign w:val="bottom"/>
            <w:gridSpan w:val="20"/>
          </w:tcPr>
          <w:p>
            <w:pPr>
              <w:spacing w:after="0"/>
              <w:rPr>
                <w:sz w:val="20"/>
                <w:szCs w:val="20"/>
                <w:color w:val="auto"/>
              </w:rPr>
            </w:pPr>
            <w:r>
              <w:rPr>
                <w:rFonts w:ascii="Arial" w:cs="Arial" w:eastAsia="Arial" w:hAnsi="Arial"/>
                <w:sz w:val="18"/>
                <w:szCs w:val="18"/>
                <w:b w:val="1"/>
                <w:bCs w:val="1"/>
                <w:color w:val="auto"/>
              </w:rPr>
              <w:t>Total Lease Summary - Comparable and Non-comparable (2)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4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GLA Signed</w:t>
            </w:r>
          </w:p>
        </w:tc>
        <w:tc>
          <w:tcPr>
            <w:tcW w:w="1100" w:type="dxa"/>
            <w:vAlign w:val="bottom"/>
            <w:gridSpan w:val="4"/>
          </w:tcPr>
          <w:p>
            <w:pPr>
              <w:jc w:val="center"/>
              <w:ind w:left="320"/>
              <w:spacing w:after="0"/>
              <w:rPr>
                <w:sz w:val="20"/>
                <w:szCs w:val="20"/>
                <w:color w:val="auto"/>
              </w:rPr>
            </w:pPr>
            <w:r>
              <w:rPr>
                <w:rFonts w:ascii="Arial" w:cs="Arial" w:eastAsia="Arial" w:hAnsi="Arial"/>
                <w:sz w:val="14"/>
                <w:szCs w:val="14"/>
                <w:b w:val="1"/>
                <w:bCs w:val="1"/>
                <w:color w:val="auto"/>
                <w:w w:val="89"/>
              </w:rPr>
              <w:t>Contractual</w:t>
            </w:r>
          </w:p>
        </w:tc>
        <w:tc>
          <w:tcPr>
            <w:tcW w:w="110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24"/>
                <w:szCs w:val="24"/>
                <w:color w:val="auto"/>
              </w:rPr>
            </w:pPr>
          </w:p>
        </w:tc>
        <w:tc>
          <w:tcPr>
            <w:tcW w:w="17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Tenant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Tenant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spacing w:after="0" w:line="114" w:lineRule="exact"/>
              <w:rPr>
                <w:sz w:val="20"/>
                <w:szCs w:val="20"/>
                <w:color w:val="auto"/>
              </w:rPr>
            </w:pPr>
            <w:r>
              <w:rPr>
                <w:rFonts w:ascii="Arial" w:cs="Arial" w:eastAsia="Arial" w:hAnsi="Arial"/>
                <w:sz w:val="12"/>
                <w:szCs w:val="12"/>
                <w:b w:val="1"/>
                <w:bCs w:val="1"/>
                <w:color w:val="auto"/>
              </w:rPr>
              <w:t>Leases Signed</w:t>
            </w:r>
          </w:p>
        </w:tc>
        <w:tc>
          <w:tcPr>
            <w:tcW w:w="2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gridSpan w:val="3"/>
          </w:tcPr>
          <w:p>
            <w:pPr>
              <w:jc w:val="center"/>
              <w:ind w:left="400"/>
              <w:spacing w:after="0" w:line="114" w:lineRule="exact"/>
              <w:rPr>
                <w:sz w:val="20"/>
                <w:szCs w:val="20"/>
                <w:color w:val="auto"/>
              </w:rPr>
            </w:pPr>
            <w:r>
              <w:rPr>
                <w:rFonts w:ascii="Arial" w:cs="Arial" w:eastAsia="Arial" w:hAnsi="Arial"/>
                <w:sz w:val="12"/>
                <w:szCs w:val="12"/>
                <w:b w:val="1"/>
                <w:bCs w:val="1"/>
                <w:color w:val="auto"/>
              </w:rPr>
              <w:t>Rent (3)</w:t>
            </w:r>
          </w:p>
        </w:tc>
        <w:tc>
          <w:tcPr>
            <w:tcW w:w="80" w:type="dxa"/>
            <w:vAlign w:val="bottom"/>
          </w:tcPr>
          <w:p>
            <w:pPr>
              <w:spacing w:after="0"/>
              <w:rPr>
                <w:sz w:val="10"/>
                <w:szCs w:val="10"/>
                <w:color w:val="auto"/>
              </w:rPr>
            </w:pPr>
          </w:p>
        </w:tc>
        <w:tc>
          <w:tcPr>
            <w:tcW w:w="1100" w:type="dxa"/>
            <w:vAlign w:val="bottom"/>
            <w:gridSpan w:val="2"/>
          </w:tcPr>
          <w:p>
            <w:pPr>
              <w:jc w:val="right"/>
              <w:ind w:right="40"/>
              <w:spacing w:after="0" w:line="114"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0"/>
                <w:szCs w:val="10"/>
                <w:color w:val="auto"/>
              </w:rPr>
            </w:pPr>
          </w:p>
        </w:tc>
        <w:tc>
          <w:tcPr>
            <w:tcW w:w="1720" w:type="dxa"/>
            <w:vAlign w:val="bottom"/>
            <w:gridSpan w:val="6"/>
          </w:tcPr>
          <w:p>
            <w:pPr>
              <w:jc w:val="center"/>
              <w:spacing w:after="0" w:line="114" w:lineRule="exact"/>
              <w:rPr>
                <w:sz w:val="20"/>
                <w:szCs w:val="20"/>
                <w:color w:val="auto"/>
              </w:rPr>
            </w:pPr>
            <w:r>
              <w:rPr>
                <w:rFonts w:ascii="Arial" w:cs="Arial" w:eastAsia="Arial" w:hAnsi="Arial"/>
                <w:sz w:val="12"/>
                <w:szCs w:val="12"/>
                <w:b w:val="1"/>
                <w:bCs w:val="1"/>
                <w:color w:val="auto"/>
              </w:rPr>
              <w:t>Improvements</w:t>
            </w:r>
          </w:p>
        </w:tc>
        <w:tc>
          <w:tcPr>
            <w:tcW w:w="900" w:type="dxa"/>
            <w:vAlign w:val="bottom"/>
            <w:gridSpan w:val="3"/>
          </w:tcPr>
          <w:p>
            <w:pPr>
              <w:jc w:val="right"/>
              <w:spacing w:after="0" w:line="114" w:lineRule="exact"/>
              <w:rPr>
                <w:sz w:val="20"/>
                <w:szCs w:val="20"/>
                <w:color w:val="auto"/>
              </w:rPr>
            </w:pPr>
            <w:r>
              <w:rPr>
                <w:rFonts w:ascii="Arial" w:cs="Arial" w:eastAsia="Arial" w:hAnsi="Arial"/>
                <w:sz w:val="12"/>
                <w:szCs w:val="12"/>
                <w:b w:val="1"/>
                <w:bCs w:val="1"/>
                <w:color w:val="auto"/>
                <w:w w:val="99"/>
              </w:rPr>
              <w:t>Improvements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tcPr>
          <w:p>
            <w:pPr>
              <w:jc w:val="center"/>
              <w:ind w:left="320"/>
              <w:spacing w:after="0" w:line="129" w:lineRule="exact"/>
              <w:rPr>
                <w:sz w:val="20"/>
                <w:szCs w:val="20"/>
                <w:color w:val="auto"/>
              </w:rPr>
            </w:pPr>
            <w:r>
              <w:rPr>
                <w:rFonts w:ascii="Arial" w:cs="Arial" w:eastAsia="Arial" w:hAnsi="Arial"/>
                <w:sz w:val="14"/>
                <w:szCs w:val="14"/>
                <w:b w:val="1"/>
                <w:bCs w:val="1"/>
                <w:color w:val="auto"/>
                <w:w w:val="89"/>
              </w:rPr>
              <w:t>Per Sq. Ft.</w:t>
            </w:r>
          </w:p>
        </w:tc>
        <w:tc>
          <w:tcPr>
            <w:tcW w:w="1260" w:type="dxa"/>
            <w:vAlign w:val="bottom"/>
            <w:gridSpan w:val="3"/>
          </w:tcPr>
          <w:p>
            <w:pPr>
              <w:jc w:val="center"/>
              <w:ind w:left="318"/>
              <w:spacing w:after="0" w:line="129" w:lineRule="exact"/>
              <w:rPr>
                <w:sz w:val="20"/>
                <w:szCs w:val="20"/>
                <w:color w:val="auto"/>
              </w:rPr>
            </w:pPr>
            <w:r>
              <w:rPr>
                <w:rFonts w:ascii="Arial" w:cs="Arial" w:eastAsia="Arial" w:hAnsi="Arial"/>
                <w:sz w:val="14"/>
                <w:szCs w:val="14"/>
                <w:b w:val="1"/>
                <w:bCs w:val="1"/>
                <w:color w:val="auto"/>
                <w:w w:val="86"/>
              </w:rPr>
              <w:t>Lease Term (5)</w:t>
            </w:r>
          </w:p>
        </w:tc>
        <w:tc>
          <w:tcPr>
            <w:tcW w:w="172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8"/>
              </w:rPr>
              <w:t>&amp; Incentives (6)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-7059295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-7059295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-7059295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-7059295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-7059295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-7059295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-7059295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-7059295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-7059295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-7059295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-7059295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-7059295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-7059295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-7059295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-7059295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-7059295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-7059295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-7059295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-7059295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-7059295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-7059295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-7059295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-7059295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-7059295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-7059295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7284085</wp:posOffset>
            </wp:positionH>
            <wp:positionV relativeFrom="paragraph">
              <wp:posOffset>-7059295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-7059295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-3895090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-3895090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-3895090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-3895090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-3895090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-3895090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-3895090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-3895090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-3895090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-3895090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-3895090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-3895090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-3895090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-3895090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-3895090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-3895090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-3895090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-3895090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-3895090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-3895090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-3895090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-3895090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-3895090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-3895090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-3895090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7284085</wp:posOffset>
            </wp:positionH>
            <wp:positionV relativeFrom="paragraph">
              <wp:posOffset>-3895090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-3895090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-730250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-730250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-730250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-730250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-730250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-730250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-730250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-730250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-730250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-730250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-730250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-730250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-730250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-730250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-730250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-730250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-730250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-730250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-730250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-730250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-730250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-730250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-730250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-730250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-730250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7284085</wp:posOffset>
            </wp:positionH>
            <wp:positionV relativeFrom="paragraph">
              <wp:posOffset>-730250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-730250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500"/>
          </w:cols>
          <w:pgMar w:left="240" w:top="274" w:right="15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3"/>
          </w:tcPr>
          <w:p>
            <w:pPr>
              <w:jc w:val="center"/>
              <w:ind w:right="20"/>
              <w:spacing w:after="0" w:line="136"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441,018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7,049,748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2nd Quarter 2005</w:t>
            </w: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268,926</w:t>
            </w:r>
          </w:p>
        </w:tc>
        <w:tc>
          <w:tcPr>
            <w:tcW w:w="4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30.78</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2,965,405</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256,897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2,696,110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4th Quarter 2004</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454,190</w:t>
            </w:r>
          </w:p>
        </w:tc>
        <w:tc>
          <w:tcPr>
            <w:tcW w:w="4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5,187,840</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1,421,031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17,899,103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-172720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-172720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-172720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-172720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-172720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-172720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-172720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-172720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59563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15"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 Non-comparable leases represent those leases signed on spaces for which there was no former tenant, or expansion square footage for leases rolling over for which there was no former tenant.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All other leases are categorized as new.</w:t>
      </w:r>
    </w:p>
    <w:p>
      <w:pPr>
        <w:sectPr>
          <w:pgSz w:w="11900" w:h="16838" w:orient="portrait"/>
          <w:cols w:equalWidth="0" w:num="1">
            <w:col w:w="11420"/>
          </w:cols>
          <w:pgMar w:left="240" w:top="12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Anchor Tenants (1)</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Small Shop Tenants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 of Anchor</w:t>
            </w: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Minimum Rent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 of Small</w:t>
            </w:r>
          </w:p>
        </w:tc>
        <w:tc>
          <w:tcPr>
            <w:tcW w:w="20" w:type="dxa"/>
            <w:vAlign w:val="bottom"/>
          </w:tcPr>
          <w:p>
            <w:pPr>
              <w:spacing w:after="0"/>
              <w:rPr>
                <w:sz w:val="20"/>
                <w:szCs w:val="20"/>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Minimum Rent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 of Total</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Expiring SF</w:t>
            </w:r>
          </w:p>
        </w:tc>
        <w:tc>
          <w:tcPr>
            <w:tcW w:w="60" w:type="dxa"/>
            <w:vAlign w:val="bottom"/>
          </w:tcPr>
          <w:p>
            <w:pPr>
              <w:spacing w:after="0"/>
              <w:rPr>
                <w:sz w:val="15"/>
                <w:szCs w:val="15"/>
                <w:color w:val="auto"/>
              </w:rPr>
            </w:pP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rPr>
              <w:t>SF</w:t>
            </w:r>
          </w:p>
        </w:tc>
        <w:tc>
          <w:tcPr>
            <w:tcW w:w="160" w:type="dxa"/>
            <w:vAlign w:val="bottom"/>
          </w:tcPr>
          <w:p>
            <w:pPr>
              <w:spacing w:after="0"/>
              <w:rPr>
                <w:sz w:val="15"/>
                <w:szCs w:val="15"/>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rPr>
              <w:t>PSF (2)</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Expiring SF</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PSF (2)</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Expiring SF</w:t>
            </w: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2006</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616,000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9%</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1,938,000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893,000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917,000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14%</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22.97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1,810,000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1,153,000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2,114,000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822,000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1,457,000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1,161,000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415,000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651,000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272,000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33.95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924,000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3,128,000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3,706,000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9,361,000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6,714,000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16,074,000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84"/>
              </w:rPr>
              <w:t>Assumes lease options are exercised</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Anchor Tenants (1)</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Small Shop Tenants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3"/>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00" w:type="dxa"/>
            <w:vAlign w:val="bottom"/>
            <w:gridSpan w:val="3"/>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20" w:type="dxa"/>
            <w:vAlign w:val="bottom"/>
            <w:gridSpan w:val="3"/>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 of Anchor</w:t>
            </w: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Minimum Rent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 of Small</w:t>
            </w:r>
          </w:p>
        </w:tc>
        <w:tc>
          <w:tcPr>
            <w:tcW w:w="20" w:type="dxa"/>
            <w:vAlign w:val="bottom"/>
          </w:tcPr>
          <w:p>
            <w:pPr>
              <w:spacing w:after="0"/>
              <w:rPr>
                <w:sz w:val="20"/>
                <w:szCs w:val="20"/>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Minimum Rent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 of Total</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Expiring SF</w:t>
            </w:r>
          </w:p>
        </w:tc>
        <w:tc>
          <w:tcPr>
            <w:tcW w:w="60" w:type="dxa"/>
            <w:vAlign w:val="bottom"/>
          </w:tcPr>
          <w:p>
            <w:pPr>
              <w:spacing w:after="0"/>
              <w:rPr>
                <w:sz w:val="15"/>
                <w:szCs w:val="15"/>
                <w:color w:val="auto"/>
              </w:rPr>
            </w:pP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rPr>
              <w:t>SF</w:t>
            </w:r>
          </w:p>
        </w:tc>
        <w:tc>
          <w:tcPr>
            <w:tcW w:w="160" w:type="dxa"/>
            <w:vAlign w:val="bottom"/>
          </w:tcPr>
          <w:p>
            <w:pPr>
              <w:spacing w:after="0"/>
              <w:rPr>
                <w:sz w:val="15"/>
                <w:szCs w:val="15"/>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rPr>
              <w:t>PSF (2)</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Expiring SF</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PSF (2)</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Expiring SF</w:t>
            </w: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2006</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376,000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11.49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583,000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9%</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23.45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838,000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480,000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439,000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29.56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304,000</w:t>
            </w: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388,000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692,000</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7,640,000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2,332,000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9,972,000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9,361,000</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6,714,000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16,074,000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-3114675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-3114675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-3114675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-3114675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-3114675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-3114675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-3114675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-3114675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-3114675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-3114675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-3114675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-3114675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-3114675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-3114675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-3114675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-3114675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-3114675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-3114675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-3114675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-3114675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-3114675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-172720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-172720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-172720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-172720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-172720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-172720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-172720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-172720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-172720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-172720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-172720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-172720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-172720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-172720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-172720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-172720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Minimum Rent reflects in-place contractual rent as of September 30,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occupied square footage as of September 30, 2005.</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Arial" w:cs="Arial" w:eastAsia="Arial" w:hAnsi="Arial"/>
                <w:sz w:val="14"/>
                <w:szCs w:val="14"/>
                <w:b w:val="1"/>
                <w:bCs w:val="1"/>
                <w:color w:val="auto"/>
                <w:w w:val="88"/>
              </w:rPr>
              <w:t>At September 30, 2005</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Arial" w:cs="Arial" w:eastAsia="Arial" w:hAnsi="Arial"/>
                <w:sz w:val="14"/>
                <w:szCs w:val="14"/>
                <w:b w:val="1"/>
                <w:bCs w:val="1"/>
                <w:color w:val="auto"/>
                <w:w w:val="88"/>
              </w:rPr>
              <w:t>At September 30, 2004</w:t>
            </w:r>
          </w:p>
        </w:tc>
        <w:tc>
          <w:tcPr>
            <w:tcW w:w="620" w:type="dxa"/>
            <w:vAlign w:val="bottom"/>
          </w:tcPr>
          <w:p>
            <w:pPr>
              <w:spacing w:after="0"/>
              <w:rPr>
                <w:sz w:val="15"/>
                <w:szCs w:val="15"/>
                <w:color w:val="auto"/>
              </w:rPr>
            </w:pPr>
          </w:p>
        </w:tc>
      </w:tr>
      <w:tr>
        <w:trPr>
          <w:trHeight w:val="95"/>
        </w:trPr>
        <w:tc>
          <w:tcPr>
            <w:tcW w:w="5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570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w w:val="99"/>
              </w:rPr>
              <w:t>Size</w:t>
            </w:r>
          </w:p>
        </w:tc>
        <w:tc>
          <w:tcPr>
            <w:tcW w:w="1420" w:type="dxa"/>
            <w:vAlign w:val="bottom"/>
          </w:tcPr>
          <w:p>
            <w:pPr>
              <w:ind w:left="640"/>
              <w:spacing w:after="0"/>
              <w:rPr>
                <w:sz w:val="20"/>
                <w:szCs w:val="20"/>
                <w:color w:val="auto"/>
              </w:rPr>
            </w:pPr>
            <w:r>
              <w:rPr>
                <w:rFonts w:ascii="Arial" w:cs="Arial" w:eastAsia="Arial" w:hAnsi="Arial"/>
                <w:sz w:val="14"/>
                <w:szCs w:val="14"/>
                <w:b w:val="1"/>
                <w:bCs w:val="1"/>
                <w:color w:val="auto"/>
              </w:rPr>
              <w:t>Leased</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86"/>
              </w:rPr>
              <w:t>Leased %</w:t>
            </w:r>
          </w:p>
        </w:tc>
        <w:tc>
          <w:tcPr>
            <w:tcW w:w="34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w w:val="99"/>
              </w:rPr>
              <w:t>Size</w:t>
            </w:r>
          </w:p>
        </w:tc>
        <w:tc>
          <w:tcPr>
            <w:tcW w:w="1420" w:type="dxa"/>
            <w:vAlign w:val="bottom"/>
          </w:tcPr>
          <w:p>
            <w:pPr>
              <w:ind w:left="640"/>
              <w:spacing w:after="0"/>
              <w:rPr>
                <w:sz w:val="20"/>
                <w:szCs w:val="20"/>
                <w:color w:val="auto"/>
              </w:rPr>
            </w:pPr>
            <w:r>
              <w:rPr>
                <w:rFonts w:ascii="Arial" w:cs="Arial" w:eastAsia="Arial" w:hAnsi="Arial"/>
                <w:sz w:val="14"/>
                <w:szCs w:val="14"/>
                <w:b w:val="1"/>
                <w:bCs w:val="1"/>
                <w:color w:val="auto"/>
              </w:rPr>
              <w:t>Leased</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86"/>
              </w:rPr>
              <w:t>Leased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9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60325</wp:posOffset>
            </wp:positionV>
            <wp:extent cx="353314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17,295,000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16,509,000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16,791,000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15,818,000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464</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445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95.9%</w:t>
            </w:r>
          </w:p>
        </w:tc>
        <w:tc>
          <w:tcPr>
            <w:tcW w:w="800" w:type="dxa"/>
            <w:vAlign w:val="bottom"/>
          </w:tcPr>
          <w:p>
            <w:pPr>
              <w:jc w:val="right"/>
              <w:spacing w:after="0"/>
              <w:rPr>
                <w:sz w:val="20"/>
                <w:szCs w:val="20"/>
                <w:color w:val="auto"/>
              </w:rPr>
            </w:pPr>
            <w:r>
              <w:rPr>
                <w:rFonts w:ascii="Arial" w:cs="Arial" w:eastAsia="Arial" w:hAnsi="Arial"/>
                <w:sz w:val="18"/>
                <w:szCs w:val="18"/>
                <w:color w:val="auto"/>
              </w:rPr>
              <w:t>683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385"/>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2040" w:type="dxa"/>
            <w:vAlign w:val="bottom"/>
            <w:gridSpan w:val="4"/>
          </w:tcPr>
          <w:p>
            <w:pPr>
              <w:ind w:left="660"/>
              <w:spacing w:after="0"/>
              <w:rPr>
                <w:sz w:val="20"/>
                <w:szCs w:val="20"/>
                <w:color w:val="auto"/>
              </w:rPr>
            </w:pPr>
            <w:r>
              <w:rPr>
                <w:rFonts w:ascii="Arial" w:cs="Arial" w:eastAsia="Arial" w:hAnsi="Arial"/>
                <w:sz w:val="14"/>
                <w:szCs w:val="14"/>
                <w:b w:val="1"/>
                <w:bCs w:val="1"/>
                <w:color w:val="auto"/>
                <w:w w:val="91"/>
              </w:rPr>
              <w:t>At September 30, 2005</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4"/>
          </w:tcPr>
          <w:p>
            <w:pPr>
              <w:ind w:left="660"/>
              <w:spacing w:after="0"/>
              <w:rPr>
                <w:sz w:val="20"/>
                <w:szCs w:val="20"/>
                <w:color w:val="auto"/>
              </w:rPr>
            </w:pPr>
            <w:r>
              <w:rPr>
                <w:rFonts w:ascii="Arial" w:cs="Arial" w:eastAsia="Arial" w:hAnsi="Arial"/>
                <w:sz w:val="14"/>
                <w:szCs w:val="14"/>
                <w:b w:val="1"/>
                <w:bCs w:val="1"/>
                <w:color w:val="auto"/>
                <w:w w:val="91"/>
              </w:rPr>
              <w:t>At September 30, 2004</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gridSpan w:val="2"/>
          </w:tcPr>
          <w:p>
            <w:pPr>
              <w:spacing w:after="0"/>
              <w:rPr>
                <w:sz w:val="8"/>
                <w:szCs w:val="8"/>
                <w:color w:val="auto"/>
              </w:rPr>
            </w:pPr>
          </w:p>
        </w:tc>
        <w:tc>
          <w:tcPr>
            <w:tcW w:w="15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22"/>
                <w:szCs w:val="22"/>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Leased %</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22"/>
                <w:szCs w:val="22"/>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Leased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12,525,000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12,885,000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12,423,000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412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Overall portfolio statistics at September 30, 2005 include Rollingwood, The Crest at Congressional and the residential units in Building Eight (36 units) at Santana Row. Residential units in Buildings Three, Four, Six and Seven at Santana Row are excluded from overall portfolio statistics at September 30, 2005 as we have either commenced closing sales of the units (Building Four - 100 units), units are being allowed to remain vacant as leases expire to facilitate future sales (Buildings Three - 98 units and Six - 21 units) or the units are still under development and have not reached stabilization (Building Seven - 256 units). Overall portfolio statistics at September 30, 2004 included Rollingwood, The Crest at Congressional and the residential units at Santana Row. Same center statistics at September 30, 2005 and 2004 include only Rollingwood and The Crest at Congressional.</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Percentage of</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Annualized Base</w:t>
            </w: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74"/>
        </w:trPr>
        <w:tc>
          <w:tcPr>
            <w:tcW w:w="440" w:type="dxa"/>
            <w:vAlign w:val="bottom"/>
            <w:gridSpan w:val="3"/>
          </w:tcPr>
          <w:p>
            <w:pPr>
              <w:spacing w:after="0"/>
              <w:rPr>
                <w:sz w:val="20"/>
                <w:szCs w:val="20"/>
                <w:color w:val="auto"/>
              </w:rPr>
            </w:pPr>
            <w:r>
              <w:rPr>
                <w:rFonts w:ascii="Arial" w:cs="Arial" w:eastAsia="Arial" w:hAnsi="Arial"/>
                <w:sz w:val="14"/>
                <w:szCs w:val="14"/>
                <w:b w:val="1"/>
                <w:bCs w:val="1"/>
                <w:color w:val="auto"/>
              </w:rPr>
              <w:t>Rank</w:t>
            </w:r>
          </w:p>
        </w:tc>
        <w:tc>
          <w:tcPr>
            <w:tcW w:w="4060" w:type="dxa"/>
            <w:vAlign w:val="bottom"/>
            <w:gridSpan w:val="4"/>
          </w:tcPr>
          <w:p>
            <w:pPr>
              <w:ind w:left="140"/>
              <w:spacing w:after="0"/>
              <w:rPr>
                <w:sz w:val="20"/>
                <w:szCs w:val="20"/>
                <w:color w:val="auto"/>
              </w:rPr>
            </w:pPr>
            <w:r>
              <w:rPr>
                <w:rFonts w:ascii="Arial" w:cs="Arial" w:eastAsia="Arial" w:hAnsi="Arial"/>
                <w:sz w:val="14"/>
                <w:szCs w:val="14"/>
                <w:b w:val="1"/>
                <w:bCs w:val="1"/>
                <w:color w:val="auto"/>
              </w:rPr>
              <w:t>Tenant Name</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Rent</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Base Rent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Tenant GLA</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Safeway,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Gap, Inc.</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6,308,000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800" w:type="dxa"/>
            <w:vAlign w:val="bottom"/>
          </w:tcPr>
          <w:p>
            <w:pPr>
              <w:jc w:val="right"/>
              <w:spacing w:after="0"/>
              <w:rPr>
                <w:sz w:val="20"/>
                <w:szCs w:val="20"/>
                <w:color w:val="auto"/>
              </w:rPr>
            </w:pPr>
            <w:r>
              <w:rPr>
                <w:rFonts w:ascii="Arial" w:cs="Arial" w:eastAsia="Arial" w:hAnsi="Arial"/>
                <w:sz w:val="18"/>
                <w:szCs w:val="18"/>
                <w:color w:val="auto"/>
              </w:rPr>
              <w:t>224,000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Ahold USA,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Bed, Bath &amp; Beyond, Inc.</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5,906,000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1.97%</w:t>
            </w:r>
          </w:p>
        </w:tc>
        <w:tc>
          <w:tcPr>
            <w:tcW w:w="800" w:type="dxa"/>
            <w:vAlign w:val="bottom"/>
          </w:tcPr>
          <w:p>
            <w:pPr>
              <w:jc w:val="right"/>
              <w:spacing w:after="0"/>
              <w:rPr>
                <w:sz w:val="20"/>
                <w:szCs w:val="20"/>
                <w:color w:val="auto"/>
              </w:rPr>
            </w:pPr>
            <w:r>
              <w:rPr>
                <w:rFonts w:ascii="Arial" w:cs="Arial" w:eastAsia="Arial" w:hAnsi="Arial"/>
                <w:sz w:val="18"/>
                <w:szCs w:val="18"/>
                <w:color w:val="auto"/>
              </w:rPr>
              <w:t>421,000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2.43%</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TJX Companies</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CVS Corporation</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3,809,000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800" w:type="dxa"/>
            <w:vAlign w:val="bottom"/>
          </w:tcPr>
          <w:p>
            <w:pPr>
              <w:jc w:val="right"/>
              <w:spacing w:after="0"/>
              <w:rPr>
                <w:sz w:val="20"/>
                <w:szCs w:val="20"/>
                <w:color w:val="auto"/>
              </w:rPr>
            </w:pPr>
            <w:r>
              <w:rPr>
                <w:rFonts w:ascii="Arial" w:cs="Arial" w:eastAsia="Arial" w:hAnsi="Arial"/>
                <w:sz w:val="18"/>
                <w:szCs w:val="18"/>
                <w:color w:val="auto"/>
              </w:rPr>
              <w:t>142,000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0.82%</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Barnes &amp; Noble,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Best Buy Stores, L.P.</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3,530,000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800" w:type="dxa"/>
            <w:vAlign w:val="bottom"/>
          </w:tcPr>
          <w:p>
            <w:pPr>
              <w:jc w:val="right"/>
              <w:spacing w:after="0"/>
              <w:rPr>
                <w:sz w:val="20"/>
                <w:szCs w:val="20"/>
                <w:color w:val="auto"/>
              </w:rPr>
            </w:pPr>
            <w:r>
              <w:rPr>
                <w:rFonts w:ascii="Arial" w:cs="Arial" w:eastAsia="Arial" w:hAnsi="Arial"/>
                <w:sz w:val="18"/>
                <w:szCs w:val="18"/>
                <w:color w:val="auto"/>
              </w:rPr>
              <w:t>101,000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Wakefern Food Corporation</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6"/>
                <w:szCs w:val="16"/>
                <w:color w:val="auto"/>
                <w:w w:val="78"/>
              </w:rPr>
              <w:t>10</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Retail Ventures (DSW/Filene’s Basement)</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2,994,000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00" w:type="dxa"/>
            <w:vAlign w:val="bottom"/>
          </w:tcPr>
          <w:p>
            <w:pPr>
              <w:jc w:val="right"/>
              <w:spacing w:after="0"/>
              <w:rPr>
                <w:sz w:val="20"/>
                <w:szCs w:val="20"/>
                <w:color w:val="auto"/>
              </w:rPr>
            </w:pPr>
            <w:r>
              <w:rPr>
                <w:rFonts w:ascii="Arial" w:cs="Arial" w:eastAsia="Arial" w:hAnsi="Arial"/>
                <w:sz w:val="18"/>
                <w:szCs w:val="18"/>
                <w:color w:val="auto"/>
              </w:rPr>
              <w:t>155,000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0.89%</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78"/>
              </w:rPr>
              <w:t>11</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Borders Group,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6"/>
                <w:szCs w:val="16"/>
                <w:color w:val="auto"/>
                <w:w w:val="78"/>
              </w:rPr>
              <w:t>12</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Michaels Stores, Inc.</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2,858,000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0.95%</w:t>
            </w:r>
          </w:p>
        </w:tc>
        <w:tc>
          <w:tcPr>
            <w:tcW w:w="800" w:type="dxa"/>
            <w:vAlign w:val="bottom"/>
          </w:tcPr>
          <w:p>
            <w:pPr>
              <w:jc w:val="right"/>
              <w:spacing w:after="0"/>
              <w:rPr>
                <w:sz w:val="20"/>
                <w:szCs w:val="20"/>
                <w:color w:val="auto"/>
              </w:rPr>
            </w:pPr>
            <w:r>
              <w:rPr>
                <w:rFonts w:ascii="Arial" w:cs="Arial" w:eastAsia="Arial" w:hAnsi="Arial"/>
                <w:sz w:val="18"/>
                <w:szCs w:val="18"/>
                <w:color w:val="auto"/>
              </w:rPr>
              <w:t>189,000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78"/>
              </w:rPr>
              <w:t>13</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OPNET Technologies,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6"/>
                <w:szCs w:val="16"/>
                <w:color w:val="auto"/>
                <w:w w:val="78"/>
              </w:rPr>
              <w:t>14</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MTS, Inc. (Tower Records)</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2,441,000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0.82%</w:t>
            </w:r>
          </w:p>
        </w:tc>
        <w:tc>
          <w:tcPr>
            <w:tcW w:w="800" w:type="dxa"/>
            <w:vAlign w:val="bottom"/>
          </w:tcPr>
          <w:p>
            <w:pPr>
              <w:jc w:val="right"/>
              <w:spacing w:after="0"/>
              <w:rPr>
                <w:sz w:val="20"/>
                <w:szCs w:val="20"/>
                <w:color w:val="auto"/>
              </w:rPr>
            </w:pPr>
            <w:r>
              <w:rPr>
                <w:rFonts w:ascii="Arial" w:cs="Arial" w:eastAsia="Arial" w:hAnsi="Arial"/>
                <w:sz w:val="18"/>
                <w:szCs w:val="18"/>
                <w:color w:val="auto"/>
              </w:rPr>
              <w:t>91,000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0.53%</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78"/>
              </w:rPr>
              <w:t>15</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Great Atlantic &amp; Pacific Tea Co.</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6"/>
                <w:szCs w:val="16"/>
                <w:color w:val="auto"/>
                <w:w w:val="78"/>
              </w:rPr>
              <w:t>16</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CompUSA, Inc.</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2,378,000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0.79%</w:t>
            </w:r>
          </w:p>
        </w:tc>
        <w:tc>
          <w:tcPr>
            <w:tcW w:w="800" w:type="dxa"/>
            <w:vAlign w:val="bottom"/>
          </w:tcPr>
          <w:p>
            <w:pPr>
              <w:jc w:val="right"/>
              <w:spacing w:after="0"/>
              <w:rPr>
                <w:sz w:val="20"/>
                <w:szCs w:val="20"/>
                <w:color w:val="auto"/>
              </w:rPr>
            </w:pPr>
            <w:r>
              <w:rPr>
                <w:rFonts w:ascii="Arial" w:cs="Arial" w:eastAsia="Arial" w:hAnsi="Arial"/>
                <w:sz w:val="18"/>
                <w:szCs w:val="18"/>
                <w:color w:val="auto"/>
              </w:rPr>
              <w:t>134,000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0.77%</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78"/>
              </w:rPr>
              <w:t>17</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The Container Store,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6"/>
                <w:szCs w:val="16"/>
                <w:color w:val="auto"/>
                <w:w w:val="78"/>
              </w:rPr>
              <w:t>18</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Dress Barn, Inc.</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2,244,000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0.75%</w:t>
            </w:r>
          </w:p>
        </w:tc>
        <w:tc>
          <w:tcPr>
            <w:tcW w:w="800" w:type="dxa"/>
            <w:vAlign w:val="bottom"/>
          </w:tcPr>
          <w:p>
            <w:pPr>
              <w:jc w:val="right"/>
              <w:spacing w:after="0"/>
              <w:rPr>
                <w:sz w:val="20"/>
                <w:szCs w:val="20"/>
                <w:color w:val="auto"/>
              </w:rPr>
            </w:pPr>
            <w:r>
              <w:rPr>
                <w:rFonts w:ascii="Arial" w:cs="Arial" w:eastAsia="Arial" w:hAnsi="Arial"/>
                <w:sz w:val="18"/>
                <w:szCs w:val="18"/>
                <w:color w:val="auto"/>
              </w:rPr>
              <w:t>109,000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0.63%</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78"/>
              </w:rPr>
              <w:t>19</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Home Depot,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6"/>
                <w:szCs w:val="16"/>
                <w:color w:val="auto"/>
                <w:w w:val="78"/>
              </w:rPr>
              <w:t>20</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Dollar Tree Stores, Inc.</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2,129,000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0.71%</w:t>
            </w:r>
          </w:p>
        </w:tc>
        <w:tc>
          <w:tcPr>
            <w:tcW w:w="800" w:type="dxa"/>
            <w:vAlign w:val="bottom"/>
          </w:tcPr>
          <w:p>
            <w:pPr>
              <w:jc w:val="right"/>
              <w:spacing w:after="0"/>
              <w:rPr>
                <w:sz w:val="20"/>
                <w:szCs w:val="20"/>
                <w:color w:val="auto"/>
              </w:rPr>
            </w:pPr>
            <w:r>
              <w:rPr>
                <w:rFonts w:ascii="Arial" w:cs="Arial" w:eastAsia="Arial" w:hAnsi="Arial"/>
                <w:sz w:val="18"/>
                <w:szCs w:val="18"/>
                <w:color w:val="auto"/>
              </w:rPr>
              <w:t>162,000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78"/>
              </w:rPr>
              <w:t>21</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Office Depot,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6"/>
                <w:szCs w:val="16"/>
                <w:color w:val="auto"/>
                <w:w w:val="78"/>
              </w:rPr>
              <w:t>22</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Bally’s Health &amp; Tennis</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2,104,000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800" w:type="dxa"/>
            <w:vAlign w:val="bottom"/>
          </w:tcPr>
          <w:p>
            <w:pPr>
              <w:jc w:val="right"/>
              <w:spacing w:after="0"/>
              <w:rPr>
                <w:sz w:val="20"/>
                <w:szCs w:val="20"/>
                <w:color w:val="auto"/>
              </w:rPr>
            </w:pPr>
            <w:r>
              <w:rPr>
                <w:rFonts w:ascii="Arial" w:cs="Arial" w:eastAsia="Arial" w:hAnsi="Arial"/>
                <w:sz w:val="18"/>
                <w:szCs w:val="18"/>
                <w:color w:val="auto"/>
              </w:rPr>
              <w:t>156,000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78"/>
              </w:rPr>
              <w:t>23</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Toys R Us,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ind w:right="16"/>
              <w:spacing w:after="0"/>
              <w:rPr>
                <w:sz w:val="20"/>
                <w:szCs w:val="20"/>
                <w:color w:val="auto"/>
              </w:rPr>
            </w:pPr>
            <w:r>
              <w:rPr>
                <w:rFonts w:ascii="Arial" w:cs="Arial" w:eastAsia="Arial" w:hAnsi="Arial"/>
                <w:sz w:val="16"/>
                <w:szCs w:val="16"/>
                <w:color w:val="auto"/>
                <w:w w:val="78"/>
              </w:rPr>
              <w:t>24</w:t>
            </w:r>
          </w:p>
        </w:tc>
        <w:tc>
          <w:tcPr>
            <w:tcW w:w="160" w:type="dxa"/>
            <w:vAlign w:val="bottom"/>
          </w:tcPr>
          <w:p>
            <w:pPr>
              <w:spacing w:after="0"/>
              <w:rPr>
                <w:sz w:val="18"/>
                <w:szCs w:val="18"/>
                <w:color w:val="auto"/>
              </w:rPr>
            </w:pPr>
          </w:p>
        </w:tc>
        <w:tc>
          <w:tcPr>
            <w:tcW w:w="4060" w:type="dxa"/>
            <w:vAlign w:val="bottom"/>
            <w:gridSpan w:val="4"/>
          </w:tcPr>
          <w:p>
            <w:pPr>
              <w:ind w:left="140"/>
              <w:spacing w:after="0"/>
              <w:rPr>
                <w:sz w:val="20"/>
                <w:szCs w:val="20"/>
                <w:color w:val="auto"/>
              </w:rPr>
            </w:pPr>
            <w:r>
              <w:rPr>
                <w:rFonts w:ascii="Arial" w:cs="Arial" w:eastAsia="Arial" w:hAnsi="Arial"/>
                <w:sz w:val="18"/>
                <w:szCs w:val="18"/>
                <w:color w:val="auto"/>
              </w:rPr>
              <w:t>Ross Stores, Inc.</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2,026,000</w:t>
            </w:r>
          </w:p>
        </w:tc>
        <w:tc>
          <w:tcPr>
            <w:tcW w:w="4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0.68%</w:t>
            </w:r>
          </w:p>
        </w:tc>
        <w:tc>
          <w:tcPr>
            <w:tcW w:w="800" w:type="dxa"/>
            <w:vAlign w:val="bottom"/>
          </w:tcPr>
          <w:p>
            <w:pPr>
              <w:jc w:val="right"/>
              <w:spacing w:after="0"/>
              <w:rPr>
                <w:sz w:val="20"/>
                <w:szCs w:val="20"/>
                <w:color w:val="auto"/>
              </w:rPr>
            </w:pPr>
            <w:r>
              <w:rPr>
                <w:rFonts w:ascii="Arial" w:cs="Arial" w:eastAsia="Arial" w:hAnsi="Arial"/>
                <w:sz w:val="18"/>
                <w:szCs w:val="18"/>
                <w:color w:val="auto"/>
              </w:rPr>
              <w:t>119,000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0.69%</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78"/>
              </w:rPr>
              <w:t>25</w:t>
            </w: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Staples, Inc.</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Totals - Top 25 Tenants</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81,739,000</w:t>
            </w: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299,435,000(1)</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17,295,000(2)</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-309880</wp:posOffset>
            </wp:positionV>
            <wp:extent cx="64706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-309880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-309880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-309880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-309880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-309880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-309880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-309880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-309880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annual in-place contractual commercial rent as of September 30,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Comparable Sales / Occupancy Costs (1) (2)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6"/>
              </w:rPr>
              <w:t>Average Occupancy Cost per</w:t>
            </w:r>
          </w:p>
        </w:tc>
        <w:tc>
          <w:tcPr>
            <w:tcW w:w="19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3"/>
              </w:rPr>
              <w:t>Average Occupancy Costs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2"/>
              </w:rPr>
              <w:t>Average Sales Per Square Foot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Square Foot</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2"/>
              </w:rPr>
              <w:t>as a Percentage of Sales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660" w:type="dxa"/>
            <w:vAlign w:val="bottom"/>
            <w:gridSpan w:val="2"/>
          </w:tcPr>
          <w:p>
            <w:pPr>
              <w:jc w:val="right"/>
              <w:ind w:right="92"/>
              <w:spacing w:after="0"/>
              <w:rPr>
                <w:sz w:val="20"/>
                <w:szCs w:val="20"/>
                <w:color w:val="auto"/>
              </w:rPr>
            </w:pPr>
            <w:r>
              <w:rPr>
                <w:rFonts w:ascii="Arial" w:cs="Arial" w:eastAsia="Arial" w:hAnsi="Arial"/>
                <w:sz w:val="14"/>
                <w:szCs w:val="14"/>
                <w:b w:val="1"/>
                <w:bCs w:val="1"/>
                <w:i w:val="1"/>
                <w:iCs w:val="1"/>
                <w:color w:val="auto"/>
              </w:rPr>
              <w:t>2004</w:t>
            </w:r>
          </w:p>
        </w:tc>
        <w:tc>
          <w:tcPr>
            <w:tcW w:w="10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2003</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82"/>
              </w:rPr>
              <w:t>% Change</w:t>
            </w:r>
          </w:p>
        </w:tc>
        <w:tc>
          <w:tcPr>
            <w:tcW w:w="600" w:type="dxa"/>
            <w:vAlign w:val="bottom"/>
            <w:gridSpan w:val="2"/>
          </w:tcPr>
          <w:p>
            <w:pPr>
              <w:jc w:val="right"/>
              <w:ind w:right="52"/>
              <w:spacing w:after="0"/>
              <w:rPr>
                <w:sz w:val="20"/>
                <w:szCs w:val="20"/>
                <w:color w:val="auto"/>
              </w:rPr>
            </w:pPr>
            <w:r>
              <w:rPr>
                <w:rFonts w:ascii="Arial" w:cs="Arial" w:eastAsia="Arial" w:hAnsi="Arial"/>
                <w:sz w:val="14"/>
                <w:szCs w:val="14"/>
                <w:b w:val="1"/>
                <w:bCs w:val="1"/>
                <w:i w:val="1"/>
                <w:iCs w:val="1"/>
                <w:color w:val="auto"/>
              </w:rPr>
              <w:t>2004</w:t>
            </w:r>
          </w:p>
        </w:tc>
        <w:tc>
          <w:tcPr>
            <w:tcW w:w="6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2003</w:t>
            </w:r>
          </w:p>
        </w:tc>
        <w:tc>
          <w:tcPr>
            <w:tcW w:w="20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i w:val="1"/>
                <w:iCs w:val="1"/>
                <w:color w:val="auto"/>
                <w:w w:val="82"/>
              </w:rPr>
              <w:t>% Change</w:t>
            </w: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2004</w:t>
            </w:r>
          </w:p>
        </w:tc>
        <w:tc>
          <w:tcPr>
            <w:tcW w:w="3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2003</w:t>
            </w:r>
          </w:p>
        </w:tc>
        <w:tc>
          <w:tcPr>
            <w:tcW w:w="3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i w:val="1"/>
                <w:iCs w:val="1"/>
                <w:color w:val="auto"/>
                <w:w w:val="82"/>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Comparable Reporting Tenants</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$334.30</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$326.87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7.0%</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Comparable tenants are those who reported twelve months of sales in 2003 and 2004. For annual reporters, includes sales for the lease years ended in 2003 and 2004.</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Occupancy costs include minimum rent, percentage rent, common area maintenance and real estate tax recoveries and merchant’s association dues.</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00" w:type="dxa"/>
            <w:vAlign w:val="bottom"/>
            <w:gridSpan w:val="7"/>
          </w:tcPr>
          <w:p>
            <w:pPr>
              <w:jc w:val="center"/>
              <w:ind w:left="250"/>
              <w:spacing w:after="0"/>
              <w:rPr>
                <w:sz w:val="20"/>
                <w:szCs w:val="20"/>
                <w:color w:val="auto"/>
              </w:rPr>
            </w:pPr>
            <w:r>
              <w:rPr>
                <w:rFonts w:ascii="Arial" w:cs="Arial" w:eastAsia="Arial" w:hAnsi="Arial"/>
                <w:sz w:val="14"/>
                <w:szCs w:val="14"/>
                <w:b w:val="1"/>
                <w:bCs w:val="1"/>
                <w:color w:val="auto"/>
                <w:w w:val="86"/>
              </w:rPr>
              <w:t>2005 Guidance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85"/>
              </w:rPr>
              <w:t>($ millions except per</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gridSpan w:val="11"/>
          </w:tcPr>
          <w:p>
            <w:pPr>
              <w:jc w:val="center"/>
              <w:ind w:right="100"/>
              <w:spacing w:after="0"/>
              <w:rPr>
                <w:sz w:val="20"/>
                <w:szCs w:val="20"/>
                <w:color w:val="auto"/>
              </w:rPr>
            </w:pPr>
            <w:r>
              <w:rPr>
                <w:rFonts w:ascii="Arial" w:cs="Arial" w:eastAsia="Arial" w:hAnsi="Arial"/>
                <w:sz w:val="14"/>
                <w:szCs w:val="14"/>
                <w:b w:val="1"/>
                <w:bCs w:val="1"/>
                <w:color w:val="auto"/>
                <w:w w:val="86"/>
              </w:rPr>
              <w:t>share amounts) (1)</w:t>
            </w:r>
          </w:p>
        </w:tc>
        <w:tc>
          <w:tcPr>
            <w:tcW w:w="0" w:type="dxa"/>
            <w:vAlign w:val="bottom"/>
          </w:tcPr>
          <w:p>
            <w:pPr>
              <w:spacing w:after="0"/>
              <w:rPr>
                <w:sz w:val="1"/>
                <w:szCs w:val="1"/>
                <w:color w:val="auto"/>
              </w:rPr>
            </w:pPr>
          </w:p>
        </w:tc>
      </w:tr>
      <w:tr>
        <w:trPr>
          <w:trHeight w:val="136"/>
        </w:trPr>
        <w:tc>
          <w:tcPr>
            <w:tcW w:w="580" w:type="dxa"/>
            <w:vAlign w:val="bottom"/>
            <w:vMerge w:val="restart"/>
          </w:tcPr>
          <w:p>
            <w:pPr>
              <w:spacing w:after="0"/>
              <w:rPr>
                <w:sz w:val="11"/>
                <w:szCs w:val="11"/>
                <w:color w:val="auto"/>
              </w:rPr>
            </w:pPr>
          </w:p>
        </w:tc>
        <w:tc>
          <w:tcPr>
            <w:tcW w:w="3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2260" w:type="dxa"/>
            <w:vAlign w:val="bottom"/>
            <w:gridSpan w:val="4"/>
          </w:tcPr>
          <w:p>
            <w:pPr>
              <w:jc w:val="right"/>
              <w:ind w:right="16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partnership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2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gridSpan w:val="5"/>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gridSpan w:val="7"/>
          </w:tcPr>
          <w:p>
            <w:pPr>
              <w:jc w:val="center"/>
              <w:ind w:left="250"/>
              <w:spacing w:after="0"/>
              <w:rPr>
                <w:sz w:val="20"/>
                <w:szCs w:val="20"/>
                <w:color w:val="auto"/>
              </w:rPr>
            </w:pPr>
            <w:r>
              <w:rPr>
                <w:rFonts w:ascii="Arial" w:cs="Arial" w:eastAsia="Arial" w:hAnsi="Arial"/>
                <w:sz w:val="14"/>
                <w:szCs w:val="14"/>
                <w:b w:val="1"/>
                <w:bCs w:val="1"/>
                <w:color w:val="auto"/>
                <w:w w:val="86"/>
              </w:rPr>
              <w:t>2006 Guidance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20" w:type="dxa"/>
            <w:vAlign w:val="bottom"/>
            <w:tcBorders>
              <w:bottom w:val="single" w:sz="8" w:color="auto"/>
            </w:tcBorders>
            <w:gridSpan w:val="8"/>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0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85"/>
              </w:rPr>
              <w:t>($ millions except per</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gridSpan w:val="11"/>
          </w:tcPr>
          <w:p>
            <w:pPr>
              <w:jc w:val="center"/>
              <w:ind w:right="100"/>
              <w:spacing w:after="0"/>
              <w:rPr>
                <w:sz w:val="20"/>
                <w:szCs w:val="20"/>
                <w:color w:val="auto"/>
              </w:rPr>
            </w:pPr>
            <w:r>
              <w:rPr>
                <w:rFonts w:ascii="Arial" w:cs="Arial" w:eastAsia="Arial" w:hAnsi="Arial"/>
                <w:sz w:val="14"/>
                <w:szCs w:val="14"/>
                <w:b w:val="1"/>
                <w:bCs w:val="1"/>
                <w:color w:val="auto"/>
                <w:w w:val="86"/>
              </w:rPr>
              <w:t>share amounts) (1)</w:t>
            </w:r>
          </w:p>
        </w:tc>
        <w:tc>
          <w:tcPr>
            <w:tcW w:w="0" w:type="dxa"/>
            <w:vAlign w:val="bottom"/>
          </w:tcPr>
          <w:p>
            <w:pPr>
              <w:spacing w:after="0"/>
              <w:rPr>
                <w:sz w:val="1"/>
                <w:szCs w:val="1"/>
                <w:color w:val="auto"/>
              </w:rPr>
            </w:pPr>
          </w:p>
        </w:tc>
      </w:tr>
      <w:tr>
        <w:trPr>
          <w:trHeight w:val="136"/>
        </w:trPr>
        <w:tc>
          <w:tcPr>
            <w:tcW w:w="580" w:type="dxa"/>
            <w:vAlign w:val="bottom"/>
            <w:vMerge w:val="restart"/>
          </w:tcPr>
          <w:p>
            <w:pPr>
              <w:spacing w:after="0"/>
              <w:rPr>
                <w:sz w:val="11"/>
                <w:szCs w:val="11"/>
                <w:color w:val="auto"/>
              </w:rPr>
            </w:pPr>
          </w:p>
        </w:tc>
        <w:tc>
          <w:tcPr>
            <w:tcW w:w="3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64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partnership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0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2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-3474720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-3474720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-3474720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-3474720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-3474720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-3474720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-739140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-739140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-739140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-739140</wp:posOffset>
            </wp:positionV>
            <wp:extent cx="28702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ectPr>
          <w:pgSz w:w="11900" w:h="16838" w:orient="portrait"/>
          <w:cols w:equalWidth="0" w:num="1">
            <w:col w:w="10860"/>
          </w:cols>
          <w:pgMar w:left="240" w:top="274" w:right="7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Clarion Lion Properties Fund</w:t>
      </w:r>
    </w:p>
    <w:p>
      <w:pPr>
        <w:sectPr>
          <w:pgSz w:w="11900" w:h="16838" w:orient="portrait"/>
          <w:cols w:equalWidth="0" w:num="1">
            <w:col w:w="10219"/>
          </w:cols>
          <w:pgMar w:left="240" w:top="274"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 and Balance Sheet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OPERATING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85"/>
              </w:rPr>
              <w:t>September 30, 2005</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ind w:left="420"/>
              <w:spacing w:after="0"/>
              <w:rPr>
                <w:sz w:val="20"/>
                <w:szCs w:val="20"/>
                <w:color w:val="auto"/>
              </w:rPr>
            </w:pPr>
            <w:r>
              <w:rPr>
                <w:rFonts w:ascii="Arial" w:cs="Arial" w:eastAsia="Arial" w:hAnsi="Arial"/>
                <w:sz w:val="18"/>
                <w:szCs w:val="18"/>
                <w:color w:val="auto"/>
              </w:rPr>
              <w:t>Rental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1,955</w:t>
            </w:r>
          </w:p>
        </w:tc>
        <w:tc>
          <w:tcPr>
            <w:tcW w:w="9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ind w:left="420"/>
              <w:spacing w:after="0"/>
              <w:rPr>
                <w:sz w:val="20"/>
                <w:szCs w:val="20"/>
                <w:color w:val="auto"/>
              </w:rPr>
            </w:pPr>
            <w:r>
              <w:rPr>
                <w:rFonts w:ascii="Arial" w:cs="Arial" w:eastAsia="Arial" w:hAnsi="Arial"/>
                <w:sz w:val="18"/>
                <w:szCs w:val="18"/>
                <w:color w:val="auto"/>
              </w:rPr>
              <w:t>Real estate taxes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0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4"/>
                <w:szCs w:val="24"/>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100" w:type="dxa"/>
            <w:vAlign w:val="bottom"/>
            <w:gridSpan w:val="4"/>
            <w:vMerge w:val="restart"/>
          </w:tcPr>
          <w:p>
            <w:pPr>
              <w:spacing w:after="0"/>
              <w:rPr>
                <w:sz w:val="20"/>
                <w:szCs w:val="20"/>
                <w:color w:val="auto"/>
              </w:rPr>
            </w:pPr>
            <w:r>
              <w:rPr>
                <w:rFonts w:ascii="Arial" w:cs="Arial" w:eastAsia="Arial" w:hAnsi="Arial"/>
                <w:sz w:val="18"/>
                <w:szCs w:val="18"/>
                <w:color w:val="auto"/>
              </w:rPr>
              <w:t>CONSOLIDATED BALANCE SHEET</w:t>
            </w:r>
          </w:p>
        </w:tc>
        <w:tc>
          <w:tcPr>
            <w:tcW w:w="16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0"/>
        </w:trPr>
        <w:tc>
          <w:tcPr>
            <w:tcW w:w="81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2005</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81,235</w:t>
            </w:r>
          </w:p>
        </w:tc>
        <w:tc>
          <w:tcPr>
            <w:tcW w:w="9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(2,191)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79,044</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0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2,144</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Mortgages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53,197</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00" w:type="dxa"/>
            <w:vAlign w:val="bottom"/>
            <w:gridSpan w:val="4"/>
          </w:tcPr>
          <w:p>
            <w:pPr>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31,536</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84,733</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-3845560</wp:posOffset>
            </wp:positionV>
            <wp:extent cx="78422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-3845560</wp:posOffset>
            </wp:positionV>
            <wp:extent cx="7499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-1512570</wp:posOffset>
            </wp:positionV>
            <wp:extent cx="78422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-1512570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-1512570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-1512570</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88"/>
              </w:rPr>
              <w:t>Interest Rate as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5"/>
              </w:rPr>
              <w:t>Maturity</w:t>
            </w:r>
          </w:p>
        </w:tc>
        <w:tc>
          <w:tcPr>
            <w:tcW w:w="18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5"/>
              </w:rPr>
              <w:t>September 30, 2005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Mortgage Loans</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b w:val="1"/>
                <w:bCs w:val="1"/>
                <w:i w:val="1"/>
                <w:iCs w:val="1"/>
                <w:color w:val="auto"/>
              </w:rPr>
              <w:t>Secured Fixed Rate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Campus Plaza</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8"/>
            <w:shd w:val="clear" w:color="auto" w:fill="CCEEFF"/>
          </w:tcPr>
          <w:p>
            <w:pPr>
              <w:jc w:val="center"/>
              <w:ind w:left="955"/>
              <w:spacing w:after="0"/>
              <w:rPr>
                <w:sz w:val="20"/>
                <w:szCs w:val="20"/>
                <w:color w:val="auto"/>
              </w:rPr>
            </w:pPr>
            <w:r>
              <w:rPr>
                <w:rFonts w:ascii="Arial" w:cs="Arial" w:eastAsia="Arial" w:hAnsi="Arial"/>
                <w:sz w:val="18"/>
                <w:szCs w:val="18"/>
                <w:color w:val="auto"/>
                <w:w w:val="91"/>
              </w:rPr>
              <w:t>12/01/09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4.530%(a)</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color w:val="auto"/>
              </w:rPr>
              <w:t>Pleasant Shops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8"/>
          </w:tcPr>
          <w:p>
            <w:pPr>
              <w:jc w:val="center"/>
              <w:ind w:left="955"/>
              <w:spacing w:after="0"/>
              <w:rPr>
                <w:sz w:val="20"/>
                <w:szCs w:val="20"/>
                <w:color w:val="auto"/>
              </w:rPr>
            </w:pPr>
            <w:r>
              <w:rPr>
                <w:rFonts w:ascii="Arial" w:cs="Arial" w:eastAsia="Arial" w:hAnsi="Arial"/>
                <w:sz w:val="18"/>
                <w:szCs w:val="18"/>
                <w:color w:val="auto"/>
                <w:w w:val="91"/>
              </w:rPr>
              <w:t>12/01/09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4.530%(a)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Plaza del Mercado</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80" w:type="dxa"/>
            <w:vAlign w:val="bottom"/>
            <w:gridSpan w:val="8"/>
            <w:shd w:val="clear" w:color="auto" w:fill="CCEEFF"/>
          </w:tcPr>
          <w:p>
            <w:pPr>
              <w:jc w:val="center"/>
              <w:ind w:left="955"/>
              <w:spacing w:after="0"/>
              <w:rPr>
                <w:sz w:val="20"/>
                <w:szCs w:val="20"/>
                <w:color w:val="auto"/>
              </w:rPr>
            </w:pPr>
            <w:r>
              <w:rPr>
                <w:rFonts w:ascii="Arial" w:cs="Arial" w:eastAsia="Arial" w:hAnsi="Arial"/>
                <w:sz w:val="18"/>
                <w:szCs w:val="18"/>
                <w:color w:val="auto"/>
                <w:w w:val="91"/>
              </w:rPr>
              <w:t>07/05/14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5.770%(b)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20" w:type="dxa"/>
            <w:vAlign w:val="bottom"/>
            <w:gridSpan w:val="3"/>
          </w:tcPr>
          <w:p>
            <w:pPr>
              <w:ind w:left="60"/>
              <w:spacing w:after="0"/>
              <w:rPr>
                <w:sz w:val="20"/>
                <w:szCs w:val="20"/>
                <w:color w:val="auto"/>
              </w:rPr>
            </w:pPr>
            <w:r>
              <w:rPr>
                <w:rFonts w:ascii="Arial" w:cs="Arial" w:eastAsia="Arial" w:hAnsi="Arial"/>
                <w:sz w:val="18"/>
                <w:szCs w:val="18"/>
                <w:color w:val="auto"/>
              </w:rPr>
              <w:t>Atlantic Plaza</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8"/>
          </w:tcPr>
          <w:p>
            <w:pPr>
              <w:jc w:val="center"/>
              <w:ind w:left="955"/>
              <w:spacing w:after="0"/>
              <w:rPr>
                <w:sz w:val="20"/>
                <w:szCs w:val="20"/>
                <w:color w:val="auto"/>
              </w:rPr>
            </w:pPr>
            <w:r>
              <w:rPr>
                <w:rFonts w:ascii="Arial" w:cs="Arial" w:eastAsia="Arial" w:hAnsi="Arial"/>
                <w:sz w:val="18"/>
                <w:szCs w:val="18"/>
                <w:color w:val="auto"/>
                <w:w w:val="91"/>
              </w:rPr>
              <w:t>12/01/14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5.120%(a)</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Total Fixed Rate Debt</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DEBT MATURITIES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50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00" w:type="dxa"/>
            <w:vAlign w:val="bottom"/>
            <w:gridSpan w:val="5"/>
          </w:tcPr>
          <w:p>
            <w:pPr>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Scheduled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rPr>
              <w:t>Percent of</w:t>
            </w:r>
          </w:p>
        </w:tc>
        <w:tc>
          <w:tcPr>
            <w:tcW w:w="10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74"/>
        </w:trPr>
        <w:tc>
          <w:tcPr>
            <w:tcW w:w="5500" w:type="dxa"/>
            <w:vAlign w:val="bottom"/>
            <w:gridSpan w:val="5"/>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Amortization</w:t>
            </w:r>
          </w:p>
        </w:tc>
        <w:tc>
          <w:tcPr>
            <w:tcW w:w="10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Total</w:t>
            </w:r>
          </w:p>
        </w:tc>
        <w:tc>
          <w:tcPr>
            <w:tcW w:w="360" w:type="dxa"/>
            <w:vAlign w:val="bottom"/>
          </w:tcPr>
          <w:p>
            <w:pPr>
              <w:spacing w:after="0"/>
              <w:rPr>
                <w:sz w:val="15"/>
                <w:szCs w:val="15"/>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9"/>
              </w:rPr>
              <w:t>Debt Maturing</w:t>
            </w:r>
          </w:p>
        </w:tc>
        <w:tc>
          <w:tcPr>
            <w:tcW w:w="1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2005</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8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120"/>
              <w:spacing w:after="0"/>
              <w:rPr>
                <w:sz w:val="20"/>
                <w:szCs w:val="20"/>
                <w:color w:val="auto"/>
              </w:rPr>
            </w:pPr>
            <w:r>
              <w:rPr>
                <w:rFonts w:ascii="Arial" w:cs="Arial" w:eastAsia="Arial" w:hAnsi="Arial"/>
                <w:sz w:val="18"/>
                <w:szCs w:val="18"/>
                <w:color w:val="auto"/>
              </w:rPr>
              <w:t>175</w:t>
            </w:r>
          </w:p>
        </w:tc>
        <w:tc>
          <w:tcPr>
            <w:tcW w:w="1860" w:type="dxa"/>
            <w:vAlign w:val="bottom"/>
            <w:gridSpan w:val="4"/>
          </w:tcPr>
          <w:p>
            <w:pPr>
              <w:jc w:val="right"/>
              <w:ind w:right="4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23,400</w:t>
            </w:r>
          </w:p>
        </w:tc>
        <w:tc>
          <w:tcPr>
            <w:tcW w:w="11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23,585</w:t>
            </w:r>
          </w:p>
        </w:tc>
        <w:tc>
          <w:tcPr>
            <w:tcW w:w="18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120"/>
              <w:spacing w:after="0"/>
              <w:rPr>
                <w:sz w:val="20"/>
                <w:szCs w:val="20"/>
                <w:color w:val="auto"/>
              </w:rPr>
            </w:pPr>
            <w:r>
              <w:rPr>
                <w:rFonts w:ascii="Arial" w:cs="Arial" w:eastAsia="Arial" w:hAnsi="Arial"/>
                <w:sz w:val="18"/>
                <w:szCs w:val="18"/>
                <w:color w:val="auto"/>
              </w:rPr>
              <w:t>196</w:t>
            </w:r>
          </w:p>
        </w:tc>
        <w:tc>
          <w:tcPr>
            <w:tcW w:w="1860" w:type="dxa"/>
            <w:vAlign w:val="bottom"/>
            <w:gridSpan w:val="4"/>
          </w:tcPr>
          <w:p>
            <w:pPr>
              <w:jc w:val="right"/>
              <w:ind w:right="4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8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120"/>
              <w:spacing w:after="0"/>
              <w:rPr>
                <w:sz w:val="20"/>
                <w:szCs w:val="20"/>
                <w:color w:val="auto"/>
              </w:rPr>
            </w:pPr>
            <w:r>
              <w:rPr>
                <w:rFonts w:ascii="Arial" w:cs="Arial" w:eastAsia="Arial" w:hAnsi="Arial"/>
                <w:sz w:val="18"/>
                <w:szCs w:val="18"/>
                <w:color w:val="auto"/>
              </w:rPr>
              <w:t>220</w:t>
            </w:r>
          </w:p>
        </w:tc>
        <w:tc>
          <w:tcPr>
            <w:tcW w:w="1860" w:type="dxa"/>
            <w:vAlign w:val="bottom"/>
            <w:gridSpan w:val="4"/>
          </w:tcPr>
          <w:p>
            <w:pPr>
              <w:jc w:val="right"/>
              <w:ind w:right="48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2013</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8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22,396</w:t>
            </w:r>
          </w:p>
        </w:tc>
        <w:tc>
          <w:tcPr>
            <w:tcW w:w="1160" w:type="dxa"/>
            <w:vAlign w:val="bottom"/>
            <w:gridSpan w:val="5"/>
          </w:tcPr>
          <w:p>
            <w:pPr>
              <w:jc w:val="right"/>
              <w:ind w:right="120"/>
              <w:spacing w:after="0"/>
              <w:rPr>
                <w:sz w:val="20"/>
                <w:szCs w:val="20"/>
                <w:color w:val="auto"/>
              </w:rPr>
            </w:pPr>
            <w:r>
              <w:rPr>
                <w:rFonts w:ascii="Arial" w:cs="Arial" w:eastAsia="Arial" w:hAnsi="Arial"/>
                <w:sz w:val="18"/>
                <w:szCs w:val="18"/>
                <w:color w:val="auto"/>
              </w:rPr>
              <w:t>22,538</w:t>
            </w:r>
          </w:p>
        </w:tc>
        <w:tc>
          <w:tcPr>
            <w:tcW w:w="1860" w:type="dxa"/>
            <w:vAlign w:val="bottom"/>
            <w:gridSpan w:val="4"/>
          </w:tcPr>
          <w:p>
            <w:pPr>
              <w:jc w:val="right"/>
              <w:ind w:right="48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$1,429</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$ 45,796</w:t>
            </w:r>
          </w:p>
        </w:tc>
        <w:tc>
          <w:tcPr>
            <w:tcW w:w="11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$47,225</w:t>
            </w:r>
          </w:p>
        </w:tc>
        <w:tc>
          <w:tcPr>
            <w:tcW w:w="18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-2926080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-2926080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-2926080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-172720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-172720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-172720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-172720</wp:posOffset>
            </wp:positionV>
            <wp:extent cx="3898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-172720</wp:posOffset>
            </wp:positionV>
            <wp:extent cx="37274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-172720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Loan is interest only until July 5, 2007, after which principal and interest payments are due based on a 30-year amortization schedule.</w:t>
      </w:r>
    </w:p>
    <w:p>
      <w:pPr>
        <w:sectPr>
          <w:pgSz w:w="11900" w:h="16838" w:orient="portrait"/>
          <w:cols w:equalWidth="0" w:num="1">
            <w:col w:w="11420"/>
          </w:cols>
          <w:pgMar w:left="240" w:top="27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Mortgage or</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Grocery</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Anchor</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8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MSA Description</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Acquired</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Investment</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GLA</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 Leased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1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GLA (1)</w:t>
            </w:r>
          </w:p>
        </w:tc>
        <w:tc>
          <w:tcPr>
            <w:tcW w:w="1460" w:type="dxa"/>
            <w:vAlign w:val="bottom"/>
          </w:tcPr>
          <w:p>
            <w:pPr>
              <w:ind w:left="160"/>
              <w:spacing w:after="0"/>
              <w:rPr>
                <w:sz w:val="20"/>
                <w:szCs w:val="20"/>
                <w:color w:val="auto"/>
              </w:rPr>
            </w:pPr>
            <w:r>
              <w:rPr>
                <w:rFonts w:ascii="Arial" w:cs="Arial" w:eastAsia="Arial" w:hAnsi="Arial"/>
                <w:sz w:val="14"/>
                <w:szCs w:val="14"/>
                <w:b w:val="1"/>
                <w:bCs w:val="1"/>
                <w:color w:val="auto"/>
              </w:rPr>
              <w:t>Grocery Anchor (1)</w:t>
            </w: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(in thousands)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560" w:type="dxa"/>
            <w:vAlign w:val="bottom"/>
            <w:tcBorders>
              <w:bottom w:val="single" w:sz="8" w:color="CCEEFF"/>
            </w:tcBorders>
            <w:gridSpan w:val="4"/>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920" w:type="dxa"/>
            <w:vAlign w:val="bottom"/>
            <w:gridSpan w:val="9"/>
          </w:tcPr>
          <w:p>
            <w:pPr>
              <w:spacing w:after="0"/>
              <w:rPr>
                <w:sz w:val="20"/>
                <w:szCs w:val="20"/>
                <w:color w:val="auto"/>
              </w:rPr>
            </w:pPr>
            <w:r>
              <w:rPr>
                <w:rFonts w:ascii="Arial" w:cs="Arial" w:eastAsia="Arial" w:hAnsi="Arial"/>
                <w:sz w:val="18"/>
                <w:szCs w:val="18"/>
                <w:b w:val="1"/>
                <w:bCs w:val="1"/>
                <w:color w:val="auto"/>
              </w:rPr>
              <w:t>Washington Metropolitan Area</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Plaza del Mercado</w:t>
            </w:r>
          </w:p>
        </w:tc>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Washington, DC-MD-VA</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25,000</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Washington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Metropolitan Area</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480" w:type="dxa"/>
            <w:vAlign w:val="bottom"/>
            <w:gridSpan w:val="6"/>
          </w:tcPr>
          <w:p>
            <w:pPr>
              <w:spacing w:after="0"/>
              <w:rPr>
                <w:sz w:val="20"/>
                <w:szCs w:val="20"/>
                <w:color w:val="auto"/>
              </w:rPr>
            </w:pPr>
            <w:r>
              <w:rPr>
                <w:rFonts w:ascii="Arial" w:cs="Arial" w:eastAsia="Arial" w:hAnsi="Arial"/>
                <w:sz w:val="18"/>
                <w:szCs w:val="18"/>
                <w:b w:val="1"/>
                <w:bCs w:val="1"/>
                <w:color w:val="auto"/>
              </w:rPr>
              <w:t>New England</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Boston-Worcester-Lawrence-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63,000</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86"/>
              </w:rPr>
              <w:t>Shaw’s Supermarket</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Sears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Lowell-Brockton, MA</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Campus Plaza</w:t>
            </w:r>
          </w:p>
        </w:tc>
        <w:tc>
          <w:tcPr>
            <w:tcW w:w="2440" w:type="dxa"/>
            <w:vAlign w:val="bottom"/>
            <w:gridSpan w:val="3"/>
          </w:tcPr>
          <w:p>
            <w:pPr>
              <w:spacing w:after="0"/>
              <w:rPr>
                <w:sz w:val="20"/>
                <w:szCs w:val="20"/>
                <w:color w:val="auto"/>
              </w:rPr>
            </w:pPr>
            <w:r>
              <w:rPr>
                <w:rFonts w:ascii="Arial" w:cs="Arial" w:eastAsia="Arial" w:hAnsi="Arial"/>
                <w:sz w:val="18"/>
                <w:szCs w:val="18"/>
                <w:color w:val="auto"/>
              </w:rPr>
              <w:t>Boston-Worcester-Lawrence-</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21,704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117,000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20" w:type="dxa"/>
            <w:vAlign w:val="bottom"/>
          </w:tcPr>
          <w:p>
            <w:pPr>
              <w:jc w:val="right"/>
              <w:spacing w:after="0"/>
              <w:rPr>
                <w:sz w:val="20"/>
                <w:szCs w:val="20"/>
                <w:color w:val="auto"/>
              </w:rPr>
            </w:pPr>
            <w:r>
              <w:rPr>
                <w:rFonts w:ascii="Arial" w:cs="Arial" w:eastAsia="Arial" w:hAnsi="Arial"/>
                <w:sz w:val="18"/>
                <w:szCs w:val="18"/>
                <w:color w:val="auto"/>
              </w:rPr>
              <w:t>11,000</w:t>
            </w: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46,000</w:t>
            </w:r>
          </w:p>
        </w:tc>
        <w:tc>
          <w:tcPr>
            <w:tcW w:w="1460" w:type="dxa"/>
            <w:vAlign w:val="bottom"/>
          </w:tcPr>
          <w:p>
            <w:pPr>
              <w:spacing w:after="0"/>
              <w:rPr>
                <w:sz w:val="20"/>
                <w:szCs w:val="20"/>
                <w:color w:val="auto"/>
              </w:rPr>
            </w:pPr>
            <w:r>
              <w:rPr>
                <w:rFonts w:ascii="Arial" w:cs="Arial" w:eastAsia="Arial" w:hAnsi="Arial"/>
                <w:sz w:val="18"/>
                <w:szCs w:val="18"/>
                <w:color w:val="auto"/>
              </w:rPr>
              <w:t>Roche Brothers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Burlington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gridSpan w:val="3"/>
          </w:tcPr>
          <w:p>
            <w:pPr>
              <w:ind w:left="220"/>
              <w:spacing w:after="0"/>
              <w:rPr>
                <w:sz w:val="20"/>
                <w:szCs w:val="20"/>
                <w:color w:val="auto"/>
              </w:rPr>
            </w:pPr>
            <w:r>
              <w:rPr>
                <w:rFonts w:ascii="Arial" w:cs="Arial" w:eastAsia="Arial" w:hAnsi="Arial"/>
                <w:sz w:val="18"/>
                <w:szCs w:val="18"/>
                <w:color w:val="auto"/>
              </w:rPr>
              <w:t>Lowell-Brockton, MA</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Coat Factory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Boston-Worcester-Lawrence-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38,000</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Foodmaster</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Lowell-Brockton, MA</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New England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370,000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Total East Region</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81,235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466,000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81,235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466,000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58"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 Adjusted EBITDA is a non-GAAP measure that means net income or loss plus interest expense, income taxes,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adjusted for gain or loss on sale of assets and impairment provisions.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nine months ended September 30, 2005 and 2004 is as follows:</w:t>
      </w:r>
    </w:p>
    <w:p>
      <w:pPr>
        <w:spacing w:after="0" w:line="96"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For the Nine Months Ended</w:t>
      </w:r>
    </w:p>
    <w:p>
      <w:pPr>
        <w:spacing w:after="0" w:line="1"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60325</wp:posOffset>
            </wp:positionV>
            <wp:extent cx="11404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interest income</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211,403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(17,347)</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194,056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5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1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Tenant improvements and incentives</w:t>
      </w:r>
      <w:r>
        <w:rPr>
          <w:rFonts w:ascii="Arial" w:cs="Arial" w:eastAsia="Arial" w:hAnsi="Arial"/>
          <w:sz w:val="18"/>
          <w:szCs w:val="18"/>
          <w:color w:val="auto"/>
        </w:rPr>
        <w:t>: Represents not only the total dollars committed for the improvement (fit-out) of a space as it relates to a specific lease but</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include base building costs (i.e. expansion, escalators or new entrances) which are required to make the space leasable. Incentives include amounts paid to tenants as an inducement to sign a lease that do not represent building improvements.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3"/>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2019-12-13T00:50:57Z</dcterms:created>
  <dcterms:modified xsi:type="dcterms:W3CDTF">2019-12-13T00:50:57Z</dcterms:modified>
</cp:coreProperties>
</file>