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jc w:val="center"/>
        <w:ind w:right="1779"/>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2120"/>
        <w:spacing w:after="0"/>
        <w:tabs>
          <w:tab w:leader="none" w:pos="4620" w:val="left"/>
        </w:tabs>
        <w:rPr>
          <w:sz w:val="20"/>
          <w:szCs w:val="20"/>
          <w:color w:val="auto"/>
        </w:rPr>
      </w:pPr>
      <w:r>
        <w:rPr>
          <w:rFonts w:ascii="Courier New" w:cs="Courier New" w:eastAsia="Courier New" w:hAnsi="Courier New"/>
          <w:sz w:val="18"/>
          <w:szCs w:val="18"/>
          <w:color w:val="auto"/>
        </w:rPr>
        <w:t>For the Quarter Ended:</w:t>
      </w:r>
      <w:r>
        <w:rPr>
          <w:sz w:val="20"/>
          <w:szCs w:val="20"/>
          <w:color w:val="auto"/>
        </w:rPr>
        <w:tab/>
      </w:r>
      <w:r>
        <w:rPr>
          <w:rFonts w:ascii="Courier New" w:cs="Courier New" w:eastAsia="Courier New" w:hAnsi="Courier New"/>
          <w:sz w:val="16"/>
          <w:szCs w:val="16"/>
          <w:color w:val="auto"/>
        </w:rPr>
        <w:t>June 30, 1994</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Commission File No. 1-7533</w:t>
      </w:r>
    </w:p>
    <w:p>
      <w:pPr>
        <w:ind w:left="264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360" w:type="dxa"/>
            <w:vAlign w:val="bottom"/>
          </w:tcPr>
          <w:p>
            <w:pPr>
              <w:spacing w:after="0"/>
              <w:rPr>
                <w:sz w:val="20"/>
                <w:szCs w:val="20"/>
                <w:color w:val="auto"/>
              </w:rPr>
            </w:pPr>
            <w:r>
              <w:rPr>
                <w:rFonts w:ascii="Courier New" w:cs="Courier New" w:eastAsia="Courier New" w:hAnsi="Courier New"/>
                <w:sz w:val="18"/>
                <w:szCs w:val="18"/>
                <w:color w:val="auto"/>
              </w:rPr>
              <w:t>District of Columbia</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52-0782497</w:t>
            </w:r>
          </w:p>
        </w:tc>
      </w:tr>
    </w:tbl>
    <w:p>
      <w:pPr>
        <w:spacing w:after="0" w:line="233"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5" w:lineRule="exact"/>
        <w:rPr>
          <w:sz w:val="24"/>
          <w:szCs w:val="24"/>
          <w:color w:val="auto"/>
        </w:rPr>
      </w:pPr>
    </w:p>
    <w:p>
      <w:pPr>
        <w:ind w:left="540" w:right="3259"/>
        <w:spacing w:after="0" w:line="235" w:lineRule="auto"/>
        <w:rPr>
          <w:sz w:val="20"/>
          <w:szCs w:val="20"/>
          <w:color w:val="auto"/>
        </w:rPr>
      </w:pPr>
      <w:r>
        <w:rPr>
          <w:rFonts w:ascii="Courier New" w:cs="Courier New" w:eastAsia="Courier New" w:hAnsi="Courier New"/>
          <w:sz w:val="18"/>
          <w:szCs w:val="18"/>
          <w:color w:val="auto"/>
        </w:rPr>
        <w:t>(State or other jurisdiction of (I.R.S. Employer incorporation or organization) Identification No.)</w:t>
      </w:r>
    </w:p>
    <w:p>
      <w:pPr>
        <w:spacing w:after="0" w:line="203" w:lineRule="exact"/>
        <w:rPr>
          <w:sz w:val="24"/>
          <w:szCs w:val="24"/>
          <w:color w:val="auto"/>
        </w:rPr>
      </w:pPr>
    </w:p>
    <w:p>
      <w:pPr>
        <w:ind w:left="1160"/>
        <w:spacing w:after="0"/>
        <w:tabs>
          <w:tab w:leader="none" w:pos="6400" w:val="left"/>
        </w:tabs>
        <w:rPr>
          <w:sz w:val="20"/>
          <w:szCs w:val="20"/>
          <w:color w:val="auto"/>
        </w:rPr>
      </w:pPr>
      <w:r>
        <w:rPr>
          <w:rFonts w:ascii="Courier New" w:cs="Courier New" w:eastAsia="Courier New" w:hAnsi="Courier New"/>
          <w:sz w:val="18"/>
          <w:szCs w:val="18"/>
          <w:color w:val="auto"/>
        </w:rPr>
        <w:t>4800 Hampden Lane, Suite 500, Bethesda, Maryland</w:t>
        <w:tab/>
        <w:t>20814</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260"/>
        <w:spacing w:after="0"/>
        <w:tabs>
          <w:tab w:leader="none" w:pos="56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ind w:left="3580" w:hanging="626"/>
        <w:spacing w:after="0"/>
        <w:tabs>
          <w:tab w:leader="none" w:pos="3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652-3360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9899"/>
          </w:cols>
          <w:pgMar w:left="560" w:top="1230" w:right="1440" w:bottom="1440" w:gutter="0" w:footer="0" w:header="0"/>
        </w:sect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ectPr>
          <w:pgSz w:w="11900" w:h="16838" w:orient="portrait"/>
          <w:cols w:equalWidth="0" w:num="5">
            <w:col w:w="840" w:space="320"/>
            <w:col w:w="100" w:space="220"/>
            <w:col w:w="120" w:space="720"/>
            <w:col w:w="220" w:space="520"/>
            <w:col w:w="6839"/>
          </w:cols>
          <w:pgMar w:left="560" w:top="1230"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1920" w:space="720"/>
            <w:col w:w="7259"/>
          </w:cols>
          <w:pgMar w:left="560" w:top="1230" w:right="1440" w:bottom="1440" w:gutter="0" w:footer="0" w:header="0"/>
          <w:type w:val="continuous"/>
        </w:sectPr>
      </w:pPr>
    </w:p>
    <w:bookmarkStart w:id="1" w:name="page2"/>
    <w:bookmarkEnd w:id="1"/>
    <w:p>
      <w:pPr>
        <w:ind w:right="2519" w:firstLine="527"/>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Outstanding at August 5. 1994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60" w:space="640"/>
            <w:col w:w="6199"/>
          </w:cols>
          <w:pgMar w:left="56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31,525,100</w:t>
      </w:r>
    </w:p>
    <w:p>
      <w:pPr>
        <w:spacing w:after="0" w:line="200" w:lineRule="exact"/>
        <w:rPr>
          <w:sz w:val="20"/>
          <w:szCs w:val="20"/>
          <w:color w:val="auto"/>
        </w:rPr>
      </w:pPr>
    </w:p>
    <w:p>
      <w:pPr>
        <w:sectPr>
          <w:pgSz w:w="11900" w:h="16838" w:orient="portrait"/>
          <w:cols w:equalWidth="0" w:num="2">
            <w:col w:w="4860" w:space="720"/>
            <w:col w:w="4319"/>
          </w:cols>
          <w:pgMar w:left="560" w:top="520"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report, including exhibits, contains 38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520"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574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FEDERAL REALTY INVESTMENT TRUST</w:t>
            </w:r>
          </w:p>
        </w:tc>
        <w:tc>
          <w:tcPr>
            <w:tcW w:w="132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20" w:type="dxa"/>
            <w:vAlign w:val="bottom"/>
          </w:tcPr>
          <w:p>
            <w:pPr>
              <w:ind w:left="780"/>
              <w:spacing w:after="0"/>
              <w:rPr>
                <w:sz w:val="20"/>
                <w:szCs w:val="20"/>
                <w:color w:val="auto"/>
              </w:rPr>
            </w:pPr>
            <w:r>
              <w:rPr>
                <w:rFonts w:ascii="Courier New" w:cs="Courier New" w:eastAsia="Courier New" w:hAnsi="Courier New"/>
                <w:sz w:val="18"/>
                <w:szCs w:val="18"/>
                <w:color w:val="auto"/>
              </w:rPr>
              <w:t>S.E.C. FORM 10-Q</w:t>
            </w:r>
          </w:p>
        </w:tc>
        <w:tc>
          <w:tcPr>
            <w:tcW w:w="132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2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6"/>
              </w:rPr>
              <w:t>June 30, 1994</w:t>
            </w:r>
          </w:p>
        </w:tc>
        <w:tc>
          <w:tcPr>
            <w:tcW w:w="132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20" w:type="dxa"/>
            <w:vAlign w:val="bottom"/>
          </w:tcPr>
          <w:p>
            <w:pPr>
              <w:jc w:val="center"/>
              <w:ind w:right="872"/>
              <w:spacing w:after="0"/>
              <w:rPr>
                <w:sz w:val="20"/>
                <w:szCs w:val="20"/>
                <w:color w:val="auto"/>
              </w:rPr>
            </w:pPr>
            <w:r>
              <w:rPr>
                <w:rFonts w:ascii="Courier New" w:cs="Courier New" w:eastAsia="Courier New" w:hAnsi="Courier New"/>
                <w:sz w:val="18"/>
                <w:szCs w:val="18"/>
                <w:color w:val="auto"/>
                <w:w w:val="98"/>
              </w:rPr>
              <w:t>I N D E X</w:t>
            </w:r>
          </w:p>
        </w:tc>
        <w:tc>
          <w:tcPr>
            <w:tcW w:w="1320" w:type="dxa"/>
            <w:vAlign w:val="bottom"/>
          </w:tcPr>
          <w:p>
            <w:pPr>
              <w:spacing w:after="0"/>
              <w:rPr>
                <w:sz w:val="24"/>
                <w:szCs w:val="24"/>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5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Accountants'</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w:t>
            </w: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r>
      <w:tr>
        <w:trPr>
          <w:trHeight w:val="203"/>
        </w:trPr>
        <w:tc>
          <w:tcPr>
            <w:tcW w:w="960" w:type="dxa"/>
            <w:vAlign w:val="bottom"/>
          </w:tcPr>
          <w:p>
            <w:pPr>
              <w:spacing w:after="0"/>
              <w:rPr>
                <w:sz w:val="17"/>
                <w:szCs w:val="17"/>
                <w:color w:val="auto"/>
              </w:rPr>
            </w:pPr>
          </w:p>
        </w:tc>
        <w:tc>
          <w:tcPr>
            <w:tcW w:w="5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June 30, 1994 (unaudited) and</w:t>
            </w:r>
          </w:p>
        </w:tc>
        <w:tc>
          <w:tcPr>
            <w:tcW w:w="13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31,</w:t>
            </w:r>
          </w:p>
        </w:tc>
        <w:tc>
          <w:tcPr>
            <w:tcW w:w="4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 (audited)</w:t>
            </w:r>
          </w:p>
        </w:tc>
        <w:tc>
          <w:tcPr>
            <w:tcW w:w="132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 (unaudited)</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r>
      <w:tr>
        <w:trPr>
          <w:trHeight w:val="203"/>
        </w:trPr>
        <w:tc>
          <w:tcPr>
            <w:tcW w:w="960" w:type="dxa"/>
            <w:vAlign w:val="bottom"/>
          </w:tcPr>
          <w:p>
            <w:pPr>
              <w:spacing w:after="0"/>
              <w:rPr>
                <w:sz w:val="17"/>
                <w:szCs w:val="17"/>
                <w:color w:val="auto"/>
              </w:rPr>
            </w:pPr>
          </w:p>
        </w:tc>
        <w:tc>
          <w:tcPr>
            <w:tcW w:w="5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Six months ended June 30, 1994 and 1993</w:t>
            </w:r>
          </w:p>
        </w:tc>
        <w:tc>
          <w:tcPr>
            <w:tcW w:w="132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Statements of Operations (unaudited)</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w:t>
            </w:r>
          </w:p>
        </w:tc>
      </w:tr>
      <w:tr>
        <w:trPr>
          <w:trHeight w:val="203"/>
        </w:trPr>
        <w:tc>
          <w:tcPr>
            <w:tcW w:w="960" w:type="dxa"/>
            <w:vAlign w:val="bottom"/>
          </w:tcPr>
          <w:p>
            <w:pPr>
              <w:spacing w:after="0"/>
              <w:rPr>
                <w:sz w:val="17"/>
                <w:szCs w:val="17"/>
                <w:color w:val="auto"/>
              </w:rPr>
            </w:pP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Three months</w:t>
            </w:r>
          </w:p>
        </w:tc>
        <w:tc>
          <w:tcPr>
            <w:tcW w:w="4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ended June 30, 1994 and 1993</w:t>
            </w:r>
          </w:p>
        </w:tc>
        <w:tc>
          <w:tcPr>
            <w:tcW w:w="132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Statements</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r>
      <w:tr>
        <w:trPr>
          <w:trHeight w:val="203"/>
        </w:trPr>
        <w:tc>
          <w:tcPr>
            <w:tcW w:w="960" w:type="dxa"/>
            <w:vAlign w:val="bottom"/>
          </w:tcPr>
          <w:p>
            <w:pPr>
              <w:spacing w:after="0"/>
              <w:rPr>
                <w:sz w:val="17"/>
                <w:szCs w:val="17"/>
                <w:color w:val="auto"/>
              </w:rPr>
            </w:pPr>
          </w:p>
        </w:tc>
        <w:tc>
          <w:tcPr>
            <w:tcW w:w="5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of Shareholders' Equity (unaudited)</w:t>
            </w:r>
          </w:p>
        </w:tc>
        <w:tc>
          <w:tcPr>
            <w:tcW w:w="13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5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Six months ended June 30, 1994 and 1993</w:t>
            </w:r>
          </w:p>
        </w:tc>
        <w:tc>
          <w:tcPr>
            <w:tcW w:w="132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Consolidated</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Statements of Cash Flows (unaudited)</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w:t>
            </w:r>
          </w:p>
        </w:tc>
      </w:tr>
      <w:tr>
        <w:trPr>
          <w:trHeight w:val="203"/>
        </w:trPr>
        <w:tc>
          <w:tcPr>
            <w:tcW w:w="960" w:type="dxa"/>
            <w:vAlign w:val="bottom"/>
          </w:tcPr>
          <w:p>
            <w:pPr>
              <w:spacing w:after="0"/>
              <w:rPr>
                <w:sz w:val="17"/>
                <w:szCs w:val="17"/>
                <w:color w:val="auto"/>
              </w:rPr>
            </w:pPr>
          </w:p>
        </w:tc>
        <w:tc>
          <w:tcPr>
            <w:tcW w:w="5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Six months ended June 30, 1994 and 1993</w:t>
            </w:r>
          </w:p>
        </w:tc>
        <w:tc>
          <w:tcPr>
            <w:tcW w:w="1320" w:type="dxa"/>
            <w:vAlign w:val="bottom"/>
          </w:tcPr>
          <w:p>
            <w:pPr>
              <w:spacing w:after="0"/>
              <w:rPr>
                <w:sz w:val="17"/>
                <w:szCs w:val="17"/>
                <w:color w:val="auto"/>
              </w:rPr>
            </w:pPr>
          </w:p>
        </w:tc>
      </w:tr>
      <w:tr>
        <w:trPr>
          <w:trHeight w:val="405"/>
        </w:trPr>
        <w:tc>
          <w:tcPr>
            <w:tcW w:w="960" w:type="dxa"/>
            <w:vAlign w:val="bottom"/>
          </w:tcPr>
          <w:p>
            <w:pPr>
              <w:spacing w:after="0"/>
              <w:rPr>
                <w:sz w:val="24"/>
                <w:szCs w:val="24"/>
                <w:color w:val="auto"/>
              </w:rPr>
            </w:pPr>
          </w:p>
        </w:tc>
        <w:tc>
          <w:tcPr>
            <w:tcW w:w="5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Notes to Financial Statements</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10-13</w:t>
            </w: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Management's</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Discussion and Analysis of</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14-18</w:t>
            </w:r>
          </w:p>
        </w:tc>
      </w:tr>
      <w:tr>
        <w:trPr>
          <w:trHeight w:val="203"/>
        </w:trPr>
        <w:tc>
          <w:tcPr>
            <w:tcW w:w="960" w:type="dxa"/>
            <w:vAlign w:val="bottom"/>
          </w:tcPr>
          <w:p>
            <w:pPr>
              <w:spacing w:after="0"/>
              <w:rPr>
                <w:sz w:val="17"/>
                <w:szCs w:val="17"/>
                <w:color w:val="auto"/>
              </w:rPr>
            </w:pPr>
          </w:p>
        </w:tc>
        <w:tc>
          <w:tcPr>
            <w:tcW w:w="5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132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5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w:t>
            </w:r>
          </w:p>
        </w:tc>
      </w:tr>
      <w:tr>
        <w:trPr>
          <w:trHeight w:val="405"/>
        </w:trPr>
        <w:tc>
          <w:tcPr>
            <w:tcW w:w="96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Exhibits</w:t>
            </w:r>
          </w:p>
        </w:tc>
        <w:tc>
          <w:tcPr>
            <w:tcW w:w="432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21-38</w:t>
            </w:r>
          </w:p>
        </w:tc>
      </w:tr>
      <w:tr>
        <w:trPr>
          <w:trHeight w:val="405"/>
        </w:trPr>
        <w:tc>
          <w:tcPr>
            <w:tcW w:w="9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20" w:type="dxa"/>
            <w:vAlign w:val="bottom"/>
          </w:tcPr>
          <w:p>
            <w:pPr>
              <w:jc w:val="center"/>
              <w:ind w:right="872"/>
              <w:spacing w:after="0"/>
              <w:rPr>
                <w:sz w:val="20"/>
                <w:szCs w:val="20"/>
                <w:color w:val="auto"/>
              </w:rPr>
            </w:pPr>
            <w:r>
              <w:rPr>
                <w:rFonts w:ascii="Courier New" w:cs="Courier New" w:eastAsia="Courier New" w:hAnsi="Courier New"/>
                <w:sz w:val="18"/>
                <w:szCs w:val="18"/>
                <w:color w:val="auto"/>
              </w:rPr>
              <w:t>3</w:t>
            </w:r>
          </w:p>
        </w:tc>
        <w:tc>
          <w:tcPr>
            <w:tcW w:w="132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sectPr>
      </w:pPr>
    </w:p>
    <w:bookmarkStart w:id="3" w:name="page4"/>
    <w:bookmarkEnd w:id="3"/>
    <w:p>
      <w:pPr>
        <w:ind w:left="24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 FORM 10-Q</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June 30, 1994</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7" w:lineRule="exact"/>
        <w:rPr>
          <w:sz w:val="20"/>
          <w:szCs w:val="20"/>
          <w:color w:val="auto"/>
        </w:rPr>
      </w:pPr>
    </w:p>
    <w:p>
      <w:pPr>
        <w:ind w:left="1060" w:right="1999" w:firstLine="527"/>
        <w:spacing w:after="0" w:line="237" w:lineRule="auto"/>
        <w:rPr>
          <w:sz w:val="20"/>
          <w:szCs w:val="20"/>
          <w:color w:val="auto"/>
        </w:rPr>
      </w:pPr>
      <w:r>
        <w:rPr>
          <w:rFonts w:ascii="Courier New" w:cs="Courier New" w:eastAsia="Courier New" w:hAnsi="Courier New"/>
          <w:sz w:val="18"/>
          <w:szCs w:val="18"/>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200" w:lineRule="exact"/>
        <w:rPr>
          <w:sz w:val="20"/>
          <w:szCs w:val="20"/>
          <w:color w:val="auto"/>
        </w:rPr>
      </w:pPr>
    </w:p>
    <w:p>
      <w:pPr>
        <w:spacing w:after="0" w:line="216" w:lineRule="exact"/>
        <w:rPr>
          <w:sz w:val="20"/>
          <w:szCs w:val="20"/>
          <w:color w:val="auto"/>
        </w:rPr>
      </w:pPr>
    </w:p>
    <w:p>
      <w:pPr>
        <w:ind w:left="1060" w:right="2099" w:firstLine="527"/>
        <w:spacing w:after="0" w:line="268" w:lineRule="auto"/>
        <w:rPr>
          <w:sz w:val="20"/>
          <w:szCs w:val="20"/>
          <w:color w:val="auto"/>
        </w:rPr>
      </w:pPr>
      <w:r>
        <w:rPr>
          <w:rFonts w:ascii="Courier New" w:cs="Courier New" w:eastAsia="Courier New" w:hAnsi="Courier New"/>
          <w:sz w:val="16"/>
          <w:szCs w:val="16"/>
          <w:color w:val="auto"/>
        </w:rPr>
        <w:t>The balance sheet as of December 31, 1993 was audited by Grant Thornton, independent public accountants, who expressed an unqualified opinion on it in their report dated February 14,</w:t>
      </w:r>
    </w:p>
    <w:p>
      <w:pPr>
        <w:spacing w:after="0" w:line="1" w:lineRule="exact"/>
        <w:rPr>
          <w:sz w:val="20"/>
          <w:szCs w:val="20"/>
          <w:color w:val="auto"/>
        </w:rPr>
      </w:pPr>
    </w:p>
    <w:p>
      <w:pPr>
        <w:ind w:left="1060" w:right="1879"/>
        <w:spacing w:after="0" w:line="273" w:lineRule="auto"/>
        <w:rPr>
          <w:sz w:val="20"/>
          <w:szCs w:val="20"/>
          <w:color w:val="auto"/>
        </w:rPr>
      </w:pPr>
      <w:r>
        <w:rPr>
          <w:rFonts w:ascii="Courier New" w:cs="Courier New" w:eastAsia="Courier New" w:hAnsi="Courier New"/>
          <w:sz w:val="16"/>
          <w:szCs w:val="16"/>
          <w:color w:val="auto"/>
        </w:rPr>
        <w:t>1994. All other financial information presented is unaudited but has been reviewed as of June 30, 1994 and for each of the six months ended June 30, 1994 and 1993 by Grant Thornton whose report thereon appears on Page 4. All adjustments and disclosures proposed by them have been reflected in the data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Accountants' Review Report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and Shareholders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We have reviewed the accompanying consolidated balance sheet of Federal Realty Investment Trust as of June 30, 1994 and the related consolidated statements of operations, shareholders' equity and cash flows for the six-month periods ended June 30, 1994 and 1993, and the consolidated statements of operations for the three-month periods ended June 30, 1994 and 1993.</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214"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Based on our review, we are not aware of any material modifications that should be made to the accompanying financial statements for them to be in conformity with generally accepted accounting principles.</w:t>
      </w: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We have previously audited, in accordance with generally accepted auditing standards, the consolidated balance sheet as of December 31, 1993 and the related consolidated statements of operations, shareholders' equity and cash flows for the year then ended (not presented herein); and in our report dated February 14, 1994, we expressed an unqualified opinion on those consolidated financial statements. In our opinion, the information set forth in the accompanying consolidated balance sheet as of December 31, 1993</w:t>
      </w:r>
    </w:p>
    <w:p>
      <w:pPr>
        <w:spacing w:after="0" w:line="18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919" w:right="1440" w:bottom="1440" w:gutter="0" w:footer="0" w:header="0"/>
        </w:sectPr>
      </w:pPr>
    </w:p>
    <w:bookmarkStart w:id="5" w:name="page6"/>
    <w:bookmarkEnd w:id="5"/>
    <w:p>
      <w:pPr>
        <w:ind w:right="1999"/>
        <w:spacing w:after="0" w:line="235" w:lineRule="auto"/>
        <w:rPr>
          <w:sz w:val="20"/>
          <w:szCs w:val="20"/>
          <w:color w:val="auto"/>
        </w:rPr>
      </w:pPr>
      <w:r>
        <w:rPr>
          <w:rFonts w:ascii="Courier New" w:cs="Courier New" w:eastAsia="Courier New" w:hAnsi="Courier New"/>
          <w:sz w:val="18"/>
          <w:szCs w:val="18"/>
          <w:color w:val="auto"/>
        </w:rPr>
        <w:t>is stated fairly, in all material respects, in relation to the consolidated balance sheet from which it has been derived.</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Grant Thornton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August 5,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52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576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2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08"/>
        </w:trPr>
        <w:tc>
          <w:tcPr>
            <w:tcW w:w="5760" w:type="dxa"/>
            <w:vAlign w:val="bottom"/>
          </w:tcPr>
          <w:p>
            <w:pPr>
              <w:spacing w:after="0"/>
              <w:rPr>
                <w:sz w:val="20"/>
                <w:szCs w:val="20"/>
                <w:color w:val="auto"/>
              </w:rPr>
            </w:pPr>
            <w:r>
              <w:rPr>
                <w:rFonts w:ascii="Courier New" w:cs="Courier New" w:eastAsia="Courier New" w:hAnsi="Courier New"/>
                <w:sz w:val="18"/>
                <w:szCs w:val="18"/>
                <w:color w:val="auto"/>
              </w:rPr>
              <w:t>CONSOLIDATED BALANCE SHEETS</w:t>
            </w:r>
          </w:p>
        </w:tc>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3"/>
        </w:trPr>
        <w:tc>
          <w:tcPr>
            <w:tcW w:w="5760" w:type="dxa"/>
            <w:vAlign w:val="bottom"/>
          </w:tcPr>
          <w:p>
            <w:pPr>
              <w:spacing w:after="0" w:line="203" w:lineRule="exact"/>
              <w:rPr>
                <w:sz w:val="20"/>
                <w:szCs w:val="20"/>
                <w:color w:val="auto"/>
              </w:rPr>
            </w:pPr>
            <w:r>
              <w:rPr>
                <w:rFonts w:ascii="Courier New" w:cs="Courier New" w:eastAsia="Courier New" w:hAnsi="Courier New"/>
                <w:sz w:val="18"/>
                <w:szCs w:val="18"/>
                <w:color w:val="auto"/>
              </w:rPr>
              <w:t>(see accountants' review report)</w:t>
            </w:r>
          </w:p>
        </w:tc>
        <w:tc>
          <w:tcPr>
            <w:tcW w:w="23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405"/>
        </w:trPr>
        <w:tc>
          <w:tcPr>
            <w:tcW w:w="5760" w:type="dxa"/>
            <w:vAlign w:val="bottom"/>
          </w:tcPr>
          <w:p>
            <w:pPr>
              <w:spacing w:after="0"/>
              <w:rPr>
                <w:sz w:val="24"/>
                <w:szCs w:val="24"/>
                <w:color w:val="auto"/>
              </w:rPr>
            </w:pPr>
          </w:p>
        </w:tc>
        <w:tc>
          <w:tcPr>
            <w:tcW w:w="4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June 30, 1994   December 31, 1993</w:t>
            </w:r>
          </w:p>
        </w:tc>
      </w:tr>
      <w:tr>
        <w:trPr>
          <w:trHeight w:val="405"/>
        </w:trPr>
        <w:tc>
          <w:tcPr>
            <w:tcW w:w="5760" w:type="dxa"/>
            <w:vAlign w:val="bottom"/>
          </w:tcPr>
          <w:p>
            <w:pPr>
              <w:spacing w:after="0"/>
              <w:rPr>
                <w:sz w:val="24"/>
                <w:szCs w:val="24"/>
                <w:color w:val="auto"/>
              </w:rPr>
            </w:pPr>
          </w:p>
        </w:tc>
        <w:tc>
          <w:tcPr>
            <w:tcW w:w="2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760" w:type="dxa"/>
            <w:vAlign w:val="bottom"/>
          </w:tcPr>
          <w:p>
            <w:pPr>
              <w:spacing w:after="0"/>
              <w:rPr>
                <w:sz w:val="17"/>
                <w:szCs w:val="17"/>
                <w:color w:val="auto"/>
              </w:rPr>
            </w:pPr>
          </w:p>
        </w:tc>
        <w:tc>
          <w:tcPr>
            <w:tcW w:w="2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(unaudited)</w:t>
            </w:r>
          </w:p>
        </w:tc>
        <w:tc>
          <w:tcPr>
            <w:tcW w:w="1960" w:type="dxa"/>
            <w:vAlign w:val="bottom"/>
          </w:tcPr>
          <w:p>
            <w:pPr>
              <w:spacing w:after="0"/>
              <w:rPr>
                <w:sz w:val="17"/>
                <w:szCs w:val="17"/>
                <w:color w:val="auto"/>
              </w:rPr>
            </w:pPr>
          </w:p>
        </w:tc>
      </w:tr>
      <w:tr>
        <w:trPr>
          <w:trHeight w:val="405"/>
        </w:trPr>
        <w:tc>
          <w:tcPr>
            <w:tcW w:w="5760" w:type="dxa"/>
            <w:vAlign w:val="bottom"/>
          </w:tcPr>
          <w:p>
            <w:pPr>
              <w:ind w:left="2640"/>
              <w:spacing w:after="0"/>
              <w:rPr>
                <w:sz w:val="20"/>
                <w:szCs w:val="20"/>
                <w:color w:val="auto"/>
              </w:rPr>
            </w:pPr>
            <w:r>
              <w:rPr>
                <w:rFonts w:ascii="Courier New" w:cs="Courier New" w:eastAsia="Courier New" w:hAnsi="Courier New"/>
                <w:sz w:val="18"/>
                <w:szCs w:val="18"/>
                <w:color w:val="auto"/>
              </w:rPr>
              <w:t>ASSETS</w:t>
            </w:r>
          </w:p>
        </w:tc>
        <w:tc>
          <w:tcPr>
            <w:tcW w:w="2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(in thousands)</w:t>
            </w:r>
          </w:p>
        </w:tc>
        <w:tc>
          <w:tcPr>
            <w:tcW w:w="1960" w:type="dxa"/>
            <w:vAlign w:val="bottom"/>
          </w:tcPr>
          <w:p>
            <w:pPr>
              <w:spacing w:after="0"/>
              <w:rPr>
                <w:sz w:val="24"/>
                <w:szCs w:val="24"/>
                <w:color w:val="auto"/>
              </w:rPr>
            </w:pPr>
          </w:p>
        </w:tc>
      </w:tr>
      <w:tr>
        <w:trPr>
          <w:trHeight w:val="608"/>
        </w:trPr>
        <w:tc>
          <w:tcPr>
            <w:tcW w:w="576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05"/>
        </w:trPr>
        <w:tc>
          <w:tcPr>
            <w:tcW w:w="5760" w:type="dxa"/>
            <w:vAlign w:val="bottom"/>
          </w:tcPr>
          <w:p>
            <w:pPr>
              <w:ind w:left="220"/>
              <w:spacing w:after="0"/>
              <w:rPr>
                <w:sz w:val="20"/>
                <w:szCs w:val="20"/>
                <w:color w:val="auto"/>
              </w:rPr>
            </w:pPr>
            <w:r>
              <w:rPr>
                <w:rFonts w:ascii="Courier New" w:cs="Courier New" w:eastAsia="Courier New" w:hAnsi="Courier New"/>
                <w:sz w:val="18"/>
                <w:szCs w:val="18"/>
                <w:color w:val="auto"/>
              </w:rPr>
              <w:t>Real estate, at cost</w:t>
            </w:r>
          </w:p>
        </w:tc>
        <w:tc>
          <w:tcPr>
            <w:tcW w:w="2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$800,606</w:t>
            </w:r>
          </w:p>
        </w:tc>
        <w:tc>
          <w:tcPr>
            <w:tcW w:w="1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$758,088</w:t>
            </w:r>
          </w:p>
        </w:tc>
      </w:tr>
      <w:tr>
        <w:trPr>
          <w:trHeight w:val="405"/>
        </w:trPr>
        <w:tc>
          <w:tcPr>
            <w:tcW w:w="5760" w:type="dxa"/>
            <w:vAlign w:val="bottom"/>
          </w:tcPr>
          <w:p>
            <w:pPr>
              <w:ind w:left="220"/>
              <w:spacing w:after="0"/>
              <w:rPr>
                <w:sz w:val="20"/>
                <w:szCs w:val="20"/>
                <w:color w:val="auto"/>
              </w:rPr>
            </w:pPr>
            <w:r>
              <w:rPr>
                <w:rFonts w:ascii="Courier New" w:cs="Courier New" w:eastAsia="Courier New" w:hAnsi="Courier New"/>
                <w:sz w:val="18"/>
                <w:szCs w:val="18"/>
                <w:color w:val="auto"/>
              </w:rPr>
              <w:t>Less accumulated depreciation and amortization</w:t>
            </w:r>
          </w:p>
        </w:tc>
        <w:tc>
          <w:tcPr>
            <w:tcW w:w="2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(146,812)</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(135,045)</w:t>
            </w:r>
          </w:p>
        </w:tc>
      </w:tr>
      <w:tr>
        <w:trPr>
          <w:trHeight w:val="405"/>
        </w:trPr>
        <w:tc>
          <w:tcPr>
            <w:tcW w:w="5760" w:type="dxa"/>
            <w:vAlign w:val="bottom"/>
          </w:tcPr>
          <w:p>
            <w:pPr>
              <w:spacing w:after="0"/>
              <w:rPr>
                <w:sz w:val="24"/>
                <w:szCs w:val="24"/>
                <w:color w:val="auto"/>
              </w:rPr>
            </w:pPr>
          </w:p>
        </w:tc>
        <w:tc>
          <w:tcPr>
            <w:tcW w:w="2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760" w:type="dxa"/>
            <w:vAlign w:val="bottom"/>
          </w:tcPr>
          <w:p>
            <w:pPr>
              <w:spacing w:after="0"/>
              <w:rPr>
                <w:sz w:val="17"/>
                <w:szCs w:val="17"/>
                <w:color w:val="auto"/>
              </w:rPr>
            </w:pPr>
          </w:p>
        </w:tc>
        <w:tc>
          <w:tcPr>
            <w:tcW w:w="2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653,794</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623,043</w:t>
            </w:r>
          </w:p>
        </w:tc>
      </w:tr>
      <w:tr>
        <w:trPr>
          <w:trHeight w:val="405"/>
        </w:trPr>
        <w:tc>
          <w:tcPr>
            <w:tcW w:w="5760" w:type="dxa"/>
            <w:vAlign w:val="bottom"/>
          </w:tcPr>
          <w:p>
            <w:pPr>
              <w:ind w:left="220"/>
              <w:spacing w:after="0"/>
              <w:rPr>
                <w:sz w:val="20"/>
                <w:szCs w:val="20"/>
                <w:color w:val="auto"/>
              </w:rPr>
            </w:pPr>
            <w:r>
              <w:rPr>
                <w:rFonts w:ascii="Courier New" w:cs="Courier New" w:eastAsia="Courier New" w:hAnsi="Courier New"/>
                <w:sz w:val="18"/>
                <w:szCs w:val="18"/>
                <w:color w:val="auto"/>
              </w:rPr>
              <w:t>Mortgage notes receivable</w:t>
            </w:r>
          </w:p>
        </w:tc>
        <w:tc>
          <w:tcPr>
            <w:tcW w:w="2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18,319</w:t>
            </w:r>
          </w:p>
        </w:tc>
        <w:tc>
          <w:tcPr>
            <w:tcW w:w="1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13,871</w:t>
            </w:r>
          </w:p>
        </w:tc>
      </w:tr>
      <w:tr>
        <w:trPr>
          <w:trHeight w:val="405"/>
        </w:trPr>
        <w:tc>
          <w:tcPr>
            <w:tcW w:w="5760" w:type="dxa"/>
            <w:vAlign w:val="bottom"/>
          </w:tcPr>
          <w:p>
            <w:pPr>
              <w:spacing w:after="0"/>
              <w:rPr>
                <w:sz w:val="24"/>
                <w:szCs w:val="24"/>
                <w:color w:val="auto"/>
              </w:rPr>
            </w:pPr>
          </w:p>
        </w:tc>
        <w:tc>
          <w:tcPr>
            <w:tcW w:w="2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760" w:type="dxa"/>
            <w:vAlign w:val="bottom"/>
          </w:tcPr>
          <w:p>
            <w:pPr>
              <w:spacing w:after="0"/>
              <w:rPr>
                <w:sz w:val="17"/>
                <w:szCs w:val="17"/>
                <w:color w:val="auto"/>
              </w:rPr>
            </w:pPr>
          </w:p>
        </w:tc>
        <w:tc>
          <w:tcPr>
            <w:tcW w:w="2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672,113</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636,914</w:t>
            </w:r>
          </w:p>
        </w:tc>
      </w:tr>
      <w:tr>
        <w:trPr>
          <w:trHeight w:val="405"/>
        </w:trPr>
        <w:tc>
          <w:tcPr>
            <w:tcW w:w="576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405"/>
        </w:trPr>
        <w:tc>
          <w:tcPr>
            <w:tcW w:w="5760" w:type="dxa"/>
            <w:vAlign w:val="bottom"/>
          </w:tcPr>
          <w:p>
            <w:pPr>
              <w:ind w:left="220"/>
              <w:spacing w:after="0"/>
              <w:rPr>
                <w:sz w:val="20"/>
                <w:szCs w:val="20"/>
                <w:color w:val="auto"/>
              </w:rPr>
            </w:pPr>
            <w:r>
              <w:rPr>
                <w:rFonts w:ascii="Courier New" w:cs="Courier New" w:eastAsia="Courier New" w:hAnsi="Courier New"/>
                <w:sz w:val="18"/>
                <w:szCs w:val="18"/>
                <w:color w:val="auto"/>
              </w:rPr>
              <w:t>Cash</w:t>
            </w:r>
          </w:p>
        </w:tc>
        <w:tc>
          <w:tcPr>
            <w:tcW w:w="2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12,462</w:t>
            </w:r>
          </w:p>
        </w:tc>
        <w:tc>
          <w:tcPr>
            <w:tcW w:w="1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9,635</w:t>
            </w:r>
          </w:p>
        </w:tc>
      </w:tr>
      <w:tr>
        <w:trPr>
          <w:trHeight w:val="203"/>
        </w:trPr>
        <w:tc>
          <w:tcPr>
            <w:tcW w:w="57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2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3,696</w:t>
            </w:r>
          </w:p>
        </w:tc>
        <w:tc>
          <w:tcPr>
            <w:tcW w:w="1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4,008</w:t>
            </w:r>
          </w:p>
        </w:tc>
      </w:tr>
      <w:tr>
        <w:trPr>
          <w:trHeight w:val="810"/>
        </w:trPr>
        <w:tc>
          <w:tcPr>
            <w:tcW w:w="5760" w:type="dxa"/>
            <w:vAlign w:val="bottom"/>
          </w:tcPr>
          <w:p>
            <w:pPr>
              <w:ind w:left="4960"/>
              <w:spacing w:after="0"/>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ectPr>
          <w:pgSz w:w="11900" w:h="16838" w:orient="portrait"/>
          <w:cols w:equalWidth="0" w:num="1">
            <w:col w:w="10020"/>
          </w:cols>
          <w:pgMar w:left="660" w:top="1122" w:right="12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Notes receivable - officers</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2,312</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1,890</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Accounts receivable</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15,281</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15,681</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Prepaid expenses and other assets, principally</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taxes, insurance, and lease commissions</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17,274</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19,499</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issue costs (net of accumulated amortization of</w:t>
            </w:r>
          </w:p>
        </w:tc>
        <w:tc>
          <w:tcPr>
            <w:tcW w:w="2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$2,970,000 and $3,862,000, respectively)</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3,075</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3,316</w:t>
            </w:r>
          </w:p>
        </w:tc>
      </w:tr>
      <w:tr>
        <w:trPr>
          <w:trHeight w:val="405"/>
        </w:trPr>
        <w:tc>
          <w:tcPr>
            <w:tcW w:w="6320" w:type="dxa"/>
            <w:vAlign w:val="bottom"/>
          </w:tcPr>
          <w:p>
            <w:pPr>
              <w:spacing w:after="0"/>
              <w:rPr>
                <w:sz w:val="24"/>
                <w:szCs w:val="24"/>
                <w:color w:val="auto"/>
              </w:rPr>
            </w:pPr>
          </w:p>
        </w:tc>
        <w:tc>
          <w:tcPr>
            <w:tcW w:w="2160" w:type="dxa"/>
            <w:vAlign w:val="bottom"/>
          </w:tcPr>
          <w:p>
            <w:pPr>
              <w:jc w:val="right"/>
              <w:ind w:right="47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spacing w:after="0"/>
              <w:rPr>
                <w:sz w:val="24"/>
                <w:szCs w:val="24"/>
                <w:color w:val="auto"/>
              </w:rPr>
            </w:pP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$726,213</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$690,943</w:t>
            </w:r>
          </w:p>
        </w:tc>
      </w:tr>
      <w:tr>
        <w:trPr>
          <w:trHeight w:val="203"/>
        </w:trPr>
        <w:tc>
          <w:tcPr>
            <w:tcW w:w="6320" w:type="dxa"/>
            <w:vAlign w:val="bottom"/>
          </w:tcPr>
          <w:p>
            <w:pPr>
              <w:spacing w:after="0"/>
              <w:rPr>
                <w:sz w:val="17"/>
                <w:szCs w:val="17"/>
                <w:color w:val="auto"/>
              </w:rPr>
            </w:pP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ind w:left="1060"/>
              <w:spacing w:after="0"/>
              <w:rPr>
                <w:sz w:val="20"/>
                <w:szCs w:val="20"/>
                <w:color w:val="auto"/>
              </w:rPr>
            </w:pPr>
            <w:r>
              <w:rPr>
                <w:rFonts w:ascii="Courier New" w:cs="Courier New" w:eastAsia="Courier New" w:hAnsi="Courier New"/>
                <w:sz w:val="18"/>
                <w:szCs w:val="18"/>
                <w:color w:val="auto"/>
              </w:rPr>
              <w:t>LIABILITIES AND SHAREHOLDERS' EQUITY</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136,829</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137,308</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Mortgages payable</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103,270</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81,237</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Notes payable</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23,569</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30,519</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Accrued expenses</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8,928</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19,104</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3,723</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5,785</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Dividends payable</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12,282</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10,927</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Security deposits</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2,560</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2,430</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rents</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1,414</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1,783</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5 1/4% Convertible subordinated debentures, due 2003</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75,000</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75,000</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5 1/4% Convertible subordinated debentures, due 2002</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289</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40,167</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Investors' interest in consolidated assets</w:t>
            </w:r>
          </w:p>
        </w:tc>
        <w:tc>
          <w:tcPr>
            <w:tcW w:w="2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2,508</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2,484</w:t>
            </w:r>
          </w:p>
        </w:tc>
      </w:tr>
      <w:tr>
        <w:trPr>
          <w:trHeight w:val="810"/>
        </w:trPr>
        <w:tc>
          <w:tcPr>
            <w:tcW w:w="6320" w:type="dxa"/>
            <w:vAlign w:val="bottom"/>
          </w:tcPr>
          <w:p>
            <w:pPr>
              <w:ind w:left="4960"/>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020"/>
          </w:cols>
          <w:pgMar w:left="660" w:top="514" w:right="12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20" w:type="dxa"/>
            <w:vAlign w:val="bottom"/>
          </w:tcPr>
          <w:p>
            <w:pPr>
              <w:spacing w:after="0"/>
              <w:rPr>
                <w:sz w:val="17"/>
                <w:szCs w:val="17"/>
                <w:color w:val="auto"/>
              </w:rPr>
            </w:pPr>
          </w:p>
        </w:tc>
        <w:tc>
          <w:tcPr>
            <w:tcW w:w="21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Common shares of beneficial interest, no par or stated</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unlimited authorization, issued 31,551,964 and</w:t>
            </w:r>
          </w:p>
        </w:tc>
        <w:tc>
          <w:tcPr>
            <w:tcW w:w="2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28,077,999 shares, respectively</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494,302</w:t>
            </w:r>
          </w:p>
        </w:tc>
        <w:tc>
          <w:tcPr>
            <w:tcW w:w="154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408,005</w:t>
            </w: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dividends in excess of Trust net income</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(130,778)</w:t>
            </w:r>
          </w:p>
        </w:tc>
        <w:tc>
          <w:tcPr>
            <w:tcW w:w="15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(116,823)</w:t>
            </w:r>
          </w:p>
        </w:tc>
      </w:tr>
      <w:tr>
        <w:trPr>
          <w:trHeight w:val="405"/>
        </w:trPr>
        <w:tc>
          <w:tcPr>
            <w:tcW w:w="6320" w:type="dxa"/>
            <w:vAlign w:val="bottom"/>
          </w:tcPr>
          <w:p>
            <w:pPr>
              <w:ind w:left="220"/>
              <w:spacing w:after="0"/>
              <w:rPr>
                <w:sz w:val="20"/>
                <w:szCs w:val="20"/>
                <w:color w:val="auto"/>
              </w:rPr>
            </w:pPr>
            <w:r>
              <w:rPr>
                <w:rFonts w:ascii="Courier New" w:cs="Courier New" w:eastAsia="Courier New" w:hAnsi="Courier New"/>
                <w:sz w:val="18"/>
                <w:szCs w:val="18"/>
                <w:color w:val="auto"/>
              </w:rPr>
              <w:t>Allowance for unrealized loss on marketable</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securities</w:t>
            </w:r>
          </w:p>
        </w:tc>
        <w:tc>
          <w:tcPr>
            <w:tcW w:w="21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(486)</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w:t>
            </w:r>
          </w:p>
        </w:tc>
      </w:tr>
      <w:tr>
        <w:trPr>
          <w:trHeight w:val="405"/>
        </w:trPr>
        <w:tc>
          <w:tcPr>
            <w:tcW w:w="63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6320" w:type="dxa"/>
            <w:vAlign w:val="bottom"/>
          </w:tcPr>
          <w:p>
            <w:pPr>
              <w:spacing w:after="0"/>
              <w:rPr>
                <w:sz w:val="17"/>
                <w:szCs w:val="17"/>
                <w:color w:val="auto"/>
              </w:rPr>
            </w:pP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363,038</w:t>
            </w:r>
          </w:p>
        </w:tc>
        <w:tc>
          <w:tcPr>
            <w:tcW w:w="1540" w:type="dxa"/>
            <w:vAlign w:val="bottom"/>
          </w:tcPr>
          <w:p>
            <w:pPr>
              <w:jc w:val="center"/>
              <w:ind w:left="512"/>
              <w:spacing w:after="0" w:line="203" w:lineRule="exact"/>
              <w:rPr>
                <w:sz w:val="20"/>
                <w:szCs w:val="20"/>
                <w:color w:val="auto"/>
              </w:rPr>
            </w:pPr>
            <w:r>
              <w:rPr>
                <w:rFonts w:ascii="Courier New" w:cs="Courier New" w:eastAsia="Courier New" w:hAnsi="Courier New"/>
                <w:sz w:val="18"/>
                <w:szCs w:val="18"/>
                <w:color w:val="auto"/>
                <w:w w:val="97"/>
              </w:rPr>
              <w:t>290,818</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Less 60,200 common shares in treasury - at cost, and</w:t>
            </w:r>
          </w:p>
        </w:tc>
        <w:tc>
          <w:tcPr>
            <w:tcW w:w="2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subscriptions receivable</w:t>
            </w:r>
          </w:p>
        </w:tc>
        <w:tc>
          <w:tcPr>
            <w:tcW w:w="21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(7,197)</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(6,619)</w:t>
            </w:r>
          </w:p>
        </w:tc>
      </w:tr>
      <w:tr>
        <w:trPr>
          <w:trHeight w:val="405"/>
        </w:trPr>
        <w:tc>
          <w:tcPr>
            <w:tcW w:w="63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w:t>
            </w:r>
          </w:p>
        </w:tc>
      </w:tr>
      <w:tr>
        <w:trPr>
          <w:trHeight w:val="405"/>
        </w:trPr>
        <w:tc>
          <w:tcPr>
            <w:tcW w:w="63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7"/>
              </w:rPr>
              <w:t>355,841</w:t>
            </w:r>
          </w:p>
        </w:tc>
        <w:tc>
          <w:tcPr>
            <w:tcW w:w="1540" w:type="dxa"/>
            <w:vAlign w:val="bottom"/>
          </w:tcPr>
          <w:p>
            <w:pPr>
              <w:jc w:val="center"/>
              <w:ind w:left="512"/>
              <w:spacing w:after="0"/>
              <w:rPr>
                <w:sz w:val="20"/>
                <w:szCs w:val="20"/>
                <w:color w:val="auto"/>
              </w:rPr>
            </w:pPr>
            <w:r>
              <w:rPr>
                <w:rFonts w:ascii="Courier New" w:cs="Courier New" w:eastAsia="Courier New" w:hAnsi="Courier New"/>
                <w:sz w:val="18"/>
                <w:szCs w:val="18"/>
                <w:color w:val="auto"/>
                <w:w w:val="97"/>
              </w:rPr>
              <w:t>284,199</w:t>
            </w:r>
          </w:p>
        </w:tc>
      </w:tr>
      <w:tr>
        <w:trPr>
          <w:trHeight w:val="405"/>
        </w:trPr>
        <w:tc>
          <w:tcPr>
            <w:tcW w:w="63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w:t>
            </w:r>
          </w:p>
        </w:tc>
      </w:tr>
      <w:tr>
        <w:trPr>
          <w:trHeight w:val="405"/>
        </w:trPr>
        <w:tc>
          <w:tcPr>
            <w:tcW w:w="6320" w:type="dxa"/>
            <w:vAlign w:val="bottom"/>
          </w:tcPr>
          <w:p>
            <w:pPr>
              <w:spacing w:after="0"/>
              <w:rPr>
                <w:sz w:val="24"/>
                <w:szCs w:val="24"/>
                <w:color w:val="auto"/>
              </w:rPr>
            </w:pP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$726,213</w:t>
            </w:r>
          </w:p>
        </w:tc>
        <w:tc>
          <w:tcPr>
            <w:tcW w:w="15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$690,943</w:t>
            </w:r>
          </w:p>
        </w:tc>
      </w:tr>
      <w:tr>
        <w:trPr>
          <w:trHeight w:val="405"/>
        </w:trPr>
        <w:tc>
          <w:tcPr>
            <w:tcW w:w="632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54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accompanying notes are an integral part of these</w:t>
            </w:r>
          </w:p>
        </w:tc>
        <w:tc>
          <w:tcPr>
            <w:tcW w:w="21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statements.</w:t>
            </w:r>
          </w:p>
        </w:tc>
        <w:tc>
          <w:tcPr>
            <w:tcW w:w="216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020"/>
          </w:cols>
          <w:pgMar w:left="660" w:top="514" w:right="1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4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CONSOLIDATED STATEMENTS OF OPERATIONS</w:t>
            </w:r>
          </w:p>
        </w:tc>
        <w:tc>
          <w:tcPr>
            <w:tcW w:w="4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(see accountants' review report)</w:t>
            </w:r>
          </w:p>
        </w:tc>
        <w:tc>
          <w:tcPr>
            <w:tcW w:w="4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80" w:type="dxa"/>
            <w:vAlign w:val="bottom"/>
          </w:tcPr>
          <w:p>
            <w:pPr>
              <w:ind w:left="2860"/>
              <w:spacing w:after="0"/>
              <w:rPr>
                <w:sz w:val="20"/>
                <w:szCs w:val="20"/>
                <w:color w:val="auto"/>
              </w:rPr>
            </w:pPr>
            <w:r>
              <w:rPr>
                <w:rFonts w:ascii="Courier New" w:cs="Courier New" w:eastAsia="Courier New" w:hAnsi="Courier New"/>
                <w:sz w:val="18"/>
                <w:szCs w:val="18"/>
                <w:color w:val="auto"/>
              </w:rPr>
              <w:t>(unaudited)</w:t>
            </w:r>
          </w:p>
        </w:tc>
        <w:tc>
          <w:tcPr>
            <w:tcW w:w="4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480" w:type="dxa"/>
            <w:vAlign w:val="bottom"/>
          </w:tcPr>
          <w:p>
            <w:pPr>
              <w:spacing w:after="0"/>
              <w:rPr>
                <w:sz w:val="17"/>
                <w:szCs w:val="17"/>
                <w:color w:val="auto"/>
              </w:rPr>
            </w:pPr>
          </w:p>
        </w:tc>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Six months ended June 30,</w:t>
            </w:r>
          </w:p>
        </w:tc>
      </w:tr>
      <w:tr>
        <w:trPr>
          <w:trHeight w:val="405"/>
        </w:trPr>
        <w:tc>
          <w:tcPr>
            <w:tcW w:w="4480" w:type="dxa"/>
            <w:vAlign w:val="bottom"/>
          </w:tcPr>
          <w:p>
            <w:pPr>
              <w:spacing w:after="0"/>
              <w:rPr>
                <w:sz w:val="24"/>
                <w:szCs w:val="24"/>
                <w:color w:val="auto"/>
              </w:rPr>
            </w:pPr>
          </w:p>
        </w:tc>
        <w:tc>
          <w:tcPr>
            <w:tcW w:w="4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4480" w:type="dxa"/>
            <w:vAlign w:val="bottom"/>
          </w:tcPr>
          <w:p>
            <w:pPr>
              <w:spacing w:after="0"/>
              <w:rPr>
                <w:sz w:val="24"/>
                <w:szCs w:val="24"/>
                <w:color w:val="auto"/>
              </w:rPr>
            </w:pPr>
          </w:p>
        </w:tc>
        <w:tc>
          <w:tcPr>
            <w:tcW w:w="4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4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4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Rental income</w:t>
            </w:r>
          </w:p>
        </w:tc>
        <w:tc>
          <w:tcPr>
            <w:tcW w:w="4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$61,930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$50,725</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4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2,056</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Other income</w:t>
            </w:r>
          </w:p>
        </w:tc>
        <w:tc>
          <w:tcPr>
            <w:tcW w:w="4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2,519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2,307</w:t>
            </w:r>
          </w:p>
        </w:tc>
      </w:tr>
      <w:tr>
        <w:trPr>
          <w:trHeight w:val="405"/>
        </w:trPr>
        <w:tc>
          <w:tcPr>
            <w:tcW w:w="4480" w:type="dxa"/>
            <w:vAlign w:val="bottom"/>
          </w:tcPr>
          <w:p>
            <w:pPr>
              <w:spacing w:after="0"/>
              <w:rPr>
                <w:sz w:val="24"/>
                <w:szCs w:val="24"/>
                <w:color w:val="auto"/>
              </w:rPr>
            </w:pPr>
          </w:p>
        </w:tc>
        <w:tc>
          <w:tcPr>
            <w:tcW w:w="4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4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66,486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55,088</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Rental</w:t>
            </w:r>
          </w:p>
        </w:tc>
        <w:tc>
          <w:tcPr>
            <w:tcW w:w="4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17,936</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12,738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taxes</w:t>
            </w:r>
          </w:p>
        </w:tc>
        <w:tc>
          <w:tcPr>
            <w:tcW w:w="42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5,620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4,848</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Interest</w:t>
            </w:r>
          </w:p>
        </w:tc>
        <w:tc>
          <w:tcPr>
            <w:tcW w:w="42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15,815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16,206</w:t>
            </w:r>
          </w:p>
        </w:tc>
      </w:tr>
      <w:tr>
        <w:trPr>
          <w:trHeight w:val="608"/>
        </w:trPr>
        <w:tc>
          <w:tcPr>
            <w:tcW w:w="4480" w:type="dxa"/>
            <w:vAlign w:val="bottom"/>
          </w:tcPr>
          <w:p>
            <w:pPr>
              <w:spacing w:after="0"/>
              <w:rPr>
                <w:sz w:val="24"/>
                <w:szCs w:val="24"/>
                <w:color w:val="auto"/>
              </w:rPr>
            </w:pPr>
          </w:p>
        </w:tc>
        <w:tc>
          <w:tcPr>
            <w:tcW w:w="4220" w:type="dxa"/>
            <w:vAlign w:val="bottom"/>
          </w:tcPr>
          <w:p>
            <w:pPr>
              <w:jc w:val="right"/>
              <w:ind w:right="3432"/>
              <w:spacing w:after="0"/>
              <w:rPr>
                <w:sz w:val="20"/>
                <w:szCs w:val="20"/>
                <w:color w:val="auto"/>
              </w:rPr>
            </w:pPr>
            <w:r>
              <w:rPr>
                <w:rFonts w:ascii="Courier New" w:cs="Courier New" w:eastAsia="Courier New" w:hAnsi="Courier New"/>
                <w:sz w:val="18"/>
                <w:szCs w:val="18"/>
                <w:color w:val="auto"/>
              </w:rPr>
              <w:t>10</w:t>
            </w:r>
          </w:p>
        </w:tc>
        <w:tc>
          <w:tcPr>
            <w:tcW w:w="1220" w:type="dxa"/>
            <w:vAlign w:val="bottom"/>
          </w:tcPr>
          <w:p>
            <w:pPr>
              <w:spacing w:after="0"/>
              <w:rPr>
                <w:sz w:val="24"/>
                <w:szCs w:val="24"/>
                <w:color w:val="auto"/>
              </w:rPr>
            </w:pPr>
          </w:p>
        </w:tc>
      </w:tr>
    </w:tbl>
    <w:p>
      <w:pPr>
        <w:sectPr>
          <w:pgSz w:w="11900" w:h="16838" w:orient="portrait"/>
          <w:cols w:equalWidth="0" w:num="1">
            <w:col w:w="9920"/>
          </w:cols>
          <w:pgMar w:left="660" w:top="1122" w:right="131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Administrative</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3,184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2,322</w:t>
            </w:r>
          </w:p>
        </w:tc>
      </w:tr>
      <w:tr>
        <w:trPr>
          <w:trHeight w:val="405"/>
        </w:trPr>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Depreciation and amortization</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14,166</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12,121</w:t>
            </w:r>
          </w:p>
        </w:tc>
      </w:tr>
      <w:tr>
        <w:trPr>
          <w:trHeight w:val="405"/>
        </w:trPr>
        <w:tc>
          <w:tcPr>
            <w:tcW w:w="6800" w:type="dxa"/>
            <w:vAlign w:val="bottom"/>
          </w:tcPr>
          <w:p>
            <w:pPr>
              <w:spacing w:after="0"/>
              <w:rPr>
                <w:sz w:val="24"/>
                <w:szCs w:val="24"/>
                <w:color w:val="auto"/>
              </w:rPr>
            </w:pP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rPr>
                <w:sz w:val="17"/>
                <w:szCs w:val="17"/>
                <w:color w:val="auto"/>
              </w:rPr>
            </w:pP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56,721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48,235</w:t>
            </w:r>
          </w:p>
        </w:tc>
      </w:tr>
      <w:tr>
        <w:trPr>
          <w:trHeight w:val="405"/>
        </w:trPr>
        <w:tc>
          <w:tcPr>
            <w:tcW w:w="6800" w:type="dxa"/>
            <w:vAlign w:val="bottom"/>
          </w:tcPr>
          <w:p>
            <w:pPr>
              <w:spacing w:after="0"/>
              <w:rPr>
                <w:sz w:val="24"/>
                <w:szCs w:val="24"/>
                <w:color w:val="auto"/>
              </w:rPr>
            </w:pP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Operating income before investors' share of operations and</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9,765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6,853</w:t>
            </w:r>
          </w:p>
        </w:tc>
      </w:tr>
      <w:tr>
        <w:trPr>
          <w:trHeight w:val="608"/>
        </w:trPr>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Investors' share of operations</w:t>
            </w:r>
          </w:p>
        </w:tc>
        <w:tc>
          <w:tcPr>
            <w:tcW w:w="1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(476)</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(480)</w:t>
            </w:r>
          </w:p>
        </w:tc>
      </w:tr>
      <w:tr>
        <w:trPr>
          <w:trHeight w:val="405"/>
        </w:trPr>
        <w:tc>
          <w:tcPr>
            <w:tcW w:w="6800" w:type="dxa"/>
            <w:vAlign w:val="bottom"/>
          </w:tcPr>
          <w:p>
            <w:pPr>
              <w:spacing w:after="0"/>
              <w:rPr>
                <w:sz w:val="24"/>
                <w:szCs w:val="24"/>
                <w:color w:val="auto"/>
              </w:rPr>
            </w:pP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9,289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6,373</w:t>
            </w:r>
          </w:p>
        </w:tc>
      </w:tr>
      <w:tr>
        <w:trPr>
          <w:trHeight w:val="810"/>
        </w:trPr>
        <w:tc>
          <w:tcPr>
            <w:tcW w:w="6800" w:type="dxa"/>
            <w:vAlign w:val="bottom"/>
          </w:tcPr>
          <w:p>
            <w:pPr>
              <w:spacing w:after="0"/>
              <w:rPr>
                <w:sz w:val="20"/>
                <w:szCs w:val="20"/>
                <w:color w:val="auto"/>
              </w:rPr>
            </w:pPr>
            <w:r>
              <w:rPr>
                <w:rFonts w:ascii="Courier New" w:cs="Courier New" w:eastAsia="Courier New" w:hAnsi="Courier New"/>
                <w:sz w:val="18"/>
                <w:szCs w:val="18"/>
                <w:color w:val="auto"/>
              </w:rPr>
              <w:t>Extraordinary item</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6800" w:type="dxa"/>
            <w:vAlign w:val="bottom"/>
          </w:tcPr>
          <w:p>
            <w:pPr>
              <w:ind w:left="220"/>
              <w:spacing w:after="0"/>
              <w:rPr>
                <w:sz w:val="20"/>
                <w:szCs w:val="20"/>
                <w:color w:val="auto"/>
              </w:rPr>
            </w:pPr>
            <w:r>
              <w:rPr>
                <w:rFonts w:ascii="Courier New" w:cs="Courier New" w:eastAsia="Courier New" w:hAnsi="Courier New"/>
                <w:sz w:val="18"/>
                <w:szCs w:val="18"/>
                <w:color w:val="auto"/>
              </w:rPr>
              <w:t>Net loss on early extinquishment of debt</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(1,027)</w:t>
            </w:r>
          </w:p>
        </w:tc>
      </w:tr>
      <w:tr>
        <w:trPr>
          <w:trHeight w:val="203"/>
        </w:trPr>
        <w:tc>
          <w:tcPr>
            <w:tcW w:w="6800" w:type="dxa"/>
            <w:vAlign w:val="bottom"/>
          </w:tcPr>
          <w:p>
            <w:pPr>
              <w:spacing w:after="0"/>
              <w:rPr>
                <w:sz w:val="17"/>
                <w:szCs w:val="17"/>
                <w:color w:val="auto"/>
              </w:rPr>
            </w:pP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$9,289</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$5,346</w:t>
            </w:r>
          </w:p>
        </w:tc>
      </w:tr>
      <w:tr>
        <w:trPr>
          <w:trHeight w:val="405"/>
        </w:trPr>
        <w:tc>
          <w:tcPr>
            <w:tcW w:w="6800" w:type="dxa"/>
            <w:vAlign w:val="bottom"/>
          </w:tcPr>
          <w:p>
            <w:pPr>
              <w:spacing w:after="0"/>
              <w:rPr>
                <w:sz w:val="24"/>
                <w:szCs w:val="24"/>
                <w:color w:val="auto"/>
              </w:rPr>
            </w:pP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29,760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26,135</w:t>
            </w:r>
          </w:p>
        </w:tc>
      </w:tr>
      <w:tr>
        <w:trPr>
          <w:trHeight w:val="405"/>
        </w:trPr>
        <w:tc>
          <w:tcPr>
            <w:tcW w:w="6800" w:type="dxa"/>
            <w:vAlign w:val="bottom"/>
          </w:tcPr>
          <w:p>
            <w:pPr>
              <w:spacing w:after="0"/>
              <w:rPr>
                <w:sz w:val="24"/>
                <w:szCs w:val="24"/>
                <w:color w:val="auto"/>
              </w:rPr>
            </w:pPr>
          </w:p>
        </w:tc>
        <w:tc>
          <w:tcPr>
            <w:tcW w:w="1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$0.31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$0.24</w:t>
            </w:r>
          </w:p>
        </w:tc>
      </w:tr>
      <w:tr>
        <w:trPr>
          <w:trHeight w:val="1013"/>
        </w:trPr>
        <w:tc>
          <w:tcPr>
            <w:tcW w:w="6800" w:type="dxa"/>
            <w:vAlign w:val="bottom"/>
          </w:tcPr>
          <w:p>
            <w:pPr>
              <w:ind w:left="4960"/>
              <w:spacing w:after="0"/>
              <w:rPr>
                <w:sz w:val="20"/>
                <w:szCs w:val="20"/>
                <w:color w:val="auto"/>
              </w:rPr>
            </w:pPr>
            <w:r>
              <w:rPr>
                <w:rFonts w:ascii="Courier New" w:cs="Courier New" w:eastAsia="Courier New" w:hAnsi="Courier New"/>
                <w:sz w:val="18"/>
                <w:szCs w:val="18"/>
                <w:color w:val="auto"/>
              </w:rPr>
              <w:t>11</w:t>
            </w:r>
          </w:p>
        </w:tc>
        <w:tc>
          <w:tcPr>
            <w:tcW w:w="19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020"/>
          </w:cols>
          <w:pgMar w:left="660" w:top="514" w:right="1219" w:bottom="1440" w:gutter="0" w:footer="0" w:header="0"/>
        </w:sectPr>
      </w:pPr>
    </w:p>
    <w:bookmarkStart w:id="11" w:name="page12"/>
    <w:bookmarkEnd w:id="11"/>
    <w:p>
      <w:pPr>
        <w:spacing w:after="0" w:line="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(.04)</w:t>
      </w:r>
    </w:p>
    <w:p>
      <w:pPr>
        <w:spacing w:after="0" w:line="216" w:lineRule="exact"/>
        <w:rPr>
          <w:sz w:val="20"/>
          <w:szCs w:val="20"/>
          <w:color w:val="auto"/>
        </w:rPr>
      </w:pPr>
    </w:p>
    <w:p>
      <w:pPr>
        <w:sectPr>
          <w:pgSz w:w="11900" w:h="16838" w:orient="portrait"/>
          <w:cols w:equalWidth="0" w:num="3">
            <w:col w:w="7500" w:space="720"/>
            <w:col w:w="560" w:space="720"/>
            <w:col w:w="520"/>
          </w:cols>
          <w:pgMar w:left="660" w:top="514" w:right="1219" w:bottom="1440" w:gutter="0" w:footer="0" w:header="0"/>
        </w:sectPr>
      </w:pPr>
    </w:p>
    <w:p>
      <w:pPr>
        <w:spacing w:after="0" w:line="7"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460" w:space="720"/>
            <w:col w:w="840"/>
          </w:cols>
          <w:pgMar w:left="660" w:top="514" w:right="1219" w:bottom="1440" w:gutter="0" w:footer="0" w:header="0"/>
          <w:type w:val="continuous"/>
        </w:sectPr>
      </w:pPr>
    </w:p>
    <w:p>
      <w:pPr>
        <w:spacing w:after="0" w:line="18"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$0.31</w:t>
      </w:r>
    </w:p>
    <w:p>
      <w:pPr>
        <w:spacing w:after="0" w:line="4"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$0.20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460" w:space="720"/>
            <w:col w:w="840"/>
          </w:cols>
          <w:pgMar w:left="660" w:top="514"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020"/>
          </w:cols>
          <w:pgMar w:left="660" w:top="514" w:right="12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4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4480" w:type="dxa"/>
            <w:vAlign w:val="bottom"/>
          </w:tcPr>
          <w:p>
            <w:pPr>
              <w:spacing w:after="0"/>
              <w:rPr>
                <w:sz w:val="20"/>
                <w:szCs w:val="20"/>
                <w:color w:val="auto"/>
              </w:rPr>
            </w:pPr>
            <w:r>
              <w:rPr>
                <w:rFonts w:ascii="Courier New" w:cs="Courier New" w:eastAsia="Courier New" w:hAnsi="Courier New"/>
                <w:sz w:val="18"/>
                <w:szCs w:val="18"/>
                <w:color w:val="auto"/>
              </w:rPr>
              <w:t>CONSOLIDATED STATEMENTS OF OPERATIONS</w:t>
            </w:r>
          </w:p>
        </w:tc>
        <w:tc>
          <w:tcPr>
            <w:tcW w:w="4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(see accountants' review report)</w:t>
            </w:r>
          </w:p>
        </w:tc>
        <w:tc>
          <w:tcPr>
            <w:tcW w:w="4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80" w:type="dxa"/>
            <w:vAlign w:val="bottom"/>
          </w:tcPr>
          <w:p>
            <w:pPr>
              <w:ind w:left="2860"/>
              <w:spacing w:after="0"/>
              <w:rPr>
                <w:sz w:val="20"/>
                <w:szCs w:val="20"/>
                <w:color w:val="auto"/>
              </w:rPr>
            </w:pPr>
            <w:r>
              <w:rPr>
                <w:rFonts w:ascii="Courier New" w:cs="Courier New" w:eastAsia="Courier New" w:hAnsi="Courier New"/>
                <w:sz w:val="18"/>
                <w:szCs w:val="18"/>
                <w:color w:val="auto"/>
              </w:rPr>
              <w:t>(unaudited)</w:t>
            </w:r>
          </w:p>
        </w:tc>
        <w:tc>
          <w:tcPr>
            <w:tcW w:w="4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480" w:type="dxa"/>
            <w:vAlign w:val="bottom"/>
          </w:tcPr>
          <w:p>
            <w:pPr>
              <w:spacing w:after="0"/>
              <w:rPr>
                <w:sz w:val="17"/>
                <w:szCs w:val="17"/>
                <w:color w:val="auto"/>
              </w:rPr>
            </w:pPr>
          </w:p>
        </w:tc>
        <w:tc>
          <w:tcPr>
            <w:tcW w:w="5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Three months ended June 30,</w:t>
            </w:r>
          </w:p>
        </w:tc>
      </w:tr>
      <w:tr>
        <w:trPr>
          <w:trHeight w:val="405"/>
        </w:trPr>
        <w:tc>
          <w:tcPr>
            <w:tcW w:w="4480" w:type="dxa"/>
            <w:vAlign w:val="bottom"/>
          </w:tcPr>
          <w:p>
            <w:pPr>
              <w:spacing w:after="0"/>
              <w:rPr>
                <w:sz w:val="24"/>
                <w:szCs w:val="24"/>
                <w:color w:val="auto"/>
              </w:rPr>
            </w:pPr>
          </w:p>
        </w:tc>
        <w:tc>
          <w:tcPr>
            <w:tcW w:w="4320" w:type="dxa"/>
            <w:vAlign w:val="bottom"/>
          </w:tcPr>
          <w:p>
            <w:pPr>
              <w:jc w:val="center"/>
              <w:ind w:left="2652"/>
              <w:spacing w:after="0"/>
              <w:rPr>
                <w:sz w:val="20"/>
                <w:szCs w:val="20"/>
                <w:color w:val="auto"/>
              </w:rPr>
            </w:pPr>
            <w:r>
              <w:rPr>
                <w:rFonts w:ascii="Courier New" w:cs="Courier New" w:eastAsia="Courier New" w:hAnsi="Courier New"/>
                <w:sz w:val="18"/>
                <w:szCs w:val="18"/>
                <w:color w:val="auto"/>
                <w:w w:val="97"/>
              </w:rPr>
              <w:t>1994</w:t>
            </w:r>
          </w:p>
        </w:tc>
        <w:tc>
          <w:tcPr>
            <w:tcW w:w="12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1993</w:t>
            </w:r>
          </w:p>
        </w:tc>
      </w:tr>
      <w:tr>
        <w:trPr>
          <w:trHeight w:val="405"/>
        </w:trPr>
        <w:tc>
          <w:tcPr>
            <w:tcW w:w="4480" w:type="dxa"/>
            <w:vAlign w:val="bottom"/>
          </w:tcPr>
          <w:p>
            <w:pPr>
              <w:spacing w:after="0"/>
              <w:rPr>
                <w:sz w:val="24"/>
                <w:szCs w:val="24"/>
                <w:color w:val="auto"/>
              </w:rPr>
            </w:pPr>
          </w:p>
        </w:tc>
        <w:tc>
          <w:tcPr>
            <w:tcW w:w="4320" w:type="dxa"/>
            <w:vAlign w:val="bottom"/>
          </w:tcPr>
          <w:p>
            <w:pPr>
              <w:jc w:val="center"/>
              <w:ind w:left="267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4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448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4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Rental income</w:t>
            </w:r>
          </w:p>
        </w:tc>
        <w:tc>
          <w:tcPr>
            <w:tcW w:w="4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$30,449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$26,158</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4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1,168</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1,012</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Other income</w:t>
            </w:r>
          </w:p>
        </w:tc>
        <w:tc>
          <w:tcPr>
            <w:tcW w:w="4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1,177</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1,274</w:t>
            </w:r>
          </w:p>
        </w:tc>
      </w:tr>
      <w:tr>
        <w:trPr>
          <w:trHeight w:val="405"/>
        </w:trPr>
        <w:tc>
          <w:tcPr>
            <w:tcW w:w="4480" w:type="dxa"/>
            <w:vAlign w:val="bottom"/>
          </w:tcPr>
          <w:p>
            <w:pPr>
              <w:spacing w:after="0"/>
              <w:rPr>
                <w:sz w:val="24"/>
                <w:szCs w:val="24"/>
                <w:color w:val="auto"/>
              </w:rPr>
            </w:pPr>
          </w:p>
        </w:tc>
        <w:tc>
          <w:tcPr>
            <w:tcW w:w="4320" w:type="dxa"/>
            <w:vAlign w:val="bottom"/>
          </w:tcPr>
          <w:p>
            <w:pPr>
              <w:jc w:val="center"/>
              <w:ind w:left="267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4480" w:type="dxa"/>
            <w:vAlign w:val="bottom"/>
          </w:tcPr>
          <w:p>
            <w:pPr>
              <w:spacing w:after="0"/>
              <w:rPr>
                <w:sz w:val="17"/>
                <w:szCs w:val="17"/>
                <w:color w:val="auto"/>
              </w:rPr>
            </w:pPr>
          </w:p>
        </w:tc>
        <w:tc>
          <w:tcPr>
            <w:tcW w:w="4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32,794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28,444</w:t>
            </w:r>
          </w:p>
        </w:tc>
      </w:tr>
      <w:tr>
        <w:trPr>
          <w:trHeight w:val="810"/>
        </w:trPr>
        <w:tc>
          <w:tcPr>
            <w:tcW w:w="4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4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w:t>
            </w:r>
          </w:p>
        </w:tc>
        <w:tc>
          <w:tcPr>
            <w:tcW w:w="43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7,824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6,684</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Real estate taxes</w:t>
            </w:r>
          </w:p>
        </w:tc>
        <w:tc>
          <w:tcPr>
            <w:tcW w:w="4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2,761</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2,450</w:t>
            </w:r>
          </w:p>
        </w:tc>
      </w:tr>
      <w:tr>
        <w:trPr>
          <w:trHeight w:val="608"/>
        </w:trPr>
        <w:tc>
          <w:tcPr>
            <w:tcW w:w="4480" w:type="dxa"/>
            <w:vAlign w:val="bottom"/>
          </w:tcPr>
          <w:p>
            <w:pPr>
              <w:spacing w:after="0"/>
              <w:rPr>
                <w:sz w:val="24"/>
                <w:szCs w:val="24"/>
                <w:color w:val="auto"/>
              </w:rPr>
            </w:pPr>
          </w:p>
        </w:tc>
        <w:tc>
          <w:tcPr>
            <w:tcW w:w="4320" w:type="dxa"/>
            <w:vAlign w:val="bottom"/>
          </w:tcPr>
          <w:p>
            <w:pPr>
              <w:jc w:val="right"/>
              <w:ind w:right="3532"/>
              <w:spacing w:after="0"/>
              <w:rPr>
                <w:sz w:val="20"/>
                <w:szCs w:val="20"/>
                <w:color w:val="auto"/>
              </w:rPr>
            </w:pPr>
            <w:r>
              <w:rPr>
                <w:rFonts w:ascii="Courier New" w:cs="Courier New" w:eastAsia="Courier New" w:hAnsi="Courier New"/>
                <w:sz w:val="18"/>
                <w:szCs w:val="18"/>
                <w:color w:val="auto"/>
              </w:rPr>
              <w:t>13</w:t>
            </w:r>
          </w:p>
        </w:tc>
        <w:tc>
          <w:tcPr>
            <w:tcW w:w="1220" w:type="dxa"/>
            <w:vAlign w:val="bottom"/>
          </w:tcPr>
          <w:p>
            <w:pPr>
              <w:spacing w:after="0"/>
              <w:rPr>
                <w:sz w:val="24"/>
                <w:szCs w:val="24"/>
                <w:color w:val="auto"/>
              </w:rPr>
            </w:pPr>
          </w:p>
        </w:tc>
      </w:tr>
    </w:tbl>
    <w:p>
      <w:pPr>
        <w:sectPr>
          <w:pgSz w:w="11900" w:h="16838" w:orient="portrait"/>
          <w:cols w:equalWidth="0" w:num="1">
            <w:col w:w="10020"/>
          </w:cols>
          <w:pgMar w:left="660" w:top="1122" w:right="12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ind w:left="220"/>
              <w:spacing w:after="0"/>
              <w:rPr>
                <w:sz w:val="20"/>
                <w:szCs w:val="20"/>
                <w:color w:val="auto"/>
              </w:rPr>
            </w:pPr>
            <w:r>
              <w:rPr>
                <w:rFonts w:ascii="Courier New" w:cs="Courier New" w:eastAsia="Courier New" w:hAnsi="Courier New"/>
                <w:sz w:val="18"/>
                <w:szCs w:val="18"/>
                <w:color w:val="auto"/>
              </w:rPr>
              <w:t>Interest</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7,637</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7,705</w:t>
            </w:r>
          </w:p>
        </w:tc>
      </w:tr>
      <w:tr>
        <w:trPr>
          <w:trHeight w:val="405"/>
        </w:trPr>
        <w:tc>
          <w:tcPr>
            <w:tcW w:w="6860" w:type="dxa"/>
            <w:vAlign w:val="bottom"/>
          </w:tcPr>
          <w:p>
            <w:pPr>
              <w:ind w:left="220"/>
              <w:spacing w:after="0"/>
              <w:rPr>
                <w:sz w:val="20"/>
                <w:szCs w:val="20"/>
                <w:color w:val="auto"/>
              </w:rPr>
            </w:pPr>
            <w:r>
              <w:rPr>
                <w:rFonts w:ascii="Courier New" w:cs="Courier New" w:eastAsia="Courier New" w:hAnsi="Courier New"/>
                <w:sz w:val="18"/>
                <w:szCs w:val="18"/>
                <w:color w:val="auto"/>
              </w:rPr>
              <w:t>Administrative</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1,803</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1,297</w:t>
            </w:r>
          </w:p>
        </w:tc>
      </w:tr>
      <w:tr>
        <w:trPr>
          <w:trHeight w:val="405"/>
        </w:trPr>
        <w:tc>
          <w:tcPr>
            <w:tcW w:w="6860" w:type="dxa"/>
            <w:vAlign w:val="bottom"/>
          </w:tcPr>
          <w:p>
            <w:pPr>
              <w:ind w:left="220"/>
              <w:spacing w:after="0"/>
              <w:rPr>
                <w:sz w:val="20"/>
                <w:szCs w:val="20"/>
                <w:color w:val="auto"/>
              </w:rPr>
            </w:pPr>
            <w:r>
              <w:rPr>
                <w:rFonts w:ascii="Courier New" w:cs="Courier New" w:eastAsia="Courier New" w:hAnsi="Courier New"/>
                <w:sz w:val="18"/>
                <w:szCs w:val="18"/>
                <w:color w:val="auto"/>
              </w:rPr>
              <w:t>Depreciation and amortization</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7,269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6,185</w:t>
            </w:r>
          </w:p>
        </w:tc>
      </w:tr>
      <w:tr>
        <w:trPr>
          <w:trHeight w:val="203"/>
        </w:trPr>
        <w:tc>
          <w:tcPr>
            <w:tcW w:w="686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tcPr>
          <w:p>
            <w:pPr>
              <w:spacing w:after="0"/>
              <w:rPr>
                <w:sz w:val="24"/>
                <w:szCs w:val="24"/>
                <w:color w:val="auto"/>
              </w:rPr>
            </w:pP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27,294</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24,321</w:t>
            </w:r>
          </w:p>
        </w:tc>
      </w:tr>
      <w:tr>
        <w:trPr>
          <w:trHeight w:val="405"/>
        </w:trPr>
        <w:tc>
          <w:tcPr>
            <w:tcW w:w="6860" w:type="dxa"/>
            <w:vAlign w:val="bottom"/>
          </w:tcPr>
          <w:p>
            <w:pPr>
              <w:spacing w:after="0"/>
              <w:rPr>
                <w:sz w:val="24"/>
                <w:szCs w:val="24"/>
                <w:color w:val="auto"/>
              </w:rPr>
            </w:pP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before investors' share of operations and</w:t>
            </w:r>
          </w:p>
        </w:tc>
        <w:tc>
          <w:tcPr>
            <w:tcW w:w="19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5,500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4,123</w:t>
            </w:r>
          </w:p>
        </w:tc>
      </w:tr>
      <w:tr>
        <w:trPr>
          <w:trHeight w:val="810"/>
        </w:trPr>
        <w:tc>
          <w:tcPr>
            <w:tcW w:w="6860" w:type="dxa"/>
            <w:vAlign w:val="bottom"/>
          </w:tcPr>
          <w:p>
            <w:pPr>
              <w:ind w:left="220"/>
              <w:spacing w:after="0"/>
              <w:rPr>
                <w:sz w:val="20"/>
                <w:szCs w:val="20"/>
                <w:color w:val="auto"/>
              </w:rPr>
            </w:pPr>
            <w:r>
              <w:rPr>
                <w:rFonts w:ascii="Courier New" w:cs="Courier New" w:eastAsia="Courier New" w:hAnsi="Courier New"/>
                <w:sz w:val="18"/>
                <w:szCs w:val="18"/>
                <w:color w:val="auto"/>
              </w:rPr>
              <w:t>Investors' share of operations</w:t>
            </w: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(294)</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(336)</w:t>
            </w:r>
          </w:p>
        </w:tc>
      </w:tr>
      <w:tr>
        <w:trPr>
          <w:trHeight w:val="203"/>
        </w:trPr>
        <w:tc>
          <w:tcPr>
            <w:tcW w:w="686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Income before extraordinary item</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5,206</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3,787</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Extraordinary item</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6860" w:type="dxa"/>
            <w:vAlign w:val="bottom"/>
          </w:tcPr>
          <w:p>
            <w:pPr>
              <w:ind w:left="220"/>
              <w:spacing w:after="0"/>
              <w:rPr>
                <w:sz w:val="20"/>
                <w:szCs w:val="20"/>
                <w:color w:val="auto"/>
              </w:rPr>
            </w:pPr>
            <w:r>
              <w:rPr>
                <w:rFonts w:ascii="Courier New" w:cs="Courier New" w:eastAsia="Courier New" w:hAnsi="Courier New"/>
                <w:sz w:val="18"/>
                <w:szCs w:val="18"/>
                <w:color w:val="auto"/>
              </w:rPr>
              <w:t>Net loss on early extinquishment of debt</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(962)</w:t>
            </w:r>
          </w:p>
        </w:tc>
      </w:tr>
      <w:tr>
        <w:trPr>
          <w:trHeight w:val="203"/>
        </w:trPr>
        <w:tc>
          <w:tcPr>
            <w:tcW w:w="6860" w:type="dxa"/>
            <w:vAlign w:val="bottom"/>
          </w:tcPr>
          <w:p>
            <w:pPr>
              <w:spacing w:after="0"/>
              <w:rPr>
                <w:sz w:val="17"/>
                <w:szCs w:val="17"/>
                <w:color w:val="auto"/>
              </w:rPr>
            </w:pPr>
          </w:p>
        </w:tc>
        <w:tc>
          <w:tcPr>
            <w:tcW w:w="1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$5,206</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$2,825</w:t>
            </w:r>
          </w:p>
        </w:tc>
      </w:tr>
      <w:tr>
        <w:trPr>
          <w:trHeight w:val="405"/>
        </w:trPr>
        <w:tc>
          <w:tcPr>
            <w:tcW w:w="6860" w:type="dxa"/>
            <w:vAlign w:val="bottom"/>
          </w:tcPr>
          <w:p>
            <w:pPr>
              <w:spacing w:after="0"/>
              <w:rPr>
                <w:sz w:val="24"/>
                <w:szCs w:val="24"/>
                <w:color w:val="auto"/>
              </w:rPr>
            </w:pP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1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31,351</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27,409</w:t>
            </w:r>
          </w:p>
        </w:tc>
      </w:tr>
      <w:tr>
        <w:trPr>
          <w:trHeight w:val="405"/>
        </w:trPr>
        <w:tc>
          <w:tcPr>
            <w:tcW w:w="6860" w:type="dxa"/>
            <w:vAlign w:val="bottom"/>
          </w:tcPr>
          <w:p>
            <w:pPr>
              <w:spacing w:after="0"/>
              <w:rPr>
                <w:sz w:val="24"/>
                <w:szCs w:val="24"/>
                <w:color w:val="auto"/>
              </w:rPr>
            </w:pPr>
          </w:p>
        </w:tc>
        <w:tc>
          <w:tcPr>
            <w:tcW w:w="1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1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$0.17</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$0.14</w:t>
            </w:r>
          </w:p>
        </w:tc>
      </w:tr>
      <w:tr>
        <w:trPr>
          <w:trHeight w:val="1013"/>
        </w:trPr>
        <w:tc>
          <w:tcPr>
            <w:tcW w:w="6860" w:type="dxa"/>
            <w:vAlign w:val="bottom"/>
          </w:tcPr>
          <w:p>
            <w:pPr>
              <w:ind w:left="4960"/>
              <w:spacing w:after="0"/>
              <w:rPr>
                <w:sz w:val="20"/>
                <w:szCs w:val="20"/>
                <w:color w:val="auto"/>
              </w:rPr>
            </w:pPr>
            <w:r>
              <w:rPr>
                <w:rFonts w:ascii="Courier New" w:cs="Courier New" w:eastAsia="Courier New" w:hAnsi="Courier New"/>
                <w:sz w:val="18"/>
                <w:szCs w:val="18"/>
                <w:color w:val="auto"/>
              </w:rPr>
              <w:t>14</w:t>
            </w:r>
          </w:p>
        </w:tc>
        <w:tc>
          <w:tcPr>
            <w:tcW w:w="19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020"/>
          </w:cols>
          <w:pgMar w:left="660" w:top="514" w:right="1219" w:bottom="1440" w:gutter="0" w:footer="0" w:header="0"/>
        </w:sectPr>
      </w:pPr>
    </w:p>
    <w:bookmarkStart w:id="14" w:name="page15"/>
    <w:bookmarkEnd w:id="14"/>
    <w:p>
      <w:pPr>
        <w:spacing w:after="0" w:line="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Extraordinary item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(0.04)</w:t>
      </w:r>
    </w:p>
    <w:p>
      <w:pPr>
        <w:spacing w:after="0" w:line="216" w:lineRule="exact"/>
        <w:rPr>
          <w:sz w:val="20"/>
          <w:szCs w:val="20"/>
          <w:color w:val="auto"/>
        </w:rPr>
      </w:pPr>
    </w:p>
    <w:p>
      <w:pPr>
        <w:sectPr>
          <w:pgSz w:w="11900" w:h="16838" w:orient="portrait"/>
          <w:cols w:equalWidth="0" w:num="3">
            <w:col w:w="7500" w:space="720"/>
            <w:col w:w="440" w:space="720"/>
            <w:col w:w="640"/>
          </w:cols>
          <w:pgMar w:left="660" w:top="514" w:right="1219" w:bottom="1440" w:gutter="0" w:footer="0" w:header="0"/>
        </w:sectPr>
      </w:pPr>
    </w:p>
    <w:p>
      <w:pPr>
        <w:spacing w:after="0" w:line="7"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460" w:space="720"/>
            <w:col w:w="840"/>
          </w:cols>
          <w:pgMar w:left="660" w:top="514" w:right="1219" w:bottom="1440" w:gutter="0" w:footer="0" w:header="0"/>
          <w:type w:val="continuous"/>
        </w:sectPr>
      </w:pPr>
    </w:p>
    <w:p>
      <w:pPr>
        <w:spacing w:after="0" w:line="18"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$0.17</w:t>
      </w:r>
    </w:p>
    <w:p>
      <w:pPr>
        <w:spacing w:after="0" w:line="4"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ind w:firstLine="316"/>
        <w:spacing w:after="0" w:line="290" w:lineRule="auto"/>
        <w:rPr>
          <w:sz w:val="20"/>
          <w:szCs w:val="20"/>
          <w:color w:val="auto"/>
        </w:rPr>
      </w:pPr>
      <w:r>
        <w:rPr>
          <w:rFonts w:ascii="Courier New" w:cs="Courier New" w:eastAsia="Courier New" w:hAnsi="Courier New"/>
          <w:sz w:val="16"/>
          <w:szCs w:val="16"/>
          <w:color w:val="auto"/>
        </w:rPr>
        <w:t>$0.10 ========</w:t>
      </w:r>
    </w:p>
    <w:p>
      <w:pPr>
        <w:spacing w:after="0" w:line="170" w:lineRule="exact"/>
        <w:rPr>
          <w:sz w:val="20"/>
          <w:szCs w:val="20"/>
          <w:color w:val="auto"/>
        </w:rPr>
      </w:pPr>
    </w:p>
    <w:p>
      <w:pPr>
        <w:sectPr>
          <w:pgSz w:w="11900" w:h="16838" w:orient="portrait"/>
          <w:cols w:equalWidth="0" w:num="2">
            <w:col w:w="8460" w:space="720"/>
            <w:col w:w="840"/>
          </w:cols>
          <w:pgMar w:left="660" w:top="514" w:right="121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ectPr>
          <w:pgSz w:w="11900" w:h="16838" w:orient="portrait"/>
          <w:cols w:equalWidth="0" w:num="1">
            <w:col w:w="10020"/>
          </w:cols>
          <w:pgMar w:left="660" w:top="514"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020"/>
          </w:cols>
          <w:pgMar w:left="660" w:top="514" w:right="121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400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rPr>
              <w:t>CONSOLIDATED STATEMENTS OF SHAREHOLDERS' EQUITY</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(see accountants' review report)</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0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(unaudited)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4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Six months ended June 30,</w:t>
            </w:r>
          </w:p>
        </w:tc>
        <w:tc>
          <w:tcPr>
            <w:tcW w:w="1260" w:type="dxa"/>
            <w:vAlign w:val="bottom"/>
          </w:tcPr>
          <w:p>
            <w:pPr>
              <w:spacing w:after="0"/>
              <w:rPr>
                <w:sz w:val="24"/>
                <w:szCs w:val="24"/>
                <w:color w:val="auto"/>
              </w:rPr>
            </w:pPr>
          </w:p>
        </w:tc>
      </w:tr>
      <w:tr>
        <w:trPr>
          <w:trHeight w:val="405"/>
        </w:trPr>
        <w:tc>
          <w:tcPr>
            <w:tcW w:w="400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1994</w:t>
            </w:r>
          </w:p>
        </w:tc>
        <w:tc>
          <w:tcPr>
            <w:tcW w:w="1580" w:type="dxa"/>
            <w:vAlign w:val="bottom"/>
          </w:tcPr>
          <w:p>
            <w:pPr>
              <w:spacing w:after="0"/>
              <w:rPr>
                <w:sz w:val="24"/>
                <w:szCs w:val="24"/>
                <w:color w:val="auto"/>
              </w:rPr>
            </w:pPr>
          </w:p>
        </w:tc>
        <w:tc>
          <w:tcPr>
            <w:tcW w:w="17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1260" w:type="dxa"/>
            <w:vAlign w:val="bottom"/>
          </w:tcPr>
          <w:p>
            <w:pPr>
              <w:spacing w:after="0"/>
              <w:rPr>
                <w:sz w:val="24"/>
                <w:szCs w:val="24"/>
                <w:color w:val="auto"/>
              </w:rPr>
            </w:pPr>
          </w:p>
        </w:tc>
      </w:tr>
      <w:tr>
        <w:trPr>
          <w:trHeight w:val="405"/>
        </w:trPr>
        <w:tc>
          <w:tcPr>
            <w:tcW w:w="4000" w:type="dxa"/>
            <w:vAlign w:val="bottom"/>
          </w:tcPr>
          <w:p>
            <w:pPr>
              <w:spacing w:after="0"/>
              <w:rPr>
                <w:sz w:val="24"/>
                <w:szCs w:val="24"/>
                <w:color w:val="auto"/>
              </w:rPr>
            </w:pP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share amounts)</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Shares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Amount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Amount</w:t>
            </w:r>
          </w:p>
        </w:tc>
      </w:tr>
      <w:tr>
        <w:trPr>
          <w:trHeight w:val="1013"/>
        </w:trPr>
        <w:tc>
          <w:tcPr>
            <w:tcW w:w="4000" w:type="dxa"/>
            <w:vAlign w:val="bottom"/>
          </w:tcPr>
          <w:p>
            <w:pPr>
              <w:spacing w:after="0"/>
              <w:rPr>
                <w:sz w:val="20"/>
                <w:szCs w:val="20"/>
                <w:color w:val="auto"/>
              </w:rPr>
            </w:pPr>
            <w:r>
              <w:rPr>
                <w:rFonts w:ascii="Courier New" w:cs="Courier New" w:eastAsia="Courier New" w:hAnsi="Courier New"/>
                <w:sz w:val="18"/>
                <w:szCs w:val="18"/>
                <w:color w:val="auto"/>
              </w:rPr>
              <w:t>Common Shares of Beneficial Interest</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05"/>
        </w:trPr>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Balance, beginning of period</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28,077,999</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$408,005</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24,777,831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$322,903</w:t>
            </w: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18,716</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43,884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875</w:t>
            </w:r>
          </w:p>
        </w:tc>
      </w:tr>
      <w:tr>
        <w:trPr>
          <w:trHeight w:val="405"/>
        </w:trPr>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Shares issued under dividend</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reinvestment plan</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73,520</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1,864</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64,621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1,719</w:t>
            </w:r>
          </w:p>
        </w:tc>
      </w:tr>
      <w:tr>
        <w:trPr>
          <w:trHeight w:val="405"/>
        </w:trPr>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Conversion of 8 3/4% subordinated</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debentures, net of costs of</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$50,000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137,364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2,209</w:t>
            </w:r>
          </w:p>
        </w:tc>
      </w:tr>
      <w:tr>
        <w:trPr>
          <w:trHeight w:val="405"/>
        </w:trPr>
        <w:tc>
          <w:tcPr>
            <w:tcW w:w="4000" w:type="dxa"/>
            <w:vAlign w:val="bottom"/>
          </w:tcPr>
          <w:p>
            <w:pPr>
              <w:ind w:left="320"/>
              <w:spacing w:after="0"/>
              <w:rPr>
                <w:sz w:val="20"/>
                <w:szCs w:val="20"/>
                <w:color w:val="auto"/>
              </w:rPr>
            </w:pPr>
            <w:r>
              <w:rPr>
                <w:rFonts w:ascii="Courier New" w:cs="Courier New" w:eastAsia="Courier New" w:hAnsi="Courier New"/>
                <w:sz w:val="18"/>
                <w:szCs w:val="18"/>
                <w:color w:val="auto"/>
              </w:rPr>
              <w:t>Conversion of 5 1/4% subordinated</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debentures, net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1,729</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64</w:t>
            </w: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810"/>
        </w:trPr>
        <w:tc>
          <w:tcPr>
            <w:tcW w:w="4000" w:type="dxa"/>
            <w:vAlign w:val="bottom"/>
          </w:tcPr>
          <w:p>
            <w:pPr>
              <w:spacing w:after="0"/>
              <w:rPr>
                <w:sz w:val="24"/>
                <w:szCs w:val="24"/>
                <w:color w:val="auto"/>
              </w:rPr>
            </w:pP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16</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20"/>
          </w:cols>
          <w:pgMar w:left="560" w:top="1122" w:right="121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Shares purchased under share</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plan</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Net proceeds of public offering</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private placement</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3,340,000</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82,963</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2,757,800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72,807</w:t>
            </w:r>
          </w:p>
        </w:tc>
      </w:tr>
      <w:tr>
        <w:trPr>
          <w:trHeight w:val="405"/>
        </w:trPr>
        <w:tc>
          <w:tcPr>
            <w:tcW w:w="4060" w:type="dxa"/>
            <w:vAlign w:val="bottom"/>
          </w:tcPr>
          <w:p>
            <w:pPr>
              <w:spacing w:after="0"/>
              <w:rPr>
                <w:sz w:val="24"/>
                <w:szCs w:val="24"/>
                <w:color w:val="auto"/>
              </w:rPr>
            </w:pP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Balance, end of period</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31,551,964</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$494,302</w:t>
            </w:r>
          </w:p>
        </w:tc>
        <w:tc>
          <w:tcPr>
            <w:tcW w:w="17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27,781,500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$400,513</w:t>
            </w:r>
          </w:p>
        </w:tc>
      </w:tr>
      <w:tr>
        <w:trPr>
          <w:trHeight w:val="203"/>
        </w:trPr>
        <w:tc>
          <w:tcPr>
            <w:tcW w:w="406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060" w:type="dxa"/>
            <w:vAlign w:val="bottom"/>
          </w:tcPr>
          <w:p>
            <w:pPr>
              <w:spacing w:after="0"/>
              <w:rPr>
                <w:sz w:val="20"/>
                <w:szCs w:val="20"/>
                <w:color w:val="auto"/>
              </w:rPr>
            </w:pPr>
            <w:r>
              <w:rPr>
                <w:rFonts w:ascii="Courier New" w:cs="Courier New" w:eastAsia="Courier New" w:hAnsi="Courier New"/>
                <w:sz w:val="18"/>
                <w:szCs w:val="18"/>
                <w:color w:val="auto"/>
              </w:rPr>
              <w:t>Common Shares of Beneficial Interest</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Treasury, Deferred Compensation</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Subscriptions Receivable</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Balance, beginning of period</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(422,575)</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$(6,619)</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(426,575)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$(6,708)</w:t>
            </w: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of deferred</w:t>
            </w:r>
          </w:p>
        </w:tc>
        <w:tc>
          <w:tcPr>
            <w:tcW w:w="1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compensation</w:t>
            </w: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27,875</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422</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w:t>
            </w:r>
          </w:p>
        </w:tc>
      </w:tr>
      <w:tr>
        <w:trPr>
          <w:trHeight w:val="405"/>
        </w:trPr>
        <w:tc>
          <w:tcPr>
            <w:tcW w:w="4060" w:type="dxa"/>
            <w:vAlign w:val="bottom"/>
          </w:tcPr>
          <w:p>
            <w:pPr>
              <w:ind w:left="320"/>
              <w:spacing w:after="0"/>
              <w:rPr>
                <w:sz w:val="20"/>
                <w:szCs w:val="20"/>
                <w:color w:val="auto"/>
              </w:rPr>
            </w:pPr>
            <w:r>
              <w:rPr>
                <w:rFonts w:ascii="Courier New" w:cs="Courier New" w:eastAsia="Courier New" w:hAnsi="Courier New"/>
                <w:sz w:val="18"/>
                <w:szCs w:val="18"/>
                <w:color w:val="auto"/>
              </w:rPr>
              <w:t>Subscription of shares under share</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plan</w:t>
            </w: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17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4"/>
                <w:szCs w:val="24"/>
                <w:color w:val="auto"/>
              </w:rPr>
            </w:pP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ind w:left="540"/>
              <w:spacing w:after="0"/>
              <w:rPr>
                <w:sz w:val="20"/>
                <w:szCs w:val="20"/>
                <w:color w:val="auto"/>
              </w:rPr>
            </w:pPr>
            <w:r>
              <w:rPr>
                <w:rFonts w:ascii="Courier New" w:cs="Courier New" w:eastAsia="Courier New" w:hAnsi="Courier New"/>
                <w:sz w:val="18"/>
                <w:szCs w:val="18"/>
                <w:color w:val="auto"/>
              </w:rPr>
              <w:t>Balance, end of period</w:t>
            </w:r>
          </w:p>
        </w:tc>
        <w:tc>
          <w:tcPr>
            <w:tcW w:w="1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(434,700)</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$(7,197)</w:t>
            </w:r>
          </w:p>
        </w:tc>
        <w:tc>
          <w:tcPr>
            <w:tcW w:w="17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(424,575)</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$(6,663)</w:t>
            </w:r>
          </w:p>
        </w:tc>
      </w:tr>
      <w:tr>
        <w:trPr>
          <w:trHeight w:val="203"/>
        </w:trPr>
        <w:tc>
          <w:tcPr>
            <w:tcW w:w="4060" w:type="dxa"/>
            <w:vAlign w:val="bottom"/>
          </w:tcPr>
          <w:p>
            <w:pPr>
              <w:spacing w:after="0"/>
              <w:rPr>
                <w:sz w:val="17"/>
                <w:szCs w:val="17"/>
                <w:color w:val="auto"/>
              </w:rPr>
            </w:pPr>
          </w:p>
        </w:tc>
        <w:tc>
          <w:tcPr>
            <w:tcW w:w="1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Allowance for Unrealized Loss on</w:t>
      </w:r>
    </w:p>
    <w:p>
      <w:pPr>
        <w:spacing w:after="0" w:line="238" w:lineRule="auto"/>
        <w:rPr>
          <w:sz w:val="20"/>
          <w:szCs w:val="20"/>
          <w:color w:val="auto"/>
        </w:rPr>
      </w:pPr>
      <w:r>
        <w:rPr>
          <w:rFonts w:ascii="Courier New" w:cs="Courier New" w:eastAsia="Courier New" w:hAnsi="Courier New"/>
          <w:sz w:val="18"/>
          <w:szCs w:val="18"/>
          <w:color w:val="auto"/>
        </w:rPr>
        <w:t>Marketable Securities</w:t>
      </w: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420" w:type="dxa"/>
            <w:vAlign w:val="bottom"/>
          </w:tcPr>
          <w:p>
            <w:pPr>
              <w:spacing w:after="0"/>
              <w:rPr>
                <w:sz w:val="20"/>
                <w:szCs w:val="20"/>
                <w:color w:val="auto"/>
              </w:rPr>
            </w:pPr>
            <w:r>
              <w:rPr>
                <w:rFonts w:ascii="Courier New" w:cs="Courier New" w:eastAsia="Courier New" w:hAnsi="Courier New"/>
                <w:sz w:val="18"/>
                <w:szCs w:val="18"/>
                <w:color w:val="auto"/>
              </w:rPr>
              <w:t>Balance, beginning of period</w:t>
            </w:r>
          </w:p>
        </w:tc>
        <w:tc>
          <w:tcPr>
            <w:tcW w:w="342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$(364)</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$(385)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120"/>
          </w:cols>
          <w:pgMar w:left="560" w:top="514" w:right="12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4"/>
        </w:trPr>
        <w:tc>
          <w:tcPr>
            <w:tcW w:w="4840" w:type="dxa"/>
            <w:vAlign w:val="bottom"/>
          </w:tcPr>
          <w:p>
            <w:pPr>
              <w:ind w:left="320"/>
              <w:spacing w:after="0"/>
              <w:rPr>
                <w:sz w:val="20"/>
                <w:szCs w:val="20"/>
                <w:color w:val="auto"/>
              </w:rPr>
            </w:pPr>
            <w:r>
              <w:rPr>
                <w:rFonts w:ascii="Courier New" w:cs="Courier New" w:eastAsia="Courier New" w:hAnsi="Courier New"/>
                <w:sz w:val="18"/>
                <w:szCs w:val="18"/>
                <w:color w:val="auto"/>
              </w:rPr>
              <w:t>Unrealized (loss ) recovery</w:t>
            </w: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(122)</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405"/>
        </w:trPr>
        <w:tc>
          <w:tcPr>
            <w:tcW w:w="4840" w:type="dxa"/>
            <w:vAlign w:val="bottom"/>
          </w:tcPr>
          <w:p>
            <w:pPr>
              <w:spacing w:after="0"/>
              <w:rPr>
                <w:sz w:val="24"/>
                <w:szCs w:val="24"/>
                <w:color w:val="auto"/>
              </w:rPr>
            </w:pP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ind w:left="320"/>
              <w:spacing w:after="0"/>
              <w:rPr>
                <w:sz w:val="20"/>
                <w:szCs w:val="20"/>
                <w:color w:val="auto"/>
              </w:rPr>
            </w:pPr>
            <w:r>
              <w:rPr>
                <w:rFonts w:ascii="Courier New" w:cs="Courier New" w:eastAsia="Courier New" w:hAnsi="Courier New"/>
                <w:sz w:val="18"/>
                <w:szCs w:val="18"/>
                <w:color w:val="auto"/>
              </w:rPr>
              <w:t>Balance, end of period</w:t>
            </w: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$(347)</w:t>
            </w:r>
          </w:p>
        </w:tc>
      </w:tr>
      <w:tr>
        <w:trPr>
          <w:trHeight w:val="405"/>
        </w:trPr>
        <w:tc>
          <w:tcPr>
            <w:tcW w:w="4840" w:type="dxa"/>
            <w:vAlign w:val="bottom"/>
          </w:tcPr>
          <w:p>
            <w:pPr>
              <w:spacing w:after="0"/>
              <w:rPr>
                <w:sz w:val="24"/>
                <w:szCs w:val="24"/>
                <w:color w:val="auto"/>
              </w:rPr>
            </w:pP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608"/>
        </w:trPr>
        <w:tc>
          <w:tcPr>
            <w:tcW w:w="4840" w:type="dxa"/>
            <w:vAlign w:val="bottom"/>
          </w:tcPr>
          <w:p>
            <w:pPr>
              <w:spacing w:after="0"/>
              <w:rPr>
                <w:sz w:val="20"/>
                <w:szCs w:val="20"/>
                <w:color w:val="auto"/>
              </w:rPr>
            </w:pPr>
            <w:r>
              <w:rPr>
                <w:rFonts w:ascii="Courier New" w:cs="Courier New" w:eastAsia="Courier New" w:hAnsi="Courier New"/>
                <w:sz w:val="18"/>
                <w:szCs w:val="18"/>
                <w:color w:val="auto"/>
              </w:rPr>
              <w:t>Accumulated Dividends in Excess of</w:t>
            </w:r>
          </w:p>
        </w:tc>
        <w:tc>
          <w:tcPr>
            <w:tcW w:w="31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Net Income</w:t>
            </w:r>
          </w:p>
        </w:tc>
        <w:tc>
          <w:tcPr>
            <w:tcW w:w="312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4840" w:type="dxa"/>
            <w:vAlign w:val="bottom"/>
          </w:tcPr>
          <w:p>
            <w:pPr>
              <w:ind w:left="320"/>
              <w:spacing w:after="0"/>
              <w:rPr>
                <w:sz w:val="20"/>
                <w:szCs w:val="20"/>
                <w:color w:val="auto"/>
              </w:rPr>
            </w:pPr>
            <w:r>
              <w:rPr>
                <w:rFonts w:ascii="Courier New" w:cs="Courier New" w:eastAsia="Courier New" w:hAnsi="Courier New"/>
                <w:sz w:val="18"/>
                <w:szCs w:val="18"/>
                <w:color w:val="auto"/>
              </w:rPr>
              <w:t>Balance, beginning of period</w:t>
            </w: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$(116,823)</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$(92,932)</w:t>
            </w:r>
          </w:p>
        </w:tc>
      </w:tr>
      <w:tr>
        <w:trPr>
          <w:trHeight w:val="405"/>
        </w:trPr>
        <w:tc>
          <w:tcPr>
            <w:tcW w:w="4840" w:type="dxa"/>
            <w:vAlign w:val="bottom"/>
          </w:tcPr>
          <w:p>
            <w:pPr>
              <w:ind w:left="320"/>
              <w:spacing w:after="0"/>
              <w:rPr>
                <w:sz w:val="20"/>
                <w:szCs w:val="20"/>
                <w:color w:val="auto"/>
              </w:rPr>
            </w:pPr>
            <w:r>
              <w:rPr>
                <w:rFonts w:ascii="Courier New" w:cs="Courier New" w:eastAsia="Courier New" w:hAnsi="Courier New"/>
                <w:sz w:val="18"/>
                <w:szCs w:val="18"/>
                <w:color w:val="auto"/>
              </w:rPr>
              <w:t>Net income</w:t>
            </w:r>
          </w:p>
        </w:tc>
        <w:tc>
          <w:tcPr>
            <w:tcW w:w="312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9,289</w:t>
            </w:r>
          </w:p>
        </w:tc>
        <w:tc>
          <w:tcPr>
            <w:tcW w:w="2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5,346</w:t>
            </w:r>
          </w:p>
        </w:tc>
      </w:tr>
      <w:tr>
        <w:trPr>
          <w:trHeight w:val="203"/>
        </w:trPr>
        <w:tc>
          <w:tcPr>
            <w:tcW w:w="4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declared to shareholders</w:t>
            </w:r>
          </w:p>
        </w:tc>
        <w:tc>
          <w:tcPr>
            <w:tcW w:w="31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(23,244)</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(20,264)</w:t>
            </w:r>
          </w:p>
        </w:tc>
      </w:tr>
      <w:tr>
        <w:trPr>
          <w:trHeight w:val="405"/>
        </w:trPr>
        <w:tc>
          <w:tcPr>
            <w:tcW w:w="4840" w:type="dxa"/>
            <w:vAlign w:val="bottom"/>
          </w:tcPr>
          <w:p>
            <w:pPr>
              <w:spacing w:after="0"/>
              <w:rPr>
                <w:sz w:val="24"/>
                <w:szCs w:val="24"/>
                <w:color w:val="auto"/>
              </w:rPr>
            </w:pP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4840" w:type="dxa"/>
            <w:vAlign w:val="bottom"/>
          </w:tcPr>
          <w:p>
            <w:pPr>
              <w:ind w:left="320"/>
              <w:spacing w:after="0"/>
              <w:rPr>
                <w:sz w:val="20"/>
                <w:szCs w:val="20"/>
                <w:color w:val="auto"/>
              </w:rPr>
            </w:pPr>
            <w:r>
              <w:rPr>
                <w:rFonts w:ascii="Courier New" w:cs="Courier New" w:eastAsia="Courier New" w:hAnsi="Courier New"/>
                <w:sz w:val="18"/>
                <w:szCs w:val="18"/>
                <w:color w:val="auto"/>
              </w:rPr>
              <w:t>Balance, end of period</w:t>
            </w: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$(130,778)</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$(107,850)</w:t>
            </w:r>
          </w:p>
        </w:tc>
      </w:tr>
      <w:tr>
        <w:trPr>
          <w:trHeight w:val="405"/>
        </w:trPr>
        <w:tc>
          <w:tcPr>
            <w:tcW w:w="4840" w:type="dxa"/>
            <w:vAlign w:val="bottom"/>
          </w:tcPr>
          <w:p>
            <w:pPr>
              <w:spacing w:after="0"/>
              <w:rPr>
                <w:sz w:val="24"/>
                <w:szCs w:val="24"/>
                <w:color w:val="auto"/>
              </w:rPr>
            </w:pPr>
          </w:p>
        </w:tc>
        <w:tc>
          <w:tcPr>
            <w:tcW w:w="31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120"/>
          </w:cols>
          <w:pgMar w:left="560" w:top="514" w:right="12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20"/>
                <w:szCs w:val="20"/>
                <w:color w:val="auto"/>
              </w:rPr>
            </w:pPr>
            <w:r>
              <w:rPr>
                <w:rFonts w:ascii="Courier New" w:cs="Courier New" w:eastAsia="Courier New" w:hAnsi="Courier New"/>
                <w:sz w:val="18"/>
                <w:szCs w:val="18"/>
                <w:color w:val="auto"/>
              </w:rPr>
              <w:t>Federal Realty Investment Trust</w:t>
            </w: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628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(see accountants' review report)</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280" w:type="dxa"/>
            <w:vAlign w:val="bottom"/>
          </w:tcPr>
          <w:p>
            <w:pPr>
              <w:ind w:left="2220"/>
              <w:spacing w:after="0" w:line="203" w:lineRule="exact"/>
              <w:rPr>
                <w:sz w:val="20"/>
                <w:szCs w:val="20"/>
                <w:color w:val="auto"/>
              </w:rPr>
            </w:pPr>
            <w:r>
              <w:rPr>
                <w:rFonts w:ascii="Courier New" w:cs="Courier New" w:eastAsia="Courier New" w:hAnsi="Courier New"/>
                <w:sz w:val="18"/>
                <w:szCs w:val="18"/>
                <w:color w:val="auto"/>
              </w:rPr>
              <w:t>(unaudited)</w:t>
            </w: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280" w:type="dxa"/>
            <w:vAlign w:val="bottom"/>
          </w:tcPr>
          <w:p>
            <w:pPr>
              <w:spacing w:after="0"/>
              <w:rPr>
                <w:sz w:val="17"/>
                <w:szCs w:val="17"/>
                <w:color w:val="auto"/>
              </w:rPr>
            </w:pPr>
          </w:p>
        </w:tc>
        <w:tc>
          <w:tcPr>
            <w:tcW w:w="37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Six months ended June 30,</w:t>
            </w:r>
          </w:p>
        </w:tc>
      </w:tr>
      <w:tr>
        <w:trPr>
          <w:trHeight w:val="405"/>
        </w:trPr>
        <w:tc>
          <w:tcPr>
            <w:tcW w:w="6280" w:type="dxa"/>
            <w:vAlign w:val="bottom"/>
          </w:tcPr>
          <w:p>
            <w:pPr>
              <w:spacing w:after="0"/>
              <w:rPr>
                <w:sz w:val="24"/>
                <w:szCs w:val="24"/>
                <w:color w:val="auto"/>
              </w:rPr>
            </w:pPr>
          </w:p>
        </w:tc>
        <w:tc>
          <w:tcPr>
            <w:tcW w:w="21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1994</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r>
      <w:tr>
        <w:trPr>
          <w:trHeight w:val="405"/>
        </w:trPr>
        <w:tc>
          <w:tcPr>
            <w:tcW w:w="6280" w:type="dxa"/>
            <w:vAlign w:val="bottom"/>
          </w:tcPr>
          <w:p>
            <w:pPr>
              <w:spacing w:after="0"/>
              <w:rPr>
                <w:sz w:val="24"/>
                <w:szCs w:val="24"/>
                <w:color w:val="auto"/>
              </w:rPr>
            </w:pP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608"/>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6280" w:type="dxa"/>
            <w:vAlign w:val="bottom"/>
          </w:tcPr>
          <w:p>
            <w:pPr>
              <w:ind w:left="320"/>
              <w:spacing w:after="0"/>
              <w:rPr>
                <w:sz w:val="20"/>
                <w:szCs w:val="20"/>
                <w:color w:val="auto"/>
              </w:rPr>
            </w:pPr>
            <w:r>
              <w:rPr>
                <w:rFonts w:ascii="Courier New" w:cs="Courier New" w:eastAsia="Courier New" w:hAnsi="Courier New"/>
                <w:sz w:val="18"/>
                <w:szCs w:val="18"/>
                <w:color w:val="auto"/>
              </w:rPr>
              <w:t>Net income</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$9,289</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$5,346</w:t>
            </w:r>
          </w:p>
        </w:tc>
      </w:tr>
      <w:tr>
        <w:trPr>
          <w:trHeight w:val="405"/>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Adjustments to reconcile net income to net cash</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provided by operations</w:t>
            </w: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14,166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12,121</w:t>
            </w:r>
          </w:p>
        </w:tc>
      </w:tr>
      <w:tr>
        <w:trPr>
          <w:trHeight w:val="405"/>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Rent abatements in lieu of leasehold improvements,</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of tenant improvements retired</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w:t>
            </w:r>
          </w:p>
        </w:tc>
      </w:tr>
      <w:tr>
        <w:trPr>
          <w:trHeight w:val="405"/>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Imputed interest and amortization of debt cost</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297</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273</w:t>
            </w: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Amortization of deferred compensation and</w:t>
            </w:r>
          </w:p>
        </w:tc>
        <w:tc>
          <w:tcPr>
            <w:tcW w:w="2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forgiveness of officers' notes</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w:t>
            </w:r>
          </w:p>
        </w:tc>
      </w:tr>
      <w:tr>
        <w:trPr>
          <w:trHeight w:val="405"/>
        </w:trPr>
        <w:tc>
          <w:tcPr>
            <w:tcW w:w="6280" w:type="dxa"/>
            <w:vAlign w:val="bottom"/>
          </w:tcPr>
          <w:p>
            <w:pPr>
              <w:ind w:left="540"/>
              <w:spacing w:after="0"/>
              <w:rPr>
                <w:sz w:val="20"/>
                <w:szCs w:val="20"/>
                <w:color w:val="auto"/>
              </w:rPr>
            </w:pPr>
            <w:r>
              <w:rPr>
                <w:rFonts w:ascii="Courier New" w:cs="Courier New" w:eastAsia="Courier New" w:hAnsi="Courier New"/>
                <w:sz w:val="18"/>
                <w:szCs w:val="18"/>
                <w:color w:val="auto"/>
              </w:rPr>
              <w:t>Payment of trustees' fees in shares of beneficial</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608"/>
        </w:trPr>
        <w:tc>
          <w:tcPr>
            <w:tcW w:w="6280" w:type="dxa"/>
            <w:vAlign w:val="bottom"/>
          </w:tcPr>
          <w:p>
            <w:pPr>
              <w:ind w:left="4960"/>
              <w:spacing w:after="0"/>
              <w:rPr>
                <w:sz w:val="20"/>
                <w:szCs w:val="20"/>
                <w:color w:val="auto"/>
              </w:rPr>
            </w:pPr>
            <w:r>
              <w:rPr>
                <w:rFonts w:ascii="Courier New" w:cs="Courier New" w:eastAsia="Courier New" w:hAnsi="Courier New"/>
                <w:sz w:val="18"/>
                <w:szCs w:val="18"/>
                <w:color w:val="auto"/>
              </w:rPr>
              <w:t>19</w:t>
            </w:r>
          </w:p>
        </w:tc>
        <w:tc>
          <w:tcPr>
            <w:tcW w:w="21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020"/>
          </w:cols>
          <w:pgMar w:left="660" w:top="1122" w:right="121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ind w:left="540"/>
              <w:spacing w:after="0"/>
              <w:rPr>
                <w:sz w:val="20"/>
                <w:szCs w:val="20"/>
                <w:color w:val="auto"/>
              </w:rPr>
            </w:pPr>
            <w:r>
              <w:rPr>
                <w:rFonts w:ascii="Courier New" w:cs="Courier New" w:eastAsia="Courier New" w:hAnsi="Courier New"/>
                <w:sz w:val="18"/>
                <w:szCs w:val="18"/>
                <w:color w:val="auto"/>
              </w:rPr>
              <w:t>Net loss on early extinguishment of debt</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1,027</w:t>
            </w: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Changes in assets and liabilities</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(Increase) decrease in accounts receivable</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400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(2,493)</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prepaid expenses and other assets before</w:t>
            </w: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w:t>
            </w: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(Decrease) increase in operating accounts payable,</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security deposits and prepaid rent</w:t>
            </w: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700" w:type="dxa"/>
            <w:vAlign w:val="bottom"/>
          </w:tcPr>
          <w:p>
            <w:pPr>
              <w:spacing w:after="0"/>
              <w:rPr>
                <w:sz w:val="17"/>
                <w:szCs w:val="17"/>
                <w:color w:val="auto"/>
              </w:rPr>
            </w:pP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(822)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1,141</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 accrued expenses, net of the premium put on</w:t>
            </w: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5 1/4% convertible subordinated debentures</w:t>
            </w:r>
          </w:p>
        </w:tc>
        <w:tc>
          <w:tcPr>
            <w:tcW w:w="1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700" w:type="dxa"/>
            <w:vAlign w:val="bottom"/>
          </w:tcPr>
          <w:p>
            <w:pPr>
              <w:spacing w:after="0"/>
              <w:rPr>
                <w:sz w:val="17"/>
                <w:szCs w:val="17"/>
                <w:color w:val="auto"/>
              </w:rPr>
            </w:pP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(2,014)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(1,566)</w:t>
            </w:r>
          </w:p>
        </w:tc>
      </w:tr>
      <w:tr>
        <w:trPr>
          <w:trHeight w:val="405"/>
        </w:trPr>
        <w:tc>
          <w:tcPr>
            <w:tcW w:w="6700" w:type="dxa"/>
            <w:vAlign w:val="bottom"/>
          </w:tcPr>
          <w:p>
            <w:pPr>
              <w:spacing w:after="0"/>
              <w:rPr>
                <w:sz w:val="24"/>
                <w:szCs w:val="24"/>
                <w:color w:val="auto"/>
              </w:rPr>
            </w:pP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9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20,863</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15,130</w:t>
            </w:r>
          </w:p>
        </w:tc>
      </w:tr>
      <w:tr>
        <w:trPr>
          <w:trHeight w:val="810"/>
        </w:trPr>
        <w:tc>
          <w:tcPr>
            <w:tcW w:w="670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Acquisition of real estate</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(26,334)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(43,491)</w:t>
            </w: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(17,132)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(14,213)</w:t>
            </w: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Net decrease (increase)in notes receivable</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(4,566)</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w:t>
            </w: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Net decrease in temporary investments</w:t>
            </w:r>
          </w:p>
        </w:tc>
        <w:tc>
          <w:tcPr>
            <w:tcW w:w="19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190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30,418</w:t>
            </w:r>
          </w:p>
        </w:tc>
      </w:tr>
      <w:tr>
        <w:trPr>
          <w:trHeight w:val="203"/>
        </w:trPr>
        <w:tc>
          <w:tcPr>
            <w:tcW w:w="6700" w:type="dxa"/>
            <w:vAlign w:val="bottom"/>
          </w:tcPr>
          <w:p>
            <w:pPr>
              <w:spacing w:after="0"/>
              <w:rPr>
                <w:sz w:val="17"/>
                <w:szCs w:val="17"/>
                <w:color w:val="auto"/>
              </w:rPr>
            </w:pP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ind w:left="320"/>
              <w:spacing w:after="0"/>
              <w:rPr>
                <w:sz w:val="20"/>
                <w:szCs w:val="20"/>
                <w:color w:val="auto"/>
              </w:rPr>
            </w:pPr>
            <w:r>
              <w:rPr>
                <w:rFonts w:ascii="Courier New" w:cs="Courier New" w:eastAsia="Courier New" w:hAnsi="Courier New"/>
                <w:sz w:val="18"/>
                <w:szCs w:val="18"/>
                <w:color w:val="auto"/>
              </w:rPr>
              <w:t>Net cash used in investing activities</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(47,842)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(27,265)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020"/>
          </w:cols>
          <w:pgMar w:left="660" w:top="514" w:right="12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680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Regular payments on mortgages, capital leases, and notes</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payable</w:t>
            </w:r>
          </w:p>
        </w:tc>
        <w:tc>
          <w:tcPr>
            <w:tcW w:w="18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80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(1,018)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(1,106)</w:t>
            </w: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Balloon payments on mortgages, including prepayment fees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(10,046)</w:t>
            </w: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Proceeds of mortgage financings, net of costs</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22,500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Repayments of short-term debt, net</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(6,913)</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Redemption of 8 3/4% convertible debentures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Redemption of senior notes</w:t>
            </w:r>
          </w:p>
        </w:tc>
        <w:tc>
          <w:tcPr>
            <w:tcW w:w="18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(50,505)</w:t>
            </w: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Redemption of  5 1/4% convertible subordinated debentures</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including premium put</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(47,790)</w:t>
            </w:r>
          </w:p>
        </w:tc>
        <w:tc>
          <w:tcPr>
            <w:tcW w:w="1380" w:type="dxa"/>
            <w:vAlign w:val="bottom"/>
          </w:tcPr>
          <w:p>
            <w:pPr>
              <w:spacing w:after="0"/>
              <w:rPr>
                <w:sz w:val="17"/>
                <w:szCs w:val="17"/>
                <w:color w:val="auto"/>
              </w:rPr>
            </w:pP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Dividends paid</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(20,574)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(17,877)</w:t>
            </w: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Issuance of shares of beneficial interest</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83,577</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73,582</w:t>
            </w:r>
          </w:p>
        </w:tc>
      </w:tr>
      <w:tr>
        <w:trPr>
          <w:trHeight w:val="405"/>
        </w:trPr>
        <w:tc>
          <w:tcPr>
            <w:tcW w:w="6800" w:type="dxa"/>
            <w:vAlign w:val="bottom"/>
          </w:tcPr>
          <w:p>
            <w:pPr>
              <w:ind w:left="320"/>
              <w:spacing w:after="0"/>
              <w:rPr>
                <w:sz w:val="20"/>
                <w:szCs w:val="20"/>
                <w:color w:val="auto"/>
              </w:rPr>
            </w:pPr>
            <w:r>
              <w:rPr>
                <w:rFonts w:ascii="Courier New" w:cs="Courier New" w:eastAsia="Courier New" w:hAnsi="Courier New"/>
                <w:sz w:val="18"/>
                <w:szCs w:val="18"/>
                <w:color w:val="auto"/>
              </w:rPr>
              <w:t>Increase in minority interest</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24</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w:t>
            </w:r>
          </w:p>
        </w:tc>
      </w:tr>
      <w:tr>
        <w:trPr>
          <w:trHeight w:val="405"/>
        </w:trPr>
        <w:tc>
          <w:tcPr>
            <w:tcW w:w="6800" w:type="dxa"/>
            <w:vAlign w:val="bottom"/>
          </w:tcPr>
          <w:p>
            <w:pPr>
              <w:spacing w:after="0"/>
              <w:rPr>
                <w:sz w:val="24"/>
                <w:szCs w:val="24"/>
                <w:color w:val="auto"/>
              </w:rPr>
            </w:pP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cash provided by (used in) financing activities</w:t>
            </w:r>
          </w:p>
        </w:tc>
        <w:tc>
          <w:tcPr>
            <w:tcW w:w="18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29,806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(6,045)</w:t>
            </w:r>
          </w:p>
        </w:tc>
      </w:tr>
      <w:tr>
        <w:trPr>
          <w:trHeight w:val="405"/>
        </w:trPr>
        <w:tc>
          <w:tcPr>
            <w:tcW w:w="6800" w:type="dxa"/>
            <w:vAlign w:val="bottom"/>
          </w:tcPr>
          <w:p>
            <w:pPr>
              <w:spacing w:after="0"/>
              <w:rPr>
                <w:sz w:val="24"/>
                <w:szCs w:val="24"/>
                <w:color w:val="auto"/>
              </w:rPr>
            </w:pP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608"/>
        </w:trPr>
        <w:tc>
          <w:tcPr>
            <w:tcW w:w="6800" w:type="dxa"/>
            <w:vAlign w:val="bottom"/>
          </w:tcPr>
          <w:p>
            <w:pPr>
              <w:spacing w:after="0"/>
              <w:rPr>
                <w:sz w:val="20"/>
                <w:szCs w:val="20"/>
                <w:color w:val="auto"/>
              </w:rPr>
            </w:pPr>
            <w:r>
              <w:rPr>
                <w:rFonts w:ascii="Courier New" w:cs="Courier New" w:eastAsia="Courier New" w:hAnsi="Courier New"/>
                <w:sz w:val="18"/>
                <w:szCs w:val="18"/>
                <w:color w:val="auto"/>
              </w:rPr>
              <w:t>Increase (decrease) in cash</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2,827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(18,180)</w:t>
            </w:r>
          </w:p>
        </w:tc>
      </w:tr>
      <w:tr>
        <w:trPr>
          <w:trHeight w:val="810"/>
        </w:trPr>
        <w:tc>
          <w:tcPr>
            <w:tcW w:w="6800" w:type="dxa"/>
            <w:vAlign w:val="bottom"/>
          </w:tcPr>
          <w:p>
            <w:pPr>
              <w:spacing w:after="0"/>
              <w:rPr>
                <w:sz w:val="20"/>
                <w:szCs w:val="20"/>
                <w:color w:val="auto"/>
              </w:rPr>
            </w:pPr>
            <w:r>
              <w:rPr>
                <w:rFonts w:ascii="Courier New" w:cs="Courier New" w:eastAsia="Courier New" w:hAnsi="Courier New"/>
                <w:sz w:val="18"/>
                <w:szCs w:val="18"/>
                <w:color w:val="auto"/>
              </w:rPr>
              <w:t>Cash at beginning of period</w:t>
            </w:r>
          </w:p>
        </w:tc>
        <w:tc>
          <w:tcPr>
            <w:tcW w:w="18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9,635</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36,316</w:t>
            </w:r>
          </w:p>
        </w:tc>
      </w:tr>
      <w:tr>
        <w:trPr>
          <w:trHeight w:val="203"/>
        </w:trPr>
        <w:tc>
          <w:tcPr>
            <w:tcW w:w="680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1013"/>
        </w:trPr>
        <w:tc>
          <w:tcPr>
            <w:tcW w:w="6800" w:type="dxa"/>
            <w:vAlign w:val="bottom"/>
          </w:tcPr>
          <w:p>
            <w:pPr>
              <w:ind w:left="4960"/>
              <w:spacing w:after="0"/>
              <w:rPr>
                <w:sz w:val="20"/>
                <w:szCs w:val="20"/>
                <w:color w:val="auto"/>
              </w:rPr>
            </w:pPr>
            <w:r>
              <w:rPr>
                <w:rFonts w:ascii="Courier New" w:cs="Courier New" w:eastAsia="Courier New" w:hAnsi="Courier New"/>
                <w:sz w:val="18"/>
                <w:szCs w:val="18"/>
                <w:color w:val="auto"/>
              </w:rPr>
              <w:t>21</w:t>
            </w:r>
          </w:p>
        </w:tc>
        <w:tc>
          <w:tcPr>
            <w:tcW w:w="18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020"/>
          </w:cols>
          <w:pgMar w:left="660" w:top="514" w:right="1219"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Cash at end of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$12,462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$18,136</w:t>
      </w:r>
    </w:p>
    <w:p>
      <w:pPr>
        <w:spacing w:after="0" w:line="200" w:lineRule="exact"/>
        <w:rPr>
          <w:sz w:val="20"/>
          <w:szCs w:val="20"/>
          <w:color w:val="auto"/>
        </w:rPr>
      </w:pPr>
    </w:p>
    <w:p>
      <w:pPr>
        <w:sectPr>
          <w:pgSz w:w="11900" w:h="16838" w:orient="portrait"/>
          <w:cols w:equalWidth="0" w:num="3">
            <w:col w:w="6560" w:space="720"/>
            <w:col w:w="1180" w:space="720"/>
            <w:col w:w="840"/>
          </w:cols>
          <w:pgMar w:left="660" w:top="520" w:right="1219" w:bottom="1440" w:gutter="0" w:footer="0" w:header="0"/>
        </w:sectPr>
      </w:pPr>
    </w:p>
    <w:p>
      <w:pPr>
        <w:spacing w:after="0" w:line="2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460" w:space="720"/>
            <w:col w:w="840"/>
          </w:cols>
          <w:pgMar w:left="660" w:top="520" w:right="121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ectPr>
          <w:pgSz w:w="11900" w:h="16838" w:orient="portrait"/>
          <w:cols w:equalWidth="0" w:num="1">
            <w:col w:w="10020"/>
          </w:cols>
          <w:pgMar w:left="660" w:top="520"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020"/>
          </w:cols>
          <w:pgMar w:left="660" w:top="520" w:right="121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5380" w:type="dxa"/>
            <w:vAlign w:val="bottom"/>
          </w:tcPr>
          <w:p>
            <w:pPr>
              <w:ind w:left="100"/>
              <w:spacing w:after="0"/>
              <w:rPr>
                <w:sz w:val="20"/>
                <w:szCs w:val="20"/>
                <w:color w:val="auto"/>
              </w:rPr>
            </w:pPr>
            <w:r>
              <w:rPr>
                <w:rFonts w:ascii="Courier New" w:cs="Courier New" w:eastAsia="Courier New" w:hAnsi="Courier New"/>
                <w:sz w:val="18"/>
                <w:szCs w:val="18"/>
                <w:color w:val="auto"/>
              </w:rPr>
              <w:t>Federal Realty Investment Trust</w:t>
            </w:r>
          </w:p>
        </w:tc>
      </w:tr>
      <w:tr>
        <w:trPr>
          <w:trHeight w:val="405"/>
        </w:trPr>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NOTES</w:t>
            </w:r>
          </w:p>
        </w:tc>
        <w:tc>
          <w:tcPr>
            <w:tcW w:w="5380" w:type="dxa"/>
            <w:vAlign w:val="bottom"/>
          </w:tcPr>
          <w:p>
            <w:pPr>
              <w:ind w:left="100"/>
              <w:spacing w:after="0"/>
              <w:rPr>
                <w:sz w:val="20"/>
                <w:szCs w:val="20"/>
                <w:color w:val="auto"/>
              </w:rPr>
            </w:pPr>
            <w:r>
              <w:rPr>
                <w:rFonts w:ascii="Courier New" w:cs="Courier New" w:eastAsia="Courier New" w:hAnsi="Courier New"/>
                <w:sz w:val="18"/>
                <w:szCs w:val="18"/>
                <w:color w:val="auto"/>
              </w:rPr>
              <w:t>TO CONSOLIDATED FINANCIAL STATEMENTS</w:t>
            </w:r>
          </w:p>
        </w:tc>
      </w:tr>
      <w:tr>
        <w:trPr>
          <w:trHeight w:val="405"/>
        </w:trPr>
        <w:tc>
          <w:tcPr>
            <w:tcW w:w="2320" w:type="dxa"/>
            <w:vAlign w:val="bottom"/>
          </w:tcPr>
          <w:p>
            <w:pPr>
              <w:spacing w:after="0"/>
              <w:rPr>
                <w:sz w:val="24"/>
                <w:szCs w:val="24"/>
                <w:color w:val="auto"/>
              </w:rPr>
            </w:pPr>
          </w:p>
        </w:tc>
        <w:tc>
          <w:tcPr>
            <w:tcW w:w="5380" w:type="dxa"/>
            <w:vAlign w:val="bottom"/>
          </w:tcPr>
          <w:p>
            <w:pPr>
              <w:ind w:left="1060"/>
              <w:spacing w:after="0"/>
              <w:rPr>
                <w:sz w:val="20"/>
                <w:szCs w:val="20"/>
                <w:color w:val="auto"/>
              </w:rPr>
            </w:pPr>
            <w:r>
              <w:rPr>
                <w:rFonts w:ascii="Courier New" w:cs="Courier New" w:eastAsia="Courier New" w:hAnsi="Courier New"/>
                <w:sz w:val="18"/>
                <w:szCs w:val="18"/>
                <w:color w:val="auto"/>
              </w:rPr>
              <w:t>June 30, 1994</w:t>
            </w:r>
          </w:p>
        </w:tc>
      </w:tr>
      <w:tr>
        <w:trPr>
          <w:trHeight w:val="203"/>
        </w:trPr>
        <w:tc>
          <w:tcPr>
            <w:tcW w:w="2320" w:type="dxa"/>
            <w:vAlign w:val="bottom"/>
          </w:tcPr>
          <w:p>
            <w:pPr>
              <w:spacing w:after="0"/>
              <w:rPr>
                <w:sz w:val="17"/>
                <w:szCs w:val="17"/>
                <w:color w:val="auto"/>
              </w:rPr>
            </w:pP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(see accountants' review report)</w:t>
            </w:r>
          </w:p>
        </w:tc>
      </w:tr>
      <w:tr>
        <w:trPr>
          <w:trHeight w:val="203"/>
        </w:trPr>
        <w:tc>
          <w:tcPr>
            <w:tcW w:w="2320" w:type="dxa"/>
            <w:vAlign w:val="bottom"/>
          </w:tcPr>
          <w:p>
            <w:pPr>
              <w:spacing w:after="0"/>
              <w:rPr>
                <w:sz w:val="17"/>
                <w:szCs w:val="17"/>
                <w:color w:val="auto"/>
              </w:rPr>
            </w:pPr>
          </w:p>
        </w:tc>
        <w:tc>
          <w:tcPr>
            <w:tcW w:w="5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608"/>
        </w:trPr>
        <w:tc>
          <w:tcPr>
            <w:tcW w:w="7700" w:type="dxa"/>
            <w:vAlign w:val="bottom"/>
            <w:gridSpan w:val="2"/>
          </w:tcPr>
          <w:p>
            <w:pPr>
              <w:spacing w:after="0"/>
              <w:rPr>
                <w:sz w:val="20"/>
                <w:szCs w:val="20"/>
                <w:color w:val="auto"/>
              </w:rPr>
            </w:pPr>
            <w:r>
              <w:rPr>
                <w:rFonts w:ascii="Courier New" w:cs="Courier New" w:eastAsia="Courier New" w:hAnsi="Courier New"/>
                <w:sz w:val="18"/>
                <w:szCs w:val="18"/>
                <w:color w:val="auto"/>
              </w:rPr>
              <w:t>NOTE A - ACCOUNTING POLICIES AND OTHER DATA</w:t>
            </w:r>
          </w:p>
        </w:tc>
      </w:tr>
      <w:tr>
        <w:trPr>
          <w:trHeight w:val="405"/>
        </w:trPr>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Reference should be</w:t>
            </w:r>
          </w:p>
        </w:tc>
        <w:tc>
          <w:tcPr>
            <w:tcW w:w="5380" w:type="dxa"/>
            <w:vAlign w:val="bottom"/>
          </w:tcPr>
          <w:p>
            <w:pPr>
              <w:ind w:left="100"/>
              <w:spacing w:after="0"/>
              <w:rPr>
                <w:sz w:val="20"/>
                <w:szCs w:val="20"/>
                <w:color w:val="auto"/>
              </w:rPr>
            </w:pPr>
            <w:r>
              <w:rPr>
                <w:rFonts w:ascii="Courier New" w:cs="Courier New" w:eastAsia="Courier New" w:hAnsi="Courier New"/>
                <w:sz w:val="18"/>
                <w:szCs w:val="18"/>
                <w:color w:val="auto"/>
              </w:rPr>
              <w:t>made to the notes to financial statements</w:t>
            </w: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included in the Annual</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Report to shareholders for the year ended December</w:t>
            </w:r>
          </w:p>
        </w:tc>
      </w:tr>
      <w:tr>
        <w:trPr>
          <w:trHeight w:val="203"/>
        </w:trPr>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31, 1993 which contain</w:t>
            </w:r>
          </w:p>
        </w:tc>
        <w:tc>
          <w:tcPr>
            <w:tcW w:w="5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Trust's accounting policies and other data.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DIVIDENDS PAYABLE</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On June 2, 1994 the Trustees declared a cash dividend of $.39 per share, payable July 15, 1994 to shareholders of record June 26,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REAL ESTATE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On April 15, 1994 the Trust purchased Idylwood Plaza in Fairfax, Virginia for a cash price of $14.3 million. On April 29, 1994 the Trust purchased North Lake Commons Shopping Center in Lake Zurich, Illinois for a cash price of $10.8 million. A parcel of land with a grocery store adjoining the Trust's Bala Cynwyd Shopping Center was also purchased on April 29, for a cash price of $990,000.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MORTGAGE NOTES RECEIVABLE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On March 1, 1994 the Trust loaned $4.4 million to the lessor of Bethesda Row. The note, which bears interest at 10.625%, is due in September, 1994 and is secured by a portion of Bethesda Row, the leasehold interest in which was acquired by the Trust in December 1993.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51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NOTE E - MORTGAGES PAYABLE</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On January 31, 1994 the Trust placed with a bank a $22.5 million mortgage on Northeast Plaza in Atlanta, Georgia. The mortgage, which matures on January 31, 1995, originally bore interest at 150 basis points over LIBOR (London Interbank Offered Rate). The interest rate was reduced to 100 basis points over LIBOR as of April 7, 1994 provided that the Trust does not draw over $15.0 million on its $20.0 million line of credit with the bank.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F - NOTES PAYABLE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February 1994 the Trust obtained a $15.0 million revolving credit facility with a bank, bringing the Trust's total availability of revolving credit facilities to $85.0 million. All four facilities require fees and have covenants requiring a minimum shareholders' equity and a maximum ratio of debt to net worth. At June 30, 1994 there was $17.5 million outstanding on these facilities. The average weighted interest rate on borrowings as of June 30, 1994 was 4.6%. The maximum amount borrowed under these facilities during the first six months of 1994 was $33.5 million.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G - 5 1/4% CONVERTIBLE SUBORDINATED DEBENTURES DUE 2002</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On April 30, 1994 $39.8 million of the Trust's 5 1/4% convertible subordinated debentures due 2002 were redeemed at a redemption price equal to 120% of their principal amount or $47.8 million. A principal amount of $53,000 of these debentures were converted into 1,729 shares. There is $289,000 left outstanding of this issue.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H - SHAREHOLDERS' EQUITY</w:t>
      </w:r>
    </w:p>
    <w:p>
      <w:pPr>
        <w:spacing w:after="0" w:line="207" w:lineRule="exact"/>
        <w:rPr>
          <w:sz w:val="20"/>
          <w:szCs w:val="20"/>
          <w:color w:val="auto"/>
        </w:rPr>
      </w:pPr>
    </w:p>
    <w:p>
      <w:pPr>
        <w:ind w:right="2419" w:firstLine="316"/>
        <w:spacing w:after="0" w:line="275" w:lineRule="auto"/>
        <w:rPr>
          <w:sz w:val="20"/>
          <w:szCs w:val="20"/>
          <w:color w:val="auto"/>
        </w:rPr>
      </w:pPr>
      <w:r>
        <w:rPr>
          <w:rFonts w:ascii="Courier New" w:cs="Courier New" w:eastAsia="Courier New" w:hAnsi="Courier New"/>
          <w:sz w:val="16"/>
          <w:szCs w:val="16"/>
          <w:color w:val="auto"/>
        </w:rPr>
        <w:t>On April 5, 1994 the Trust sold 840,000 shares at $25.875 to an institutional investor, raising net proceeds of $21.7 million. In a concurrent public offering, on April 6, 1994 the Trust sold 2.5 million shares at $26 per share, raising net proceeds of $61.3 million.</w:t>
      </w:r>
    </w:p>
    <w:p>
      <w:pPr>
        <w:spacing w:after="0" w:line="182" w:lineRule="exact"/>
        <w:rPr>
          <w:sz w:val="20"/>
          <w:szCs w:val="20"/>
          <w:color w:val="auto"/>
        </w:rPr>
      </w:pPr>
    </w:p>
    <w:p>
      <w:pPr>
        <w:ind w:right="1879" w:firstLine="316"/>
        <w:spacing w:after="0" w:line="290" w:lineRule="auto"/>
        <w:rPr>
          <w:sz w:val="20"/>
          <w:szCs w:val="20"/>
          <w:color w:val="auto"/>
        </w:rPr>
      </w:pPr>
      <w:r>
        <w:rPr>
          <w:rFonts w:ascii="Courier New" w:cs="Courier New" w:eastAsia="Courier New" w:hAnsi="Courier New"/>
          <w:sz w:val="16"/>
          <w:szCs w:val="16"/>
          <w:color w:val="auto"/>
        </w:rPr>
        <w:t>On January 1, 1994 under the terms of the 1993 Long-Term Incentive Plan, an officer of the Trust purchased 40,000 common shares at $25 per share with</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899"/>
          </w:cols>
          <w:pgMar w:left="560" w:top="514" w:right="1440" w:bottom="1440" w:gutter="0" w:footer="0" w:header="0"/>
        </w:sectPr>
      </w:pPr>
    </w:p>
    <w:bookmarkStart w:id="24" w:name="page25"/>
    <w:bookmarkEnd w:id="24"/>
    <w:p>
      <w:pPr>
        <w:ind w:right="1879"/>
        <w:spacing w:after="0" w:line="237" w:lineRule="auto"/>
        <w:rPr>
          <w:sz w:val="20"/>
          <w:szCs w:val="20"/>
          <w:color w:val="auto"/>
        </w:rPr>
      </w:pPr>
      <w:r>
        <w:rPr>
          <w:rFonts w:ascii="Courier New" w:cs="Courier New" w:eastAsia="Courier New" w:hAnsi="Courier New"/>
          <w:sz w:val="18"/>
          <w:szCs w:val="18"/>
          <w:color w:val="auto"/>
        </w:rPr>
        <w:t>the assistance of a $1.0 million loan from the Trust. The loan, which has a term of 12 years, bears interest at 6.24%. One-sixteenth of the loan will be forgiven on January 31, 1995. Forgiveness of the remainder of the loan is subject to the future performance of the Trust.</w:t>
      </w:r>
    </w:p>
    <w:p>
      <w:pPr>
        <w:spacing w:after="0" w:line="207" w:lineRule="exact"/>
        <w:rPr>
          <w:sz w:val="20"/>
          <w:szCs w:val="20"/>
          <w:color w:val="auto"/>
        </w:rPr>
      </w:pPr>
    </w:p>
    <w:p>
      <w:pPr>
        <w:jc w:val="both"/>
        <w:ind w:right="1999" w:firstLine="316"/>
        <w:spacing w:after="0" w:line="275" w:lineRule="auto"/>
        <w:rPr>
          <w:sz w:val="20"/>
          <w:szCs w:val="20"/>
          <w:color w:val="auto"/>
        </w:rPr>
      </w:pPr>
      <w:r>
        <w:rPr>
          <w:rFonts w:ascii="Courier New" w:cs="Courier New" w:eastAsia="Courier New" w:hAnsi="Courier New"/>
          <w:sz w:val="16"/>
          <w:szCs w:val="16"/>
          <w:color w:val="auto"/>
        </w:rPr>
        <w:t>During the first six months of 1994, 18,716 shares were issued at prices ranging from $20.50 a share to $22.63 a share as the result of the exercise of stock options. The Trust accepted notes from its officers and employees of $341,000 in connection with the issuance of certain of these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I - INTEREST EXPENSE</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The Trust incurred interest expense totaling $15.9 million during the first six months of 1994 and $16.3 million during the first six months of 1993, of which $76,000 and $109,000, respectively, were capitalized. Interest paid was $24.8 million in the first six months of 1994 and $17.7 million in the first six months of 1993.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J - COMMITMENTS AND CONTINGENCIES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recently ruled that the dividends paid deduction was allowable.</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Trust's non real estate investments consist of $401,000 of marketable equity securities, at market, and $3.3 million of Olympia and York Senior First Mortgage Notes. The Olympia &amp; York notes were written down in 1992 to management's best estimate of their net realizable value.</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North Carolina Department of the Environment, Health and Natural Resources ("DEHNR") issued a Notice of Violation ("NOV") against a drycleaner tenant at Eastgate Shopping Center in Chapel Hill, North Carolina</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899"/>
          </w:cols>
          <w:pgMar w:left="560" w:top="520"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w w:val="97"/>
              </w:rPr>
              <w:t>concerning a  spill at the shopping</w:t>
            </w:r>
          </w:p>
        </w:tc>
        <w:tc>
          <w:tcPr>
            <w:tcW w:w="880" w:type="dxa"/>
            <w:vAlign w:val="bottom"/>
          </w:tcPr>
          <w:p>
            <w:pPr>
              <w:ind w:left="100"/>
              <w:spacing w:after="0"/>
              <w:rPr>
                <w:sz w:val="20"/>
                <w:szCs w:val="20"/>
                <w:color w:val="auto"/>
              </w:rPr>
            </w:pPr>
            <w:r>
              <w:rPr>
                <w:rFonts w:ascii="Courier New" w:cs="Courier New" w:eastAsia="Courier New" w:hAnsi="Courier New"/>
                <w:sz w:val="18"/>
                <w:szCs w:val="18"/>
                <w:color w:val="auto"/>
              </w:rPr>
              <w:t>center.</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owner</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the shopping</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center, the Trust was named in and</w:t>
            </w:r>
          </w:p>
        </w:tc>
        <w:tc>
          <w:tcPr>
            <w:tcW w:w="1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received a copy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NOV.  Estimates to</w:t>
            </w:r>
          </w:p>
        </w:tc>
      </w:tr>
      <w:tr>
        <w:trPr>
          <w:trHeight w:val="203"/>
        </w:trPr>
        <w:tc>
          <w:tcPr>
            <w:tcW w:w="5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remediate the spill range from $300,000 to $500,000.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has entered</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into an agreement with two previous</w:t>
            </w:r>
          </w:p>
        </w:tc>
        <w:tc>
          <w:tcPr>
            <w:tcW w:w="43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owners of the shopping center to share</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costs to assess and remediate.</w:t>
            </w: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1993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0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Trust recorded a liability</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$120,000 as its estimated share</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of the clean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up costs.</w:t>
            </w:r>
          </w:p>
        </w:tc>
        <w:tc>
          <w:tcPr>
            <w:tcW w:w="1960" w:type="dxa"/>
            <w:vAlign w:val="bottom"/>
          </w:tcPr>
          <w:p>
            <w:pPr>
              <w:spacing w:after="0"/>
              <w:rPr>
                <w:sz w:val="17"/>
                <w:szCs w:val="17"/>
                <w:color w:val="auto"/>
              </w:rPr>
            </w:pPr>
          </w:p>
        </w:tc>
      </w:tr>
    </w:tbl>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Virginia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21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211"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At June 30, 1994 in connection with certain redevelopment projects, the Trust is contractually obligated on contracts of approximately $9.8 million. At June 30, 1994 the Trust is also contractually obligated under leases with tenants to provide approximately $9.3 million for improvements.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K - COMPONENTS OF RENTAL INCOME</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components of rental income for the six months ended June 30 are as follows:</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899"/>
          </w:cols>
          <w:pgMar w:left="560" w:top="514"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3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1994</w:t>
            </w:r>
          </w:p>
        </w:tc>
        <w:tc>
          <w:tcPr>
            <w:tcW w:w="15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580" w:type="dxa"/>
            <w:vAlign w:val="bottom"/>
          </w:tcPr>
          <w:p>
            <w:pPr>
              <w:spacing w:after="0"/>
              <w:rPr>
                <w:sz w:val="17"/>
                <w:szCs w:val="17"/>
                <w:color w:val="auto"/>
              </w:rPr>
            </w:pPr>
          </w:p>
        </w:tc>
        <w:tc>
          <w:tcPr>
            <w:tcW w:w="2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c>
          <w:tcPr>
            <w:tcW w:w="15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Shopping Centers</w:t>
            </w:r>
          </w:p>
        </w:tc>
        <w:tc>
          <w:tcPr>
            <w:tcW w:w="23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Minimum rents</w:t>
            </w: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$47,173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$38,939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reimbursements</w:t>
            </w: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10,944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8,181</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Percentage rents</w:t>
            </w: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2,649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2,448</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Apartments</w:t>
            </w: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1,164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w:t>
            </w:r>
          </w:p>
        </w:tc>
      </w:tr>
      <w:tr>
        <w:trPr>
          <w:trHeight w:val="203"/>
        </w:trPr>
        <w:tc>
          <w:tcPr>
            <w:tcW w:w="2580" w:type="dxa"/>
            <w:vAlign w:val="bottom"/>
          </w:tcPr>
          <w:p>
            <w:pPr>
              <w:spacing w:after="0"/>
              <w:rPr>
                <w:sz w:val="17"/>
                <w:szCs w:val="17"/>
                <w:color w:val="auto"/>
              </w:rPr>
            </w:pP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$61,930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$50,725</w:t>
            </w:r>
          </w:p>
        </w:tc>
      </w:tr>
      <w:tr>
        <w:trPr>
          <w:trHeight w:val="203"/>
        </w:trPr>
        <w:tc>
          <w:tcPr>
            <w:tcW w:w="2580" w:type="dxa"/>
            <w:vAlign w:val="bottom"/>
          </w:tcPr>
          <w:p>
            <w:pPr>
              <w:spacing w:after="0"/>
              <w:rPr>
                <w:sz w:val="17"/>
                <w:szCs w:val="17"/>
                <w:color w:val="auto"/>
              </w:rPr>
            </w:pPr>
          </w:p>
        </w:tc>
        <w:tc>
          <w:tcPr>
            <w:tcW w:w="2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L - SUBSEQUENT EVENTS</w:t>
      </w:r>
    </w:p>
    <w:p>
      <w:pPr>
        <w:spacing w:after="0" w:line="20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On July 28, 1994 the Trust purchased the Garden Market Shopping Center in suburban Chicago, Illinois for a cash price of $7.3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899"/>
          </w:cols>
          <w:pgMar w:left="560" w:top="514" w:right="1440" w:bottom="1440" w:gutter="0" w:footer="0" w:header="0"/>
        </w:sectPr>
      </w:pPr>
    </w:p>
    <w:bookmarkStart w:id="27" w:name="page28"/>
    <w:bookmarkEnd w:id="27"/>
    <w:p>
      <w:pPr>
        <w:jc w:val="center"/>
        <w:ind w:right="17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10-Q</w:t>
      </w:r>
    </w:p>
    <w:p>
      <w:pPr>
        <w:jc w:val="center"/>
        <w:ind w:right="1779"/>
        <w:spacing w:after="0"/>
        <w:rPr>
          <w:sz w:val="20"/>
          <w:szCs w:val="20"/>
          <w:color w:val="auto"/>
        </w:rPr>
      </w:pPr>
      <w:r>
        <w:rPr>
          <w:rFonts w:ascii="Courier New" w:cs="Courier New" w:eastAsia="Courier New" w:hAnsi="Courier New"/>
          <w:sz w:val="18"/>
          <w:szCs w:val="18"/>
          <w:color w:val="auto"/>
        </w:rPr>
        <w:t>JUNE 30, 1994</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MANAGEMENT'S DISCUSSION AND ANALYSIS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FINANCIAL CONDITION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88"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During the first six months of 1994, the Trust purchased the 73,405 square foot Idylwood Shopping Center in Fairfax, Virginia, the 121,000 square foot North Lake Commons Shopping Center in suburban Chicago, Illinois and a parcel of land adjacent to the Trust's Bala Cynwyd Shopping Center containing a 36,370 square foot grocery store for a combined cash outlay of $26.3 million. In July 1994 the Trust purchased the 125,747 square foot Garden Market shopping center outside Chicago for a cash price of $7.3 million. During the first six months of 1994 the Trust also spent $17.1 million in improvements to its properties; included in these improvements were $3.2 million, $2.3 million and $1.0 million towards the redevelopment and retenanting of Ellisburg Shopping Center, Congressional Shopping Center and Gaithersburg Square Shopping Center, respectively.</w:t>
      </w:r>
    </w:p>
    <w:p>
      <w:pPr>
        <w:spacing w:after="0" w:line="207"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These acquisitions and renovations were funded by sales of equity and additional borrowings. In April the Trust raised net proceeds of $83.0 million from a public offering of 2.5 million shares and a concurrent private placement of 840,000 shares. In January 1994 the Trust placed a $22.5 million one year mortgage on Northeast Plaza in Atlanta, Georgia. Proceeds from these transactions were also used to redeem $39.8 million of</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899"/>
          </w:cols>
          <w:pgMar w:left="560" w:top="514" w:right="1440" w:bottom="1440" w:gutter="0" w:footer="0" w:header="0"/>
        </w:sectPr>
      </w:pPr>
    </w:p>
    <w:bookmarkStart w:id="28" w:name="page29"/>
    <w:bookmarkEnd w:id="28"/>
    <w:p>
      <w:pPr>
        <w:ind w:right="2739"/>
        <w:spacing w:after="0" w:line="290" w:lineRule="auto"/>
        <w:rPr>
          <w:sz w:val="20"/>
          <w:szCs w:val="20"/>
          <w:color w:val="auto"/>
        </w:rPr>
      </w:pPr>
      <w:r>
        <w:rPr>
          <w:rFonts w:ascii="Courier New" w:cs="Courier New" w:eastAsia="Courier New" w:hAnsi="Courier New"/>
          <w:sz w:val="16"/>
          <w:szCs w:val="16"/>
          <w:color w:val="auto"/>
        </w:rPr>
        <w:t>the Trust's 5 1/4% convertible subordinated debentures due 2002 at a redemption price equal to 120% of their principal or $47.8 million.</w:t>
      </w:r>
    </w:p>
    <w:p>
      <w:pPr>
        <w:spacing w:after="0" w:line="170"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Trust has available $85.0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long-term debt. At June 30, 1994 there was $17.5 million outstanding on these facilities. The average weighted interest rate on borrowings through June 30, 1994 was 4.6%. The maximum amount borrowed under these facilities during the first six months of 1994 was $33.5 million.</w:t>
      </w:r>
    </w:p>
    <w:p>
      <w:pPr>
        <w:spacing w:after="0" w:line="184"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Trust is committed under leases for approximately $9.3 million in tenant work. In addition the Trust has budgeted approximately $16.1 million for the remainder of 1994 for improvements to its properties. Furthermore, the Trust is actively seeking to acquire both existing shopping centers and sites for development of new shopping centers. Accordingly since the Trust has identified certain opportunities for development of new shopping centers, the Trustees have amended the Bylaws to allow the Trust to acquire raw land for the purpose of new development of shopping centers. Management believes that carefully planned development can offer yields that exceed the yields obtainable on the purchase of existing properties, thereby compensating for the additional risk to the Trust. These expenditures will be funded with the revolving credit facilities pending their permanent financing with either equity or debt. The Trust believes that the unencumbered value of its properties and its access to the capital markets, as demonstrated by its past success in raising capital, give it the ability to raise the capital, both debt and equity, needed to fund these activities as well as its longer term growth and debt refinancing needs.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CONTINGENCIES</w:t>
      </w:r>
    </w:p>
    <w:p>
      <w:pPr>
        <w:spacing w:after="0" w:line="207"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899"/>
          </w:cols>
          <w:pgMar w:left="560" w:top="520" w:right="1440" w:bottom="1440" w:gutter="0" w:footer="0" w:header="0"/>
        </w:sectPr>
      </w:pPr>
    </w:p>
    <w:bookmarkStart w:id="29" w:name="page30"/>
    <w:bookmarkEnd w:id="29"/>
    <w:p>
      <w:pPr>
        <w:ind w:right="1999"/>
        <w:spacing w:after="0" w:line="237" w:lineRule="auto"/>
        <w:rPr>
          <w:sz w:val="20"/>
          <w:szCs w:val="20"/>
          <w:color w:val="auto"/>
        </w:rPr>
      </w:pPr>
      <w:r>
        <w:rPr>
          <w:rFonts w:ascii="Courier New" w:cs="Courier New" w:eastAsia="Courier New" w:hAnsi="Courier New"/>
          <w:sz w:val="18"/>
          <w:szCs w:val="18"/>
          <w:color w:val="auto"/>
        </w:rPr>
        <w:t>Trust believes that it is entitled to the deduction. At this time, the outcome of this matter is unknown; however in a case involving another real estate investment trust, the New Jersey tax court recently ruled that the dividends paid deduction was allowable.</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Included in the Trust's non real estate investments of $3.7 million is $3.3 million of Olympia and York Senior First Mortgage Notes. The Olympia and York notes were written down during 1992 to management's best estimate of their net realizable value. Interest income on these notes is not being recorded as revenue, but is being treated as a reduction of principal.</w:t>
      </w:r>
    </w:p>
    <w:p>
      <w:pPr>
        <w:spacing w:after="0" w:line="185"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North Carolina Department of the Environment, Health and Natural Resources ("DEHNR") issued a Notice of Violation ("NOV") against a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3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Virginia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200" w:lineRule="exact"/>
        <w:rPr>
          <w:sz w:val="20"/>
          <w:szCs w:val="20"/>
          <w:color w:val="auto"/>
        </w:rPr>
      </w:pPr>
    </w:p>
    <w:p>
      <w:pPr>
        <w:spacing w:after="0" w:line="219" w:lineRule="exact"/>
        <w:rPr>
          <w:sz w:val="20"/>
          <w:szCs w:val="20"/>
          <w:color w:val="auto"/>
        </w:rPr>
      </w:pPr>
    </w:p>
    <w:p>
      <w:pPr>
        <w:ind w:right="1999" w:firstLine="316"/>
        <w:spacing w:after="0" w:line="279" w:lineRule="auto"/>
        <w:rPr>
          <w:sz w:val="20"/>
          <w:szCs w:val="20"/>
          <w:color w:val="auto"/>
        </w:rPr>
      </w:pPr>
      <w:r>
        <w:rPr>
          <w:rFonts w:ascii="Courier New" w:cs="Courier New" w:eastAsia="Courier New" w:hAnsi="Courier New"/>
          <w:sz w:val="16"/>
          <w:szCs w:val="16"/>
          <w:color w:val="auto"/>
        </w:rPr>
        <w:t>The Trust reserved $2.25 million at closing in 1993 for environmental issues principally associated with Gaithersburg Square Shopping Center. Pursuant to an indemnity agreement entered into with the seller at closing,</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899"/>
          </w:cols>
          <w:pgMar w:left="560" w:top="520" w:right="1440" w:bottom="1440" w:gutter="0" w:footer="0" w:header="0"/>
        </w:sectPr>
      </w:pPr>
    </w:p>
    <w:bookmarkStart w:id="30" w:name="page31"/>
    <w:bookmarkEnd w:id="30"/>
    <w:p>
      <w:pPr>
        <w:ind w:right="2419"/>
        <w:spacing w:after="0" w:line="237" w:lineRule="auto"/>
        <w:rPr>
          <w:sz w:val="20"/>
          <w:szCs w:val="20"/>
          <w:color w:val="auto"/>
        </w:rPr>
      </w:pPr>
      <w:r>
        <w:rPr>
          <w:rFonts w:ascii="Courier New" w:cs="Courier New" w:eastAsia="Courier New" w:hAnsi="Courier New"/>
          <w:sz w:val="18"/>
          <w:szCs w:val="18"/>
          <w:color w:val="auto"/>
        </w:rPr>
        <w:t>the Trust agreed to take certain actions with respect to identified chlorinated solvent contamination. The seller indemnified the Trust of certain third party claims and government requirements related to contamination at adjacent properties.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 OF OPERATIONS - SIX MONTHS ENDED JUNE 30, 1994 AND 1993</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 other factors in setting 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208"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Funds from operations increased 27% to $23.5 million in the first half of 1994 from $18.5 million in the first half of 1993.</w:t>
      </w:r>
    </w:p>
    <w:p>
      <w:pPr>
        <w:spacing w:after="0" w:line="208" w:lineRule="exact"/>
        <w:rPr>
          <w:sz w:val="20"/>
          <w:szCs w:val="20"/>
          <w:color w:val="auto"/>
        </w:rPr>
      </w:pPr>
    </w:p>
    <w:p>
      <w:pPr>
        <w:jc w:val="both"/>
        <w:ind w:right="2099" w:firstLine="316"/>
        <w:spacing w:after="0" w:line="268" w:lineRule="auto"/>
        <w:rPr>
          <w:sz w:val="20"/>
          <w:szCs w:val="20"/>
          <w:color w:val="auto"/>
        </w:rPr>
      </w:pPr>
      <w:r>
        <w:rPr>
          <w:rFonts w:ascii="Courier New" w:cs="Courier New" w:eastAsia="Courier New" w:hAnsi="Courier New"/>
          <w:sz w:val="16"/>
          <w:szCs w:val="16"/>
          <w:color w:val="auto"/>
        </w:rPr>
        <w:t>Rental income, which consists of minimum rent, percentage rent and cost recoveries, increased 22% from $50.7 million in the first half of 1993 to $61.9 million in the first half of 1994. If rental income is adjusted to remove the effect of properties purchased in 1993 and 1994, it increased</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5.2%, despite a $500,000 reduction in rental income at Congressional Plaza, a large part of which has been vacated during its major redevelopment. A major component of this 5.2% increase is cost recoveries, the increase in which is due to recovery of the large increase in snow removal expense during the first quarter of 1994.</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899"/>
          </w:cols>
          <w:pgMar w:left="560" w:top="520" w:right="1440" w:bottom="1440" w:gutter="0" w:footer="0" w:header="0"/>
        </w:sectPr>
      </w:pPr>
    </w:p>
    <w:bookmarkStart w:id="31" w:name="page32"/>
    <w:bookmarkEnd w:id="31"/>
    <w:p>
      <w:pPr>
        <w:ind w:right="1999" w:firstLine="316"/>
        <w:spacing w:after="0" w:line="237" w:lineRule="auto"/>
        <w:rPr>
          <w:sz w:val="20"/>
          <w:szCs w:val="20"/>
          <w:color w:val="auto"/>
        </w:rPr>
      </w:pPr>
      <w:r>
        <w:rPr>
          <w:rFonts w:ascii="Courier New" w:cs="Courier New" w:eastAsia="Courier New" w:hAnsi="Courier New"/>
          <w:sz w:val="18"/>
          <w:szCs w:val="18"/>
          <w:color w:val="auto"/>
        </w:rPr>
        <w:t>Other income which includes items which tend to fluctuate from period to period, such as utility reimbursements, telephone income, merchant association dues, lease termination fees, late fees and temporary tenant income, has increased from $2.3 million in 1993 to $2.5 million in 1994 because of the 1993 and 1994 acquisitions.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Rental expenses have increased from $12.7 million in the first half of 1993 to $17.9 million in the first half of 1994. This increase results primarily from new acquisitions and from an increase of over $1.5 million in snow removal expenses during the winter of 1994. Real estate taxes have increased because of the 1993 and 1994 acquisitions. Depreciation and amortization charges increased because of the 1993 acquisitions but also because of depreciation on recent tenant work and property improvements. Administrative expenses are increasing as the Trust grows and as it seeks new acquisition and development opportunities. A major component of the increase in 1994 over 1993 is the write off of costs connected with acquisition projects that will not be purchased.</w:t>
      </w:r>
    </w:p>
    <w:p>
      <w:pPr>
        <w:spacing w:after="0" w:line="200" w:lineRule="exact"/>
        <w:rPr>
          <w:sz w:val="20"/>
          <w:szCs w:val="20"/>
          <w:color w:val="auto"/>
        </w:rPr>
      </w:pPr>
    </w:p>
    <w:p>
      <w:pPr>
        <w:spacing w:after="0" w:line="21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Interest expense has decreased from $16.2 million during the first six months of 1993 to $15.8 million during the comparable period of 1994. Decreases in interest expense resulting from the repayment of several mortgages and the senior notes in 1993 and the redemption on April 30, 1994 of the 5 1/4% convertible debentures due 2002 are mostly offset by increases in interest because of the issuance of the 5 1/4% convertible subordinated debentures due 2003, because of the interest portion of the capital lease payment on Bethesda Row, and because of interest on increased usage of the revolving credit facilities.</w:t>
      </w:r>
    </w:p>
    <w:p>
      <w:pPr>
        <w:spacing w:after="0" w:line="214" w:lineRule="exact"/>
        <w:rPr>
          <w:sz w:val="20"/>
          <w:szCs w:val="20"/>
          <w:color w:val="auto"/>
        </w:rPr>
      </w:pPr>
    </w:p>
    <w:p>
      <w:pPr>
        <w:jc w:val="both"/>
        <w:ind w:right="2099" w:firstLine="316"/>
        <w:spacing w:after="0" w:line="279" w:lineRule="auto"/>
        <w:rPr>
          <w:sz w:val="20"/>
          <w:szCs w:val="20"/>
          <w:color w:val="auto"/>
        </w:rPr>
      </w:pPr>
      <w:r>
        <w:rPr>
          <w:rFonts w:ascii="Courier New" w:cs="Courier New" w:eastAsia="Courier New" w:hAnsi="Courier New"/>
          <w:sz w:val="16"/>
          <w:szCs w:val="16"/>
          <w:color w:val="auto"/>
        </w:rPr>
        <w:t>Income before extraordinary item increased from $6.4 million during the first six months of 1993 to $9.3 million in the comparable period of 1994 primarily due to increased revenue from the Trust's new acquisitions.</w:t>
      </w:r>
    </w:p>
    <w:p>
      <w:pPr>
        <w:spacing w:after="0" w:line="178" w:lineRule="exact"/>
        <w:rPr>
          <w:sz w:val="20"/>
          <w:szCs w:val="20"/>
          <w:color w:val="auto"/>
        </w:rPr>
      </w:pPr>
    </w:p>
    <w:p>
      <w:pPr>
        <w:ind w:right="2419" w:firstLine="316"/>
        <w:spacing w:after="0" w:line="290" w:lineRule="auto"/>
        <w:rPr>
          <w:sz w:val="20"/>
          <w:szCs w:val="20"/>
          <w:color w:val="auto"/>
        </w:rPr>
      </w:pPr>
      <w:r>
        <w:rPr>
          <w:rFonts w:ascii="Courier New" w:cs="Courier New" w:eastAsia="Courier New" w:hAnsi="Courier New"/>
          <w:sz w:val="16"/>
          <w:szCs w:val="16"/>
          <w:color w:val="auto"/>
        </w:rPr>
        <w:t>During the first half of 1993 the Trust incurred losses on the early extinguishment of debt of $1.0 million due to the prepayment of two</w:t>
      </w:r>
    </w:p>
    <w:p>
      <w:pPr>
        <w:spacing w:after="0" w:line="36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899"/>
          </w:cols>
          <w:pgMar w:left="560" w:top="723" w:right="1440" w:bottom="1440" w:gutter="0" w:footer="0" w:header="0"/>
        </w:sectPr>
      </w:pPr>
    </w:p>
    <w:bookmarkStart w:id="32" w:name="page33"/>
    <w:bookmarkEnd w:id="32"/>
    <w:p>
      <w:pPr>
        <w:ind w:right="2839"/>
        <w:spacing w:after="0" w:line="235" w:lineRule="auto"/>
        <w:rPr>
          <w:sz w:val="20"/>
          <w:szCs w:val="20"/>
          <w:color w:val="auto"/>
        </w:rPr>
      </w:pPr>
      <w:r>
        <w:rPr>
          <w:rFonts w:ascii="Courier New" w:cs="Courier New" w:eastAsia="Courier New" w:hAnsi="Courier New"/>
          <w:sz w:val="18"/>
          <w:szCs w:val="18"/>
          <w:color w:val="auto"/>
        </w:rPr>
        <w:t>mortgages and the redemption of its 8 3/4% convertible subordinated debentures and senior notes.</w:t>
      </w:r>
    </w:p>
    <w:p>
      <w:pPr>
        <w:spacing w:after="0" w:line="208"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As a result of the foregoing items, primarily the increases in property income, net income rose from $5.3 million in the first half of 1993 to $9.3 million in the first half of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 THREE MONTHS ENDED JUNE 30, 1994 AND 1993</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Funds from operations increased $2.5 million from $10.0 million in the second quarter of 1993 to $12.5 million in the second quarter of 1994. Rental income increased from $26.2 million in the second quarter of 1993 to $30.4 million in the comparable period of 1994 due to the 1993 and 1994 acquisitions. If the contribution of the new acquisitions is excluded, rental income decreased $200,000 because of the loss of rental income while Congressional Plaza is being renovated.</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Rental expenses increased from $6.7 million during the second quarter of 1993 to $7.8 million during the same period of 1994, because of the 1993 and 1994 acquisitions. Real estate taxes also rose from 1993 to 1994 because of the recent acquisitions. If the properties acquired in 1993 and 1994 are excluded, rental expenses and real estate taxes both declined slightly. The 1993 and 1994 acquisitions were the primary cause of the increase in depreciation and amortization expense, followed by increased depreciation on recent tenant work and renovations.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Interest expense has remained approximately the same between the second quarter of 1994 and 1993 at $7.6 million and $7.7 million, respectively. Decreases in interest expense resulting from the repayment of several mortgages and the senior notes in 1993 and the redemption on April 30, 1994 of the 5 1/4% convertible debentures due 2002 are offset by increases in interest because of the issuance of the 5 1/4% convertible subordinated debentures due 2003, because of the interest portion of the capital lease payment on Bethesda Row, and because of interest on increased usage of the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899"/>
          </w:cols>
          <w:pgMar w:left="560" w:top="520" w:right="1440" w:bottom="1440" w:gutter="0" w:footer="0" w:header="0"/>
        </w:sectPr>
      </w:pPr>
    </w:p>
    <w:bookmarkStart w:id="33" w:name="page34"/>
    <w:bookmarkEnd w:id="33"/>
    <w:p>
      <w:pPr>
        <w:ind w:right="1879" w:firstLine="316"/>
        <w:spacing w:after="0" w:line="237" w:lineRule="auto"/>
        <w:rPr>
          <w:sz w:val="20"/>
          <w:szCs w:val="20"/>
          <w:color w:val="auto"/>
        </w:rPr>
      </w:pPr>
      <w:r>
        <w:rPr>
          <w:rFonts w:ascii="Courier New" w:cs="Courier New" w:eastAsia="Courier New" w:hAnsi="Courier New"/>
          <w:sz w:val="18"/>
          <w:szCs w:val="18"/>
          <w:color w:val="auto"/>
        </w:rPr>
        <w:t>Administrative expenses are increasing as the Trust grows and as it seeks new development and acquisition opportunities. During the second quarter of 1994, a major component of the increase in 1994 administrative expense over 1993 expenses is the write off of costs connected with acquisition projects that will not be purchased.</w:t>
      </w:r>
    </w:p>
    <w:p>
      <w:pPr>
        <w:spacing w:after="0" w:line="209"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During the second quarter of 1993 the Trust incurred costs on the early extinguishment of debt, resulting from the early redemption of its senior notes and from the prepayment of a mortgage.</w:t>
      </w:r>
    </w:p>
    <w:p>
      <w:pPr>
        <w:spacing w:after="0" w:line="209"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As a result of the foregoing items, primarily the 1993 and 1994 acquisitions, net income rose from $2.8 million for the second quarter of 1993 to $5.2 million for the second quarter of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899"/>
          </w:cols>
          <w:pgMar w:left="560" w:top="52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Shareholders</w:t>
      </w:r>
    </w:p>
    <w:p>
      <w:pPr>
        <w:spacing w:after="0" w:line="207"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At the 1994 Annual Meeting of Shareholders on May 4, 1994, the Shareholders elected three Trustees to serve for the ensuing three years. Holders of 21 million shares voted for each of the three Trustees and holders of approximately 100,000 shares voted against each of the three Trustees.</w:t>
      </w:r>
    </w:p>
    <w:p>
      <w:pPr>
        <w:spacing w:after="0" w:line="209"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At the 1994 Annual Meeting, the Shareholders also voted on a shareholder proposal to limit compensation payable by the Trust based upon a comparison to the President of the United States. Holders of 2.6 million shares voted for the proposal, holders of 13.6 million shares voted against and holders of 4.0 million shares abstained or did not vote.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Exhibits and Reports on Form 8-K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Exhibits</w:t>
      </w:r>
    </w:p>
    <w:p>
      <w:pPr>
        <w:ind w:left="320"/>
        <w:spacing w:after="0" w:line="238" w:lineRule="auto"/>
        <w:rPr>
          <w:sz w:val="20"/>
          <w:szCs w:val="20"/>
          <w:color w:val="auto"/>
        </w:rPr>
      </w:pPr>
      <w:r>
        <w:rPr>
          <w:rFonts w:ascii="Courier New" w:cs="Courier New" w:eastAsia="Courier New" w:hAnsi="Courier New"/>
          <w:sz w:val="18"/>
          <w:szCs w:val="18"/>
          <w:color w:val="auto"/>
        </w:rPr>
        <w:t>3(ii). By-Laws of Federal Realty Investment Trust, amended</w:t>
      </w:r>
    </w:p>
    <w:p>
      <w:pPr>
        <w:spacing w:after="0"/>
        <w:rPr>
          <w:sz w:val="20"/>
          <w:szCs w:val="20"/>
          <w:color w:val="auto"/>
        </w:rPr>
      </w:pPr>
      <w:r>
        <w:rPr>
          <w:rFonts w:ascii="Courier New" w:cs="Courier New" w:eastAsia="Courier New" w:hAnsi="Courier New"/>
          <w:sz w:val="18"/>
          <w:szCs w:val="18"/>
          <w:color w:val="auto"/>
        </w:rPr>
        <w:t>August 3, 1994.</w:t>
      </w:r>
    </w:p>
    <w:p>
      <w:pPr>
        <w:spacing w:after="0" w:line="3" w:lineRule="exact"/>
        <w:rPr>
          <w:sz w:val="20"/>
          <w:szCs w:val="20"/>
          <w:color w:val="auto"/>
        </w:rPr>
      </w:pPr>
    </w:p>
    <w:p>
      <w:pPr>
        <w:ind w:left="420" w:right="7479" w:hanging="416"/>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899"/>
          </w:cols>
          <w:pgMar w:left="560" w:top="919" w:right="1440" w:bottom="1440" w:gutter="0" w:footer="0" w:header="0"/>
        </w:sectPr>
      </w:pPr>
    </w:p>
    <w:bookmarkStart w:id="35" w:name="page36"/>
    <w:bookmarkEnd w:id="35"/>
    <w:p>
      <w:pPr>
        <w:ind w:right="199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9, 1994</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Steven J. Guttman,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ectPr>
          <w:pgSz w:w="11900" w:h="16838" w:orient="portrait"/>
          <w:cols w:equalWidth="0" w:num="2">
            <w:col w:w="2980" w:space="720"/>
            <w:col w:w="6199"/>
          </w:cols>
          <w:pgMar w:left="56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9, 1994</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2980" w:space="720"/>
            <w:col w:w="6199"/>
          </w:cols>
          <w:pgMar w:left="56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899"/>
          </w:cols>
          <w:pgMar w:left="560" w:top="520" w:right="1440" w:bottom="1440" w:gutter="0" w:footer="0" w:header="0"/>
          <w:type w:val="continuous"/>
        </w:sectPr>
      </w:pPr>
    </w:p>
    <w:bookmarkStart w:id="36" w:name="page37"/>
    <w:bookmarkEnd w:id="36"/>
    <w:p>
      <w:pPr>
        <w:jc w:val="center"/>
        <w:ind w:right="1779"/>
        <w:spacing w:after="0"/>
        <w:rPr>
          <w:sz w:val="20"/>
          <w:szCs w:val="20"/>
          <w:color w:val="auto"/>
        </w:rPr>
      </w:pPr>
      <w:r>
        <w:rPr>
          <w:rFonts w:ascii="Courier New" w:cs="Courier New" w:eastAsia="Courier New" w:hAnsi="Courier New"/>
          <w:sz w:val="18"/>
          <w:szCs w:val="18"/>
          <w:color w:val="auto"/>
        </w:rPr>
        <w:t>BYLAWS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2" w:lineRule="exact"/>
        <w:rPr>
          <w:sz w:val="20"/>
          <w:szCs w:val="20"/>
          <w:color w:val="auto"/>
        </w:rPr>
      </w:pPr>
    </w:p>
    <w:p>
      <w:pPr>
        <w:ind w:left="2740"/>
        <w:spacing w:after="0"/>
        <w:tabs>
          <w:tab w:leader="none" w:pos="3980" w:val="left"/>
        </w:tabs>
        <w:rPr>
          <w:sz w:val="20"/>
          <w:szCs w:val="20"/>
          <w:color w:val="auto"/>
        </w:rPr>
      </w:pPr>
      <w:r>
        <w:rPr>
          <w:rFonts w:ascii="Courier New" w:cs="Courier New" w:eastAsia="Courier New" w:hAnsi="Courier New"/>
          <w:sz w:val="18"/>
          <w:szCs w:val="18"/>
          <w:color w:val="auto"/>
        </w:rPr>
        <w:t>ARTICLE I.</w:t>
      </w:r>
      <w:r>
        <w:rPr>
          <w:sz w:val="20"/>
          <w:szCs w:val="20"/>
          <w:color w:val="auto"/>
        </w:rPr>
        <w:tab/>
      </w:r>
      <w:r>
        <w:rPr>
          <w:rFonts w:ascii="Courier New" w:cs="Courier New" w:eastAsia="Courier New" w:hAnsi="Courier New"/>
          <w:sz w:val="16"/>
          <w:szCs w:val="16"/>
          <w:color w:val="auto"/>
        </w:rPr>
        <w:t>SHAREHOLDERS</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Section 1.1. Notice of Shareholder Meetings. Notice of each annual meeting of shareholders, stating the date, place and purposes of the meeting, shall be given by the President to each shareholder at least ten</w:t>
      </w:r>
    </w:p>
    <w:p>
      <w:pPr>
        <w:spacing w:after="0" w:line="6" w:lineRule="exact"/>
        <w:rPr>
          <w:sz w:val="20"/>
          <w:szCs w:val="20"/>
          <w:color w:val="auto"/>
        </w:rPr>
      </w:pPr>
    </w:p>
    <w:p>
      <w:pPr>
        <w:ind w:right="1879" w:firstLine="4"/>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and not more than sixty (60) days before any such meeting. Notice for any special meeting of shareholders shall be sent within a reasonable period of time after the request for such meeting has been made in accordance with the requirements set forth in the Declaration of Trust and shall be held at such place and on such date as the Trustees shall designate in the notice.</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1.2. Adjourned Meetings of Shareholders. Any meeting of shareholders may be adjourned from time to time by a majority of the votes properly cast upon the matter, whether or not a quorum is present, and such meeting may be reconvened without notice other than that given at such meeting. At any reconvened session of the meeting at which there shall be a quorum any business may be transacted which might have been transacted at the meeting as originally noticed.</w:t>
      </w:r>
    </w:p>
    <w:p>
      <w:pPr>
        <w:spacing w:after="0" w:line="211" w:lineRule="exact"/>
        <w:rPr>
          <w:sz w:val="20"/>
          <w:szCs w:val="20"/>
          <w:color w:val="auto"/>
        </w:rPr>
      </w:pPr>
    </w:p>
    <w:p>
      <w:pPr>
        <w:ind w:right="2099" w:firstLine="316"/>
        <w:spacing w:after="0" w:line="268" w:lineRule="auto"/>
        <w:rPr>
          <w:sz w:val="20"/>
          <w:szCs w:val="20"/>
          <w:color w:val="auto"/>
        </w:rPr>
      </w:pPr>
      <w:r>
        <w:rPr>
          <w:rFonts w:ascii="Courier New" w:cs="Courier New" w:eastAsia="Courier New" w:hAnsi="Courier New"/>
          <w:sz w:val="16"/>
          <w:szCs w:val="16"/>
          <w:color w:val="auto"/>
        </w:rPr>
        <w:t>Section 1.3. Voting by Proxy. At any meeting of shareholders, a shareholder may vote by proxy executed in writing by the shareholder or by</w:t>
      </w:r>
    </w:p>
    <w:p>
      <w:pPr>
        <w:ind w:right="1999"/>
        <w:spacing w:after="0" w:line="237" w:lineRule="auto"/>
        <w:rPr>
          <w:sz w:val="20"/>
          <w:szCs w:val="20"/>
          <w:color w:val="auto"/>
        </w:rPr>
      </w:pPr>
      <w:r>
        <w:rPr>
          <w:rFonts w:ascii="Courier New" w:cs="Courier New" w:eastAsia="Courier New" w:hAnsi="Courier New"/>
          <w:sz w:val="18"/>
          <w:szCs w:val="18"/>
          <w:color w:val="auto"/>
        </w:rPr>
        <w:t>his duly authorized attorney-in-fact. Such proxy shall be filed with the Trust before or at the time of the meeting. No proxy shall be valid after the expiration of eleven (11) months from the date thereof unless otherwise provided in the proxy.</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Section 1.4. Inspectors of Election. In advance of any meeting of shareholders, the Board of Trustees may appoint any person other than a nominee for Trustee as an inspector of election to act at such meeting or any adjournment thereof. The number of inspectors shall be either one (1) or three (3). Any such appointment shall not be altered at the meeting for which such appointment has been made. If inspector(s) of election are not so appointed, the President may, or on the request of the holders of not</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899"/>
          </w:cols>
          <w:pgMar w:left="560" w:top="514" w:right="1440" w:bottom="1440" w:gutter="0" w:footer="0" w:header="0"/>
        </w:sectPr>
      </w:pPr>
    </w:p>
    <w:bookmarkStart w:id="37" w:name="page38"/>
    <w:bookmarkEnd w:id="37"/>
    <w:p>
      <w:pPr>
        <w:ind w:right="1879"/>
        <w:spacing w:after="0" w:line="271" w:lineRule="auto"/>
        <w:rPr>
          <w:sz w:val="20"/>
          <w:szCs w:val="20"/>
          <w:color w:val="auto"/>
        </w:rPr>
      </w:pPr>
      <w:r>
        <w:rPr>
          <w:rFonts w:ascii="Courier New" w:cs="Courier New" w:eastAsia="Courier New" w:hAnsi="Courier New"/>
          <w:sz w:val="16"/>
          <w:szCs w:val="16"/>
          <w:color w:val="auto"/>
        </w:rPr>
        <w:t>less than ten percent (10%) of the Shares present in person or by proxy at the meeting and entitled to vote thereat, the President shall, make such appointment at the meeting. If inspector(s) are appointed at the meeting upon request of the shareholders, the majority of votes cast shall determine whether one (1) or three (3) inspectors are to be appointed. In case any person appointed as inspector fails to appear or fails or refuses to act as an inspector, the vacancy may be filled by appointment by the Board of Trustees in advance of the meeting or at the meeting by the President.</w:t>
      </w:r>
    </w:p>
    <w:p>
      <w:pPr>
        <w:spacing w:after="0" w:line="186"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duties of such inspector(s) shall include: determining the number of Shares outstanding and the voting power of each Share, the Shares represented at the meeting, the existence of a quorum, and the authenticity, validity and effect of proxies; receiving votes, ballots or consents; hearing and determining all challenges and questions in any way arising in connection with rights to vote; counting and tabulating all votes, ballots or consents; determining the result of any vote; and such other acts as may be proper to conduct the election or vote with fairness to all shareholders.</w:t>
      </w:r>
    </w:p>
    <w:p>
      <w:pPr>
        <w:spacing w:after="0" w:line="186"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Section 1.5. Notice of Shareholder Proposals. (a) At an annual meeting of the shareholders, only such business shall be conducted and only such proposals shall be acted upon as shall have been brought before the annual meeting (i) by, or at the direction of, the Board of Trustees or (ii) by any shareholder of record of the Trust who complies with the notice procedures set forth in this Section 1.5 of these Bylaws. For a proposal to be properly brought before an annual meeting by a shareholder, the shareholder must have given timely notice thereof in writing to the Secretary of the Trust. To be timely, a shareholder's notice must be delivered to, or mailed and received at, the principal executive offices of the Trust not less than sixty (60) days nor more than ninety (90) days prior to the anniversary date of the prior annual meeting. A shareholder's notice to the Secretary shall set forth as to each matter the shareholder proposes to bring before the annual meeting (i) a brief description of the proposal desired to be brought before the annual meeting and the reasons for conducting such business at the annual meeting, (ii) the name and address, as they appear on the Trust's books, of the shareholder proposing such business and any other shareholders known by such shareholder to be supporting such proposal, (iii) the class and number of Shares of the Trust which are beneficially owned by the</w:t>
      </w:r>
    </w:p>
    <w:p>
      <w:pPr>
        <w:spacing w:after="0" w:line="38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9899"/>
          </w:cols>
          <w:pgMar w:left="560" w:top="520" w:right="1440" w:bottom="1440" w:gutter="0" w:footer="0" w:header="0"/>
        </w:sectPr>
      </w:pPr>
    </w:p>
    <w:bookmarkStart w:id="38" w:name="page39"/>
    <w:bookmarkEnd w:id="38"/>
    <w:p>
      <w:pPr>
        <w:ind w:right="1879"/>
        <w:spacing w:after="0" w:line="237" w:lineRule="auto"/>
        <w:rPr>
          <w:sz w:val="20"/>
          <w:szCs w:val="20"/>
          <w:color w:val="auto"/>
        </w:rPr>
      </w:pPr>
      <w:r>
        <w:rPr>
          <w:rFonts w:ascii="Courier New" w:cs="Courier New" w:eastAsia="Courier New" w:hAnsi="Courier New"/>
          <w:sz w:val="18"/>
          <w:szCs w:val="18"/>
          <w:color w:val="auto"/>
        </w:rPr>
        <w:t>shareholder on the date of such shareholder notice and by any other shareholders known by such shareholder to be supporting such proposal on the date of such shareholder notice, and (iv) any financial interest of the shareholder in such proposal.</w:t>
      </w:r>
    </w:p>
    <w:p>
      <w:pPr>
        <w:spacing w:after="0" w:line="207" w:lineRule="exact"/>
        <w:rPr>
          <w:sz w:val="20"/>
          <w:szCs w:val="20"/>
          <w:color w:val="auto"/>
        </w:rPr>
      </w:pPr>
    </w:p>
    <w:p>
      <w:pPr>
        <w:ind w:right="1879" w:firstLine="320"/>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presiding officer of the annual meeting determines that a shareholder proposal was not made in accordance with the terms of this Section 1.5, he shall so declare at the annual meeting and any such proposal shall not be acted upon at the annual meeting.</w:t>
      </w:r>
    </w:p>
    <w:p>
      <w:pPr>
        <w:spacing w:after="0" w:line="207" w:lineRule="exact"/>
        <w:rPr>
          <w:rFonts w:ascii="Courier New" w:cs="Courier New" w:eastAsia="Courier New" w:hAnsi="Courier New"/>
          <w:sz w:val="18"/>
          <w:szCs w:val="18"/>
          <w:color w:val="auto"/>
        </w:rPr>
      </w:pPr>
    </w:p>
    <w:p>
      <w:pPr>
        <w:ind w:right="1999" w:firstLine="320"/>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provision shall not prevent the consideration and approval or disapproval at the annual meeting of reports of officers of the Trust or Trustees and committees of the Board of Trustees, but, in connection with such reports, no business shall be acted upon at such annual meeting unless stated, filed and received as herein provided in this Section 1.5.</w:t>
      </w:r>
    </w:p>
    <w:p>
      <w:pPr>
        <w:spacing w:after="0" w:line="208" w:lineRule="exact"/>
        <w:rPr>
          <w:rFonts w:ascii="Courier New" w:cs="Courier New" w:eastAsia="Courier New" w:hAnsi="Courier New"/>
          <w:sz w:val="18"/>
          <w:szCs w:val="18"/>
          <w:color w:val="auto"/>
        </w:rPr>
      </w:pPr>
    </w:p>
    <w:p>
      <w:pPr>
        <w:ind w:right="1879" w:firstLine="320"/>
        <w:spacing w:after="0" w:line="273"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shareholder seeking to bring a proposal before an annual meeting of the Trust shall continue to be subject, to the extent applicable, to the requirements of Section 14(a) of the Securities Exchange Act of 1934, as amended, and the regulations thereunder, as well as the requirements of this Section 1.5 and Section 7.2 of the Declaration of Trust.</w:t>
      </w:r>
    </w:p>
    <w:p>
      <w:pPr>
        <w:spacing w:after="0" w:line="185"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Section 1.6. Record Date for Consent Solicitation. In order that the Trust may determine the shareholders entitled to consent to action in writing without a meeting, the Board of Trustees may fix a record date, which record date shall not precede the date upon which the resolution fixing the record date is adopted by the Board of Trustees, and which date shall not be more than ten (10) days after the date upon which the resolution fixing the record date is adopted by the Board of Trustees. Any shareholder of record seeking to have the shareholders authorize or take action by written consent shall, by written notice to the Secretary of the Trust, request the Board of Trustees to fix a record date. The Board of Trustees shall promptly, but in all events within ten (10) days of the date on which such a request is received, adopt a resolution fixing the record date. If no record date has been fixed by the Board of Trustees within ten</w:t>
      </w:r>
    </w:p>
    <w:p>
      <w:pPr>
        <w:spacing w:after="0" w:line="187" w:lineRule="exact"/>
        <w:rPr>
          <w:sz w:val="20"/>
          <w:szCs w:val="20"/>
          <w:color w:val="auto"/>
        </w:rPr>
      </w:pPr>
    </w:p>
    <w:p>
      <w:pPr>
        <w:ind w:right="2199" w:firstLine="4"/>
        <w:spacing w:after="0" w:line="290"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date on which such a request is received and no prior action by the Board of Trustees is required by applicable law, the record</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9899"/>
          </w:cols>
          <w:pgMar w:left="560" w:top="520" w:right="1440" w:bottom="1440" w:gutter="0" w:footer="0" w:header="0"/>
        </w:sectPr>
      </w:pPr>
    </w:p>
    <w:bookmarkStart w:id="39" w:name="page40"/>
    <w:bookmarkEnd w:id="39"/>
    <w:p>
      <w:pPr>
        <w:ind w:right="1879"/>
        <w:spacing w:after="0" w:line="270" w:lineRule="auto"/>
        <w:rPr>
          <w:sz w:val="20"/>
          <w:szCs w:val="20"/>
          <w:color w:val="auto"/>
        </w:rPr>
      </w:pPr>
      <w:r>
        <w:rPr>
          <w:rFonts w:ascii="Courier New" w:cs="Courier New" w:eastAsia="Courier New" w:hAnsi="Courier New"/>
          <w:sz w:val="16"/>
          <w:szCs w:val="16"/>
          <w:color w:val="auto"/>
        </w:rPr>
        <w:t>date for determining shareholders entitled to consent to action in writing without a meeting shall be the first date on which a signed written consent setting forth the action taken or proposed to be taken is delivered to the Trust by delivery to its registered office in the District of Columbia, its principal place of business, or an officer or agent of the Trust having custody of the book in which proceedings of shareholders meetings are recorded, in each case to the attention of the Secretary of the Trust. Delivery shall be by hand or by certified or registered mail, return receipt requested. If no record date has been fixed by the Board of Trustees within ten (10) days of the date on which such a request is received and prior action by the Board of Trustees is required by applicable law, the record date for determining shareholders entitled to consent to action in writing without a meeting shall be at the close of business on the date on which the Board of Trustees adopts the resolution taking such prior action.</w:t>
      </w:r>
    </w:p>
    <w:p>
      <w:pPr>
        <w:spacing w:after="0" w:line="382" w:lineRule="exact"/>
        <w:rPr>
          <w:sz w:val="20"/>
          <w:szCs w:val="20"/>
          <w:color w:val="auto"/>
        </w:rPr>
      </w:pP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ARTICLE II.</w:t>
      </w:r>
      <w:r>
        <w:rPr>
          <w:sz w:val="20"/>
          <w:szCs w:val="20"/>
          <w:color w:val="auto"/>
        </w:rPr>
        <w:tab/>
      </w:r>
      <w:r>
        <w:rPr>
          <w:rFonts w:ascii="Courier New" w:cs="Courier New" w:eastAsia="Courier New" w:hAnsi="Courier New"/>
          <w:sz w:val="16"/>
          <w:szCs w:val="16"/>
          <w:color w:val="auto"/>
        </w:rPr>
        <w:t>TRUSTEES</w:t>
      </w:r>
    </w:p>
    <w:p>
      <w:pPr>
        <w:spacing w:after="0" w:line="207"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Section 2.1. Regular Meetings of Trustees. A regular meeting of the Board of Trustees shall be held without further notice than this Bylaw on the same day as the annual meeting of shareholders either at the same place as such meeting or at the Trust's principal offices. The Board of Trustees may provide, by resolution, the time and place for the holding of additional regular meetings without other notice than the adoption of such resolutions.</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Section 2.2. Adjourned Meetings of Trustees. Any meeting of the Trustees may be adjourned from time to time by a vote of the majority of Trustees present at such meeting, whether or not a quorum is present, and such meeting may be reconvened without notice other than that given at such meeting. At any reconvened session of a meeting at which there shall be a quorum any business may be transacted which might have been transacted at the meeting as originally noticed.</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2.3. Presumption of Assent. A Trustee who is present at a meeting of the Board of Trustees at which action on any matter is taken shall be presumed to have assented to the action taken unless he shall have requested the secretary of the meeting to enter his dissent or abstention in the minutes of the meeting.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899"/>
          </w:cols>
          <w:pgMar w:left="560" w:top="520" w:right="1440" w:bottom="1440" w:gutter="0" w:footer="0" w:header="0"/>
        </w:sectPr>
      </w:pPr>
    </w:p>
    <w:bookmarkStart w:id="40" w:name="page41"/>
    <w:bookmarkEnd w:id="40"/>
    <w:p>
      <w:pPr>
        <w:ind w:right="1879" w:firstLine="316"/>
        <w:spacing w:after="0" w:line="238" w:lineRule="auto"/>
        <w:rPr>
          <w:sz w:val="20"/>
          <w:szCs w:val="20"/>
          <w:color w:val="auto"/>
        </w:rPr>
      </w:pPr>
      <w:r>
        <w:rPr>
          <w:rFonts w:ascii="Courier New" w:cs="Courier New" w:eastAsia="Courier New" w:hAnsi="Courier New"/>
          <w:sz w:val="18"/>
          <w:szCs w:val="18"/>
          <w:color w:val="auto"/>
        </w:rPr>
        <w:t>Section 2.4. Trustee Nominations. Nominations for the election of Trustees may be made by the Board of Trustees or a nominating committee appointed by the Board of Trustees or by any shareholder entitled to vote in the election of Trustees generally. However, any shareholder entitled to vote in the election of Trustees generally may nominate one or more persons for election as Trustees at a meeting only if written notice of such shareholder's intent to make such a nomination or nominations has been given, either by personal delivery or by United States mail, postage prepaid, to the Secretary of the Trust not later than (i) with respect to an election to be held at an annual meeting of shareholders, ninety (90) days prior to the anniversary date of the immediately preceding annual meeting, and (ii) with respect to an election to be held at a special meeting of shareholders for the election of Trustees, the close of business on the tenth (10th) day following the date on which notice of such meeting is first given to shareholders. Each such notice shall set forth: (a) the name and address of the shareholder who intends to make the nomination and of the person or persons to be nominated; (b) a representation that the shareholder is a holder of record of shares of the Trust entitled to vote at such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be required to be included in a proxy statement filed pursuant to the proxy rules of the Securities and Exchange Commission as then in effect; and (e) the consent of each nominee to serve as a Trustee of the Trust if so elected. The presiding officer of the meeting may refuse to acknowledge the nomination of any person not made in compliance with the foregoing procedure.</w:t>
      </w:r>
    </w:p>
    <w:p>
      <w:pPr>
        <w:spacing w:after="0" w:line="208" w:lineRule="exact"/>
        <w:rPr>
          <w:sz w:val="20"/>
          <w:szCs w:val="20"/>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8"/>
          <w:szCs w:val="18"/>
          <w:color w:val="auto"/>
        </w:rPr>
        <w:t>ARTICLE III.</w:t>
      </w:r>
      <w:r>
        <w:rPr>
          <w:sz w:val="20"/>
          <w:szCs w:val="20"/>
          <w:color w:val="auto"/>
        </w:rPr>
        <w:tab/>
      </w:r>
      <w:r>
        <w:rPr>
          <w:rFonts w:ascii="Courier New" w:cs="Courier New" w:eastAsia="Courier New" w:hAnsi="Courier New"/>
          <w:sz w:val="16"/>
          <w:szCs w:val="16"/>
          <w:color w:val="auto"/>
        </w:rPr>
        <w:t>OFFICERS</w:t>
      </w:r>
    </w:p>
    <w:p>
      <w:pPr>
        <w:spacing w:after="0" w:line="207" w:lineRule="exact"/>
        <w:rPr>
          <w:sz w:val="20"/>
          <w:szCs w:val="20"/>
          <w:color w:val="auto"/>
        </w:rPr>
      </w:pPr>
    </w:p>
    <w:p>
      <w:pPr>
        <w:ind w:right="2099" w:firstLine="316"/>
        <w:spacing w:after="0" w:line="275" w:lineRule="auto"/>
        <w:rPr>
          <w:sz w:val="20"/>
          <w:szCs w:val="20"/>
          <w:color w:val="auto"/>
        </w:rPr>
      </w:pPr>
      <w:r>
        <w:rPr>
          <w:rFonts w:ascii="Courier New" w:cs="Courier New" w:eastAsia="Courier New" w:hAnsi="Courier New"/>
          <w:sz w:val="16"/>
          <w:szCs w:val="16"/>
          <w:color w:val="auto"/>
        </w:rPr>
        <w:t>Section 3.1. Election. The officers of the Trust shall be elected by the Trustees. There shall be a President and a Secretary, in each case elected by the Trustees. In addition, the Trustees may also elect such additional officers, including vice-presidents, one (1) or more assistant</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9899"/>
          </w:cols>
          <w:pgMar w:left="560" w:top="520" w:right="1440" w:bottom="1440" w:gutter="0" w:footer="0" w:header="0"/>
        </w:sectPr>
      </w:pPr>
    </w:p>
    <w:bookmarkStart w:id="41" w:name="page42"/>
    <w:bookmarkEnd w:id="41"/>
    <w:p>
      <w:pPr>
        <w:ind w:right="2099"/>
        <w:spacing w:after="0" w:line="237" w:lineRule="auto"/>
        <w:rPr>
          <w:sz w:val="20"/>
          <w:szCs w:val="20"/>
          <w:color w:val="auto"/>
        </w:rPr>
      </w:pPr>
      <w:r>
        <w:rPr>
          <w:rFonts w:ascii="Courier New" w:cs="Courier New" w:eastAsia="Courier New" w:hAnsi="Courier New"/>
          <w:sz w:val="18"/>
          <w:szCs w:val="18"/>
          <w:color w:val="auto"/>
        </w:rPr>
        <w:t>secretaries, a treasurer and one (1) or more assistant treasurers, as they may designate. All officers of the Trust shall exercise such powers and perform such duties as the Trustees may determine from time to time, in addition to those provided in these Bylaws. The President shall be a Trustee, but no other officers need be Trustees.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3.2. Term of Office. The officers of the Trust shall be elected by the Trustees at such intervals as the Trustees may determine, and shall hold office until death, resignation of removal, or until their successors are elected and qualify. Any officer may be removed at any time by the affirmative vote of two-thirds of the full Board of Trustees taken at any regular or special meeting of the Trustees, without prejudice to any contractual rights which such officer may have. Any vacancy occurring in the office of President of the Trust shall be filled by the Trustees.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3.3. President. The President, who shall be a Trustee, shall be the chief executive officer of the Trust, shall preside at all meetings of the shareholders and of the Trustees, shall have general management and supervision of the business and affairs of the Trust, and shall see that all orders and resolutions of the Trustees are carried into effect. The President shall have the authority to execute bonds, mortgages, documents and other contracts of the Trust, and the power to delegate such authority to other officers of the Trust on the terms and under the circumstances as he shall determine.</w:t>
      </w:r>
    </w:p>
    <w:p>
      <w:pPr>
        <w:spacing w:after="0" w:line="21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Section 3.4. Secretary. The Secretary shall keep minutes of all meetings of the Trustees, shall have custody of the seal of the Trust, and generally shall perform the duties usually performed by a secretary of a corporation, including certifying as to Trust resolutions and other documents.</w:t>
      </w:r>
    </w:p>
    <w:p>
      <w:pPr>
        <w:spacing w:after="0" w:line="209"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Section 3.5. Succession. The Trustees shall from time to time determine the order in which officers of the Trust shall, in the absence or disability of the President, perform the duties and exercise the powers of the President, except that if any such officer is not a Trustee, he shall not preside at meetings of the shareholders or of the Trustees.</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9899"/>
          </w:cols>
          <w:pgMar w:left="560" w:top="520" w:right="1440" w:bottom="1440" w:gutter="0" w:footer="0" w:header="0"/>
        </w:sectPr>
      </w:pPr>
    </w:p>
    <w:bookmarkStart w:id="42" w:name="page43"/>
    <w:bookmarkEnd w:id="42"/>
    <w:p>
      <w:pPr>
        <w:ind w:left="2420"/>
        <w:spacing w:after="0"/>
        <w:tabs>
          <w:tab w:leader="none" w:pos="3780" w:val="left"/>
        </w:tabs>
        <w:rPr>
          <w:sz w:val="20"/>
          <w:szCs w:val="20"/>
          <w:color w:val="auto"/>
        </w:rPr>
      </w:pPr>
      <w:r>
        <w:rPr>
          <w:rFonts w:ascii="Courier New" w:cs="Courier New" w:eastAsia="Courier New" w:hAnsi="Courier New"/>
          <w:sz w:val="18"/>
          <w:szCs w:val="18"/>
          <w:color w:val="auto"/>
        </w:rPr>
        <w:t>ARTICLE IV.</w:t>
      </w:r>
      <w:r>
        <w:rPr>
          <w:sz w:val="20"/>
          <w:szCs w:val="20"/>
          <w:color w:val="auto"/>
        </w:rPr>
        <w:tab/>
      </w:r>
      <w:r>
        <w:rPr>
          <w:rFonts w:ascii="Courier New" w:cs="Courier New" w:eastAsia="Courier New" w:hAnsi="Courier New"/>
          <w:sz w:val="16"/>
          <w:szCs w:val="16"/>
          <w:color w:val="auto"/>
        </w:rPr>
        <w:t>INVESTMENTS</w:t>
      </w:r>
    </w:p>
    <w:p>
      <w:pPr>
        <w:spacing w:after="0" w:line="201" w:lineRule="exact"/>
        <w:rPr>
          <w:sz w:val="20"/>
          <w:szCs w:val="20"/>
          <w:color w:val="auto"/>
        </w:rPr>
      </w:pPr>
    </w:p>
    <w:p>
      <w:pPr>
        <w:spacing w:after="0"/>
        <w:tabs>
          <w:tab w:leader="none" w:pos="1780" w:val="left"/>
          <w:tab w:leader="none" w:pos="494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8"/>
          <w:szCs w:val="18"/>
          <w:color w:val="auto"/>
        </w:rPr>
        <w:t>Restrictions on Investments.</w:t>
      </w:r>
      <w:r>
        <w:rPr>
          <w:sz w:val="20"/>
          <w:szCs w:val="20"/>
          <w:color w:val="auto"/>
        </w:rPr>
        <w:tab/>
      </w:r>
      <w:r>
        <w:rPr>
          <w:rFonts w:ascii="Courier New" w:cs="Courier New" w:eastAsia="Courier New" w:hAnsi="Courier New"/>
          <w:sz w:val="16"/>
          <w:szCs w:val="16"/>
          <w:color w:val="auto"/>
        </w:rPr>
        <w:t>The Trust shall not:</w:t>
      </w:r>
    </w:p>
    <w:p>
      <w:pPr>
        <w:spacing w:after="0" w:line="207" w:lineRule="exact"/>
        <w:rPr>
          <w:sz w:val="20"/>
          <w:szCs w:val="20"/>
          <w:color w:val="auto"/>
        </w:rPr>
      </w:pPr>
    </w:p>
    <w:p>
      <w:pPr>
        <w:jc w:val="both"/>
        <w:ind w:left="-320" w:right="2099" w:firstLine="531"/>
        <w:spacing w:after="0" w:line="236" w:lineRule="auto"/>
        <w:tabs>
          <w:tab w:leader="none" w:pos="7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commodities, foreign currencies of chattels, except as required in the day-to-day business of the Trust or in connection with its investments;</w:t>
      </w:r>
    </w:p>
    <w:p>
      <w:pPr>
        <w:spacing w:after="0" w:line="208" w:lineRule="exact"/>
        <w:rPr>
          <w:rFonts w:ascii="Courier New" w:cs="Courier New" w:eastAsia="Courier New" w:hAnsi="Courier New"/>
          <w:sz w:val="18"/>
          <w:szCs w:val="18"/>
          <w:color w:val="auto"/>
        </w:rPr>
      </w:pPr>
    </w:p>
    <w:p>
      <w:pPr>
        <w:ind w:left="-320" w:right="1879" w:firstLine="531"/>
        <w:spacing w:after="0" w:line="237" w:lineRule="auto"/>
        <w:tabs>
          <w:tab w:leader="none" w:pos="7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contracts for sale of Real Property in excess of a value of one percent (1%) of all of the Trust's Property; provided, however, that nothing in this Section 4.1. shall prevent the holding of contracts of sale as security for loans made by the Trust and the ownership of such contracts of sale upon foreclosure of, or realization upon, such security interests, and contracts of sale so held or owned shall be excluded from the computation required by this Section 4.1(b);</w:t>
      </w:r>
    </w:p>
    <w:p>
      <w:pPr>
        <w:spacing w:after="0" w:line="205" w:lineRule="exact"/>
        <w:rPr>
          <w:rFonts w:ascii="Courier New" w:cs="Courier New" w:eastAsia="Courier New" w:hAnsi="Courier New"/>
          <w:sz w:val="18"/>
          <w:szCs w:val="18"/>
          <w:color w:val="auto"/>
        </w:rPr>
      </w:pPr>
    </w:p>
    <w:p>
      <w:pPr>
        <w:ind w:left="740" w:hanging="529"/>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any short sale;</w:t>
      </w:r>
    </w:p>
    <w:p>
      <w:pPr>
        <w:spacing w:after="0" w:line="206" w:lineRule="exact"/>
        <w:rPr>
          <w:rFonts w:ascii="Courier New" w:cs="Courier New" w:eastAsia="Courier New" w:hAnsi="Courier New"/>
          <w:sz w:val="18"/>
          <w:szCs w:val="18"/>
          <w:color w:val="auto"/>
        </w:rPr>
      </w:pPr>
    </w:p>
    <w:p>
      <w:pPr>
        <w:ind w:left="-320" w:right="1879" w:firstLine="531"/>
        <w:spacing w:after="0" w:line="237" w:lineRule="auto"/>
        <w:tabs>
          <w:tab w:leader="none" w:pos="7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in trading as compared with investment activities, or engage in the business of underwriting or agency distribution of Securities issued by others; provided that this prohibition shall not prevent the Trust from acquiring Securities as permitted herein, in circumstances where if such Securities were sold the Trust might be deemed to be an "underwriter" within the meaning of the Securities Act of 1933 and the rules and regulations thereunder, and provided further that this prohibition shall not prevent the Trust from selling participations in Mortgage loans or interests in Real Property;</w:t>
      </w:r>
    </w:p>
    <w:p>
      <w:pPr>
        <w:spacing w:after="0" w:line="213" w:lineRule="exact"/>
        <w:rPr>
          <w:rFonts w:ascii="Courier New" w:cs="Courier New" w:eastAsia="Courier New" w:hAnsi="Courier New"/>
          <w:sz w:val="18"/>
          <w:szCs w:val="18"/>
          <w:color w:val="auto"/>
        </w:rPr>
      </w:pPr>
    </w:p>
    <w:p>
      <w:pPr>
        <w:ind w:left="-320" w:right="1879" w:firstLine="531"/>
        <w:spacing w:after="0" w:line="237" w:lineRule="auto"/>
        <w:tabs>
          <w:tab w:leader="none" w:pos="7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 property primarily for sale to customers in the ordinary course of the trade or business of the Trust, but this prohibition shall not be construed to deprive the Trust of the power to sell any property (including divided or undivided interests in such property) which it owns at any time;</w:t>
      </w:r>
    </w:p>
    <w:p>
      <w:pPr>
        <w:spacing w:after="0" w:line="208" w:lineRule="exact"/>
        <w:rPr>
          <w:rFonts w:ascii="Courier New" w:cs="Courier New" w:eastAsia="Courier New" w:hAnsi="Courier New"/>
          <w:sz w:val="18"/>
          <w:szCs w:val="18"/>
          <w:color w:val="auto"/>
        </w:rPr>
      </w:pPr>
    </w:p>
    <w:p>
      <w:pPr>
        <w:ind w:left="-320" w:right="1879" w:firstLine="531"/>
        <w:spacing w:after="0" w:line="279" w:lineRule="auto"/>
        <w:tabs>
          <w:tab w:leader="none" w:pos="73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more than ten percent (10%) of the total value of the Trust's Property in the ownership of, or participations in the ownership of, unimproved non-income-producing Real Property, or in Mortgage loans (other</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9579"/>
          </w:cols>
          <w:pgMar w:left="880" w:top="514" w:right="1440" w:bottom="1440" w:gutter="0" w:footer="0" w:header="0"/>
        </w:sectPr>
      </w:pPr>
    </w:p>
    <w:bookmarkStart w:id="43" w:name="page44"/>
    <w:bookmarkEnd w:id="43"/>
    <w:p>
      <w:pPr>
        <w:ind w:right="1879"/>
        <w:spacing w:after="0" w:line="236" w:lineRule="auto"/>
        <w:rPr>
          <w:sz w:val="20"/>
          <w:szCs w:val="20"/>
          <w:color w:val="auto"/>
        </w:rPr>
      </w:pPr>
      <w:r>
        <w:rPr>
          <w:rFonts w:ascii="Courier New" w:cs="Courier New" w:eastAsia="Courier New" w:hAnsi="Courier New"/>
          <w:sz w:val="18"/>
          <w:szCs w:val="18"/>
          <w:color w:val="auto"/>
        </w:rPr>
        <w:t>than development or construction loans) secured by Mortgages upon unimproved non-income-producing Real Property, excluding Real Property which is being developed or will be developed within a reasonable period;</w:t>
      </w:r>
    </w:p>
    <w:p>
      <w:pPr>
        <w:spacing w:after="0" w:line="209" w:lineRule="exact"/>
        <w:rPr>
          <w:sz w:val="20"/>
          <w:szCs w:val="20"/>
          <w:color w:val="auto"/>
        </w:rPr>
      </w:pPr>
    </w:p>
    <w:p>
      <w:pPr>
        <w:ind w:right="1879" w:firstLine="531"/>
        <w:spacing w:after="0" w:line="237"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more than ten percent (10%) of the total value of the Trust's Property in junior Mortgage loans, including wraparound Mortgage loans but excluding junior Mortgage loans where the Trust either holds a first Mortgage loan on Real Property subject to the junior Mortgage loan in question, or a participation in a first Mortgage loan thereon which is pro rata no less than the participation of the Trust in the junior Mortgage loan in question;</w:t>
      </w:r>
    </w:p>
    <w:p>
      <w:pPr>
        <w:spacing w:after="0" w:line="211" w:lineRule="exact"/>
        <w:rPr>
          <w:rFonts w:ascii="Courier New" w:cs="Courier New" w:eastAsia="Courier New" w:hAnsi="Courier New"/>
          <w:sz w:val="18"/>
          <w:szCs w:val="18"/>
          <w:color w:val="auto"/>
        </w:rPr>
      </w:pPr>
    </w:p>
    <w:p>
      <w:pPr>
        <w:ind w:right="1879" w:firstLine="531"/>
        <w:spacing w:after="0" w:line="273"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equity Securities (except Securities acquired as additional consideration in connection with Mortgage loans made by the Trust or leases of Real Property owned by the Trust) issued by any corporation or other trust which, to the actual knowledge of the Trustees, is then holding investments or engaging in activities prohibited to the Trust;</w:t>
      </w:r>
    </w:p>
    <w:p>
      <w:pPr>
        <w:spacing w:after="0" w:line="178" w:lineRule="exact"/>
        <w:rPr>
          <w:rFonts w:ascii="Courier New" w:cs="Courier New" w:eastAsia="Courier New" w:hAnsi="Courier New"/>
          <w:sz w:val="16"/>
          <w:szCs w:val="16"/>
          <w:color w:val="auto"/>
        </w:rPr>
      </w:pPr>
    </w:p>
    <w:p>
      <w:pPr>
        <w:ind w:left="1060" w:hanging="529"/>
        <w:spacing w:after="0"/>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bullion;</w:t>
      </w:r>
    </w:p>
    <w:p>
      <w:pPr>
        <w:spacing w:after="0" w:line="206" w:lineRule="exact"/>
        <w:rPr>
          <w:rFonts w:ascii="Courier New" w:cs="Courier New" w:eastAsia="Courier New" w:hAnsi="Courier New"/>
          <w:sz w:val="18"/>
          <w:szCs w:val="18"/>
          <w:color w:val="auto"/>
        </w:rPr>
      </w:pPr>
    </w:p>
    <w:p>
      <w:pPr>
        <w:jc w:val="both"/>
        <w:ind w:right="1999" w:firstLine="531"/>
        <w:spacing w:after="0" w:line="236"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contracts or other documents evidencing obligations of the Trust unless such contract complies with Section 8.3 of the Declaration of Trust;</w:t>
      </w:r>
    </w:p>
    <w:p>
      <w:pPr>
        <w:spacing w:after="0" w:line="208" w:lineRule="exact"/>
        <w:rPr>
          <w:rFonts w:ascii="Courier New" w:cs="Courier New" w:eastAsia="Courier New" w:hAnsi="Courier New"/>
          <w:sz w:val="18"/>
          <w:szCs w:val="18"/>
          <w:color w:val="auto"/>
        </w:rPr>
      </w:pPr>
    </w:p>
    <w:p>
      <w:pPr>
        <w:ind w:right="1879" w:firstLine="531"/>
        <w:spacing w:after="0" w:line="270" w:lineRule="auto"/>
        <w:tabs>
          <w:tab w:leader="none" w:pos="105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debt Securities (other than: (a) commercial paper having a maturity not in excess of two hundred seventy (270) days from its issuance, or (b) Securities issued in a transaction exempt from registration under the Securities Act of 1933, as from time to time amended, as a transaction by an issuer not involving any public offering) unless the historical cash flow, or the substantiated future cash flow of the Trust, giving effect to the receipt of and investment of the proceeds of the offering of debt Securities (excluding in each case extraordinary items), is sufficient in the opinion of the Trustees to cover the interest on such debt Securities. The Trustees shall receive and may rely upon a certificate of a financial officer of the Trust as to the computations contemplated by the preceding sentence prior to issuing such debt Securities;</w:t>
      </w: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9899"/>
          </w:cols>
          <w:pgMar w:left="560" w:top="520" w:right="1440" w:bottom="1440" w:gutter="0" w:footer="0" w:header="0"/>
        </w:sectPr>
      </w:pPr>
    </w:p>
    <w:bookmarkStart w:id="44" w:name="page45"/>
    <w:bookmarkEnd w:id="44"/>
    <w:p>
      <w:pPr>
        <w:ind w:right="2319" w:firstLine="531"/>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any Real Property which is subject to a Mortgage or other encumbrance to other than a bank, insurance company, pension fund, institutional lender or corporation engaged in the business of Mortgage investments, except in the case of a purchase money Mortgage;</w:t>
      </w:r>
    </w:p>
    <w:p>
      <w:pPr>
        <w:spacing w:after="0" w:line="207" w:lineRule="exact"/>
        <w:rPr>
          <w:rFonts w:ascii="Courier New" w:cs="Courier New" w:eastAsia="Courier New" w:hAnsi="Courier New"/>
          <w:sz w:val="18"/>
          <w:szCs w:val="18"/>
          <w:color w:val="auto"/>
        </w:rPr>
      </w:pPr>
    </w:p>
    <w:p>
      <w:pPr>
        <w:ind w:right="1879" w:firstLine="531"/>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any Mortgage on unimproved Real Property or in any Mortgage other than a first Mortgage not in a greater percentage of value as confirmed by a competent independent appraiser, than permitted under local law to a savings and loan association.</w:t>
      </w:r>
    </w:p>
    <w:p>
      <w:pPr>
        <w:spacing w:after="0" w:line="202" w:lineRule="exact"/>
        <w:rPr>
          <w:sz w:val="20"/>
          <w:szCs w:val="20"/>
          <w:color w:val="auto"/>
        </w:rPr>
      </w:pPr>
    </w:p>
    <w:p>
      <w:pPr>
        <w:ind w:left="320"/>
        <w:spacing w:after="0"/>
        <w:tabs>
          <w:tab w:leader="none" w:pos="2100" w:val="left"/>
          <w:tab w:leader="none" w:pos="472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8"/>
          <w:szCs w:val="18"/>
          <w:color w:val="auto"/>
        </w:rPr>
        <w:t>Investment Criteria.</w:t>
      </w:r>
      <w:r>
        <w:rPr>
          <w:sz w:val="20"/>
          <w:szCs w:val="20"/>
          <w:color w:val="auto"/>
        </w:rPr>
        <w:tab/>
      </w:r>
      <w:r>
        <w:rPr>
          <w:rFonts w:ascii="Courier New" w:cs="Courier New" w:eastAsia="Courier New" w:hAnsi="Courier New"/>
          <w:sz w:val="16"/>
          <w:szCs w:val="16"/>
          <w:color w:val="auto"/>
        </w:rPr>
        <w:t>The following are the</w:t>
      </w:r>
    </w:p>
    <w:p>
      <w:pPr>
        <w:spacing w:after="0" w:line="238" w:lineRule="auto"/>
        <w:rPr>
          <w:sz w:val="20"/>
          <w:szCs w:val="20"/>
          <w:color w:val="auto"/>
        </w:rPr>
      </w:pPr>
      <w:r>
        <w:rPr>
          <w:rFonts w:ascii="Courier New" w:cs="Courier New" w:eastAsia="Courier New" w:hAnsi="Courier New"/>
          <w:sz w:val="18"/>
          <w:szCs w:val="18"/>
          <w:color w:val="auto"/>
        </w:rPr>
        <w:t>Investment Criteria of the Trust:</w:t>
      </w:r>
    </w:p>
    <w:p>
      <w:pPr>
        <w:spacing w:after="0" w:line="207" w:lineRule="exact"/>
        <w:rPr>
          <w:sz w:val="20"/>
          <w:szCs w:val="20"/>
          <w:color w:val="auto"/>
        </w:rPr>
      </w:pPr>
    </w:p>
    <w:p>
      <w:pPr>
        <w:ind w:right="1999" w:firstLine="531"/>
        <w:spacing w:after="0" w:line="23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Shopping Centers - The minimum size for a shopping center is one hundred thousand (100,000) square feet, unless the center is adjacent to an existing Trust property or part of a multiple property purchase.</w:t>
      </w:r>
    </w:p>
    <w:p>
      <w:pPr>
        <w:spacing w:after="0" w:line="208" w:lineRule="exact"/>
        <w:rPr>
          <w:rFonts w:ascii="Courier New" w:cs="Courier New" w:eastAsia="Courier New" w:hAnsi="Courier New"/>
          <w:sz w:val="18"/>
          <w:szCs w:val="18"/>
          <w:color w:val="auto"/>
        </w:rPr>
      </w:pPr>
    </w:p>
    <w:p>
      <w:pPr>
        <w:ind w:right="2099" w:firstLine="531"/>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Apartment Buildings - The minimum size for an apartment building is two hundred (200) units.</w:t>
      </w:r>
    </w:p>
    <w:p>
      <w:pPr>
        <w:spacing w:after="0" w:line="208" w:lineRule="exact"/>
        <w:rPr>
          <w:rFonts w:ascii="Courier New" w:cs="Courier New" w:eastAsia="Courier New" w:hAnsi="Courier New"/>
          <w:sz w:val="18"/>
          <w:szCs w:val="18"/>
          <w:color w:val="auto"/>
        </w:rPr>
      </w:pPr>
    </w:p>
    <w:p>
      <w:pPr>
        <w:ind w:right="1879" w:firstLine="531"/>
        <w:spacing w:after="0" w:line="273" w:lineRule="auto"/>
        <w:tabs>
          <w:tab w:leader="none" w:pos="105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Geographic Limitations - Investments will only be made in properties located within a fifty (50) mile radius of major metropolitan areas east of the Mississippi River with a minimum population of one hundred fifty thousand (150,000), except for apartment buildings which will only be acquired within a two hundred (200) mile radius of Washington, D.C.</w:t>
      </w:r>
    </w:p>
    <w:p>
      <w:pPr>
        <w:spacing w:after="0" w:line="184" w:lineRule="exact"/>
        <w:rPr>
          <w:rFonts w:ascii="Courier New" w:cs="Courier New" w:eastAsia="Courier New" w:hAnsi="Courier New"/>
          <w:sz w:val="16"/>
          <w:szCs w:val="16"/>
          <w:color w:val="auto"/>
        </w:rPr>
      </w:pPr>
    </w:p>
    <w:p>
      <w:pPr>
        <w:ind w:right="1999" w:firstLine="531"/>
        <w:spacing w:after="0" w:line="236"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Development of Shopping Centers - New development of shopping centers is authorized and raw land may be acquired for the sole purpose of new development of shopping centers.</w:t>
      </w:r>
    </w:p>
    <w:p>
      <w:pPr>
        <w:spacing w:after="0" w:line="208" w:lineRule="exact"/>
        <w:rPr>
          <w:rFonts w:ascii="Courier New" w:cs="Courier New" w:eastAsia="Courier New" w:hAnsi="Courier New"/>
          <w:sz w:val="18"/>
          <w:szCs w:val="18"/>
          <w:color w:val="auto"/>
        </w:rPr>
      </w:pPr>
    </w:p>
    <w:p>
      <w:pPr>
        <w:ind w:right="1879" w:firstLine="531"/>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Interest - No less than a fifty-one percent (51%) interest in any property will be acquired, unless such lesser interest has total control over financing, operations, sale, and other matters relating to the business conducted on the property.</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Any person covered by Section 8.9 of the Declaration of Trust who desires to acquire a property which meets the Investment Criteria of the</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9899"/>
          </w:cols>
          <w:pgMar w:left="560" w:top="520" w:right="1440" w:bottom="1440" w:gutter="0" w:footer="0" w:header="0"/>
        </w:sectPr>
      </w:pPr>
    </w:p>
    <w:bookmarkStart w:id="45" w:name="page46"/>
    <w:bookmarkEnd w:id="45"/>
    <w:p>
      <w:pPr>
        <w:ind w:right="1879"/>
        <w:spacing w:after="0" w:line="237" w:lineRule="auto"/>
        <w:rPr>
          <w:sz w:val="20"/>
          <w:szCs w:val="20"/>
          <w:color w:val="auto"/>
        </w:rPr>
      </w:pPr>
      <w:r>
        <w:rPr>
          <w:rFonts w:ascii="Courier New" w:cs="Courier New" w:eastAsia="Courier New" w:hAnsi="Courier New"/>
          <w:sz w:val="18"/>
          <w:szCs w:val="18"/>
          <w:color w:val="auto"/>
        </w:rPr>
        <w:t>Trust must either notify the President of the Trust of the proposed acquisition so that it may be considered at the next regularly scheduled or special meeting of the Trustees or include in the purchase contract relating to such property a stipulation that the Trust has the right of first refusal regarding the property and may be the purchaser.</w:t>
      </w:r>
    </w:p>
    <w:p>
      <w:pPr>
        <w:spacing w:after="0" w:line="203" w:lineRule="exact"/>
        <w:rPr>
          <w:sz w:val="20"/>
          <w:szCs w:val="20"/>
          <w:color w:val="auto"/>
        </w:rPr>
      </w:pPr>
    </w:p>
    <w:p>
      <w:pPr>
        <w:ind w:left="2420"/>
        <w:spacing w:after="0"/>
        <w:tabs>
          <w:tab w:leader="none" w:pos="3680" w:val="left"/>
        </w:tabs>
        <w:rPr>
          <w:sz w:val="20"/>
          <w:szCs w:val="20"/>
          <w:color w:val="auto"/>
        </w:rPr>
      </w:pPr>
      <w:r>
        <w:rPr>
          <w:rFonts w:ascii="Courier New" w:cs="Courier New" w:eastAsia="Courier New" w:hAnsi="Courier New"/>
          <w:sz w:val="18"/>
          <w:szCs w:val="18"/>
          <w:color w:val="auto"/>
        </w:rPr>
        <w:t>ARTICLE V.</w:t>
      </w:r>
      <w:r>
        <w:rPr>
          <w:sz w:val="20"/>
          <w:szCs w:val="20"/>
          <w:color w:val="auto"/>
        </w:rPr>
        <w:tab/>
      </w:r>
      <w:r>
        <w:rPr>
          <w:rFonts w:ascii="Courier New" w:cs="Courier New" w:eastAsia="Courier New" w:hAnsi="Courier New"/>
          <w:sz w:val="16"/>
          <w:szCs w:val="16"/>
          <w:color w:val="auto"/>
        </w:rPr>
        <w:t>GENERAL PROVISIONS</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Section 5.1. Capitalized Terms. Except as otherwise provided herein, the capitalized terms used in these Bylaws shall have the same meanings in Section 1.4 of the Trust's Third Amended and Restated Declaration of Trust.</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5.2. Amendment. These Bylaws may be amended, modified, repealed, or added to only by vote of at least two-thirds (2/3) of the Trustees, such vote to be given at a meeting of the Trustees for which at least forty-eight (48) hours notice was given specifying the proposed change to these Bylaws, unless such change is approved by the written consent of all of the Trustees.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5.3. Severance. All provisions of these Bylaws shall be construed, insofar as possible, as supplemental to and consistent with the Declaration of Trust. If any Section, clause or provision of these Bylaws, or the application thereof, shall be held to be invalid by any federal or state court having jurisdiction over the issue, such invalidity shall not affect any other Section, clause or provision of these Bylaws or their application, except to the extent necessary to comply with the determination of such court.</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Section 5.4. Lost, Mutilated or Destroyed Certificates. The Trust shall issue a new certificate to replace a previously issued certificate which has been lost, mutilated or destroyed upon receipt of an affidavit from the registered owner of such certificate reciting the facts and circumstances regarding such loss, mutilation or destruction and a bond sufficient to indemnify the Trust against any claim that may be made against it on account of such loss, mutilation or destruction.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9899"/>
          </w:cols>
          <w:pgMar w:left="560" w:top="520" w:right="1440" w:bottom="1440" w:gutter="0" w:footer="0" w:header="0"/>
        </w:sectPr>
      </w:pPr>
    </w:p>
    <w:bookmarkStart w:id="46" w:name="page47"/>
    <w:bookmarkEnd w:id="46"/>
    <w:p>
      <w:pPr>
        <w:ind w:right="1879" w:firstLine="316"/>
        <w:spacing w:after="0" w:line="237" w:lineRule="auto"/>
        <w:rPr>
          <w:sz w:val="20"/>
          <w:szCs w:val="20"/>
          <w:color w:val="auto"/>
        </w:rPr>
      </w:pPr>
      <w:r>
        <w:rPr>
          <w:rFonts w:ascii="Courier New" w:cs="Courier New" w:eastAsia="Courier New" w:hAnsi="Courier New"/>
          <w:sz w:val="18"/>
          <w:szCs w:val="18"/>
          <w:color w:val="auto"/>
        </w:rPr>
        <w:t>Section 5.5. Inspection of Trust Records. The share register, the books of accounts and the minutes of the proceedings of the Trust's shareholders and its Trustees shall be open at any reasonable time during normal business hours upon the demand of any person who is the record owner of ten percent (10%) or more of the outstanding Shares. Such inspection may be made in person or by an agent or attorney and only for a purpose reasonably related to such shareholder's interests as a shareholder. Demand of inspection other than at a shareholder's meeting shall be made in writing delivered to the Trust.</w:t>
      </w:r>
    </w:p>
    <w:p>
      <w:pPr>
        <w:spacing w:after="0" w:line="214"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Section 5.6. Effective Date. These Bylaws have been adopted by the Trustees effective at the close of business on February 11, 1985.</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28, 1986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10, 1990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3, 1994</w:t>
      </w:r>
    </w:p>
    <w:p>
      <w:pPr>
        <w:spacing w:after="0" w:line="200" w:lineRule="exact"/>
        <w:rPr>
          <w:sz w:val="20"/>
          <w:szCs w:val="20"/>
          <w:color w:val="auto"/>
        </w:rPr>
      </w:pPr>
    </w:p>
    <w:p>
      <w:pPr>
        <w:sectPr>
          <w:pgSz w:w="11900" w:h="16838" w:orient="portrait"/>
          <w:cols w:equalWidth="0" w:num="2">
            <w:col w:w="1400" w:space="720"/>
            <w:col w:w="7779"/>
          </w:cols>
          <w:pgMar w:left="56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9899"/>
          </w:cols>
          <w:pgMar w:left="560" w:top="520" w:right="1440" w:bottom="1440" w:gutter="0" w:footer="0" w:header="0"/>
          <w:type w:val="continuous"/>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301"/>
    </w:lvl>
  </w:abstractNum>
  <w:abstractNum w:abstractNumId="1">
    <w:nsid w:val="3D1B58BA"/>
    <w:multiLevelType w:val="hybridMultilevel"/>
    <w:lvl w:ilvl="0">
      <w:lvlJc w:val="left"/>
      <w:lvlText w:val="(%1)"/>
      <w:numFmt w:val="upperLetter"/>
      <w:start w:val="2"/>
    </w:lvl>
  </w:abstractNum>
  <w:abstractNum w:abstractNumId="2">
    <w:nsid w:val="507ED7AB"/>
    <w:multiLevelType w:val="hybridMultilevel"/>
    <w:lvl w:ilvl="0">
      <w:lvlJc w:val="left"/>
      <w:lvlText w:val="(%1)"/>
      <w:numFmt w:val="decimal"/>
      <w:start w:val="10"/>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7"/>
    </w:lvl>
  </w:abstractNum>
  <w:abstractNum w:abstractNumId="7">
    <w:nsid w:val="515F007C"/>
    <w:multiLevelType w:val="hybridMultilevel"/>
    <w:lvl w:ilvl="0">
      <w:lvlJc w:val="left"/>
      <w:lvlText w:val="(%1)"/>
      <w:numFmt w:val="lowerLetter"/>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2019-12-13T01:03:23Z</dcterms:created>
  <dcterms:modified xsi:type="dcterms:W3CDTF">2019-12-13T01:03:23Z</dcterms:modified>
</cp:coreProperties>
</file>