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6"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Washington, D.C. 20549</w:t>
      </w:r>
    </w:p>
    <w:p>
      <w:pPr>
        <w:spacing w:after="0" w:line="143"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FORM 8-K</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CURRENT REPORT</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180" w:lineRule="exact"/>
        <w:rPr>
          <w:sz w:val="24"/>
          <w:szCs w:val="24"/>
          <w:color w:val="auto"/>
        </w:rPr>
      </w:pPr>
    </w:p>
    <w:p>
      <w:pPr>
        <w:ind w:left="600"/>
        <w:spacing w:after="0"/>
        <w:rPr>
          <w:sz w:val="20"/>
          <w:szCs w:val="20"/>
          <w:color w:val="auto"/>
        </w:rPr>
      </w:pPr>
      <w:r>
        <w:rPr>
          <w:rFonts w:ascii="Courier New" w:cs="Courier New" w:eastAsia="Courier New" w:hAnsi="Courier New"/>
          <w:sz w:val="15"/>
          <w:szCs w:val="15"/>
          <w:color w:val="auto"/>
        </w:rPr>
        <w:t>Date of Report (Date of earliest event reported) November 18, 2002</w:t>
      </w:r>
    </w:p>
    <w:p>
      <w:pPr>
        <w:spacing w:after="0" w:line="339"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25"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t>
      </w: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545" w:right="1440" w:bottom="1440" w:gutter="0" w:footer="0" w:header="0"/>
        </w:sectPr>
      </w:pPr>
    </w:p>
    <w:p>
      <w:pPr>
        <w:spacing w:after="0" w:line="313"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Maryland</w:t>
      </w:r>
    </w:p>
    <w:p>
      <w:pPr>
        <w:spacing w:after="0" w:line="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11"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1-07533</w:t>
      </w:r>
    </w:p>
    <w:p>
      <w:pPr>
        <w:spacing w:after="0" w:line="2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w:t>
      </w: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52-0782497</w:t>
      </w:r>
    </w:p>
    <w:p>
      <w:pPr>
        <w:spacing w:after="0" w:line="25"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(IRS Employer</w:t>
      </w:r>
    </w:p>
    <w:p>
      <w:pPr>
        <w:spacing w:after="0"/>
        <w:rPr>
          <w:sz w:val="20"/>
          <w:szCs w:val="20"/>
          <w:color w:val="auto"/>
        </w:rPr>
      </w:pPr>
      <w:r>
        <w:rPr>
          <w:rFonts w:ascii="Courier New" w:cs="Courier New" w:eastAsia="Courier New" w:hAnsi="Courier New"/>
          <w:sz w:val="14"/>
          <w:szCs w:val="14"/>
          <w:color w:val="auto"/>
        </w:rPr>
        <w:t>Identification No.)</w:t>
      </w:r>
    </w:p>
    <w:p>
      <w:pPr>
        <w:spacing w:after="0" w:line="211" w:lineRule="exact"/>
        <w:rPr>
          <w:sz w:val="24"/>
          <w:szCs w:val="24"/>
          <w:color w:val="auto"/>
        </w:rPr>
      </w:pPr>
    </w:p>
    <w:p>
      <w:pPr>
        <w:sectPr>
          <w:pgSz w:w="11900" w:h="16838" w:orient="portrait"/>
          <w:cols w:equalWidth="0" w:num="3">
            <w:col w:w="2460" w:space="700"/>
            <w:col w:w="1480" w:space="720"/>
            <w:col w:w="4859"/>
          </w:cols>
          <w:pgMar w:left="240" w:top="545" w:right="1440" w:bottom="1440" w:gutter="0" w:footer="0" w:header="0"/>
          <w:type w:val="continuous"/>
        </w:sectPr>
      </w:pPr>
    </w:p>
    <w:p>
      <w:pPr>
        <w:spacing w:after="0" w:line="113" w:lineRule="exact"/>
        <w:rPr>
          <w:sz w:val="24"/>
          <w:szCs w:val="24"/>
          <w:color w:val="auto"/>
        </w:rPr>
      </w:pPr>
    </w:p>
    <w:p>
      <w:pPr>
        <w:ind w:left="1320" w:hanging="352"/>
        <w:spacing w:after="0" w:line="389" w:lineRule="auto"/>
        <w:rPr>
          <w:sz w:val="20"/>
          <w:szCs w:val="20"/>
          <w:color w:val="auto"/>
        </w:rPr>
      </w:pPr>
      <w:r>
        <w:rPr>
          <w:rFonts w:ascii="Courier New" w:cs="Courier New" w:eastAsia="Courier New" w:hAnsi="Courier New"/>
          <w:sz w:val="14"/>
          <w:szCs w:val="14"/>
          <w:color w:val="auto"/>
        </w:rPr>
        <w:t>1626 East Jefferson Street, Rockville, Maryland (Address of principal executive offices)</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20852-4041</w:t>
      </w:r>
    </w:p>
    <w:p>
      <w:pPr>
        <w:spacing w:after="0" w:line="3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324" w:lineRule="exact"/>
        <w:rPr>
          <w:sz w:val="24"/>
          <w:szCs w:val="24"/>
          <w:color w:val="auto"/>
        </w:rPr>
      </w:pPr>
    </w:p>
    <w:p>
      <w:pPr>
        <w:sectPr>
          <w:pgSz w:w="11900" w:h="16838" w:orient="portrait"/>
          <w:cols w:equalWidth="0" w:num="2">
            <w:col w:w="5100" w:space="260"/>
            <w:col w:w="4859"/>
          </w:cols>
          <w:pgMar w:left="240" w:top="545"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Registrant's telephone number including area code: 301/998-8100</w:t>
      </w:r>
    </w:p>
    <w:p>
      <w:pPr>
        <w:sectPr>
          <w:pgSz w:w="11900" w:h="16838" w:orient="portrait"/>
          <w:cols w:equalWidth="0" w:num="1">
            <w:col w:w="10219"/>
          </w:cols>
          <w:pgMar w:left="240" w:top="545"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Item 7. Financial Statements and Exhibits.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Exhibits</w:t>
      </w:r>
    </w:p>
    <w:p>
      <w:pPr>
        <w:spacing w:after="0" w:line="169" w:lineRule="exact"/>
        <w:rPr>
          <w:sz w:val="20"/>
          <w:szCs w:val="20"/>
          <w:color w:val="auto"/>
        </w:rPr>
      </w:pPr>
    </w:p>
    <w:p>
      <w:pPr>
        <w:ind w:right="3699"/>
        <w:spacing w:after="0" w:line="276" w:lineRule="auto"/>
        <w:rPr>
          <w:sz w:val="20"/>
          <w:szCs w:val="20"/>
          <w:color w:val="auto"/>
        </w:rPr>
      </w:pPr>
      <w:r>
        <w:rPr>
          <w:rFonts w:ascii="Courier New" w:cs="Courier New" w:eastAsia="Courier New" w:hAnsi="Courier New"/>
          <w:sz w:val="14"/>
          <w:szCs w:val="14"/>
          <w:color w:val="auto"/>
        </w:rPr>
        <w:t>The exhibits listed in the following index relate to an offering under the Registrant's Registration Statements on Form S-3 (No. 333-97945 and No.</w:t>
      </w:r>
    </w:p>
    <w:p>
      <w:pPr>
        <w:ind w:right="3439"/>
        <w:spacing w:after="0" w:line="275" w:lineRule="auto"/>
        <w:rPr>
          <w:sz w:val="20"/>
          <w:szCs w:val="20"/>
          <w:color w:val="auto"/>
        </w:rPr>
      </w:pPr>
      <w:r>
        <w:rPr>
          <w:rFonts w:ascii="Courier New" w:cs="Courier New" w:eastAsia="Courier New" w:hAnsi="Courier New"/>
          <w:sz w:val="15"/>
          <w:szCs w:val="15"/>
          <w:color w:val="auto"/>
        </w:rPr>
        <w:t>333-63619) and each is filed herewith for incorporation by reference in such Registration Statements. The following table constitutes the exhibit index to this Current Report on Form 8-K.</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6000" w:type="dxa"/>
            <w:vAlign w:val="bottom"/>
          </w:tcPr>
          <w:p>
            <w:pPr>
              <w:ind w:left="100"/>
              <w:spacing w:after="0"/>
              <w:rPr>
                <w:sz w:val="20"/>
                <w:szCs w:val="20"/>
                <w:color w:val="auto"/>
              </w:rPr>
            </w:pPr>
            <w:r>
              <w:rPr>
                <w:rFonts w:ascii="Courier New" w:cs="Courier New" w:eastAsia="Courier New" w:hAnsi="Courier New"/>
                <w:sz w:val="15"/>
                <w:szCs w:val="15"/>
                <w:color w:val="auto"/>
              </w:rPr>
              <w:t>Description</w:t>
            </w:r>
          </w:p>
        </w:tc>
      </w:tr>
      <w:tr>
        <w:trPr>
          <w:trHeight w:val="246"/>
        </w:trPr>
        <w:tc>
          <w:tcPr>
            <w:tcW w:w="1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000" w:type="dxa"/>
            <w:vAlign w:val="bottom"/>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262"/>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6000" w:type="dxa"/>
            <w:vAlign w:val="bottom"/>
          </w:tcPr>
          <w:p>
            <w:pPr>
              <w:ind w:left="100"/>
              <w:spacing w:after="0"/>
              <w:rPr>
                <w:sz w:val="20"/>
                <w:szCs w:val="20"/>
                <w:color w:val="auto"/>
              </w:rPr>
            </w:pPr>
            <w:r>
              <w:rPr>
                <w:rFonts w:ascii="Courier New" w:cs="Courier New" w:eastAsia="Courier New" w:hAnsi="Courier New"/>
                <w:sz w:val="15"/>
                <w:szCs w:val="15"/>
                <w:color w:val="auto"/>
              </w:rPr>
              <w:t>Underwriting Agreement, dated November 14, 2002, by and among the</w:t>
            </w:r>
          </w:p>
        </w:tc>
      </w:tr>
      <w:tr>
        <w:trPr>
          <w:trHeight w:val="170"/>
        </w:trPr>
        <w:tc>
          <w:tcPr>
            <w:tcW w:w="1220" w:type="dxa"/>
            <w:vAlign w:val="bottom"/>
          </w:tcPr>
          <w:p>
            <w:pPr>
              <w:spacing w:after="0"/>
              <w:rPr>
                <w:sz w:val="14"/>
                <w:szCs w:val="14"/>
                <w:color w:val="auto"/>
              </w:rPr>
            </w:pPr>
          </w:p>
        </w:tc>
        <w:tc>
          <w:tcPr>
            <w:tcW w:w="6000" w:type="dxa"/>
            <w:vAlign w:val="bottom"/>
          </w:tcPr>
          <w:p>
            <w:pPr>
              <w:ind w:left="100"/>
              <w:spacing w:after="0"/>
              <w:rPr>
                <w:sz w:val="20"/>
                <w:szCs w:val="20"/>
                <w:color w:val="auto"/>
              </w:rPr>
            </w:pPr>
            <w:r>
              <w:rPr>
                <w:rFonts w:ascii="Courier New" w:cs="Courier New" w:eastAsia="Courier New" w:hAnsi="Courier New"/>
                <w:sz w:val="15"/>
                <w:szCs w:val="15"/>
                <w:color w:val="auto"/>
              </w:rPr>
              <w:t>Registrant and Merrill Lynch, Pierce, Fenner &amp; Smith</w:t>
            </w:r>
          </w:p>
        </w:tc>
      </w:tr>
      <w:tr>
        <w:trPr>
          <w:trHeight w:val="170"/>
        </w:trPr>
        <w:tc>
          <w:tcPr>
            <w:tcW w:w="1220" w:type="dxa"/>
            <w:vAlign w:val="bottom"/>
          </w:tcPr>
          <w:p>
            <w:pPr>
              <w:spacing w:after="0"/>
              <w:rPr>
                <w:sz w:val="14"/>
                <w:szCs w:val="14"/>
                <w:color w:val="auto"/>
              </w:rPr>
            </w:pPr>
          </w:p>
        </w:tc>
        <w:tc>
          <w:tcPr>
            <w:tcW w:w="6000" w:type="dxa"/>
            <w:vAlign w:val="bottom"/>
          </w:tcPr>
          <w:p>
            <w:pPr>
              <w:ind w:left="100"/>
              <w:spacing w:after="0"/>
              <w:rPr>
                <w:sz w:val="20"/>
                <w:szCs w:val="20"/>
                <w:color w:val="auto"/>
              </w:rPr>
            </w:pPr>
            <w:r>
              <w:rPr>
                <w:rFonts w:ascii="Courier New" w:cs="Courier New" w:eastAsia="Courier New" w:hAnsi="Courier New"/>
                <w:sz w:val="15"/>
                <w:szCs w:val="15"/>
                <w:color w:val="auto"/>
              </w:rPr>
              <w:t>Incorporated, Salomon Smith Barney Inc. and Wachovia Securities,</w:t>
            </w:r>
          </w:p>
        </w:tc>
      </w:tr>
      <w:tr>
        <w:trPr>
          <w:trHeight w:val="246"/>
        </w:trPr>
        <w:tc>
          <w:tcPr>
            <w:tcW w:w="1220" w:type="dxa"/>
            <w:vAlign w:val="bottom"/>
          </w:tcPr>
          <w:p>
            <w:pPr>
              <w:spacing w:after="0"/>
              <w:rPr>
                <w:sz w:val="21"/>
                <w:szCs w:val="21"/>
                <w:color w:val="auto"/>
              </w:rPr>
            </w:pPr>
          </w:p>
        </w:tc>
        <w:tc>
          <w:tcPr>
            <w:tcW w:w="6000" w:type="dxa"/>
            <w:vAlign w:val="bottom"/>
          </w:tcPr>
          <w:p>
            <w:pPr>
              <w:ind w:left="100"/>
              <w:spacing w:after="0"/>
              <w:rPr>
                <w:sz w:val="20"/>
                <w:szCs w:val="20"/>
                <w:color w:val="auto"/>
              </w:rPr>
            </w:pPr>
            <w:r>
              <w:rPr>
                <w:rFonts w:ascii="Courier New" w:cs="Courier New" w:eastAsia="Courier New" w:hAnsi="Courier New"/>
                <w:sz w:val="15"/>
                <w:szCs w:val="15"/>
                <w:color w:val="auto"/>
              </w:rPr>
              <w:t>Inc., et al.</w:t>
            </w:r>
          </w:p>
        </w:tc>
      </w:tr>
      <w:tr>
        <w:trPr>
          <w:trHeight w:val="262"/>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6000" w:type="dxa"/>
            <w:vAlign w:val="bottom"/>
          </w:tcPr>
          <w:p>
            <w:pPr>
              <w:ind w:left="100"/>
              <w:spacing w:after="0"/>
              <w:rPr>
                <w:sz w:val="20"/>
                <w:szCs w:val="20"/>
                <w:color w:val="auto"/>
              </w:rPr>
            </w:pPr>
            <w:r>
              <w:rPr>
                <w:rFonts w:ascii="Courier New" w:cs="Courier New" w:eastAsia="Courier New" w:hAnsi="Courier New"/>
                <w:sz w:val="15"/>
                <w:szCs w:val="15"/>
                <w:color w:val="auto"/>
              </w:rPr>
              <w:t>Pricing Agreement, dated November 14, 2002, by and between the</w:t>
            </w:r>
          </w:p>
        </w:tc>
      </w:tr>
      <w:tr>
        <w:trPr>
          <w:trHeight w:val="246"/>
        </w:trPr>
        <w:tc>
          <w:tcPr>
            <w:tcW w:w="1220" w:type="dxa"/>
            <w:vAlign w:val="bottom"/>
          </w:tcPr>
          <w:p>
            <w:pPr>
              <w:spacing w:after="0"/>
              <w:rPr>
                <w:sz w:val="21"/>
                <w:szCs w:val="21"/>
                <w:color w:val="auto"/>
              </w:rPr>
            </w:pPr>
          </w:p>
        </w:tc>
        <w:tc>
          <w:tcPr>
            <w:tcW w:w="6000" w:type="dxa"/>
            <w:vAlign w:val="bottom"/>
          </w:tcPr>
          <w:p>
            <w:pPr>
              <w:ind w:left="100"/>
              <w:spacing w:after="0"/>
              <w:rPr>
                <w:sz w:val="20"/>
                <w:szCs w:val="20"/>
                <w:color w:val="auto"/>
              </w:rPr>
            </w:pPr>
            <w:r>
              <w:rPr>
                <w:rFonts w:ascii="Courier New" w:cs="Courier New" w:eastAsia="Courier New" w:hAnsi="Courier New"/>
                <w:sz w:val="15"/>
                <w:szCs w:val="15"/>
                <w:color w:val="auto"/>
              </w:rPr>
              <w:t>Registrants and Certain Underwriters named therein.</w:t>
            </w:r>
          </w:p>
        </w:tc>
      </w:tr>
      <w:tr>
        <w:trPr>
          <w:trHeight w:val="339"/>
        </w:trPr>
        <w:tc>
          <w:tcPr>
            <w:tcW w:w="1220" w:type="dxa"/>
            <w:vAlign w:val="bottom"/>
          </w:tcPr>
          <w:p>
            <w:pPr>
              <w:spacing w:after="0"/>
              <w:rPr>
                <w:sz w:val="20"/>
                <w:szCs w:val="20"/>
                <w:color w:val="auto"/>
              </w:rPr>
            </w:pPr>
            <w:r>
              <w:rPr>
                <w:rFonts w:ascii="Courier New" w:cs="Courier New" w:eastAsia="Courier New" w:hAnsi="Courier New"/>
                <w:sz w:val="15"/>
                <w:szCs w:val="15"/>
                <w:color w:val="auto"/>
              </w:rPr>
              <w:t>4.01</w:t>
            </w:r>
          </w:p>
        </w:tc>
        <w:tc>
          <w:tcPr>
            <w:tcW w:w="6000" w:type="dxa"/>
            <w:vAlign w:val="bottom"/>
          </w:tcPr>
          <w:p>
            <w:pPr>
              <w:ind w:left="100"/>
              <w:spacing w:after="0"/>
              <w:rPr>
                <w:sz w:val="20"/>
                <w:szCs w:val="20"/>
                <w:color w:val="auto"/>
              </w:rPr>
            </w:pPr>
            <w:r>
              <w:rPr>
                <w:rFonts w:ascii="Courier New" w:cs="Courier New" w:eastAsia="Courier New" w:hAnsi="Courier New"/>
                <w:sz w:val="15"/>
                <w:szCs w:val="15"/>
                <w:color w:val="auto"/>
              </w:rPr>
              <w:t>Form of 6 1/8% Note due November 15, 2007</w:t>
            </w:r>
          </w:p>
        </w:tc>
      </w:tr>
      <w:tr>
        <w:trPr>
          <w:trHeight w:val="262"/>
        </w:trPr>
        <w:tc>
          <w:tcPr>
            <w:tcW w:w="1220" w:type="dxa"/>
            <w:vAlign w:val="bottom"/>
          </w:tcPr>
          <w:p>
            <w:pPr>
              <w:spacing w:after="0"/>
              <w:rPr>
                <w:sz w:val="20"/>
                <w:szCs w:val="20"/>
                <w:color w:val="auto"/>
              </w:rPr>
            </w:pPr>
            <w:r>
              <w:rPr>
                <w:rFonts w:ascii="Courier New" w:cs="Courier New" w:eastAsia="Courier New" w:hAnsi="Courier New"/>
                <w:sz w:val="15"/>
                <w:szCs w:val="15"/>
                <w:color w:val="auto"/>
              </w:rPr>
              <w:t>5.01</w:t>
            </w:r>
          </w:p>
        </w:tc>
        <w:tc>
          <w:tcPr>
            <w:tcW w:w="6000" w:type="dxa"/>
            <w:vAlign w:val="bottom"/>
          </w:tcPr>
          <w:p>
            <w:pPr>
              <w:ind w:left="100"/>
              <w:spacing w:after="0"/>
              <w:rPr>
                <w:sz w:val="20"/>
                <w:szCs w:val="20"/>
                <w:color w:val="auto"/>
              </w:rPr>
            </w:pPr>
            <w:r>
              <w:rPr>
                <w:rFonts w:ascii="Courier New" w:cs="Courier New" w:eastAsia="Courier New" w:hAnsi="Courier New"/>
                <w:sz w:val="15"/>
                <w:szCs w:val="15"/>
                <w:color w:val="auto"/>
              </w:rPr>
              <w:t>Opinion of Shaw Pittman LLP relating to legality of 6 1/8% Notes</w:t>
            </w:r>
          </w:p>
        </w:tc>
      </w:tr>
      <w:tr>
        <w:trPr>
          <w:trHeight w:val="246"/>
        </w:trPr>
        <w:tc>
          <w:tcPr>
            <w:tcW w:w="1220" w:type="dxa"/>
            <w:vAlign w:val="bottom"/>
          </w:tcPr>
          <w:p>
            <w:pPr>
              <w:spacing w:after="0"/>
              <w:rPr>
                <w:sz w:val="21"/>
                <w:szCs w:val="21"/>
                <w:color w:val="auto"/>
              </w:rPr>
            </w:pPr>
          </w:p>
        </w:tc>
        <w:tc>
          <w:tcPr>
            <w:tcW w:w="6000" w:type="dxa"/>
            <w:vAlign w:val="bottom"/>
          </w:tcPr>
          <w:p>
            <w:pPr>
              <w:ind w:left="100"/>
              <w:spacing w:after="0"/>
              <w:rPr>
                <w:sz w:val="20"/>
                <w:szCs w:val="20"/>
                <w:color w:val="auto"/>
              </w:rPr>
            </w:pPr>
            <w:r>
              <w:rPr>
                <w:rFonts w:ascii="Courier New" w:cs="Courier New" w:eastAsia="Courier New" w:hAnsi="Courier New"/>
                <w:sz w:val="15"/>
                <w:szCs w:val="15"/>
                <w:color w:val="auto"/>
              </w:rPr>
              <w:t>due November 15, 2007</w:t>
            </w:r>
          </w:p>
        </w:tc>
      </w:tr>
      <w:tr>
        <w:trPr>
          <w:trHeight w:val="262"/>
        </w:trPr>
        <w:tc>
          <w:tcPr>
            <w:tcW w:w="1220" w:type="dxa"/>
            <w:vAlign w:val="bottom"/>
          </w:tcPr>
          <w:p>
            <w:pPr>
              <w:spacing w:after="0"/>
              <w:rPr>
                <w:sz w:val="20"/>
                <w:szCs w:val="20"/>
                <w:color w:val="auto"/>
              </w:rPr>
            </w:pPr>
            <w:r>
              <w:rPr>
                <w:rFonts w:ascii="Courier New" w:cs="Courier New" w:eastAsia="Courier New" w:hAnsi="Courier New"/>
                <w:sz w:val="15"/>
                <w:szCs w:val="15"/>
                <w:color w:val="auto"/>
              </w:rPr>
              <w:t>8.01</w:t>
            </w:r>
          </w:p>
        </w:tc>
        <w:tc>
          <w:tcPr>
            <w:tcW w:w="6000" w:type="dxa"/>
            <w:vAlign w:val="bottom"/>
          </w:tcPr>
          <w:p>
            <w:pPr>
              <w:ind w:left="100"/>
              <w:spacing w:after="0"/>
              <w:rPr>
                <w:sz w:val="20"/>
                <w:szCs w:val="20"/>
                <w:color w:val="auto"/>
              </w:rPr>
            </w:pPr>
            <w:r>
              <w:rPr>
                <w:rFonts w:ascii="Courier New" w:cs="Courier New" w:eastAsia="Courier New" w:hAnsi="Courier New"/>
                <w:sz w:val="15"/>
                <w:szCs w:val="15"/>
                <w:color w:val="auto"/>
              </w:rPr>
              <w:t>Opinion of Shaw Pittman LLP relating to material tax matters</w:t>
            </w:r>
          </w:p>
        </w:tc>
      </w:tr>
      <w:tr>
        <w:trPr>
          <w:trHeight w:val="246"/>
        </w:trPr>
        <w:tc>
          <w:tcPr>
            <w:tcW w:w="1220" w:type="dxa"/>
            <w:vAlign w:val="bottom"/>
          </w:tcPr>
          <w:p>
            <w:pPr>
              <w:spacing w:after="0"/>
              <w:rPr>
                <w:sz w:val="21"/>
                <w:szCs w:val="21"/>
                <w:color w:val="auto"/>
              </w:rPr>
            </w:pPr>
          </w:p>
        </w:tc>
        <w:tc>
          <w:tcPr>
            <w:tcW w:w="6000" w:type="dxa"/>
            <w:vAlign w:val="bottom"/>
          </w:tcPr>
          <w:p>
            <w:pPr>
              <w:ind w:left="100"/>
              <w:spacing w:after="0"/>
              <w:rPr>
                <w:sz w:val="20"/>
                <w:szCs w:val="20"/>
                <w:color w:val="auto"/>
              </w:rPr>
            </w:pPr>
            <w:r>
              <w:rPr>
                <w:rFonts w:ascii="Courier New" w:cs="Courier New" w:eastAsia="Courier New" w:hAnsi="Courier New"/>
                <w:sz w:val="15"/>
                <w:szCs w:val="15"/>
                <w:color w:val="auto"/>
              </w:rPr>
              <w:t>relating to the Registrant.</w:t>
            </w:r>
          </w:p>
        </w:tc>
      </w:tr>
      <w:tr>
        <w:trPr>
          <w:trHeight w:val="262"/>
        </w:trPr>
        <w:tc>
          <w:tcPr>
            <w:tcW w:w="1220" w:type="dxa"/>
            <w:vAlign w:val="bottom"/>
          </w:tcPr>
          <w:p>
            <w:pPr>
              <w:spacing w:after="0"/>
              <w:rPr>
                <w:sz w:val="20"/>
                <w:szCs w:val="20"/>
                <w:color w:val="auto"/>
              </w:rPr>
            </w:pPr>
            <w:r>
              <w:rPr>
                <w:rFonts w:ascii="Courier New" w:cs="Courier New" w:eastAsia="Courier New" w:hAnsi="Courier New"/>
                <w:sz w:val="15"/>
                <w:szCs w:val="15"/>
                <w:color w:val="auto"/>
              </w:rPr>
              <w:t>12.01</w:t>
            </w:r>
          </w:p>
        </w:tc>
        <w:tc>
          <w:tcPr>
            <w:tcW w:w="6000" w:type="dxa"/>
            <w:vAlign w:val="bottom"/>
          </w:tcPr>
          <w:p>
            <w:pPr>
              <w:ind w:left="100"/>
              <w:spacing w:after="0"/>
              <w:rPr>
                <w:sz w:val="20"/>
                <w:szCs w:val="20"/>
                <w:color w:val="auto"/>
              </w:rPr>
            </w:pPr>
            <w:r>
              <w:rPr>
                <w:rFonts w:ascii="Courier New" w:cs="Courier New" w:eastAsia="Courier New" w:hAnsi="Courier New"/>
                <w:sz w:val="15"/>
                <w:szCs w:val="15"/>
                <w:color w:val="auto"/>
              </w:rPr>
              <w:t>Statement Regarding Computation of Ratios of Earnings to Fixed</w:t>
            </w:r>
          </w:p>
        </w:tc>
      </w:tr>
      <w:tr>
        <w:trPr>
          <w:trHeight w:val="170"/>
        </w:trPr>
        <w:tc>
          <w:tcPr>
            <w:tcW w:w="1220" w:type="dxa"/>
            <w:vAlign w:val="bottom"/>
          </w:tcPr>
          <w:p>
            <w:pPr>
              <w:spacing w:after="0"/>
              <w:rPr>
                <w:sz w:val="14"/>
                <w:szCs w:val="14"/>
                <w:color w:val="auto"/>
              </w:rPr>
            </w:pPr>
          </w:p>
        </w:tc>
        <w:tc>
          <w:tcPr>
            <w:tcW w:w="6000" w:type="dxa"/>
            <w:vAlign w:val="bottom"/>
          </w:tcPr>
          <w:p>
            <w:pPr>
              <w:ind w:left="100"/>
              <w:spacing w:after="0"/>
              <w:rPr>
                <w:sz w:val="20"/>
                <w:szCs w:val="20"/>
                <w:color w:val="auto"/>
              </w:rPr>
            </w:pPr>
            <w:r>
              <w:rPr>
                <w:rFonts w:ascii="Courier New" w:cs="Courier New" w:eastAsia="Courier New" w:hAnsi="Courier New"/>
                <w:sz w:val="15"/>
                <w:szCs w:val="15"/>
                <w:color w:val="auto"/>
              </w:rPr>
              <w:t>Charges and of Ratios of Earnings to Combined Fixed Charges and</w:t>
            </w:r>
          </w:p>
        </w:tc>
      </w:tr>
      <w:tr>
        <w:trPr>
          <w:trHeight w:val="246"/>
        </w:trPr>
        <w:tc>
          <w:tcPr>
            <w:tcW w:w="1220" w:type="dxa"/>
            <w:vAlign w:val="bottom"/>
          </w:tcPr>
          <w:p>
            <w:pPr>
              <w:spacing w:after="0"/>
              <w:rPr>
                <w:sz w:val="21"/>
                <w:szCs w:val="21"/>
                <w:color w:val="auto"/>
              </w:rPr>
            </w:pPr>
          </w:p>
        </w:tc>
        <w:tc>
          <w:tcPr>
            <w:tcW w:w="6000" w:type="dxa"/>
            <w:vAlign w:val="bottom"/>
          </w:tcPr>
          <w:p>
            <w:pPr>
              <w:ind w:left="100"/>
              <w:spacing w:after="0"/>
              <w:rPr>
                <w:sz w:val="20"/>
                <w:szCs w:val="20"/>
                <w:color w:val="auto"/>
              </w:rPr>
            </w:pPr>
            <w:r>
              <w:rPr>
                <w:rFonts w:ascii="Courier New" w:cs="Courier New" w:eastAsia="Courier New" w:hAnsi="Courier New"/>
                <w:sz w:val="15"/>
                <w:szCs w:val="15"/>
                <w:color w:val="auto"/>
              </w:rPr>
              <w:t>Preferred Share Dividends.</w:t>
            </w:r>
          </w:p>
        </w:tc>
      </w:tr>
      <w:tr>
        <w:trPr>
          <w:trHeight w:val="262"/>
        </w:trPr>
        <w:tc>
          <w:tcPr>
            <w:tcW w:w="1220" w:type="dxa"/>
            <w:vAlign w:val="bottom"/>
          </w:tcPr>
          <w:p>
            <w:pPr>
              <w:spacing w:after="0"/>
              <w:rPr>
                <w:sz w:val="20"/>
                <w:szCs w:val="20"/>
                <w:color w:val="auto"/>
              </w:rPr>
            </w:pPr>
            <w:r>
              <w:rPr>
                <w:rFonts w:ascii="Courier New" w:cs="Courier New" w:eastAsia="Courier New" w:hAnsi="Courier New"/>
                <w:sz w:val="15"/>
                <w:szCs w:val="15"/>
                <w:color w:val="auto"/>
              </w:rPr>
              <w:t>23.01</w:t>
            </w:r>
          </w:p>
        </w:tc>
        <w:tc>
          <w:tcPr>
            <w:tcW w:w="6000" w:type="dxa"/>
            <w:vAlign w:val="bottom"/>
          </w:tcPr>
          <w:p>
            <w:pPr>
              <w:ind w:left="100"/>
              <w:spacing w:after="0"/>
              <w:rPr>
                <w:sz w:val="20"/>
                <w:szCs w:val="20"/>
                <w:color w:val="auto"/>
              </w:rPr>
            </w:pPr>
            <w:r>
              <w:rPr>
                <w:rFonts w:ascii="Courier New" w:cs="Courier New" w:eastAsia="Courier New" w:hAnsi="Courier New"/>
                <w:sz w:val="15"/>
                <w:szCs w:val="15"/>
                <w:color w:val="auto"/>
              </w:rPr>
              <w:t>Consents of Shaw Pittman LLP (contained in the opinions filed as</w:t>
            </w:r>
          </w:p>
        </w:tc>
      </w:tr>
      <w:tr>
        <w:trPr>
          <w:trHeight w:val="246"/>
        </w:trPr>
        <w:tc>
          <w:tcPr>
            <w:tcW w:w="1220" w:type="dxa"/>
            <w:vAlign w:val="bottom"/>
          </w:tcPr>
          <w:p>
            <w:pPr>
              <w:spacing w:after="0"/>
              <w:rPr>
                <w:sz w:val="21"/>
                <w:szCs w:val="21"/>
                <w:color w:val="auto"/>
              </w:rPr>
            </w:pPr>
          </w:p>
        </w:tc>
        <w:tc>
          <w:tcPr>
            <w:tcW w:w="6000" w:type="dxa"/>
            <w:vAlign w:val="bottom"/>
          </w:tcPr>
          <w:p>
            <w:pPr>
              <w:ind w:left="100"/>
              <w:spacing w:after="0"/>
              <w:rPr>
                <w:sz w:val="20"/>
                <w:szCs w:val="20"/>
                <w:color w:val="auto"/>
              </w:rPr>
            </w:pPr>
            <w:r>
              <w:rPr>
                <w:rFonts w:ascii="Courier New" w:cs="Courier New" w:eastAsia="Courier New" w:hAnsi="Courier New"/>
                <w:sz w:val="15"/>
                <w:szCs w:val="15"/>
                <w:color w:val="auto"/>
              </w:rPr>
              <w:t>Exhibits 5.01 and 8.01 hereto)</w:t>
            </w:r>
          </w:p>
        </w:tc>
      </w:tr>
      <w:tr>
        <w:trPr>
          <w:trHeight w:val="339"/>
        </w:trPr>
        <w:tc>
          <w:tcPr>
            <w:tcW w:w="1220" w:type="dxa"/>
            <w:vAlign w:val="bottom"/>
          </w:tcPr>
          <w:p>
            <w:pPr>
              <w:spacing w:after="0"/>
              <w:rPr>
                <w:sz w:val="20"/>
                <w:szCs w:val="20"/>
                <w:color w:val="auto"/>
              </w:rPr>
            </w:pPr>
            <w:r>
              <w:rPr>
                <w:rFonts w:ascii="Courier New" w:cs="Courier New" w:eastAsia="Courier New" w:hAnsi="Courier New"/>
                <w:sz w:val="15"/>
                <w:szCs w:val="15"/>
                <w:color w:val="auto"/>
              </w:rPr>
              <w:t>23.02</w:t>
            </w:r>
          </w:p>
        </w:tc>
        <w:tc>
          <w:tcPr>
            <w:tcW w:w="6000" w:type="dxa"/>
            <w:vAlign w:val="bottom"/>
          </w:tcPr>
          <w:p>
            <w:pPr>
              <w:ind w:left="100"/>
              <w:spacing w:after="0"/>
              <w:rPr>
                <w:sz w:val="20"/>
                <w:szCs w:val="20"/>
                <w:color w:val="auto"/>
              </w:rPr>
            </w:pPr>
            <w:r>
              <w:rPr>
                <w:rFonts w:ascii="Courier New" w:cs="Courier New" w:eastAsia="Courier New" w:hAnsi="Courier New"/>
                <w:sz w:val="15"/>
                <w:szCs w:val="15"/>
                <w:color w:val="auto"/>
              </w:rPr>
              <w:t>Omitted pursuant to Rule 437a under the Securities Act of 1933</w:t>
            </w:r>
          </w:p>
        </w:tc>
      </w:tr>
    </w:tbl>
    <w:p>
      <w:pPr>
        <w:sectPr>
          <w:pgSz w:w="11900" w:h="16838" w:orient="portrait"/>
          <w:cols w:equalWidth="0" w:num="1">
            <w:col w:w="10219"/>
          </w:cols>
          <w:pgMar w:left="240" w:top="601" w:right="1440" w:bottom="1440" w:gutter="0" w:footer="0" w:header="0"/>
        </w:sectPr>
      </w:pPr>
    </w:p>
    <w:bookmarkStart w:id="2" w:name="page3"/>
    <w:bookmarkEnd w:id="2"/>
    <w:p>
      <w:pPr>
        <w:ind w:left="3160"/>
        <w:spacing w:after="0"/>
        <w:rPr>
          <w:sz w:val="20"/>
          <w:szCs w:val="20"/>
          <w:color w:val="auto"/>
        </w:rPr>
      </w:pPr>
      <w:r>
        <w:rPr>
          <w:rFonts w:ascii="Courier New" w:cs="Courier New" w:eastAsia="Courier New" w:hAnsi="Courier New"/>
          <w:sz w:val="15"/>
          <w:szCs w:val="15"/>
          <w:color w:val="auto"/>
        </w:rPr>
        <w:t>SIGNATURE</w:t>
      </w:r>
    </w:p>
    <w:p>
      <w:pPr>
        <w:spacing w:after="0" w:line="169" w:lineRule="exact"/>
        <w:rPr>
          <w:sz w:val="20"/>
          <w:szCs w:val="20"/>
          <w:color w:val="auto"/>
        </w:rPr>
      </w:pPr>
    </w:p>
    <w:p>
      <w:pPr>
        <w:ind w:right="3179" w:firstLine="793"/>
        <w:spacing w:after="0" w:line="293" w:lineRule="auto"/>
        <w:rPr>
          <w:sz w:val="20"/>
          <w:szCs w:val="20"/>
          <w:color w:val="auto"/>
        </w:rPr>
      </w:pPr>
      <w:r>
        <w:rPr>
          <w:rFonts w:ascii="Courier New" w:cs="Courier New" w:eastAsia="Courier New" w:hAnsi="Courier New"/>
          <w:sz w:val="15"/>
          <w:szCs w:val="15"/>
          <w:color w:val="auto"/>
        </w:rPr>
        <w:t>Pursuant to the requirements of the Securities Exchange Act of 1934, as amended, the registrant has duly caused this report to be signed on its behalf by the undersigned, thereunto duly authorized.</w:t>
      </w:r>
    </w:p>
    <w:p>
      <w:pPr>
        <w:spacing w:after="0" w:line="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FEDERAL REALTY INVESTMENT TRUST</w:t>
      </w:r>
    </w:p>
    <w:p>
      <w:pPr>
        <w:sectPr>
          <w:pgSz w:w="11900" w:h="16838" w:orient="portrait"/>
          <w:cols w:equalWidth="0" w:num="1">
            <w:col w:w="10219"/>
          </w:cols>
          <w:pgMar w:left="240" w:top="601"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November 18,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Larry E. Finger</w:t>
      </w:r>
    </w:p>
    <w:p>
      <w:pPr>
        <w:spacing w:after="0" w:line="36" w:lineRule="exact"/>
        <w:rPr>
          <w:sz w:val="20"/>
          <w:szCs w:val="20"/>
          <w:color w:val="auto"/>
        </w:rPr>
      </w:pPr>
    </w:p>
    <w:p>
      <w:pPr>
        <w:sectPr>
          <w:pgSz w:w="11900" w:h="16838" w:orient="portrait"/>
          <w:cols w:equalWidth="0" w:num="3">
            <w:col w:w="2700" w:space="720"/>
            <w:col w:w="280" w:space="160"/>
            <w:col w:w="6359"/>
          </w:cols>
          <w:pgMar w:left="240" w:top="601" w:right="1440" w:bottom="1440" w:gutter="0" w:footer="0" w:header="0"/>
          <w:type w:val="continuous"/>
        </w:sectPr>
      </w:pPr>
    </w:p>
    <w:p>
      <w:pPr>
        <w:ind w:left="3700"/>
        <w:spacing w:after="0"/>
        <w:rPr>
          <w:sz w:val="20"/>
          <w:szCs w:val="20"/>
          <w:color w:val="auto"/>
        </w:rPr>
      </w:pPr>
      <w:r>
        <w:rPr>
          <w:rFonts w:ascii="Courier New" w:cs="Courier New" w:eastAsia="Courier New" w:hAnsi="Courier New"/>
          <w:sz w:val="15"/>
          <w:szCs w:val="15"/>
          <w:color w:val="auto"/>
        </w:rPr>
        <w:t>-------------------------</w:t>
      </w:r>
    </w:p>
    <w:p>
      <w:pPr>
        <w:ind w:left="4220"/>
        <w:spacing w:after="0"/>
        <w:rPr>
          <w:sz w:val="20"/>
          <w:szCs w:val="20"/>
          <w:color w:val="auto"/>
        </w:rPr>
      </w:pPr>
      <w:r>
        <w:rPr>
          <w:rFonts w:ascii="Courier New" w:cs="Courier New" w:eastAsia="Courier New" w:hAnsi="Courier New"/>
          <w:sz w:val="15"/>
          <w:szCs w:val="15"/>
          <w:color w:val="auto"/>
        </w:rPr>
        <w:t>Larry E. Finger</w:t>
      </w:r>
    </w:p>
    <w:p>
      <w:pPr>
        <w:ind w:left="4220"/>
        <w:spacing w:after="0"/>
        <w:rPr>
          <w:sz w:val="20"/>
          <w:szCs w:val="20"/>
          <w:color w:val="auto"/>
        </w:rPr>
      </w:pPr>
      <w:r>
        <w:rPr>
          <w:rFonts w:ascii="Courier New" w:cs="Courier New" w:eastAsia="Courier New" w:hAnsi="Courier New"/>
          <w:sz w:val="14"/>
          <w:szCs w:val="14"/>
          <w:color w:val="auto"/>
        </w:rPr>
        <w:t>Senior Vice President and</w:t>
      </w:r>
    </w:p>
    <w:p>
      <w:pPr>
        <w:spacing w:after="0" w:line="11"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Chief Financial Officer</w:t>
      </w:r>
    </w:p>
    <w:p>
      <w:pPr>
        <w:sectPr>
          <w:pgSz w:w="11900" w:h="16838" w:orient="portrait"/>
          <w:cols w:equalWidth="0" w:num="1">
            <w:col w:w="10219"/>
          </w:cols>
          <w:pgMar w:left="240" w:top="601" w:right="1440" w:bottom="1440" w:gutter="0" w:footer="0" w:header="0"/>
          <w:type w:val="continuous"/>
        </w:sectPr>
      </w:pPr>
    </w:p>
    <w:bookmarkStart w:id="3" w:name="page4"/>
    <w:bookmarkEnd w:id="3"/>
    <w:p>
      <w:pPr>
        <w:jc w:val="right"/>
        <w:ind w:right="3179"/>
        <w:spacing w:after="0"/>
        <w:rPr>
          <w:sz w:val="20"/>
          <w:szCs w:val="20"/>
          <w:color w:val="auto"/>
        </w:rPr>
      </w:pPr>
      <w:r>
        <w:rPr>
          <w:rFonts w:ascii="Courier New" w:cs="Courier New" w:eastAsia="Courier New" w:hAnsi="Courier New"/>
          <w:sz w:val="15"/>
          <w:szCs w:val="15"/>
          <w:color w:val="auto"/>
        </w:rPr>
        <w:t>Exhibit 1.01</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Execution Copy</w:t>
      </w:r>
    </w:p>
    <w:p>
      <w:pPr>
        <w:spacing w:after="0" w:line="14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Debt Securities</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Underwriting Agreement</w:t>
      </w:r>
    </w:p>
    <w:p>
      <w:pPr>
        <w:spacing w:after="0" w:line="169"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November 14, 2002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2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INCORPORATED</w:t>
      </w:r>
    </w:p>
    <w:p>
      <w:pPr>
        <w:spacing w:after="0"/>
        <w:rPr>
          <w:sz w:val="20"/>
          <w:szCs w:val="20"/>
          <w:color w:val="auto"/>
        </w:rPr>
      </w:pPr>
      <w:r>
        <w:rPr>
          <w:rFonts w:ascii="Courier New" w:cs="Courier New" w:eastAsia="Courier New" w:hAnsi="Courier New"/>
          <w:sz w:val="15"/>
          <w:szCs w:val="15"/>
          <w:color w:val="auto"/>
        </w:rPr>
        <w:t>SALOMON SMITH BARNEY INC.</w:t>
      </w:r>
    </w:p>
    <w:p>
      <w:pPr>
        <w:spacing w:after="0"/>
        <w:rPr>
          <w:sz w:val="20"/>
          <w:szCs w:val="20"/>
          <w:color w:val="auto"/>
        </w:rPr>
      </w:pPr>
      <w:r>
        <w:rPr>
          <w:rFonts w:ascii="Courier New" w:cs="Courier New" w:eastAsia="Courier New" w:hAnsi="Courier New"/>
          <w:sz w:val="15"/>
          <w:szCs w:val="15"/>
          <w:color w:val="auto"/>
        </w:rPr>
        <w:t>WACHOVIA SECURITIES, INC.</w:t>
      </w:r>
    </w:p>
    <w:p>
      <w:pPr>
        <w:spacing w:after="0"/>
        <w:rPr>
          <w:sz w:val="20"/>
          <w:szCs w:val="20"/>
          <w:color w:val="auto"/>
        </w:rPr>
      </w:pPr>
      <w:r>
        <w:rPr>
          <w:rFonts w:ascii="Courier New" w:cs="Courier New" w:eastAsia="Courier New" w:hAnsi="Courier New"/>
          <w:sz w:val="15"/>
          <w:szCs w:val="15"/>
          <w:color w:val="auto"/>
        </w:rPr>
        <w:t>COMMERZBANK CAPITAL MARKETS CORP.</w:t>
      </w:r>
    </w:p>
    <w:p>
      <w:pPr>
        <w:spacing w:after="0"/>
        <w:rPr>
          <w:sz w:val="20"/>
          <w:szCs w:val="20"/>
          <w:color w:val="auto"/>
        </w:rPr>
      </w:pPr>
      <w:r>
        <w:rPr>
          <w:rFonts w:ascii="Courier New" w:cs="Courier New" w:eastAsia="Courier New" w:hAnsi="Courier New"/>
          <w:sz w:val="15"/>
          <w:szCs w:val="15"/>
          <w:color w:val="auto"/>
        </w:rPr>
        <w:t>BANC OF AMERICA SECURITIES LLC</w:t>
      </w:r>
    </w:p>
    <w:p>
      <w:pPr>
        <w:spacing w:after="0"/>
        <w:rPr>
          <w:sz w:val="20"/>
          <w:szCs w:val="20"/>
          <w:color w:val="auto"/>
        </w:rPr>
      </w:pPr>
      <w:r>
        <w:rPr>
          <w:rFonts w:ascii="Courier New" w:cs="Courier New" w:eastAsia="Courier New" w:hAnsi="Courier New"/>
          <w:sz w:val="15"/>
          <w:szCs w:val="15"/>
          <w:color w:val="auto"/>
        </w:rPr>
        <w:t>BMO NESBITT BURNS CORP.</w:t>
      </w:r>
    </w:p>
    <w:p>
      <w:pPr>
        <w:spacing w:after="0"/>
        <w:rPr>
          <w:sz w:val="20"/>
          <w:szCs w:val="20"/>
          <w:color w:val="auto"/>
        </w:rPr>
      </w:pPr>
      <w:r>
        <w:rPr>
          <w:rFonts w:ascii="Courier New" w:cs="Courier New" w:eastAsia="Courier New" w:hAnsi="Courier New"/>
          <w:sz w:val="15"/>
          <w:szCs w:val="15"/>
          <w:color w:val="auto"/>
        </w:rPr>
        <w:t>FLEET SECURITIES, INC.</w:t>
      </w:r>
    </w:p>
    <w:p>
      <w:pPr>
        <w:spacing w:after="0"/>
        <w:rPr>
          <w:sz w:val="20"/>
          <w:szCs w:val="20"/>
          <w:color w:val="auto"/>
        </w:rPr>
      </w:pPr>
      <w:r>
        <w:rPr>
          <w:rFonts w:ascii="Courier New" w:cs="Courier New" w:eastAsia="Courier New" w:hAnsi="Courier New"/>
          <w:sz w:val="15"/>
          <w:szCs w:val="15"/>
          <w:color w:val="auto"/>
        </w:rPr>
        <w:t>HVB CAPITAL MARKETS, INC.</w:t>
      </w:r>
    </w:p>
    <w:p>
      <w:pPr>
        <w:spacing w:after="0"/>
        <w:rPr>
          <w:sz w:val="20"/>
          <w:szCs w:val="20"/>
          <w:color w:val="auto"/>
        </w:rPr>
      </w:pPr>
      <w:r>
        <w:rPr>
          <w:rFonts w:ascii="Courier New" w:cs="Courier New" w:eastAsia="Courier New" w:hAnsi="Courier New"/>
          <w:sz w:val="15"/>
          <w:szCs w:val="15"/>
          <w:color w:val="auto"/>
        </w:rPr>
        <w:t>WELLS FARGO BROKERAGE SERVICES, LLC</w:t>
      </w:r>
    </w:p>
    <w:p>
      <w:pPr>
        <w:spacing w:after="0"/>
        <w:rPr>
          <w:sz w:val="20"/>
          <w:szCs w:val="20"/>
          <w:color w:val="auto"/>
        </w:rPr>
      </w:pPr>
      <w:r>
        <w:rPr>
          <w:rFonts w:ascii="Courier New" w:cs="Courier New" w:eastAsia="Courier New" w:hAnsi="Courier New"/>
          <w:sz w:val="15"/>
          <w:szCs w:val="15"/>
          <w:color w:val="auto"/>
        </w:rPr>
        <w:t>PNC CAPITAL MARKETS, INC.</w:t>
      </w:r>
    </w:p>
    <w:p>
      <w:pPr>
        <w:ind w:left="440"/>
        <w:spacing w:after="0"/>
        <w:rPr>
          <w:sz w:val="20"/>
          <w:szCs w:val="20"/>
          <w:color w:val="auto"/>
        </w:rPr>
      </w:pPr>
      <w:r>
        <w:rPr>
          <w:rFonts w:ascii="Courier New" w:cs="Courier New" w:eastAsia="Courier New" w:hAnsi="Courier New"/>
          <w:sz w:val="15"/>
          <w:szCs w:val="15"/>
          <w:color w:val="auto"/>
        </w:rPr>
        <w:t>c/o Merrill Lynch, Pierce, Fenner &amp; Smith</w:t>
      </w:r>
    </w:p>
    <w:p>
      <w:pPr>
        <w:ind w:left="1840"/>
        <w:spacing w:after="0"/>
        <w:rPr>
          <w:sz w:val="20"/>
          <w:szCs w:val="20"/>
          <w:color w:val="auto"/>
        </w:rPr>
      </w:pPr>
      <w:r>
        <w:rPr>
          <w:rFonts w:ascii="Courier New" w:cs="Courier New" w:eastAsia="Courier New" w:hAnsi="Courier New"/>
          <w:sz w:val="15"/>
          <w:szCs w:val="15"/>
          <w:color w:val="auto"/>
        </w:rPr>
        <w:t>Incorporated</w:t>
      </w:r>
    </w:p>
    <w:p>
      <w:pPr>
        <w:ind w:left="440"/>
        <w:spacing w:after="0"/>
        <w:rPr>
          <w:sz w:val="20"/>
          <w:szCs w:val="20"/>
          <w:color w:val="auto"/>
        </w:rPr>
      </w:pPr>
      <w:r>
        <w:rPr>
          <w:rFonts w:ascii="Courier New" w:cs="Courier New" w:eastAsia="Courier New" w:hAnsi="Courier New"/>
          <w:sz w:val="15"/>
          <w:szCs w:val="15"/>
          <w:color w:val="auto"/>
        </w:rPr>
        <w:t>4 World Financial Center</w:t>
      </w:r>
    </w:p>
    <w:p>
      <w:pPr>
        <w:ind w:left="440"/>
        <w:spacing w:after="0"/>
        <w:rPr>
          <w:sz w:val="20"/>
          <w:szCs w:val="20"/>
          <w:color w:val="auto"/>
        </w:rPr>
      </w:pPr>
      <w:r>
        <w:rPr>
          <w:rFonts w:ascii="Courier New" w:cs="Courier New" w:eastAsia="Courier New" w:hAnsi="Courier New"/>
          <w:sz w:val="15"/>
          <w:szCs w:val="15"/>
          <w:color w:val="auto"/>
        </w:rPr>
        <w:t>New York, New York 10080</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69" w:lineRule="exact"/>
        <w:rPr>
          <w:sz w:val="20"/>
          <w:szCs w:val="20"/>
          <w:color w:val="auto"/>
        </w:rPr>
      </w:pPr>
    </w:p>
    <w:p>
      <w:pPr>
        <w:ind w:right="3179" w:firstLine="793"/>
        <w:spacing w:after="0" w:line="271" w:lineRule="auto"/>
        <w:rPr>
          <w:sz w:val="20"/>
          <w:szCs w:val="20"/>
          <w:color w:val="auto"/>
        </w:rPr>
      </w:pPr>
      <w:r>
        <w:rPr>
          <w:rFonts w:ascii="Courier New" w:cs="Courier New" w:eastAsia="Courier New" w:hAnsi="Courier New"/>
          <w:sz w:val="14"/>
          <w:szCs w:val="14"/>
          <w:color w:val="auto"/>
        </w:rPr>
        <w:t>From time to time Federal Realty Investment Trust, a Maryland real estate investment trust (the "Company"), proposes to enter into one or more Pricing Agreements (each a "Pricing Agreement") in substantially the form of Annex I hereto, with such additions and deletions as the parties thereto may determine, and, subject to the terms and conditions stated herein and therein, to issue and sell to the firms named in Schedule I to the applicable Pricing Agreement (such firms constituting the "Underwriters" with respect to such Pricing Agreement and the securities specified therein) certain of its debt securities (the "Securities") specified in Schedule II to such Pricing Agreement (with respect to such Pricing Agreement, the "Designated Securities").</w:t>
      </w:r>
    </w:p>
    <w:p>
      <w:pPr>
        <w:spacing w:after="0" w:line="74" w:lineRule="exact"/>
        <w:rPr>
          <w:sz w:val="20"/>
          <w:szCs w:val="20"/>
          <w:color w:val="auto"/>
        </w:rPr>
      </w:pPr>
    </w:p>
    <w:p>
      <w:pPr>
        <w:ind w:right="3359" w:firstLine="793"/>
        <w:spacing w:after="0" w:line="275" w:lineRule="auto"/>
        <w:rPr>
          <w:sz w:val="20"/>
          <w:szCs w:val="20"/>
          <w:color w:val="auto"/>
        </w:rPr>
      </w:pPr>
      <w:r>
        <w:rPr>
          <w:rFonts w:ascii="Courier New" w:cs="Courier New" w:eastAsia="Courier New" w:hAnsi="Courier New"/>
          <w:sz w:val="15"/>
          <w:szCs w:val="15"/>
          <w:color w:val="auto"/>
        </w:rPr>
        <w:t>The terms and rights of any particular issuance of Designated Securities shall be as specified in the Pricing Agreement relating thereto and in or pursuant to the indenture (the "Indenture") identified in such Pricing Agreement.</w:t>
      </w:r>
    </w:p>
    <w:p>
      <w:pPr>
        <w:spacing w:after="0" w:line="69" w:lineRule="exact"/>
        <w:rPr>
          <w:sz w:val="20"/>
          <w:szCs w:val="20"/>
          <w:color w:val="auto"/>
        </w:rPr>
      </w:pPr>
    </w:p>
    <w:p>
      <w:pPr>
        <w:ind w:right="3359" w:firstLine="784"/>
        <w:spacing w:after="0" w:line="293" w:lineRule="auto"/>
        <w:tabs>
          <w:tab w:leader="none" w:pos="105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Particular sales of Designated Securities may be made from time to time to the Underwriters of such Securities, for whom the firms designated as representatives of the</w:t>
      </w:r>
    </w:p>
    <w:p>
      <w:pPr>
        <w:sectPr>
          <w:pgSz w:w="11900" w:h="16838" w:orient="portrait"/>
          <w:cols w:equalWidth="0" w:num="1">
            <w:col w:w="10219"/>
          </w:cols>
          <w:pgMar w:left="240" w:top="624" w:right="1440" w:bottom="1440" w:gutter="0" w:footer="0" w:header="0"/>
        </w:sectPr>
      </w:pPr>
    </w:p>
    <w:bookmarkStart w:id="4" w:name="page5"/>
    <w:bookmarkEnd w:id="4"/>
    <w:p>
      <w:pPr>
        <w:ind w:right="3179"/>
        <w:spacing w:after="0" w:line="243" w:lineRule="auto"/>
        <w:rPr>
          <w:sz w:val="20"/>
          <w:szCs w:val="20"/>
          <w:color w:val="auto"/>
        </w:rPr>
      </w:pPr>
      <w:r>
        <w:rPr>
          <w:rFonts w:ascii="Courier New" w:cs="Courier New" w:eastAsia="Courier New" w:hAnsi="Courier New"/>
          <w:sz w:val="15"/>
          <w:szCs w:val="15"/>
          <w:color w:val="auto"/>
        </w:rPr>
        <w:t>Underwriters of such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Securities or as an obligation of any of the Underwriters to purchase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Agreement and each Pricing Agreement shall be several and not joint.</w:t>
      </w:r>
    </w:p>
    <w:p>
      <w:pPr>
        <w:spacing w:after="0" w:line="106" w:lineRule="exact"/>
        <w:rPr>
          <w:sz w:val="20"/>
          <w:szCs w:val="20"/>
          <w:color w:val="auto"/>
        </w:rPr>
      </w:pPr>
    </w:p>
    <w:p>
      <w:pPr>
        <w:ind w:right="3179" w:firstLine="784"/>
        <w:spacing w:after="0" w:line="347" w:lineRule="auto"/>
        <w:tabs>
          <w:tab w:leader="none" w:pos="105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represents and warrants to, and agrees with, each of the Underwriters that:</w:t>
      </w:r>
    </w:p>
    <w:p>
      <w:pPr>
        <w:spacing w:after="0" w:line="17" w:lineRule="exact"/>
        <w:rPr>
          <w:rFonts w:ascii="Courier New" w:cs="Courier New" w:eastAsia="Courier New" w:hAnsi="Courier New"/>
          <w:sz w:val="15"/>
          <w:szCs w:val="15"/>
          <w:color w:val="auto"/>
        </w:rPr>
      </w:pPr>
    </w:p>
    <w:p>
      <w:pPr>
        <w:ind w:left="780" w:right="3179" w:firstLine="268"/>
        <w:spacing w:after="0" w:line="262" w:lineRule="auto"/>
        <w:tabs>
          <w:tab w:leader="none" w:pos="1397"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registration statement on Form S-3 (File No. 333-63619) in respect of the Securities has been filed with the Securities and Exchange Commission (the "Commission"); the Registration Statement (as defined below) and any post-effective amendments thereto, each in the form heretofore delivered or made available to the Representatives, excluding exhibits to such Registration Statement, but including all documents incorporated by reference in the prospectus contained therein, have been declared effective by the Commission in such form; and including the registration statement increasing the size of the offering (the "Rule 462(b) Registration Statement"), filed pursuant to Rule 462(b) under the Securities Act of 1933, as amended (the "Act"), which became effective upon filing; no other documents with respect to the Registration Statement have heretofore been filed or transmitted for filing with the Commission (other than prospectuses filed pursuant to Rule 424(b) under the Act, each in the form heretofore delivered to the Representatives); and no stop order suspending the effectiveness of the Registration Statement, any post-effective amendments thereto or the Rule 462(b) Registration Statement has been issued and no proceeding for that purpose has been initiated or threatened by the Commission (any preliminary prospectus included in the Registration Statement or filed with the Commission pursuant to Rule 424 under the Act is hereinafter called a "Preliminary Prospectus"); the various parts of the Registration Statement and the Rule 462(b) Registration Statement, if any, including all exhibits thereto and the</w:t>
      </w:r>
    </w:p>
    <w:p>
      <w:pPr>
        <w:spacing w:after="0" w:line="200" w:lineRule="exact"/>
        <w:rPr>
          <w:sz w:val="20"/>
          <w:szCs w:val="20"/>
          <w:color w:val="auto"/>
        </w:rPr>
      </w:pPr>
    </w:p>
    <w:p>
      <w:pPr>
        <w:spacing w:after="0" w:line="39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1" w:right="1440" w:bottom="1440" w:gutter="0" w:footer="0" w:header="0"/>
        </w:sectPr>
      </w:pPr>
    </w:p>
    <w:bookmarkStart w:id="5" w:name="page6"/>
    <w:bookmarkEnd w:id="5"/>
    <w:p>
      <w:pPr>
        <w:ind w:right="3179"/>
        <w:spacing w:after="0" w:line="259" w:lineRule="auto"/>
        <w:rPr>
          <w:sz w:val="20"/>
          <w:szCs w:val="20"/>
          <w:color w:val="auto"/>
        </w:rPr>
      </w:pPr>
      <w:r>
        <w:rPr>
          <w:rFonts w:ascii="Courier New" w:cs="Courier New" w:eastAsia="Courier New" w:hAnsi="Courier New"/>
          <w:sz w:val="14"/>
          <w:szCs w:val="14"/>
          <w:color w:val="auto"/>
        </w:rPr>
        <w:t>documents incorporated by reference in the prospectus contained in the Registration Statement at the time such part of the registration statement became effective but excluding Form T-1, each as amended at the time such part of the Registration Statement became effective or such part of the Rule 462(b) Registration Statement became effective, are hereinafter collectively called the "Registration Statement"; the prospectus relating to the Securities, in the form in which it has most recently been filed, or transmitted for filing, with the Commission on or prior to the date of this Agreement, is hereinafter called the "Prospectus"; any reference herein to any Preliminary Prospectus or the Prospectus shall be deemed to refer to and include the documents incorporated by reference therein pursuant to Item 12 of Form S-3 under the Act, as of the date of such Preliminary Prospectus or Prospectus, as the case may 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reference to the Prospectus as amended or supplemented shall be deemed to refer to the Prospectus as amended or supplemented in relation to the applicable Designated Securities in the form in which it is filed with the Commission pursuant to Rule 424(b) under the Act in accordance with Section 5(a) hereof, including any documents incorporated by reference therein as of the date of such filing; all references herein to information which is "contained" or "included" in the Registration Statement, any Preliminary Prospectus, any Prospectus, any Prospectus as amended or supplemented or any Rule 434 Prospectus (and all references of like import) shall be deemed to mean and include all such information which is incorporated or deemed to be incorporated by reference therein; and if the Company elects to rely on Rule 434 under the Act, any reference to the Prospectus shall be deemed to include, without limitation, the form of prospectus and the abbreviated term sheet, taken together, provided to the Underwriters by the Company in reliance on Rule 434 under the Act (the "Rule 434 Prospectus");</w:t>
      </w:r>
    </w:p>
    <w:p>
      <w:pPr>
        <w:spacing w:after="0" w:line="275" w:lineRule="exact"/>
        <w:rPr>
          <w:sz w:val="20"/>
          <w:szCs w:val="20"/>
          <w:color w:val="auto"/>
        </w:rPr>
      </w:pPr>
    </w:p>
    <w:p>
      <w:pPr>
        <w:ind w:right="3179" w:firstLine="268"/>
        <w:spacing w:after="0" w:line="249" w:lineRule="auto"/>
        <w:tabs>
          <w:tab w:leader="none" w:pos="61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in light of the circumstances under which they were made; and any further documents so filed and incorporated by reference in the Prospectus or any further amendment or supplement thereto, when such documents become effective or are filed with the Commission, as the case may</w:t>
      </w:r>
    </w:p>
    <w:p>
      <w:pPr>
        <w:spacing w:after="0" w:line="8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439"/>
          </w:cols>
          <w:pgMar w:left="1020" w:top="601" w:right="1440" w:bottom="1440" w:gutter="0" w:footer="0" w:header="0"/>
        </w:sectPr>
      </w:pPr>
    </w:p>
    <w:bookmarkStart w:id="6" w:name="page7"/>
    <w:bookmarkEnd w:id="6"/>
    <w:p>
      <w:pPr>
        <w:ind w:right="3179"/>
        <w:spacing w:after="0" w:line="250" w:lineRule="auto"/>
        <w:rPr>
          <w:sz w:val="20"/>
          <w:szCs w:val="20"/>
          <w:color w:val="auto"/>
        </w:rPr>
      </w:pPr>
      <w:r>
        <w:rPr>
          <w:rFonts w:ascii="Courier New" w:cs="Courier New" w:eastAsia="Courier New" w:hAnsi="Courier New"/>
          <w:sz w:val="15"/>
          <w:szCs w:val="15"/>
          <w:color w:val="auto"/>
        </w:rPr>
        <w:t>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w:t>
      </w:r>
    </w:p>
    <w:p>
      <w:pPr>
        <w:spacing w:after="0" w:line="87" w:lineRule="exact"/>
        <w:rPr>
          <w:sz w:val="20"/>
          <w:szCs w:val="20"/>
          <w:color w:val="auto"/>
        </w:rPr>
      </w:pPr>
    </w:p>
    <w:p>
      <w:pPr>
        <w:ind w:right="3179" w:firstLine="268"/>
        <w:spacing w:after="0" w:line="246" w:lineRule="auto"/>
        <w:tabs>
          <w:tab w:leader="none" w:pos="61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and the Prospectus conform, and any further amendments or supplements to the Registration Statement or the Prospectus will conform, in all material respects to the requirements of the Act and the Trust Indenture Act of 1939, as amended (the "Trust Indenture Act"), and the rules and regulations of the Commission thereunder as of the applicable effective date as to the Registration Statement and any amendment or supplement thereto, and do not and will not, as of such effective date or filing, contain an untrue statement of a material fact or omit to state a material fact required to be stated therein or necessary to make the statements therein not misleading in light of the circumstances under which they were made; 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w:t>
      </w:r>
    </w:p>
    <w:p>
      <w:pPr>
        <w:spacing w:after="0" w:line="90" w:lineRule="exact"/>
        <w:rPr>
          <w:rFonts w:ascii="Courier New" w:cs="Courier New" w:eastAsia="Courier New" w:hAnsi="Courier New"/>
          <w:sz w:val="15"/>
          <w:szCs w:val="15"/>
          <w:color w:val="auto"/>
        </w:rPr>
      </w:pPr>
    </w:p>
    <w:p>
      <w:pPr>
        <w:ind w:right="3179" w:firstLine="268"/>
        <w:spacing w:after="0" w:line="262" w:lineRule="auto"/>
        <w:tabs>
          <w:tab w:leader="none" w:pos="617"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duly organized and is validly existing and in good standing as a real estate investment trust under the laws of the State of Maryland, with full power and authority to own, lease and operate its properties and conduct its business as described in the Prospectus; the Company has interests in a number of entities (collectively, the "Entities"), identified on Annex III, which have been duly organized and are validly existing as corporations, partnerships, limited liability corporations or joint ventures, as the case may be, in good standing under the laws of the jurisdiction of their organization (except for joint ventures, which have no good standing certificate requirements), with full power and authority to own, lease and operate their properties and conduct their business as described in the Prospectus; except as otherwise denoted in Annex III hereto, all of the equity interests in the Entities are owned by the Company free and clear of all pledges, liens, encumbrances, claims, security interests and defects; all of the issued and outstanding stock of each Entity that is a corporation has been duly authorized and validly issued and is fully paid and non-assessable; no options, warrants or other rights to convert any obligations into partnership or other ownership interests in the Entities are outstanding; and the Company and the Entities are duly qualified to transact business in all jurisdictions in which the Company and the Entities are transacting business and in which the conduct of their respective businesses requires such qualification, except where the failure to so qualify would not have a material adverse effect on the condition, financial or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439"/>
          </w:cols>
          <w:pgMar w:left="1020" w:top="601" w:right="1440" w:bottom="1440" w:gutter="0" w:footer="0" w:header="0"/>
        </w:sectPr>
      </w:pPr>
    </w:p>
    <w:bookmarkStart w:id="7" w:name="page8"/>
    <w:bookmarkEnd w:id="7"/>
    <w:p>
      <w:pPr>
        <w:ind w:right="3439"/>
        <w:spacing w:after="0" w:line="347" w:lineRule="auto"/>
        <w:rPr>
          <w:sz w:val="20"/>
          <w:szCs w:val="20"/>
          <w:color w:val="auto"/>
        </w:rPr>
      </w:pPr>
      <w:r>
        <w:rPr>
          <w:rFonts w:ascii="Courier New" w:cs="Courier New" w:eastAsia="Courier New" w:hAnsi="Courier New"/>
          <w:sz w:val="15"/>
          <w:szCs w:val="15"/>
          <w:color w:val="auto"/>
        </w:rPr>
        <w:t>otherwise, or on the earnings or business affairs of the Company and the Entities considered as one enterprise;</w:t>
      </w:r>
    </w:p>
    <w:p>
      <w:pPr>
        <w:spacing w:after="0" w:line="17" w:lineRule="exact"/>
        <w:rPr>
          <w:sz w:val="20"/>
          <w:szCs w:val="20"/>
          <w:color w:val="auto"/>
        </w:rPr>
      </w:pPr>
    </w:p>
    <w:p>
      <w:pPr>
        <w:ind w:right="3179" w:firstLine="268"/>
        <w:spacing w:after="0" w:line="243" w:lineRule="auto"/>
        <w:tabs>
          <w:tab w:leader="none" w:pos="61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the Entities has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date as of which information is given in the Prospectus, there has not been any change in the authorized, issued and outstanding capital shares of the Company (except for subsequent issuances, if any, of Common Shares pursuant to (x) the Company's Dividend Reinvestment and Share Purchase Plan as in effect on the date of the applicable Pricing Agreement, (y) any of the Company's employee or trustee benefits plans, including upon exercise of share options granted pursuant thereto, as such plans are in effect on the date of the applicable Pricing Agreement or (z) the exercise of contractual rights existing on the date of the applicable Pricing Agreement by the current and former holders of partnership or other interests in certain of the "DownREIT" and other Entities listed in Annex III hereto which may result in the issuance of Common Shares of the Company) or any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the Entities taken as a whole, otherwise than as set forth or contemplated in the Prospectus;</w:t>
      </w:r>
    </w:p>
    <w:p>
      <w:pPr>
        <w:spacing w:after="0" w:line="103" w:lineRule="exact"/>
        <w:rPr>
          <w:rFonts w:ascii="Courier New" w:cs="Courier New" w:eastAsia="Courier New" w:hAnsi="Courier New"/>
          <w:sz w:val="15"/>
          <w:szCs w:val="15"/>
          <w:color w:val="auto"/>
        </w:rPr>
      </w:pPr>
    </w:p>
    <w:p>
      <w:pPr>
        <w:ind w:right="3179" w:firstLine="268"/>
        <w:spacing w:after="0" w:line="261" w:lineRule="auto"/>
        <w:tabs>
          <w:tab w:leader="none" w:pos="61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an authorized capitalization as set forth in the Prospectus, all of the issued capital shares of the Company have been duly and validly authorized and issued and are fully paid and non-assessable, and none of the outstanding capital shares of the Company was issued in violation of any preemptive or other similar rights of any securityholder of the Company;</w:t>
      </w:r>
    </w:p>
    <w:p>
      <w:pPr>
        <w:spacing w:after="0" w:line="77" w:lineRule="exact"/>
        <w:rPr>
          <w:rFonts w:ascii="Courier New" w:cs="Courier New" w:eastAsia="Courier New" w:hAnsi="Courier New"/>
          <w:sz w:val="15"/>
          <w:szCs w:val="15"/>
          <w:color w:val="auto"/>
        </w:rPr>
      </w:pPr>
    </w:p>
    <w:p>
      <w:pPr>
        <w:ind w:right="3179" w:firstLine="268"/>
        <w:spacing w:after="0" w:line="246" w:lineRule="auto"/>
        <w:tabs>
          <w:tab w:leader="none" w:pos="61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have been duly and validly authorized, and, when Designated Securities are issued and delivered pursuant to this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(as defined in Section 4 hereof),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w:t>
      </w:r>
    </w:p>
    <w:p>
      <w:pPr>
        <w:spacing w:after="0" w:line="200" w:lineRule="exact"/>
        <w:rPr>
          <w:sz w:val="20"/>
          <w:szCs w:val="20"/>
          <w:color w:val="auto"/>
        </w:rPr>
      </w:pPr>
    </w:p>
    <w:p>
      <w:pPr>
        <w:spacing w:after="0" w:line="39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439"/>
          </w:cols>
          <w:pgMar w:left="1020" w:top="601" w:right="1440" w:bottom="1440" w:gutter="0" w:footer="0" w:header="0"/>
        </w:sectPr>
      </w:pPr>
    </w:p>
    <w:bookmarkStart w:id="8" w:name="page9"/>
    <w:bookmarkEnd w:id="8"/>
    <w:p>
      <w:pPr>
        <w:ind w:right="3979"/>
        <w:spacing w:after="0" w:line="347" w:lineRule="auto"/>
        <w:rPr>
          <w:sz w:val="20"/>
          <w:szCs w:val="20"/>
          <w:color w:val="auto"/>
        </w:rPr>
      </w:pPr>
      <w:r>
        <w:rPr>
          <w:rFonts w:ascii="Courier New" w:cs="Courier New" w:eastAsia="Courier New" w:hAnsi="Courier New"/>
          <w:sz w:val="15"/>
          <w:szCs w:val="15"/>
          <w:color w:val="auto"/>
        </w:rPr>
        <w:t>the Prospectus as amended or supplemented with respect to such Designated Securities;</w:t>
      </w:r>
    </w:p>
    <w:p>
      <w:pPr>
        <w:spacing w:after="0" w:line="17" w:lineRule="exact"/>
        <w:rPr>
          <w:sz w:val="20"/>
          <w:szCs w:val="20"/>
          <w:color w:val="auto"/>
        </w:rPr>
      </w:pPr>
    </w:p>
    <w:p>
      <w:pPr>
        <w:ind w:right="3179" w:firstLine="268"/>
        <w:spacing w:after="0" w:line="261" w:lineRule="auto"/>
        <w:tabs>
          <w:tab w:leader="none" w:pos="61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 and sale of the Designated Securities and the compliance by the Company with all of the provisions of the Designated Securities, this Agreement and any Pricing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the Entities is a party or by which the Company or any of the Entities is bound or to which any of the property or assets of the Company or any of the Entities is subject, nor will such action result in any violation of the provisions of the Declaration of Trust or Bylaws of the Company or any statute or any order, rule or regulation of any court or governmental agency or body having jurisdiction over the Company or any of the Entities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Agreement or any Pricing Agreement or the Indenture, except such as have been, or will have been prior to the Time of Delivery (as defined in Section 4 hereof), obtained under the Act and the Trust Indenture Act and except for any listing of the Designated Securities on the New York Stock Exchange, Inc. ("NYSE") or other stock exchanges and such consents, approvals, authorizations, registrations or qualifications as may be required under state securities or blue sky laws in connection with the purchase and distribution of the Securities by the Underwriters;</w:t>
      </w:r>
    </w:p>
    <w:p>
      <w:pPr>
        <w:spacing w:after="0" w:line="200" w:lineRule="exact"/>
        <w:rPr>
          <w:rFonts w:ascii="Courier New" w:cs="Courier New" w:eastAsia="Courier New" w:hAnsi="Courier New"/>
          <w:sz w:val="14"/>
          <w:szCs w:val="14"/>
          <w:color w:val="auto"/>
        </w:rPr>
      </w:pPr>
    </w:p>
    <w:p>
      <w:pPr>
        <w:spacing w:after="0" w:line="234" w:lineRule="exact"/>
        <w:rPr>
          <w:rFonts w:ascii="Courier New" w:cs="Courier New" w:eastAsia="Courier New" w:hAnsi="Courier New"/>
          <w:sz w:val="14"/>
          <w:szCs w:val="14"/>
          <w:color w:val="auto"/>
        </w:rPr>
      </w:pPr>
    </w:p>
    <w:p>
      <w:pPr>
        <w:ind w:right="3179" w:firstLine="268"/>
        <w:spacing w:after="0" w:line="251" w:lineRule="auto"/>
        <w:tabs>
          <w:tab w:leader="none" w:pos="61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as set forth in the Prospectus, there are no legal or governmental proceedings pending to which the Company or any of the Entities is a party or of which any property of the Company or any of the Entities is the subject which, if determined adversely to the Company or any of the Entities, would individually or in the aggregate have a material adverse effect on the consolidated financial position, shareholders' equity or results of operations of the Company and the Entities; and, to the best of the Company's knowledge, no such proceedings are threatened or contemplated by governmental authorities or threatened by others;</w:t>
      </w:r>
    </w:p>
    <w:p>
      <w:pPr>
        <w:spacing w:after="0" w:line="87" w:lineRule="exact"/>
        <w:rPr>
          <w:rFonts w:ascii="Courier New" w:cs="Courier New" w:eastAsia="Courier New" w:hAnsi="Courier New"/>
          <w:sz w:val="15"/>
          <w:szCs w:val="15"/>
          <w:color w:val="auto"/>
        </w:rPr>
      </w:pPr>
    </w:p>
    <w:p>
      <w:pPr>
        <w:ind w:right="3179" w:firstLine="268"/>
        <w:spacing w:after="0" w:line="250" w:lineRule="auto"/>
        <w:tabs>
          <w:tab w:leader="none" w:pos="61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of the Company and the Entities, together with related notes and schedules as set forth or incorporated by reference in the Registration Statement, present fairly the financial position and the results of operations of the Company and the Entities at the indicated dates and for the indicated periods. Such consolidated financial statements have been prepared in accordance with generally accepted accounting principles, consistently applied throughout the periods involved, and all adjustments necessary for a fair presentation of results for such periods have been made. The summary financial and statistical data contained in the Prospectus present fairly the information</w:t>
      </w:r>
    </w:p>
    <w:p>
      <w:pPr>
        <w:spacing w:after="0" w:line="8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439"/>
          </w:cols>
          <w:pgMar w:left="1020" w:top="601" w:right="1440" w:bottom="1440" w:gutter="0" w:footer="0" w:header="0"/>
        </w:sectPr>
      </w:pPr>
    </w:p>
    <w:bookmarkStart w:id="9" w:name="page10"/>
    <w:bookmarkEnd w:id="9"/>
    <w:p>
      <w:pPr>
        <w:ind w:right="3439"/>
        <w:spacing w:after="0" w:line="384" w:lineRule="auto"/>
        <w:rPr>
          <w:sz w:val="20"/>
          <w:szCs w:val="20"/>
          <w:color w:val="auto"/>
        </w:rPr>
      </w:pPr>
      <w:r>
        <w:rPr>
          <w:rFonts w:ascii="Courier New" w:cs="Courier New" w:eastAsia="Courier New" w:hAnsi="Courier New"/>
          <w:sz w:val="14"/>
          <w:szCs w:val="14"/>
          <w:color w:val="auto"/>
        </w:rPr>
        <w:t>shown therein and have been compiled on a basis consistent with the consolidated financial statements incorporated by reference therein;</w:t>
      </w:r>
    </w:p>
    <w:p>
      <w:pPr>
        <w:spacing w:after="0" w:line="1" w:lineRule="exact"/>
        <w:rPr>
          <w:sz w:val="20"/>
          <w:szCs w:val="20"/>
          <w:color w:val="auto"/>
        </w:rPr>
      </w:pPr>
    </w:p>
    <w:p>
      <w:pPr>
        <w:ind w:right="3259" w:firstLine="268"/>
        <w:spacing w:after="0" w:line="257" w:lineRule="auto"/>
        <w:tabs>
          <w:tab w:leader="none" w:pos="61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Entities have good and marketable title to, or valid and enforceable leasehold estates in, all items of real and personal property referred to in the Prospectus as owned or leased by the Company or any of the Entities, in each case free and clear of all pledges, liens, encumbrances, claims, security interests and defects, other than those referred to in the Prospectus or which are not material in amount;</w:t>
      </w:r>
    </w:p>
    <w:p>
      <w:pPr>
        <w:spacing w:after="0" w:line="82" w:lineRule="exact"/>
        <w:rPr>
          <w:rFonts w:ascii="Courier New" w:cs="Courier New" w:eastAsia="Courier New" w:hAnsi="Courier New"/>
          <w:sz w:val="15"/>
          <w:szCs w:val="15"/>
          <w:color w:val="auto"/>
        </w:rPr>
      </w:pPr>
    </w:p>
    <w:p>
      <w:pPr>
        <w:ind w:right="3179" w:firstLine="268"/>
        <w:spacing w:after="0" w:line="261" w:lineRule="auto"/>
        <w:tabs>
          <w:tab w:leader="none" w:pos="61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Entities have filed all federal, state, local and foreign income tax returns which have been required to be filed, or appropriate extensions for such filings have been obtained as required by law, and all federal, state, local and foreign taxes of the Company and the Entities have been paid except such taxes as are not yet due or are being contested in good faith;</w:t>
      </w:r>
    </w:p>
    <w:p>
      <w:pPr>
        <w:spacing w:after="0" w:line="77" w:lineRule="exact"/>
        <w:rPr>
          <w:rFonts w:ascii="Courier New" w:cs="Courier New" w:eastAsia="Courier New" w:hAnsi="Courier New"/>
          <w:sz w:val="15"/>
          <w:szCs w:val="15"/>
          <w:color w:val="auto"/>
        </w:rPr>
      </w:pPr>
    </w:p>
    <w:p>
      <w:pPr>
        <w:ind w:right="3179" w:firstLine="268"/>
        <w:spacing w:after="0" w:line="261" w:lineRule="auto"/>
        <w:tabs>
          <w:tab w:leader="none" w:pos="61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the Entities hold all material licenses, certificates and permits from governmental authorities which are necessary to the conduct of their respective businesses; and neither the Company nor any of the Entities has infringed any patents, patent rights, trade names, trademarks or copyrights, which infringement is material to the business of the Company;</w:t>
      </w:r>
    </w:p>
    <w:p>
      <w:pPr>
        <w:spacing w:after="0" w:line="77" w:lineRule="exact"/>
        <w:rPr>
          <w:rFonts w:ascii="Courier New" w:cs="Courier New" w:eastAsia="Courier New" w:hAnsi="Courier New"/>
          <w:sz w:val="15"/>
          <w:szCs w:val="15"/>
          <w:color w:val="auto"/>
        </w:rPr>
      </w:pPr>
    </w:p>
    <w:p>
      <w:pPr>
        <w:ind w:right="3179" w:firstLine="268"/>
        <w:spacing w:after="0" w:line="251" w:lineRule="auto"/>
        <w:tabs>
          <w:tab w:leader="none" w:pos="61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our knowledge, Arthur Andersen LLP, which audited the consolidated balance sheets of the Company and subsidiaries as of December 31, 2000, and 2001 and the related consolidated statements of operations, common shareholders' equity, and cash flows for each of the years in the three year period ended December 31, 2001, filed with the Commission as part of, or incorporated by reference in, the Registration Statement and Prospectus, was, at all times until its replacement as the Company's auditor in June 2002, an independent public accountant as required by the Act and the rules and regulations of the Commission promulgated thereunder;</w:t>
      </w:r>
    </w:p>
    <w:p>
      <w:pPr>
        <w:spacing w:after="0" w:line="87" w:lineRule="exact"/>
        <w:rPr>
          <w:rFonts w:ascii="Courier New" w:cs="Courier New" w:eastAsia="Courier New" w:hAnsi="Courier New"/>
          <w:sz w:val="15"/>
          <w:szCs w:val="15"/>
          <w:color w:val="auto"/>
        </w:rPr>
      </w:pPr>
    </w:p>
    <w:p>
      <w:pPr>
        <w:ind w:right="3359" w:firstLine="268"/>
        <w:spacing w:after="0" w:line="275" w:lineRule="auto"/>
        <w:tabs>
          <w:tab w:leader="none" w:pos="61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conditions for use of registration statements on Form S-3 set forth in the General Instructions on Form S-3 have been satisfied and the Company is entitled to use such form for the transaction contemplated herein;</w:t>
      </w:r>
    </w:p>
    <w:p>
      <w:pPr>
        <w:spacing w:after="0" w:line="68" w:lineRule="exact"/>
        <w:rPr>
          <w:rFonts w:ascii="Courier New" w:cs="Courier New" w:eastAsia="Courier New" w:hAnsi="Courier New"/>
          <w:sz w:val="15"/>
          <w:szCs w:val="15"/>
          <w:color w:val="auto"/>
        </w:rPr>
      </w:pPr>
    </w:p>
    <w:p>
      <w:pPr>
        <w:ind w:right="3179" w:firstLine="268"/>
        <w:spacing w:after="0" w:line="248" w:lineRule="auto"/>
        <w:tabs>
          <w:tab w:leader="none" w:pos="61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the Entities, the Company represents that, as of the date of this Agreement, it has no knowledge of any material failure by the Company or the Entities to comply with all applicable local, state and federal environmental laws, regulations, ordinances and administrative and judicial orders relating to the</w:t>
      </w:r>
    </w:p>
    <w:p>
      <w:pPr>
        <w:spacing w:after="0" w:line="200" w:lineRule="exact"/>
        <w:rPr>
          <w:sz w:val="20"/>
          <w:szCs w:val="20"/>
          <w:color w:val="auto"/>
        </w:rPr>
      </w:pPr>
    </w:p>
    <w:p>
      <w:pPr>
        <w:spacing w:after="0" w:line="39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439"/>
          </w:cols>
          <w:pgMar w:left="1020" w:top="601" w:right="1440" w:bottom="1440" w:gutter="0" w:footer="0" w:header="0"/>
        </w:sectPr>
      </w:pPr>
    </w:p>
    <w:bookmarkStart w:id="10" w:name="page11"/>
    <w:bookmarkEnd w:id="10"/>
    <w:p>
      <w:pPr>
        <w:ind w:left="780" w:right="3439"/>
        <w:spacing w:after="0" w:line="347" w:lineRule="auto"/>
        <w:rPr>
          <w:sz w:val="20"/>
          <w:szCs w:val="20"/>
          <w:color w:val="auto"/>
        </w:rPr>
      </w:pPr>
      <w:r>
        <w:rPr>
          <w:rFonts w:ascii="Courier New" w:cs="Courier New" w:eastAsia="Courier New" w:hAnsi="Courier New"/>
          <w:sz w:val="15"/>
          <w:szCs w:val="15"/>
          <w:color w:val="auto"/>
        </w:rPr>
        <w:t>generation, recycling, reuse, sale, storage, handling, transport and disposal of any Hazardous Materials; and</w:t>
      </w:r>
    </w:p>
    <w:p>
      <w:pPr>
        <w:spacing w:after="0" w:line="17" w:lineRule="exact"/>
        <w:rPr>
          <w:sz w:val="20"/>
          <w:szCs w:val="20"/>
          <w:color w:val="auto"/>
        </w:rPr>
      </w:pPr>
    </w:p>
    <w:p>
      <w:pPr>
        <w:ind w:left="780" w:right="3179" w:firstLine="268"/>
        <w:spacing w:after="0" w:line="252" w:lineRule="auto"/>
        <w:tabs>
          <w:tab w:leader="none" w:pos="1397"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all tax periods regarding which the Internal Revenue Service is or will be entitled to assert any claim, the Company has met the requirements for qualification as a real estate investment trust under Sections 856 through 860 of the Internal Revenue Code of 1986, as amended (the "Code"), and the Company's present and contemplated operations, assets and income continue to meet such requirements; and the Company is neither an "investment company" nor a company "controlled" by an "investment company" within the meaning of the Investment Company Act of 1940, as amended.</w:t>
      </w:r>
    </w:p>
    <w:p>
      <w:pPr>
        <w:spacing w:after="0" w:line="89" w:lineRule="exact"/>
        <w:rPr>
          <w:rFonts w:ascii="Courier New" w:cs="Courier New" w:eastAsia="Courier New" w:hAnsi="Courier New"/>
          <w:sz w:val="15"/>
          <w:szCs w:val="15"/>
          <w:color w:val="auto"/>
        </w:rPr>
      </w:pPr>
    </w:p>
    <w:p>
      <w:pPr>
        <w:ind w:right="3179" w:firstLine="784"/>
        <w:spacing w:after="0" w:line="266" w:lineRule="auto"/>
        <w:tabs>
          <w:tab w:leader="none" w:pos="105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75" w:lineRule="exact"/>
        <w:rPr>
          <w:rFonts w:ascii="Courier New" w:cs="Courier New" w:eastAsia="Courier New" w:hAnsi="Courier New"/>
          <w:sz w:val="15"/>
          <w:szCs w:val="15"/>
          <w:color w:val="auto"/>
        </w:rPr>
      </w:pPr>
    </w:p>
    <w:p>
      <w:pPr>
        <w:ind w:right="3179" w:firstLine="784"/>
        <w:spacing w:after="0" w:line="266" w:lineRule="auto"/>
        <w:tabs>
          <w:tab w:leader="none" w:pos="105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Securities to be purchased by each Underwriter pursuant to the Pricing Agreement relating thereto, in the form specified in such Pricing Agreement, and in such authorized denominations and registered in such names as the Representatives may request upon at least 48 hours' prior notice to the Company, shall be delivered by or on behalf of the Company to the Representatives for the account of such Underwriter,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48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81" w:lineRule="exact"/>
        <w:rPr>
          <w:rFonts w:ascii="Courier New" w:cs="Courier New" w:eastAsia="Courier New" w:hAnsi="Courier New"/>
          <w:sz w:val="14"/>
          <w:szCs w:val="14"/>
          <w:color w:val="auto"/>
        </w:rPr>
      </w:pPr>
    </w:p>
    <w:p>
      <w:pPr>
        <w:ind w:left="1040" w:hanging="256"/>
        <w:spacing w:after="0"/>
        <w:tabs>
          <w:tab w:leader="none" w:pos="10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with each of the Underwriters of any Designated</w:t>
      </w:r>
    </w:p>
    <w:p>
      <w:pPr>
        <w:spacing w:after="0" w:line="25"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w:t>
      </w:r>
    </w:p>
    <w:p>
      <w:pPr>
        <w:spacing w:after="0" w:line="143" w:lineRule="exact"/>
        <w:rPr>
          <w:rFonts w:ascii="Courier New" w:cs="Courier New" w:eastAsia="Courier New" w:hAnsi="Courier New"/>
          <w:sz w:val="15"/>
          <w:szCs w:val="15"/>
          <w:color w:val="auto"/>
        </w:rPr>
      </w:pPr>
    </w:p>
    <w:p>
      <w:pPr>
        <w:ind w:left="780" w:right="3179" w:firstLine="268"/>
        <w:spacing w:after="0" w:line="265" w:lineRule="auto"/>
        <w:tabs>
          <w:tab w:leader="none" w:pos="1397"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does not elect to rely on Rule 434 under the Act, immediately following execution and delivery of the applicable Pricing Agreement, to prepare the Prospectus as amended and supplemented in relation to the applicable Designated Securities in a form approved by the Representatives and to file such Prospectus as amended or supplemented pursuant to Rule 424(b) under the Act not later than the Commission's close of business on the second business day following the execution and delivery of the Pricing Agreement relating to the applicable Designated Securities or, if applicable, such earlier time as may be required by Rule 424(b), or if the Company elects to rely on Rule 434 under the Act, immediately following execution and delivery of the applicable Pricing Agreement, to prepare an abbreviated term sheet relating to the Designated Securities in a form approved by the Representatives that complies with the requirements of Rule 434 under the Act and to file such form of Rule 434</w:t>
      </w:r>
    </w:p>
    <w:p>
      <w:pPr>
        <w:spacing w:after="0" w:line="200" w:lineRule="exact"/>
        <w:rPr>
          <w:sz w:val="20"/>
          <w:szCs w:val="20"/>
          <w:color w:val="auto"/>
        </w:rPr>
      </w:pPr>
    </w:p>
    <w:p>
      <w:pPr>
        <w:spacing w:after="0" w:line="3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01" w:right="1440" w:bottom="1440" w:gutter="0" w:footer="0" w:header="0"/>
        </w:sectPr>
      </w:pPr>
    </w:p>
    <w:bookmarkStart w:id="11" w:name="page12"/>
    <w:bookmarkEnd w:id="11"/>
    <w:p>
      <w:pPr>
        <w:ind w:right="3179"/>
        <w:spacing w:after="0" w:line="260" w:lineRule="auto"/>
        <w:rPr>
          <w:sz w:val="20"/>
          <w:szCs w:val="20"/>
          <w:color w:val="auto"/>
        </w:rPr>
      </w:pPr>
      <w:r>
        <w:rPr>
          <w:rFonts w:ascii="Courier New" w:cs="Courier New" w:eastAsia="Courier New" w:hAnsi="Courier New"/>
          <w:sz w:val="14"/>
          <w:szCs w:val="14"/>
          <w:color w:val="auto"/>
        </w:rPr>
        <w:t>Prospectus complying with Rule 434(c)(2) of the Act pursuant to Rule 424(b) under the Act not later than the Commission's close of business on the business day following the execution and delivery of the Pricing Agreement relating to the applicable Designated Securities or, if applicable, such earlier time as may be required by Rule 424(b); to make no further amendment or any supplement to the Registration Statement or Prospectus as amended or supplemented after the date of the Pricing Agreement relating to such Designated Securities and prior to the Time of Delivery for such Designated Securities which shall be reasonably disapproved by the Representatives for such Designated Securities promptly after reasonable notice thereof; to advise the Representatives promptly of any such amendment or supplement after such Time of Delivery and furnish the Representatives with copies thereof; to file promptly all reports and any definitive proxy or information statements required to be filed by the Company with the Commission pursuant to Section 13(a), 13(c), 14 or 15(d) of the Exchange Act for so long as the delivery of a prospectus is required in connection with the offering or sale of such Designated Securities, and during such same period to advise the Representatives, promptly after it receives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as amended or supplemented, of the suspension of the qualification of such Designated Securities for offering or sale in any jurisdiction, of the initiation or threatening of any proceeding for any such purpose, or of any request by the Commission for the amending or supplementing of the Registration Statement or Prospectus as amended or supplemented or for additional information; and, in the event of the issuance of any such stop order or of any such order preventing or suspending the use of any Prospectus as amended or supplemented relating to the Designated Securities or suspending any such qualification, to use promptly its best efforts to obtain its withdrawal;</w:t>
      </w:r>
    </w:p>
    <w:p>
      <w:pPr>
        <w:spacing w:after="0" w:line="263" w:lineRule="exact"/>
        <w:rPr>
          <w:sz w:val="20"/>
          <w:szCs w:val="20"/>
          <w:color w:val="auto"/>
        </w:rPr>
      </w:pPr>
    </w:p>
    <w:p>
      <w:pPr>
        <w:ind w:right="3179" w:firstLine="268"/>
        <w:spacing w:after="0" w:line="251" w:lineRule="auto"/>
        <w:tabs>
          <w:tab w:leader="none" w:pos="61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from time to time to take such action as the Representatives may reasonably request to qualify such Designated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87" w:lineRule="exact"/>
        <w:rPr>
          <w:rFonts w:ascii="Courier New" w:cs="Courier New" w:eastAsia="Courier New" w:hAnsi="Courier New"/>
          <w:sz w:val="15"/>
          <w:szCs w:val="15"/>
          <w:color w:val="auto"/>
        </w:rPr>
      </w:pPr>
    </w:p>
    <w:p>
      <w:pPr>
        <w:ind w:right="3179" w:firstLine="268"/>
        <w:spacing w:after="0" w:line="275" w:lineRule="auto"/>
        <w:tabs>
          <w:tab w:leader="none" w:pos="61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to furnish to the Underwriters in New York City with copies of the Prospectus, as amended or supplemented, in such quantities as the Representatives may reasonably request, and, if the delivery of a prospectus is required at any time in connection with the offering or sale of the Designated Securities and if at such time any event shall have occurred as a result of which the Prospectus as then amended or supplemented would include an untrue statement of a material fact or omit to state any material fact necessary in order to</w:t>
      </w:r>
    </w:p>
    <w:p>
      <w:pPr>
        <w:spacing w:after="0" w:line="7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439"/>
          </w:cols>
          <w:pgMar w:left="1020" w:top="601" w:right="1440" w:bottom="1440" w:gutter="0" w:footer="0" w:header="0"/>
        </w:sectPr>
      </w:pPr>
    </w:p>
    <w:bookmarkStart w:id="12" w:name="page13"/>
    <w:bookmarkEnd w:id="12"/>
    <w:p>
      <w:pPr>
        <w:ind w:right="3179"/>
        <w:spacing w:after="0" w:line="248" w:lineRule="auto"/>
        <w:rPr>
          <w:sz w:val="20"/>
          <w:szCs w:val="20"/>
          <w:color w:val="auto"/>
        </w:rPr>
      </w:pPr>
      <w:r>
        <w:rPr>
          <w:rFonts w:ascii="Courier New" w:cs="Courier New" w:eastAsia="Courier New" w:hAnsi="Courier New"/>
          <w:sz w:val="15"/>
          <w:szCs w:val="15"/>
          <w:color w:val="auto"/>
        </w:rPr>
        <w:t>make the statements therein, in the light of the circumstances under which they were made when such Prospectus as amended or supplemented is delivered, not misleading, or, if for any other reason it shall be necessary during such same period to amend or supplement the Prospectus or to file under the Exchange Act any document incorporated by reference in the Prospectus in order to comply with the Act, the Exchange Act or the Trust Indenture Act, to notify the Representatives and upon their request to file such document and to prepare and furnish without charge to each Underwriter and to any dealer in securities as many copies as the Representatives may from time to time reasonably request of an amended Prospectus or a supplement to the Prospectus which will correct such statement or omission or effect such compliance;</w:t>
      </w:r>
    </w:p>
    <w:p>
      <w:pPr>
        <w:spacing w:after="0" w:line="91" w:lineRule="exact"/>
        <w:rPr>
          <w:sz w:val="20"/>
          <w:szCs w:val="20"/>
          <w:color w:val="auto"/>
        </w:rPr>
      </w:pPr>
    </w:p>
    <w:p>
      <w:pPr>
        <w:ind w:right="3259" w:firstLine="268"/>
        <w:spacing w:after="0" w:line="257" w:lineRule="auto"/>
        <w:tabs>
          <w:tab w:leader="none" w:pos="617"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generally available to its securityholders as soon as practicable, but in any event not later than eighteen months after the effective date of the Registration Statement (as defined in Rule 158(c)), an earnings statement of the Company (which need not be audited) complying with Section 11(a) of the Act and the rules and regulations of the Commission thereunder (including at the option of the Company Rule 158);</w:t>
      </w:r>
    </w:p>
    <w:p>
      <w:pPr>
        <w:spacing w:after="0" w:line="82" w:lineRule="exact"/>
        <w:rPr>
          <w:rFonts w:ascii="Courier New" w:cs="Courier New" w:eastAsia="Courier New" w:hAnsi="Courier New"/>
          <w:sz w:val="15"/>
          <w:szCs w:val="15"/>
          <w:color w:val="auto"/>
        </w:rPr>
      </w:pPr>
    </w:p>
    <w:p>
      <w:pPr>
        <w:ind w:right="3179" w:firstLine="268"/>
        <w:spacing w:after="0" w:line="250" w:lineRule="auto"/>
        <w:tabs>
          <w:tab w:leader="none" w:pos="617"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beginning on and including the date of the Pricing Agreement for such Designated Securities and continuing through and including the earlier of (i) the termination of trading restrictions for such Designated Securities, as notified to the Company by the Representatives and (ii) the Time of Delivery for such Designated Securities, but in no event later than 90 days from the date of the Pricing Agreement, not to offer, sell, contract to sell or otherwise issue any debt securities of the Company which mature more than one year after such Time of Delivery and which are substantially similar to such Designated Securities, without the prior written consent of the Representatives;</w:t>
      </w:r>
    </w:p>
    <w:p>
      <w:pPr>
        <w:spacing w:after="0" w:line="87" w:lineRule="exact"/>
        <w:rPr>
          <w:rFonts w:ascii="Courier New" w:cs="Courier New" w:eastAsia="Courier New" w:hAnsi="Courier New"/>
          <w:sz w:val="15"/>
          <w:szCs w:val="15"/>
          <w:color w:val="auto"/>
        </w:rPr>
      </w:pPr>
    </w:p>
    <w:p>
      <w:pPr>
        <w:ind w:right="3359" w:firstLine="268"/>
        <w:spacing w:after="0" w:line="293" w:lineRule="auto"/>
        <w:tabs>
          <w:tab w:leader="none" w:pos="617"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the net proceeds received by it from the sale of the Designated Securities in the manner specified in the Prospectus under the caption "Use of Proceeds"; and</w:t>
      </w:r>
    </w:p>
    <w:p>
      <w:pPr>
        <w:spacing w:after="0" w:line="55" w:lineRule="exact"/>
        <w:rPr>
          <w:rFonts w:ascii="Courier New" w:cs="Courier New" w:eastAsia="Courier New" w:hAnsi="Courier New"/>
          <w:sz w:val="15"/>
          <w:szCs w:val="15"/>
          <w:color w:val="auto"/>
        </w:rPr>
      </w:pPr>
    </w:p>
    <w:p>
      <w:pPr>
        <w:ind w:right="3359" w:firstLine="268"/>
        <w:spacing w:after="0" w:line="293" w:lineRule="auto"/>
        <w:tabs>
          <w:tab w:leader="none" w:pos="617"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qualify as a "real estate investment trust" under the Code, and to use its best efforts to continue to meet the requirements to qualify as a "real estate investment trust."</w:t>
      </w:r>
    </w:p>
    <w:p>
      <w:pPr>
        <w:spacing w:after="0" w:line="55" w:lineRule="exact"/>
        <w:rPr>
          <w:rFonts w:ascii="Courier New" w:cs="Courier New" w:eastAsia="Courier New" w:hAnsi="Courier New"/>
          <w:sz w:val="15"/>
          <w:szCs w:val="15"/>
          <w:color w:val="auto"/>
        </w:rPr>
      </w:pPr>
    </w:p>
    <w:p>
      <w:pPr>
        <w:ind w:left="-780" w:right="3179" w:firstLine="784"/>
        <w:spacing w:after="0" w:line="249" w:lineRule="auto"/>
        <w:tabs>
          <w:tab w:leader="none" w:pos="27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and the Prospectus and amendments and supplements thereto (including each abbreviated term sheet delivered by the Company pursuant to Rule 434 under the Act) and the mailing and delivering of copies thereof to the Underwriters and dealers; (ii) the cost of printing or producing any Agreement Among Underwriters, this Agreement, any Pricing Agreement, any Indenture, any blue sky and legal investment surveys and any other documents in</w:t>
      </w:r>
    </w:p>
    <w:p>
      <w:pPr>
        <w:spacing w:after="0" w:line="8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439"/>
          </w:cols>
          <w:pgMar w:left="1020" w:top="601" w:right="1440" w:bottom="1440" w:gutter="0" w:footer="0" w:header="0"/>
        </w:sectPr>
      </w:pPr>
    </w:p>
    <w:bookmarkStart w:id="13" w:name="page14"/>
    <w:bookmarkEnd w:id="13"/>
    <w:p>
      <w:pPr>
        <w:ind w:left="10"/>
        <w:spacing w:after="0"/>
        <w:rPr>
          <w:sz w:val="20"/>
          <w:szCs w:val="20"/>
          <w:color w:val="auto"/>
        </w:rPr>
      </w:pPr>
      <w:r>
        <w:rPr>
          <w:rFonts w:ascii="Courier New" w:cs="Courier New" w:eastAsia="Courier New" w:hAnsi="Courier New"/>
          <w:sz w:val="15"/>
          <w:szCs w:val="15"/>
          <w:color w:val="auto"/>
        </w:rPr>
        <w:t>connection with the offering, purchase, sale and delivery of the Securities;</w:t>
      </w:r>
    </w:p>
    <w:p>
      <w:pPr>
        <w:spacing w:after="0" w:line="26" w:lineRule="exact"/>
        <w:rPr>
          <w:sz w:val="20"/>
          <w:szCs w:val="20"/>
          <w:color w:val="auto"/>
        </w:rPr>
      </w:pPr>
    </w:p>
    <w:p>
      <w:pPr>
        <w:ind w:left="10" w:right="3179" w:hanging="10"/>
        <w:spacing w:after="0" w:line="243" w:lineRule="auto"/>
        <w:tabs>
          <w:tab w:leader="none" w:pos="53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expenses in connection with the qualification of the Securities for offering and sale under state securities laws as provided in Section 5(b) hereof, including the fees and disbursements of counsel for the Underwriters in connection with such qualification and in connection with the blue sky and legal investment surveys; (iv) any fees charged by securities rating services for rating the Securities; (v) any filing fees incident to any required review by the National Association of Securities Dealers, Inc. of the terms of the sale of the Securities; (vi) the cost of preparing the Securities; (vii) the fees and expenses of any Trustee and any agent of any Trustee and the fees and disbursements of counsel for any Trustee in connection with any Indenture and the Securities; and (viii) all other costs and expenses incident to the performance of its obligations hereunder which are not otherwise specifically provided for in this Section. It is understood, however, that, except as provided in this Section,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100" w:lineRule="exact"/>
        <w:rPr>
          <w:rFonts w:ascii="Courier New" w:cs="Courier New" w:eastAsia="Courier New" w:hAnsi="Courier New"/>
          <w:sz w:val="15"/>
          <w:szCs w:val="15"/>
          <w:color w:val="auto"/>
        </w:rPr>
      </w:pPr>
    </w:p>
    <w:p>
      <w:pPr>
        <w:ind w:left="10" w:right="3259" w:firstLine="784"/>
        <w:spacing w:after="0" w:line="252" w:lineRule="auto"/>
        <w:tabs>
          <w:tab w:leader="none" w:pos="1067"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Agreement into,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89" w:lineRule="exact"/>
        <w:rPr>
          <w:rFonts w:ascii="Courier New" w:cs="Courier New" w:eastAsia="Courier New" w:hAnsi="Courier New"/>
          <w:sz w:val="15"/>
          <w:szCs w:val="15"/>
          <w:color w:val="auto"/>
        </w:rPr>
      </w:pPr>
    </w:p>
    <w:p>
      <w:pPr>
        <w:ind w:left="790" w:right="3179" w:firstLine="268"/>
        <w:spacing w:after="0" w:line="271" w:lineRule="auto"/>
        <w:tabs>
          <w:tab w:leader="none" w:pos="1407" w:val="left"/>
        </w:tabs>
        <w:numPr>
          <w:ilvl w:val="2"/>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Prospectus as amended or supplemented in relation to the applicable Designated Securities shall have been or shall be filed with the Commission pursuant to Rule 424(b) within the applicable time period prescribed for such filing by the rules and regulations under the Act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w:t>
      </w:r>
    </w:p>
    <w:p>
      <w:pPr>
        <w:spacing w:after="0" w:line="73" w:lineRule="exact"/>
        <w:rPr>
          <w:rFonts w:ascii="Courier New" w:cs="Courier New" w:eastAsia="Courier New" w:hAnsi="Courier New"/>
          <w:sz w:val="14"/>
          <w:szCs w:val="14"/>
          <w:color w:val="auto"/>
        </w:rPr>
      </w:pPr>
    </w:p>
    <w:p>
      <w:pPr>
        <w:ind w:left="790" w:right="3179" w:firstLine="268"/>
        <w:spacing w:after="0" w:line="250" w:lineRule="auto"/>
        <w:tabs>
          <w:tab w:leader="none" w:pos="1407" w:val="left"/>
        </w:tabs>
        <w:numPr>
          <w:ilvl w:val="2"/>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Sidley Austin Brown &amp; Wood LLP, counsel for the Underwriters, shall have furnished to the Representatives such opinion or opinions, dated the Time of Delivery for such Designated Securities, with respect to the organization of the Company, the validity of the Indenture, the Registration Statement, the Prospectus as amended or supplemented and other related matters as the Representatives may reasonably request, and such counsel shall have received such papers and information as they may reasonably request to enable them to pass upon such matters (in rendering such opinion, Sidley Austin Brown &amp; Wood LLP may rely, as to all matters arising under or governed by the laws of the State of Maryland, on the opinion of Shaw Pittman LLP);</w:t>
      </w:r>
    </w:p>
    <w:p>
      <w:pPr>
        <w:spacing w:after="0" w:line="8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601" w:right="1440" w:bottom="1440" w:gutter="0" w:footer="0" w:header="0"/>
        </w:sectPr>
      </w:pPr>
    </w:p>
    <w:bookmarkStart w:id="14" w:name="page15"/>
    <w:bookmarkEnd w:id="14"/>
    <w:p>
      <w:pPr>
        <w:ind w:right="3259" w:firstLine="268"/>
        <w:spacing w:after="0" w:line="275" w:lineRule="auto"/>
        <w:tabs>
          <w:tab w:leader="none" w:pos="61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Shaw Pittman LLP, counsel for the Company, shall have furnished to the Representatives their written opinion, dated the Time of Delivery for such Designated Securities, in substantially the form and substance attached hereto as Schedule A.</w:t>
      </w:r>
    </w:p>
    <w:p>
      <w:pPr>
        <w:spacing w:after="0" w:line="68" w:lineRule="exact"/>
        <w:rPr>
          <w:rFonts w:ascii="Courier New" w:cs="Courier New" w:eastAsia="Courier New" w:hAnsi="Courier New"/>
          <w:sz w:val="15"/>
          <w:szCs w:val="15"/>
          <w:color w:val="auto"/>
        </w:rPr>
      </w:pPr>
    </w:p>
    <w:p>
      <w:pPr>
        <w:ind w:right="3179" w:firstLine="268"/>
        <w:spacing w:after="0" w:line="263" w:lineRule="auto"/>
        <w:tabs>
          <w:tab w:leader="none" w:pos="617"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above opinion, the Representatives shall have received the opinion or opinions of Shaw Pittman LLP, Tax Counsel to the Company, dated the Time of Delivery for such Designated Securities, in form and substance satisfactory to the Representatives, to the effect that (1) the Company qualified as a real estate investment trust ("REIT") under the Code for its taxable years ending through December 31, 2001, (2) the Company is organized in conformity with the requirements for qualification as a REIT under the Code, and its current method of operation will enable it to meet the requirements for qualification as a REIT for the current taxable year and for future taxable years; and (3) the discussion in (x) the Prospectus Supplement dated November 14, 2002 under the caption "Certain Federal Income Tax Considerations," and (y) the Company's Current Report on Form 8-K filed with the Commission on November 13, 2002 (hereafter, the "Company's Form 8-K") under the caption "Federal Income Tax Consequences" which is incorporated by reference into the Prospectus Supplement, to the extent that they discuss matters of law or legal conclusions or purport to describe certain provisions of the federal tax laws, are correct summaries of the matters discussed therein;</w:t>
      </w:r>
    </w:p>
    <w:p>
      <w:pPr>
        <w:spacing w:after="0" w:line="261" w:lineRule="exact"/>
        <w:rPr>
          <w:rFonts w:ascii="Courier New" w:cs="Courier New" w:eastAsia="Courier New" w:hAnsi="Courier New"/>
          <w:sz w:val="14"/>
          <w:szCs w:val="14"/>
          <w:color w:val="auto"/>
        </w:rPr>
      </w:pPr>
    </w:p>
    <w:p>
      <w:pPr>
        <w:ind w:left="620" w:hanging="352"/>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the Pricing Agreement for such Designated</w:t>
      </w:r>
    </w:p>
    <w:p>
      <w:pPr>
        <w:spacing w:after="0" w:line="25" w:lineRule="exact"/>
        <w:rPr>
          <w:rFonts w:ascii="Courier New" w:cs="Courier New" w:eastAsia="Courier New" w:hAnsi="Courier New"/>
          <w:sz w:val="15"/>
          <w:szCs w:val="15"/>
          <w:color w:val="auto"/>
        </w:rPr>
      </w:pPr>
    </w:p>
    <w:p>
      <w:pPr>
        <w:ind w:right="325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at the Time of Delivery for such Designated Securities, Grant Thornton LLP, the independent accountants of the Company, shall have furnished to the Underwriters a "comfort letter" in form and substance satisfactory to the Representatives;</w:t>
      </w:r>
    </w:p>
    <w:p>
      <w:pPr>
        <w:spacing w:after="0" w:line="76" w:lineRule="exact"/>
        <w:rPr>
          <w:rFonts w:ascii="Courier New" w:cs="Courier New" w:eastAsia="Courier New" w:hAnsi="Courier New"/>
          <w:sz w:val="15"/>
          <w:szCs w:val="15"/>
          <w:color w:val="auto"/>
        </w:rPr>
      </w:pPr>
    </w:p>
    <w:p>
      <w:pPr>
        <w:ind w:right="3359" w:firstLine="268"/>
        <w:spacing w:after="0" w:line="289" w:lineRule="auto"/>
        <w:tabs>
          <w:tab w:leader="none" w:pos="617"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date of the Pricing Agreement for such Designated Securities and at the Time of Delivery for such Designated Securities the Chief Executive Officer or Chief Operating Officer and the Chief Financial Officer shall have furnished to the Representatives a certificate substantially in the form of Annex II hereto;</w:t>
      </w:r>
    </w:p>
    <w:p>
      <w:pPr>
        <w:spacing w:after="0" w:line="62" w:lineRule="exact"/>
        <w:rPr>
          <w:rFonts w:ascii="Courier New" w:cs="Courier New" w:eastAsia="Courier New" w:hAnsi="Courier New"/>
          <w:sz w:val="14"/>
          <w:szCs w:val="14"/>
          <w:color w:val="auto"/>
        </w:rPr>
      </w:pPr>
    </w:p>
    <w:p>
      <w:pPr>
        <w:ind w:right="3179" w:firstLine="268"/>
        <w:spacing w:after="0" w:line="278" w:lineRule="auto"/>
        <w:tabs>
          <w:tab w:leader="none" w:pos="617"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Delivery for such Designated Securities, the Designated Securities shall be rated at least Baa2 by Moody's Investor's Service Inc. and BBB by Standard &amp; Poor's Ratings Group, a division of McGraw-Hill, Inc., and the Company shall have delivered to the Representatives a letter dated the Time of Delivery, from each such rating agency, or other evidence satisfactory to the Representatives, confirming that the Designated Securities have such ratings;</w:t>
      </w:r>
    </w:p>
    <w:p>
      <w:pPr>
        <w:spacing w:after="0" w:line="70" w:lineRule="exact"/>
        <w:rPr>
          <w:rFonts w:ascii="Courier New" w:cs="Courier New" w:eastAsia="Courier New" w:hAnsi="Courier New"/>
          <w:sz w:val="14"/>
          <w:szCs w:val="14"/>
          <w:color w:val="auto"/>
        </w:rPr>
      </w:pPr>
    </w:p>
    <w:p>
      <w:pPr>
        <w:ind w:right="3359" w:firstLine="268"/>
        <w:spacing w:after="0" w:line="266" w:lineRule="auto"/>
        <w:tabs>
          <w:tab w:leader="none" w:pos="61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Neither the Company nor any of the Entities shall have sustained since the date of the latest audited financial statements included or incorporated by reference in the Prospectus as amended or supplemented any loss or interference with its business from fire, explosion, flood or other calamity,</w:t>
      </w:r>
    </w:p>
    <w:p>
      <w:pPr>
        <w:spacing w:after="0" w:line="7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439"/>
          </w:cols>
          <w:pgMar w:left="1020" w:top="601" w:right="1440" w:bottom="1440" w:gutter="0" w:footer="0" w:header="0"/>
        </w:sectPr>
      </w:pPr>
    </w:p>
    <w:bookmarkStart w:id="15" w:name="page16"/>
    <w:bookmarkEnd w:id="15"/>
    <w:p>
      <w:pPr>
        <w:ind w:right="3179"/>
        <w:spacing w:after="0" w:line="246" w:lineRule="auto"/>
        <w:rPr>
          <w:sz w:val="20"/>
          <w:szCs w:val="20"/>
          <w:color w:val="auto"/>
        </w:rPr>
      </w:pPr>
      <w:r>
        <w:rPr>
          <w:rFonts w:ascii="Courier New" w:cs="Courier New" w:eastAsia="Courier New" w:hAnsi="Courier New"/>
          <w:sz w:val="15"/>
          <w:szCs w:val="15"/>
          <w:color w:val="auto"/>
        </w:rPr>
        <w:t>whether or not covered by insurance, or from any labor dispute or court or governmental action, order or decree, otherwise than as set forth or contemplated in the Prospectus as amended or supplemented, and (ii) since the respective dates as of which information is given in the Prospectus as amended or supplemented there shall not have been any change in the authorized, issued and outstanding capital stock of the Company or increase in long-term debt of the Company or any of the Entities or any change, or any development involving a prospective change, in or affecting the general affairs, management, financial position, shareholders' equity or results of operations of the Company and the Entities, otherwise than as set forth or contemplated in the Prospectus as amended or supplemented, the effect of which, in any such case described in clause (i) or (ii), is in the judgment of the Representatives so material and adverse as to make it impracticable or inadvisable to proceed with the public offering or the delivery of the Designated Securities on the terms and in the manner contemplated in the Prospectus as amended or supplemented;</w:t>
      </w:r>
    </w:p>
    <w:p>
      <w:pPr>
        <w:spacing w:after="0" w:line="90" w:lineRule="exact"/>
        <w:rPr>
          <w:sz w:val="20"/>
          <w:szCs w:val="20"/>
          <w:color w:val="auto"/>
        </w:rPr>
      </w:pPr>
    </w:p>
    <w:p>
      <w:pPr>
        <w:ind w:right="3259" w:firstLine="268"/>
        <w:spacing w:after="0" w:line="252" w:lineRule="auto"/>
        <w:tabs>
          <w:tab w:leader="none" w:pos="61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preferred shares;</w:t>
      </w:r>
    </w:p>
    <w:p>
      <w:pPr>
        <w:spacing w:after="0" w:line="89" w:lineRule="exact"/>
        <w:rPr>
          <w:rFonts w:ascii="Courier New" w:cs="Courier New" w:eastAsia="Courier New" w:hAnsi="Courier New"/>
          <w:sz w:val="15"/>
          <w:szCs w:val="15"/>
          <w:color w:val="auto"/>
        </w:rPr>
      </w:pPr>
    </w:p>
    <w:p>
      <w:pPr>
        <w:ind w:right="3179" w:firstLine="268"/>
        <w:spacing w:after="0" w:line="246" w:lineRule="auto"/>
        <w:tabs>
          <w:tab w:leader="none" w:pos="61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the date of the Pricing Agreement relating to the Designated Securities there shall not have occurred any of the following: (i) a material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or the delivery of the Designated Securities on the terms and in the manner contemplated in the Prospectus as amended or supplemented;</w:t>
      </w:r>
    </w:p>
    <w:p>
      <w:pPr>
        <w:spacing w:after="0" w:line="94" w:lineRule="exact"/>
        <w:rPr>
          <w:rFonts w:ascii="Courier New" w:cs="Courier New" w:eastAsia="Courier New" w:hAnsi="Courier New"/>
          <w:sz w:val="15"/>
          <w:szCs w:val="15"/>
          <w:color w:val="auto"/>
        </w:rPr>
      </w:pPr>
    </w:p>
    <w:p>
      <w:pPr>
        <w:jc w:val="both"/>
        <w:ind w:right="3359" w:firstLine="268"/>
        <w:spacing w:after="0" w:line="293" w:lineRule="auto"/>
        <w:tabs>
          <w:tab w:leader="none" w:pos="61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complied with the provisions of Section 5(c) hereof with respect to the furnishing of Prospectuses as amended or supplemented; and</w:t>
      </w:r>
    </w:p>
    <w:p>
      <w:pPr>
        <w:spacing w:after="0" w:line="55" w:lineRule="exact"/>
        <w:rPr>
          <w:rFonts w:ascii="Courier New" w:cs="Courier New" w:eastAsia="Courier New" w:hAnsi="Courier New"/>
          <w:sz w:val="15"/>
          <w:szCs w:val="15"/>
          <w:color w:val="auto"/>
        </w:rPr>
      </w:pPr>
    </w:p>
    <w:p>
      <w:pPr>
        <w:ind w:right="3439" w:firstLine="268"/>
        <w:spacing w:after="0" w:line="275" w:lineRule="auto"/>
        <w:tabs>
          <w:tab w:leader="none" w:pos="61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furnished or caused to be furnished to the Representatives at the Time of Delivery for the Designated Securities a certificate or certificates of officers of the Company dated such Time of Delivery as to the</w:t>
      </w:r>
    </w:p>
    <w:p>
      <w:pPr>
        <w:spacing w:after="0" w:line="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439"/>
          </w:cols>
          <w:pgMar w:left="1020" w:top="601" w:right="1440" w:bottom="1440" w:gutter="0" w:footer="0" w:header="0"/>
        </w:sectPr>
      </w:pPr>
    </w:p>
    <w:bookmarkStart w:id="16" w:name="page17"/>
    <w:bookmarkEnd w:id="16"/>
    <w:p>
      <w:pPr>
        <w:ind w:right="3179"/>
        <w:spacing w:after="0" w:line="261" w:lineRule="auto"/>
        <w:rPr>
          <w:sz w:val="20"/>
          <w:szCs w:val="20"/>
          <w:color w:val="auto"/>
        </w:rPr>
      </w:pPr>
      <w:r>
        <w:rPr>
          <w:rFonts w:ascii="Courier New" w:cs="Courier New" w:eastAsia="Courier New" w:hAnsi="Courier New"/>
          <w:sz w:val="15"/>
          <w:szCs w:val="15"/>
          <w:color w:val="auto"/>
        </w:rPr>
        <w:t>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(h) of this Section and as to such other matters as the Representatives may reasonably request.</w:t>
      </w:r>
    </w:p>
    <w:p>
      <w:pPr>
        <w:spacing w:after="0" w:line="78" w:lineRule="exact"/>
        <w:rPr>
          <w:sz w:val="20"/>
          <w:szCs w:val="20"/>
          <w:color w:val="auto"/>
        </w:rPr>
      </w:pPr>
    </w:p>
    <w:p>
      <w:pPr>
        <w:ind w:right="3179" w:firstLine="268"/>
        <w:spacing w:after="0" w:line="259" w:lineRule="auto"/>
        <w:tabs>
          <w:tab w:leader="none" w:pos="52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any Underwriter of Designated Securities through the Representatives expressly for use in the Prospectus as amended or supplemented relating to such Securities. Notwithstanding the foregoing, the indemnification contained in this paragraph (a) with respect to any Preliminary Prospectus shall not inure to the benefit of any Underwriter to the extent that any such losses, claims, damages or liabilities result from the fact that such Underwriter sold Designated Securities to any person as to whom it shall be established that a copy of the Prospectus as then amended or supplemented (excluding documents incorporated therein by reference) was not delivered or sent to such person within the time required by the Act and the rules and regulations of the Commission thereunder and such losses, claims, damages or liabilities of such Underwriter result from an untrue statement or alleged untrue statement or omission or alleged omission of a material fact contained in such Preliminary Prospectus which was identified to such Underwriter and was corrected in the Prospectus (excluding documents incorporated by reference), provided that the Company has complied with Section 5(c) hereof.</w:t>
      </w:r>
    </w:p>
    <w:p>
      <w:pPr>
        <w:spacing w:after="0" w:line="270" w:lineRule="exact"/>
        <w:rPr>
          <w:sz w:val="20"/>
          <w:szCs w:val="20"/>
          <w:color w:val="auto"/>
        </w:rPr>
      </w:pPr>
    </w:p>
    <w:p>
      <w:pPr>
        <w:ind w:right="3179" w:firstLine="268"/>
        <w:spacing w:after="0" w:line="293" w:lineRule="auto"/>
        <w:tabs>
          <w:tab w:leader="none" w:pos="61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Underwriter will indemnify and hold harmless the Company against any losses, claims, damages or liabilities to which the Company may</w:t>
      </w:r>
    </w:p>
    <w:p>
      <w:pPr>
        <w:spacing w:after="0" w:line="200" w:lineRule="exact"/>
        <w:rPr>
          <w:sz w:val="20"/>
          <w:szCs w:val="20"/>
          <w:color w:val="auto"/>
        </w:rPr>
      </w:pPr>
    </w:p>
    <w:p>
      <w:pPr>
        <w:spacing w:after="0" w:line="364"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439"/>
          </w:cols>
          <w:pgMar w:left="1020" w:top="601" w:right="1440" w:bottom="1440" w:gutter="0" w:footer="0" w:header="0"/>
        </w:sectPr>
      </w:pPr>
    </w:p>
    <w:bookmarkStart w:id="17" w:name="page18"/>
    <w:bookmarkEnd w:id="17"/>
    <w:p>
      <w:pPr>
        <w:ind w:right="3179"/>
        <w:spacing w:after="0" w:line="262" w:lineRule="auto"/>
        <w:rPr>
          <w:sz w:val="20"/>
          <w:szCs w:val="20"/>
          <w:color w:val="auto"/>
        </w:rPr>
      </w:pPr>
      <w:r>
        <w:rPr>
          <w:rFonts w:ascii="Courier New" w:cs="Courier New" w:eastAsia="Courier New" w:hAnsi="Courier New"/>
          <w:sz w:val="14"/>
          <w:szCs w:val="14"/>
          <w:color w:val="auto"/>
        </w:rPr>
        <w:t>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such expenses are incurred.</w:t>
      </w:r>
    </w:p>
    <w:p>
      <w:pPr>
        <w:spacing w:after="0" w:line="90" w:lineRule="exact"/>
        <w:rPr>
          <w:sz w:val="20"/>
          <w:szCs w:val="20"/>
          <w:color w:val="auto"/>
        </w:rPr>
      </w:pPr>
    </w:p>
    <w:p>
      <w:pPr>
        <w:ind w:left="620" w:hanging="352"/>
        <w:spacing w:after="0"/>
        <w:tabs>
          <w:tab w:leader="none" w:pos="62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receipt by an indemnified party under subsection</w:t>
      </w:r>
    </w:p>
    <w:p>
      <w:pPr>
        <w:spacing w:after="0" w:line="36" w:lineRule="exact"/>
        <w:rPr>
          <w:rFonts w:ascii="Courier New" w:cs="Courier New" w:eastAsia="Courier New" w:hAnsi="Courier New"/>
          <w:sz w:val="14"/>
          <w:szCs w:val="14"/>
          <w:color w:val="auto"/>
        </w:rPr>
      </w:pPr>
    </w:p>
    <w:p>
      <w:pPr>
        <w:ind w:right="3179" w:firstLine="4"/>
        <w:spacing w:after="0" w:line="259" w:lineRule="auto"/>
        <w:tabs>
          <w:tab w:leader="none" w:pos="353"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compromises or judgment (i) includes an unconditional release of the indemnified party from all liability arising out of such action or claim and (ii) does not include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439"/>
          </w:cols>
          <w:pgMar w:left="1020" w:top="601" w:right="1440" w:bottom="1440" w:gutter="0" w:footer="0" w:header="0"/>
        </w:sectPr>
      </w:pPr>
    </w:p>
    <w:bookmarkStart w:id="18" w:name="page19"/>
    <w:bookmarkEnd w:id="18"/>
    <w:p>
      <w:pPr>
        <w:ind w:right="3179"/>
        <w:spacing w:after="0" w:line="347" w:lineRule="auto"/>
        <w:rPr>
          <w:sz w:val="20"/>
          <w:szCs w:val="20"/>
          <w:color w:val="auto"/>
        </w:rPr>
      </w:pPr>
      <w:r>
        <w:rPr>
          <w:rFonts w:ascii="Courier New" w:cs="Courier New" w:eastAsia="Courier New" w:hAnsi="Courier New"/>
          <w:sz w:val="15"/>
          <w:szCs w:val="15"/>
          <w:color w:val="auto"/>
        </w:rPr>
        <w:t>a statement as to or an admission of fault, culpability or a failure to act, by or on behalf of any indemnified party.</w:t>
      </w:r>
    </w:p>
    <w:p>
      <w:pPr>
        <w:spacing w:after="0" w:line="17" w:lineRule="exact"/>
        <w:rPr>
          <w:sz w:val="20"/>
          <w:szCs w:val="20"/>
          <w:color w:val="auto"/>
        </w:rPr>
      </w:pPr>
    </w:p>
    <w:p>
      <w:pPr>
        <w:ind w:right="3179" w:firstLine="268"/>
        <w:spacing w:after="0" w:line="259" w:lineRule="auto"/>
        <w:tabs>
          <w:tab w:leader="none" w:pos="617"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in this Section 8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received by such Underwriters. The relative fault shall be determined by reference to, among other things, whether the untrue or alleged untrue statement of a material fact or the omission or alleged omission to state a material fact contained in any Registration Statement, the Prospectus or any amendment or supplement thereto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439"/>
          </w:cols>
          <w:pgMar w:left="1020" w:top="601" w:right="1440" w:bottom="1440" w:gutter="0" w:footer="0" w:header="0"/>
        </w:sectPr>
      </w:pPr>
    </w:p>
    <w:bookmarkStart w:id="19" w:name="page20"/>
    <w:bookmarkEnd w:id="19"/>
    <w:p>
      <w:pPr>
        <w:ind w:right="3179"/>
        <w:spacing w:after="0" w:line="257" w:lineRule="auto"/>
        <w:rPr>
          <w:sz w:val="20"/>
          <w:szCs w:val="20"/>
          <w:color w:val="auto"/>
        </w:rPr>
      </w:pPr>
      <w:r>
        <w:rPr>
          <w:rFonts w:ascii="Courier New" w:cs="Courier New" w:eastAsia="Courier New" w:hAnsi="Courier New"/>
          <w:sz w:val="15"/>
          <w:szCs w:val="15"/>
          <w:color w:val="auto"/>
        </w:rPr>
        <w:t>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82" w:lineRule="exact"/>
        <w:rPr>
          <w:sz w:val="20"/>
          <w:szCs w:val="20"/>
          <w:color w:val="auto"/>
        </w:rPr>
      </w:pPr>
    </w:p>
    <w:p>
      <w:pPr>
        <w:ind w:right="3179" w:firstLine="268"/>
        <w:spacing w:after="0" w:line="252" w:lineRule="auto"/>
        <w:tabs>
          <w:tab w:leader="none" w:pos="61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and trustee of the Company and to each person, if any, who controls the Company within the meaning of the Act.</w:t>
      </w:r>
    </w:p>
    <w:p>
      <w:pPr>
        <w:spacing w:after="0" w:line="89" w:lineRule="exact"/>
        <w:rPr>
          <w:sz w:val="20"/>
          <w:szCs w:val="20"/>
          <w:color w:val="auto"/>
        </w:rPr>
      </w:pPr>
    </w:p>
    <w:p>
      <w:pPr>
        <w:ind w:left="540" w:hanging="272"/>
        <w:spacing w:after="0"/>
        <w:tabs>
          <w:tab w:leader="none" w:pos="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If any Underwriter shall default in its obligation to</w:t>
      </w:r>
    </w:p>
    <w:p>
      <w:pPr>
        <w:spacing w:after="0" w:line="25" w:lineRule="exact"/>
        <w:rPr>
          <w:rFonts w:ascii="Courier New" w:cs="Courier New" w:eastAsia="Courier New" w:hAnsi="Courier New"/>
          <w:sz w:val="15"/>
          <w:szCs w:val="15"/>
          <w:color w:val="auto"/>
        </w:rPr>
      </w:pPr>
    </w:p>
    <w:p>
      <w:pPr>
        <w:ind w:right="317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purchase the Designated Securities which it has agreed to purchase at the Time of Delivery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Agreement shall include any person substituted under this Section with like effect as if such person had originally been a party to the Pricing Agreement with respect to such Designated Securities.</w:t>
      </w:r>
    </w:p>
    <w:p>
      <w:pPr>
        <w:spacing w:after="0" w:line="255" w:lineRule="exact"/>
        <w:rPr>
          <w:sz w:val="20"/>
          <w:szCs w:val="20"/>
          <w:color w:val="auto"/>
        </w:rPr>
      </w:pPr>
    </w:p>
    <w:p>
      <w:pPr>
        <w:ind w:right="3259" w:firstLine="268"/>
        <w:spacing w:after="0" w:line="257" w:lineRule="auto"/>
        <w:tabs>
          <w:tab w:leader="none" w:pos="61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to be purchased at the Time of Delivery, then the Company</w:t>
      </w:r>
    </w:p>
    <w:p>
      <w:pPr>
        <w:spacing w:after="0" w:line="8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439"/>
          </w:cols>
          <w:pgMar w:left="1020" w:top="601" w:right="1440" w:bottom="1440" w:gutter="0" w:footer="0" w:header="0"/>
        </w:sectPr>
      </w:pPr>
    </w:p>
    <w:bookmarkStart w:id="20" w:name="page21"/>
    <w:bookmarkEnd w:id="20"/>
    <w:p>
      <w:pPr>
        <w:ind w:right="3179"/>
        <w:spacing w:after="0" w:line="250" w:lineRule="auto"/>
        <w:rPr>
          <w:sz w:val="20"/>
          <w:szCs w:val="20"/>
          <w:color w:val="auto"/>
        </w:rPr>
      </w:pPr>
      <w:r>
        <w:rPr>
          <w:rFonts w:ascii="Courier New" w:cs="Courier New" w:eastAsia="Courier New" w:hAnsi="Courier New"/>
          <w:sz w:val="15"/>
          <w:szCs w:val="15"/>
          <w:color w:val="auto"/>
        </w:rPr>
        <w:t>shall have the right to require each non-defaulting Underwriter to purchase the principal amount of Designated Securities which such Underwriter agreed to purchase at the Time of Delivery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87" w:lineRule="exact"/>
        <w:rPr>
          <w:sz w:val="20"/>
          <w:szCs w:val="20"/>
          <w:color w:val="auto"/>
        </w:rPr>
      </w:pPr>
    </w:p>
    <w:p>
      <w:pPr>
        <w:ind w:right="3179" w:firstLine="268"/>
        <w:spacing w:after="0" w:line="245" w:lineRule="auto"/>
        <w:tabs>
          <w:tab w:leader="none" w:pos="617"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to be purchased at the Time of Delivery, as referred to in subsection (b) above, or if the Company shall not exercise the right described in subsection (b) above to require non-defaulting Underwriters to purchase Designated 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98" w:lineRule="exact"/>
        <w:rPr>
          <w:rFonts w:ascii="Courier New" w:cs="Courier New" w:eastAsia="Courier New" w:hAnsi="Courier New"/>
          <w:sz w:val="15"/>
          <w:szCs w:val="15"/>
          <w:color w:val="auto"/>
        </w:rPr>
      </w:pPr>
    </w:p>
    <w:p>
      <w:pPr>
        <w:ind w:left="-780" w:right="3179" w:firstLine="784"/>
        <w:spacing w:after="0" w:line="254" w:lineRule="auto"/>
        <w:tabs>
          <w:tab w:leader="none" w:pos="36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86" w:lineRule="exact"/>
        <w:rPr>
          <w:rFonts w:ascii="Courier New" w:cs="Courier New" w:eastAsia="Courier New" w:hAnsi="Courier New"/>
          <w:sz w:val="15"/>
          <w:szCs w:val="15"/>
          <w:color w:val="auto"/>
        </w:rPr>
      </w:pPr>
    </w:p>
    <w:p>
      <w:pPr>
        <w:ind w:left="-780" w:right="3179" w:firstLine="784"/>
        <w:spacing w:after="0" w:line="248" w:lineRule="auto"/>
        <w:tabs>
          <w:tab w:leader="none" w:pos="36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Pricing Agreement shall be terminated pursuant to Section 9 hereof, the Company shall not then be under any liability to any Underwriter with respect to the Designated Securities covered by such Pricing Agreement except as provided in Section 6 and Section 8 hereof. If this Agreement shall be terminated as a result of any of the conditions set forth in Section 7 hereof (other than Section 7(j)(i), (iii) or (iv))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Securities, but the Company shall then be under no further liability to any Underwriter with respect to such Designated Securities except as provided in Section 6 and Section 8 hereof.</w:t>
      </w:r>
    </w:p>
    <w:p>
      <w:pPr>
        <w:spacing w:after="0" w:line="9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439"/>
          </w:cols>
          <w:pgMar w:left="1020" w:top="601" w:right="1440" w:bottom="1440" w:gutter="0" w:footer="0" w:header="0"/>
        </w:sectPr>
      </w:pPr>
    </w:p>
    <w:bookmarkStart w:id="21" w:name="page22"/>
    <w:bookmarkEnd w:id="21"/>
    <w:p>
      <w:pPr>
        <w:ind w:right="3259" w:firstLine="784"/>
        <w:spacing w:after="0" w:line="261" w:lineRule="auto"/>
        <w:tabs>
          <w:tab w:leader="none" w:pos="114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78" w:lineRule="exact"/>
        <w:rPr>
          <w:sz w:val="20"/>
          <w:szCs w:val="20"/>
          <w:color w:val="auto"/>
        </w:rPr>
      </w:pPr>
    </w:p>
    <w:p>
      <w:pPr>
        <w:ind w:right="3179" w:firstLine="793"/>
        <w:spacing w:after="0" w:line="247" w:lineRule="auto"/>
        <w:rPr>
          <w:sz w:val="20"/>
          <w:szCs w:val="20"/>
          <w:color w:val="auto"/>
        </w:rPr>
      </w:pPr>
      <w:r>
        <w:rPr>
          <w:rFonts w:ascii="Courier New" w:cs="Courier New" w:eastAsia="Courier New" w:hAnsi="Courier New"/>
          <w:sz w:val="15"/>
          <w:szCs w:val="15"/>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in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94" w:lineRule="exact"/>
        <w:rPr>
          <w:sz w:val="20"/>
          <w:szCs w:val="20"/>
          <w:color w:val="auto"/>
        </w:rPr>
      </w:pPr>
    </w:p>
    <w:p>
      <w:pPr>
        <w:ind w:right="3179" w:firstLine="784"/>
        <w:spacing w:after="0" w:line="252" w:lineRule="auto"/>
        <w:tabs>
          <w:tab w:leader="none" w:pos="11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each Pricing Agreement shall be binding upon, and inure solely to the benefit of, the Underwriters, the Company and, to the extent provided in Section 8 and Section 10 hereof, the officers and trustees of the Company and each person who controls the Company or any Underwriter, and their respective heirs, executors, administrators, successors and assigns, and no other person shall acquire or have any right under or by virtue of this Agreement or any such Pricing, Agreement. No purchaser of any of the Securities from any Underwriter shall be deemed a successor or assign by reason merely of such purchase.</w:t>
      </w:r>
    </w:p>
    <w:p>
      <w:pPr>
        <w:spacing w:after="0" w:line="89" w:lineRule="exact"/>
        <w:rPr>
          <w:rFonts w:ascii="Courier New" w:cs="Courier New" w:eastAsia="Courier New" w:hAnsi="Courier New"/>
          <w:sz w:val="15"/>
          <w:szCs w:val="15"/>
          <w:color w:val="auto"/>
        </w:rPr>
      </w:pPr>
    </w:p>
    <w:p>
      <w:pPr>
        <w:ind w:right="3539" w:firstLine="784"/>
        <w:spacing w:after="0" w:line="293" w:lineRule="auto"/>
        <w:tabs>
          <w:tab w:leader="none" w:pos="11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shall be of the essence of each Pricing Agreement. As used herein, "business day" shall mean any day when the Commission's office in Washington, D.C. is open for business.</w:t>
      </w:r>
    </w:p>
    <w:p>
      <w:pPr>
        <w:spacing w:after="0" w:line="55" w:lineRule="exact"/>
        <w:rPr>
          <w:rFonts w:ascii="Courier New" w:cs="Courier New" w:eastAsia="Courier New" w:hAnsi="Courier New"/>
          <w:sz w:val="15"/>
          <w:szCs w:val="15"/>
          <w:color w:val="auto"/>
        </w:rPr>
      </w:pPr>
    </w:p>
    <w:p>
      <w:pPr>
        <w:ind w:right="3259" w:firstLine="784"/>
        <w:spacing w:after="0" w:line="347" w:lineRule="auto"/>
        <w:tabs>
          <w:tab w:leader="none" w:pos="11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each Pricing Agreement shall be governed by and construed in accordance with the laws of the State of New York.</w:t>
      </w:r>
    </w:p>
    <w:p>
      <w:pPr>
        <w:spacing w:after="0" w:line="17" w:lineRule="exact"/>
        <w:rPr>
          <w:rFonts w:ascii="Courier New" w:cs="Courier New" w:eastAsia="Courier New" w:hAnsi="Courier New"/>
          <w:sz w:val="15"/>
          <w:szCs w:val="15"/>
          <w:color w:val="auto"/>
        </w:rPr>
      </w:pPr>
    </w:p>
    <w:p>
      <w:pPr>
        <w:ind w:right="3439" w:firstLine="784"/>
        <w:spacing w:after="0" w:line="300" w:lineRule="auto"/>
        <w:tabs>
          <w:tab w:leader="none" w:pos="1146"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5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[REMAINDER OF THIS PAGE INTENTIONALLY LEFT BLANK]</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01" w:right="1440" w:bottom="1440" w:gutter="0" w:footer="0" w:header="0"/>
        </w:sectPr>
      </w:pPr>
    </w:p>
    <w:bookmarkStart w:id="22" w:name="page23"/>
    <w:bookmarkEnd w:id="22"/>
    <w:p>
      <w:pPr>
        <w:ind w:right="3259" w:firstLine="793"/>
        <w:spacing w:after="0" w:line="347" w:lineRule="auto"/>
        <w:rPr>
          <w:sz w:val="20"/>
          <w:szCs w:val="20"/>
          <w:color w:val="auto"/>
        </w:rPr>
      </w:pPr>
      <w:r>
        <w:rPr>
          <w:rFonts w:ascii="Courier New" w:cs="Courier New" w:eastAsia="Courier New" w:hAnsi="Courier New"/>
          <w:sz w:val="15"/>
          <w:szCs w:val="15"/>
          <w:color w:val="auto"/>
        </w:rPr>
        <w:t>If the foregoing is in accordance with your understanding, please sign and return this Agreement to us.</w:t>
      </w:r>
    </w:p>
    <w:p>
      <w:pPr>
        <w:spacing w:after="0" w:line="1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25"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w:t>
      </w:r>
    </w:p>
    <w:p>
      <w:pPr>
        <w:ind w:left="4220"/>
        <w:spacing w:after="0"/>
        <w:rPr>
          <w:sz w:val="20"/>
          <w:szCs w:val="20"/>
          <w:color w:val="auto"/>
        </w:rPr>
      </w:pPr>
      <w:r>
        <w:rPr>
          <w:rFonts w:ascii="Courier New" w:cs="Courier New" w:eastAsia="Courier New" w:hAnsi="Courier New"/>
          <w:sz w:val="15"/>
          <w:szCs w:val="15"/>
          <w:color w:val="auto"/>
        </w:rPr>
        <w:t>Name:</w:t>
      </w:r>
    </w:p>
    <w:p>
      <w:pPr>
        <w:ind w:left="4220"/>
        <w:spacing w:after="0"/>
        <w:rPr>
          <w:sz w:val="20"/>
          <w:szCs w:val="20"/>
          <w:color w:val="auto"/>
        </w:rPr>
      </w:pPr>
      <w:r>
        <w:rPr>
          <w:rFonts w:ascii="Courier New" w:cs="Courier New" w:eastAsia="Courier New" w:hAnsi="Courier New"/>
          <w:sz w:val="15"/>
          <w:szCs w:val="15"/>
          <w:color w:val="auto"/>
        </w:rPr>
        <w:t>Title: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as of the date hereof:</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25"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INCORPORATED</w:t>
      </w:r>
    </w:p>
    <w:p>
      <w:pPr>
        <w:spacing w:after="0"/>
        <w:rPr>
          <w:sz w:val="20"/>
          <w:szCs w:val="20"/>
          <w:color w:val="auto"/>
        </w:rPr>
      </w:pPr>
      <w:r>
        <w:rPr>
          <w:rFonts w:ascii="Courier New" w:cs="Courier New" w:eastAsia="Courier New" w:hAnsi="Courier New"/>
          <w:sz w:val="15"/>
          <w:szCs w:val="15"/>
          <w:color w:val="auto"/>
        </w:rPr>
        <w:t>SALOMON SMITH BARNEY INC.</w:t>
      </w:r>
    </w:p>
    <w:p>
      <w:pPr>
        <w:spacing w:after="0"/>
        <w:rPr>
          <w:sz w:val="20"/>
          <w:szCs w:val="20"/>
          <w:color w:val="auto"/>
        </w:rPr>
      </w:pPr>
      <w:r>
        <w:rPr>
          <w:rFonts w:ascii="Courier New" w:cs="Courier New" w:eastAsia="Courier New" w:hAnsi="Courier New"/>
          <w:sz w:val="15"/>
          <w:szCs w:val="15"/>
          <w:color w:val="auto"/>
        </w:rPr>
        <w:t>WACHOVIA SECURITIES, INC.</w:t>
      </w:r>
    </w:p>
    <w:p>
      <w:pPr>
        <w:spacing w:after="0"/>
        <w:rPr>
          <w:sz w:val="20"/>
          <w:szCs w:val="20"/>
          <w:color w:val="auto"/>
        </w:rPr>
      </w:pPr>
      <w:r>
        <w:rPr>
          <w:rFonts w:ascii="Courier New" w:cs="Courier New" w:eastAsia="Courier New" w:hAnsi="Courier New"/>
          <w:sz w:val="15"/>
          <w:szCs w:val="15"/>
          <w:color w:val="auto"/>
        </w:rPr>
        <w:t>COMMERZBANK CAPITAL MARKETS CORP.</w:t>
      </w:r>
    </w:p>
    <w:p>
      <w:pPr>
        <w:spacing w:after="0"/>
        <w:rPr>
          <w:sz w:val="20"/>
          <w:szCs w:val="20"/>
          <w:color w:val="auto"/>
        </w:rPr>
      </w:pPr>
      <w:r>
        <w:rPr>
          <w:rFonts w:ascii="Courier New" w:cs="Courier New" w:eastAsia="Courier New" w:hAnsi="Courier New"/>
          <w:sz w:val="15"/>
          <w:szCs w:val="15"/>
          <w:color w:val="auto"/>
        </w:rPr>
        <w:t>BANC OF AMERICA SECURITIES LLC</w:t>
      </w:r>
    </w:p>
    <w:p>
      <w:pPr>
        <w:spacing w:after="0"/>
        <w:rPr>
          <w:sz w:val="20"/>
          <w:szCs w:val="20"/>
          <w:color w:val="auto"/>
        </w:rPr>
      </w:pPr>
      <w:r>
        <w:rPr>
          <w:rFonts w:ascii="Courier New" w:cs="Courier New" w:eastAsia="Courier New" w:hAnsi="Courier New"/>
          <w:sz w:val="15"/>
          <w:szCs w:val="15"/>
          <w:color w:val="auto"/>
        </w:rPr>
        <w:t>BMO NESBITT BURNS CORP.</w:t>
      </w:r>
    </w:p>
    <w:p>
      <w:pPr>
        <w:spacing w:after="0"/>
        <w:rPr>
          <w:sz w:val="20"/>
          <w:szCs w:val="20"/>
          <w:color w:val="auto"/>
        </w:rPr>
      </w:pPr>
      <w:r>
        <w:rPr>
          <w:rFonts w:ascii="Courier New" w:cs="Courier New" w:eastAsia="Courier New" w:hAnsi="Courier New"/>
          <w:sz w:val="15"/>
          <w:szCs w:val="15"/>
          <w:color w:val="auto"/>
        </w:rPr>
        <w:t>FLEET SECURITIES, INC.</w:t>
      </w:r>
    </w:p>
    <w:p>
      <w:pPr>
        <w:spacing w:after="0"/>
        <w:rPr>
          <w:sz w:val="20"/>
          <w:szCs w:val="20"/>
          <w:color w:val="auto"/>
        </w:rPr>
      </w:pPr>
      <w:r>
        <w:rPr>
          <w:rFonts w:ascii="Courier New" w:cs="Courier New" w:eastAsia="Courier New" w:hAnsi="Courier New"/>
          <w:sz w:val="15"/>
          <w:szCs w:val="15"/>
          <w:color w:val="auto"/>
        </w:rPr>
        <w:t>HVB CAPITAL MARKETS, INC.</w:t>
      </w:r>
    </w:p>
    <w:p>
      <w:pPr>
        <w:spacing w:after="0"/>
        <w:rPr>
          <w:sz w:val="20"/>
          <w:szCs w:val="20"/>
          <w:color w:val="auto"/>
        </w:rPr>
      </w:pPr>
      <w:r>
        <w:rPr>
          <w:rFonts w:ascii="Courier New" w:cs="Courier New" w:eastAsia="Courier New" w:hAnsi="Courier New"/>
          <w:sz w:val="15"/>
          <w:szCs w:val="15"/>
          <w:color w:val="auto"/>
        </w:rPr>
        <w:t>WELLS FARGO BROKERAGE SERVICES, LLC</w:t>
      </w:r>
    </w:p>
    <w:p>
      <w:pPr>
        <w:spacing w:after="0"/>
        <w:rPr>
          <w:sz w:val="20"/>
          <w:szCs w:val="20"/>
          <w:color w:val="auto"/>
        </w:rPr>
      </w:pPr>
      <w:r>
        <w:rPr>
          <w:rFonts w:ascii="Courier New" w:cs="Courier New" w:eastAsia="Courier New" w:hAnsi="Courier New"/>
          <w:sz w:val="15"/>
          <w:szCs w:val="15"/>
          <w:color w:val="auto"/>
        </w:rPr>
        <w:t>PNC CAPITAL MARKETS, INC.</w:t>
      </w:r>
    </w:p>
    <w:p>
      <w:pPr>
        <w:spacing w:after="0" w:line="14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By:</w:t>
        <w:tab/>
        <w:t>Merrill Lynch, Pierce, Fenner &amp; Smith</w:t>
      </w:r>
    </w:p>
    <w:p>
      <w:pPr>
        <w:spacing w:after="0" w:line="2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Incorporated</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ind w:left="340"/>
        <w:spacing w:after="0"/>
        <w:rPr>
          <w:sz w:val="20"/>
          <w:szCs w:val="20"/>
          <w:color w:val="auto"/>
        </w:rPr>
      </w:pPr>
      <w:r>
        <w:rPr>
          <w:rFonts w:ascii="Courier New" w:cs="Courier New" w:eastAsia="Courier New" w:hAnsi="Courier New"/>
          <w:sz w:val="15"/>
          <w:szCs w:val="15"/>
          <w:color w:val="auto"/>
        </w:rPr>
        <w:t>Name:</w:t>
      </w:r>
    </w:p>
    <w:p>
      <w:pPr>
        <w:ind w:left="34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01" w:right="1440" w:bottom="1440" w:gutter="0" w:footer="0" w:header="0"/>
        </w:sectPr>
      </w:pPr>
    </w:p>
    <w:bookmarkStart w:id="23" w:name="page24"/>
    <w:bookmarkEnd w:id="23"/>
    <w:p>
      <w:pPr>
        <w:ind w:left="5120"/>
        <w:spacing w:after="0"/>
        <w:rPr>
          <w:sz w:val="20"/>
          <w:szCs w:val="20"/>
          <w:color w:val="auto"/>
        </w:rPr>
      </w:pPr>
      <w:r>
        <w:rPr>
          <w:rFonts w:ascii="Courier New" w:cs="Courier New" w:eastAsia="Courier New" w:hAnsi="Courier New"/>
          <w:sz w:val="15"/>
          <w:szCs w:val="15"/>
          <w:color w:val="auto"/>
        </w:rPr>
        <w:t>SCHEDULE A</w:t>
      </w:r>
    </w:p>
    <w:p>
      <w:pPr>
        <w:spacing w:after="0" w:line="169" w:lineRule="exact"/>
        <w:rPr>
          <w:sz w:val="20"/>
          <w:szCs w:val="20"/>
          <w:color w:val="auto"/>
        </w:rPr>
      </w:pPr>
    </w:p>
    <w:p>
      <w:pPr>
        <w:ind w:right="3179" w:firstLine="268"/>
        <w:spacing w:after="0" w:line="249" w:lineRule="auto"/>
        <w:tabs>
          <w:tab w:leader="none" w:pos="61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 real estate investment trust validly existing and in good standing (as of the date of the applicable good standing certificate referred to in such opinion) under the laws of the State of Maryland and has the trust power and trust authority under Title 8 of the Corporations and Associations Article of the Annotated Code of Maryland (the "Maryland REIT Law"), its Declaration of Trust and its Bylaws to own its current properties and to conduct its business as described in the Prospectus as amended and supplemented in relation to the Designated Securities. The Company is registered, qualified or authorized to transact business as a foreign entity in the respective states specified in such opinion as of the respective dates listed therein;</w:t>
      </w:r>
    </w:p>
    <w:p>
      <w:pPr>
        <w:spacing w:after="0" w:line="88" w:lineRule="exact"/>
        <w:rPr>
          <w:rFonts w:ascii="Courier New" w:cs="Courier New" w:eastAsia="Courier New" w:hAnsi="Courier New"/>
          <w:sz w:val="15"/>
          <w:szCs w:val="15"/>
          <w:color w:val="auto"/>
        </w:rPr>
      </w:pPr>
    </w:p>
    <w:p>
      <w:pPr>
        <w:ind w:right="3179" w:firstLine="268"/>
        <w:spacing w:after="0" w:line="254" w:lineRule="auto"/>
        <w:tabs>
          <w:tab w:leader="none" w:pos="70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Street Retail, Inc., a Maryland corporation ("SRI"), is validly existing and in good standing (as of the date of the applicable good standing certificate specified in such opinion) under the laws of the State of Maryland and has the corporate power and corporate authority under the Maryland General Corporation Law, the SRI Articles and the SRI Bylaws to own its current properties and to conduct its business as described in the Prospectus as amended and supplemented in relation to the Designated Securities.</w:t>
      </w:r>
    </w:p>
    <w:p>
      <w:pPr>
        <w:spacing w:after="0" w:line="86" w:lineRule="exact"/>
        <w:rPr>
          <w:rFonts w:ascii="Courier New" w:cs="Courier New" w:eastAsia="Courier New" w:hAnsi="Courier New"/>
          <w:sz w:val="15"/>
          <w:szCs w:val="15"/>
          <w:color w:val="auto"/>
        </w:rPr>
      </w:pPr>
    </w:p>
    <w:p>
      <w:pPr>
        <w:ind w:right="3179" w:firstLine="268"/>
        <w:spacing w:after="0" w:line="293" w:lineRule="auto"/>
        <w:tabs>
          <w:tab w:leader="none" w:pos="79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 and the Pricing Agreement with respect to the Designated Securities have been duly authorized, executed and delivered by the Company;</w:t>
      </w:r>
    </w:p>
    <w:p>
      <w:pPr>
        <w:spacing w:after="0" w:line="55" w:lineRule="exact"/>
        <w:rPr>
          <w:rFonts w:ascii="Courier New" w:cs="Courier New" w:eastAsia="Courier New" w:hAnsi="Courier New"/>
          <w:sz w:val="15"/>
          <w:szCs w:val="15"/>
          <w:color w:val="auto"/>
        </w:rPr>
      </w:pPr>
    </w:p>
    <w:p>
      <w:pPr>
        <w:ind w:left="700" w:hanging="432"/>
        <w:spacing w:after="0"/>
        <w:tabs>
          <w:tab w:leader="none" w:pos="7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Designated Securities have been duly authorized for</w:t>
      </w:r>
    </w:p>
    <w:p>
      <w:pPr>
        <w:spacing w:after="0" w:line="25" w:lineRule="exact"/>
        <w:rPr>
          <w:rFonts w:ascii="Courier New" w:cs="Courier New" w:eastAsia="Courier New" w:hAnsi="Courier New"/>
          <w:sz w:val="15"/>
          <w:szCs w:val="15"/>
          <w:color w:val="auto"/>
        </w:rPr>
      </w:pPr>
    </w:p>
    <w:p>
      <w:pPr>
        <w:ind w:right="3179"/>
        <w:spacing w:after="0" w:line="27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issuance and sale to the Underwriters pursuant to the Agreement and the Pricing Agreement and, when issued and authenticated in the manner provided for in the Indenture and delivered against payment therefor in accordance with the provisions of the Agreement and such Pricing Agreement, will constitute valid and legally binding obligations of the Company, entitled to the benefits of the Indenture, enforceable against the Company in accordance with their terms;</w:t>
      </w:r>
    </w:p>
    <w:p>
      <w:pPr>
        <w:spacing w:after="0" w:line="71" w:lineRule="exact"/>
        <w:rPr>
          <w:rFonts w:ascii="Courier New" w:cs="Courier New" w:eastAsia="Courier New" w:hAnsi="Courier New"/>
          <w:sz w:val="15"/>
          <w:szCs w:val="15"/>
          <w:color w:val="auto"/>
        </w:rPr>
      </w:pPr>
    </w:p>
    <w:p>
      <w:pPr>
        <w:ind w:right="3259" w:firstLine="268"/>
        <w:spacing w:after="0" w:line="266" w:lineRule="auto"/>
        <w:tabs>
          <w:tab w:leader="none" w:pos="61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has been duly authorized, executed and delivered by the Company and, assuming due authorization, execution and delivery by each other party thereto, constitutes a valid and binding agreement of the Company, enforceable against the Company in accordance with its terms;</w:t>
      </w:r>
    </w:p>
    <w:p>
      <w:pPr>
        <w:spacing w:after="0" w:line="75" w:lineRule="exact"/>
        <w:rPr>
          <w:rFonts w:ascii="Courier New" w:cs="Courier New" w:eastAsia="Courier New" w:hAnsi="Courier New"/>
          <w:sz w:val="15"/>
          <w:szCs w:val="15"/>
          <w:color w:val="auto"/>
        </w:rPr>
      </w:pPr>
    </w:p>
    <w:p>
      <w:pPr>
        <w:ind w:left="700" w:hanging="432"/>
        <w:spacing w:after="0"/>
        <w:tabs>
          <w:tab w:leader="none" w:pos="7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Indenture has been duly qualified under the Trust Indenture</w:t>
      </w:r>
    </w:p>
    <w:p>
      <w:pPr>
        <w:spacing w:after="0" w:line="3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Act;</w:t>
      </w:r>
    </w:p>
    <w:p>
      <w:pPr>
        <w:sectPr>
          <w:pgSz w:w="11900" w:h="16838" w:orient="portrait"/>
          <w:cols w:equalWidth="0" w:num="1">
            <w:col w:w="9439"/>
          </w:cols>
          <w:pgMar w:left="1020" w:top="601" w:right="1440" w:bottom="1440" w:gutter="0" w:footer="0" w:header="0"/>
        </w:sectPr>
      </w:pPr>
    </w:p>
    <w:bookmarkStart w:id="24" w:name="page25"/>
    <w:bookmarkEnd w:id="24"/>
    <w:p>
      <w:pPr>
        <w:ind w:left="-4" w:right="3539" w:firstLine="268"/>
        <w:spacing w:after="0" w:line="293" w:lineRule="auto"/>
        <w:tabs>
          <w:tab w:leader="none" w:pos="79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Designated Securities and the Indenture conform in all material respects to the descriptions thereof in the Prospectus as amended or supplemented;</w:t>
      </w:r>
    </w:p>
    <w:p>
      <w:pPr>
        <w:spacing w:after="0" w:line="55" w:lineRule="exact"/>
        <w:rPr>
          <w:rFonts w:ascii="Courier New" w:cs="Courier New" w:eastAsia="Courier New" w:hAnsi="Courier New"/>
          <w:sz w:val="15"/>
          <w:szCs w:val="15"/>
          <w:color w:val="auto"/>
        </w:rPr>
      </w:pPr>
    </w:p>
    <w:p>
      <w:pPr>
        <w:ind w:left="-4" w:right="3179" w:firstLine="268"/>
        <w:spacing w:after="0" w:line="271" w:lineRule="auto"/>
        <w:tabs>
          <w:tab w:leader="none" w:pos="878"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has been declared effective under the Act; the required filing of the Prospectus as amended and supplemented in relation to the applicable Designated Securities pursuant to Rule 424(b) has been made in the manner and within the time period required by Rule 424(b); and, to the best of such counsel's knowledge, no stop order suspending the effectiveness of the Registration Statement has been issued under the Act and no proceeding for that purpose has been instituted or is pending or threatened by the Commission. The Company meets the requirements for use of Form S-3 with respect to the issuance and sale of the Designated Securities;</w:t>
      </w:r>
    </w:p>
    <w:p>
      <w:pPr>
        <w:spacing w:after="0" w:line="73" w:lineRule="exact"/>
        <w:rPr>
          <w:rFonts w:ascii="Courier New" w:cs="Courier New" w:eastAsia="Courier New" w:hAnsi="Courier New"/>
          <w:sz w:val="14"/>
          <w:szCs w:val="14"/>
          <w:color w:val="auto"/>
        </w:rPr>
      </w:pPr>
    </w:p>
    <w:p>
      <w:pPr>
        <w:jc w:val="both"/>
        <w:ind w:left="-4" w:right="3259" w:firstLine="268"/>
        <w:spacing w:after="0" w:line="266" w:lineRule="auto"/>
        <w:tabs>
          <w:tab w:leader="none" w:pos="702"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as of the date of such opinion by the Company of the Agreement and the Pricing Agreement with respect to the Designated Securities and the issuance and sale of the Designated Securities being issued on the date of such opinion do not</w:t>
      </w:r>
    </w:p>
    <w:p>
      <w:pPr>
        <w:ind w:left="-4" w:right="3179" w:firstLine="4"/>
        <w:spacing w:after="0" w:line="249" w:lineRule="auto"/>
        <w:tabs>
          <w:tab w:leader="none" w:pos="3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violate the Maryland REIT Law, (ii) violate the Company's Declaration of Trust or Bylaws, (iii) to such counsel's knowledge, violate any applicable law, rule, regulation, order, judgment or decree of any Maryland agency or court, or (iv) breach or constitute a default under the agreements listed in Schedule A-1 to the Agreement (other than with respect to the compliance by the Company with the financial and numerical covenants contained therein, as to which such counsel need express no opinion);</w:t>
      </w:r>
    </w:p>
    <w:p>
      <w:pPr>
        <w:spacing w:after="0" w:line="89" w:lineRule="exact"/>
        <w:rPr>
          <w:rFonts w:ascii="Courier New" w:cs="Courier New" w:eastAsia="Courier New" w:hAnsi="Courier New"/>
          <w:sz w:val="15"/>
          <w:szCs w:val="15"/>
          <w:color w:val="auto"/>
        </w:rPr>
      </w:pPr>
    </w:p>
    <w:p>
      <w:pPr>
        <w:ind w:left="-4" w:right="3179" w:firstLine="268"/>
        <w:spacing w:after="0" w:line="249" w:lineRule="auto"/>
        <w:tabs>
          <w:tab w:leader="none" w:pos="613"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and the Prospectus, excluding the documents incorporated by reference therein, and each amendment or supplement to the Registration Statement and Prospectus, excluding the documents incorporated by reference therein, as of their respective effective or issue dates (other than the financial statements and supporting schedules included therein or omitted therefrom, and the Trustee's Statement of Eligibility on Form T-1, as to which such counsel need express no opinion), complied as to form in all material respects with the requirements of the Act and the rules and regulations of the Commission thereunder; if applicable, the Rule 434 Prospectus complies as to form in all material respects with the requirements of Rule 434 under the Act;</w:t>
      </w:r>
    </w:p>
    <w:p>
      <w:pPr>
        <w:spacing w:after="0" w:line="88" w:lineRule="exact"/>
        <w:rPr>
          <w:rFonts w:ascii="Courier New" w:cs="Courier New" w:eastAsia="Courier New" w:hAnsi="Courier New"/>
          <w:sz w:val="15"/>
          <w:szCs w:val="15"/>
          <w:color w:val="auto"/>
        </w:rPr>
      </w:pPr>
    </w:p>
    <w:p>
      <w:pPr>
        <w:ind w:left="-4" w:right="3259" w:firstLine="268"/>
        <w:spacing w:after="0" w:line="254" w:lineRule="auto"/>
        <w:tabs>
          <w:tab w:leader="none" w:pos="702"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incorporated by reference in the Prospectus as amended and supplemented in relation to the applicable Designated Securities (other than the financial statements and supporting schedules included therein or omitted therefrom, as to which such counsel need express no opinion), when they became effective or were filed with the Commission, as the case may be, complied as to form in all material respects with the requirements of the Act or the Exchange Act, as</w:t>
      </w:r>
    </w:p>
    <w:p>
      <w:pPr>
        <w:spacing w:after="0" w:line="87" w:lineRule="exact"/>
        <w:rPr>
          <w:sz w:val="20"/>
          <w:szCs w:val="20"/>
          <w:color w:val="auto"/>
        </w:rPr>
      </w:pPr>
    </w:p>
    <w:p>
      <w:pPr>
        <w:ind w:left="2636"/>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436"/>
          </w:cols>
          <w:pgMar w:left="1024" w:top="601" w:right="1440" w:bottom="1440" w:gutter="0" w:footer="0" w:header="0"/>
        </w:sectPr>
      </w:pPr>
    </w:p>
    <w:bookmarkStart w:id="25" w:name="page26"/>
    <w:bookmarkEnd w:id="25"/>
    <w:p>
      <w:pPr>
        <w:ind w:left="780" w:right="3179"/>
        <w:spacing w:after="0" w:line="347" w:lineRule="auto"/>
        <w:rPr>
          <w:sz w:val="20"/>
          <w:szCs w:val="20"/>
          <w:color w:val="auto"/>
        </w:rPr>
      </w:pPr>
      <w:r>
        <w:rPr>
          <w:rFonts w:ascii="Courier New" w:cs="Courier New" w:eastAsia="Courier New" w:hAnsi="Courier New"/>
          <w:sz w:val="15"/>
          <w:szCs w:val="15"/>
          <w:color w:val="auto"/>
        </w:rPr>
        <w:t>applicable, and the rules and regulations of the Commission thereunder; and</w:t>
      </w:r>
    </w:p>
    <w:p>
      <w:pPr>
        <w:spacing w:after="0" w:line="17" w:lineRule="exact"/>
        <w:rPr>
          <w:sz w:val="20"/>
          <w:szCs w:val="20"/>
          <w:color w:val="auto"/>
        </w:rPr>
      </w:pPr>
    </w:p>
    <w:p>
      <w:pPr>
        <w:ind w:left="780" w:right="3179" w:firstLine="268"/>
        <w:spacing w:after="0" w:line="248" w:lineRule="auto"/>
        <w:tabs>
          <w:tab w:leader="none" w:pos="1573"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such consents, approvals, authorizations, registrations or qualifications as have been obtained under the Act and the Trust Indenture Act, and except for consents, approvals, authorizations, registrations or qualifications as may be required under applicable state securities or real estate syndication laws (as to which such counsel need express no opinion) in connection with the offer and sale of the Designated Securities, no consent, approval, authorization or order of, or filing or registration with, the Commission or any Maryland court or governmental agency or body is required to be obtained or made by the Company for the issuance of the Designated Securities or the performance as of the date of such opinion of the obligations contained in the Designated Securities and in the Agreement and the Pricing Agreement by the Company;</w:t>
      </w:r>
    </w:p>
    <w:p>
      <w:pPr>
        <w:spacing w:after="0" w:line="91" w:lineRule="exact"/>
        <w:rPr>
          <w:sz w:val="20"/>
          <w:szCs w:val="20"/>
          <w:color w:val="auto"/>
        </w:rPr>
      </w:pPr>
    </w:p>
    <w:p>
      <w:pPr>
        <w:ind w:left="780" w:right="3179" w:firstLine="265"/>
        <w:spacing w:after="0" w:line="262" w:lineRule="auto"/>
        <w:rPr>
          <w:sz w:val="20"/>
          <w:szCs w:val="20"/>
          <w:color w:val="auto"/>
        </w:rPr>
      </w:pPr>
      <w:r>
        <w:rPr>
          <w:rFonts w:ascii="Courier New" w:cs="Courier New" w:eastAsia="Courier New" w:hAnsi="Courier New"/>
          <w:sz w:val="14"/>
          <w:szCs w:val="14"/>
          <w:color w:val="auto"/>
        </w:rPr>
        <w:t>The opinion of Shaw Pittman LLP shall also state that on the basis of its activities as counsel to the Company in connection with the Registration Statement and the Prospectus that no facts have come to such counsel's attention which have caused them to believe that (i) the Registration Statement or any amendments thereto, as of their respective effective dates, contained an untrue statement of a material fact or omitted to state a material fact required to be stated therein or necessary to make the statements therein not misleading, (ii) the Prospectus as amended and supplemented, or any further amendments or supplements thereto, as of their respective issue dates or as of the date of such opinion, included or includes an untrue statement of a material fact or omitted or omits to state a material fact necessary in order to make the statements therein, in the light of the circumstances under which they were made, not misleading, or (iii) there are any legal or governmental proceedings pending or threatened against the Company or any of its subsidiaries that are required to be disclosed in the Registration Statement or the Prospectus as amended and supplemented, other than those disclosed therein; provided that in making the foregoing statements (which shall not constitute an opinion), such counsel need not express any view as to the financial statements and supporting schedules and other financial information and data included in or omitted from the Registration Statement or the Prospectus as amended and supplemented;</w:t>
      </w: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Qualifications to the Opinion:</w:t>
      </w:r>
    </w:p>
    <w:p>
      <w:pPr>
        <w:spacing w:after="0" w:line="169" w:lineRule="exact"/>
        <w:rPr>
          <w:sz w:val="20"/>
          <w:szCs w:val="20"/>
          <w:color w:val="auto"/>
        </w:rPr>
      </w:pPr>
    </w:p>
    <w:p>
      <w:pPr>
        <w:ind w:left="520" w:right="3259" w:hanging="265"/>
        <w:spacing w:after="0" w:line="275" w:lineRule="auto"/>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rendering such opinions, counsel may rely as to matters of fact on representations of the Company made in the Agreement and the Pricing Agreement, certificates of responsible officers of the Company and public officials.</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01" w:right="1440" w:bottom="1440" w:gutter="0" w:footer="0" w:header="0"/>
        </w:sectPr>
      </w:pPr>
    </w:p>
    <w:bookmarkStart w:id="26" w:name="page27"/>
    <w:bookmarkEnd w:id="26"/>
    <w:p>
      <w:pPr>
        <w:ind w:left="265" w:right="3439" w:hanging="265"/>
        <w:spacing w:after="0" w:line="261" w:lineRule="auto"/>
        <w:tabs>
          <w:tab w:leader="none" w:pos="26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enforceability of the documents referred to in the opinion may be limited by applicable bankruptcy, insolvency, fraudulent conveyance, reorganization, moratorium, voidable preference, rearrangement, liquidation, conservatorship or other similar laws relating to, or affecting the enforcement of, creditors' rights and remedies generally, now or hereafter in effect.</w:t>
      </w:r>
    </w:p>
    <w:p>
      <w:pPr>
        <w:spacing w:after="0" w:line="77" w:lineRule="exact"/>
        <w:rPr>
          <w:rFonts w:ascii="Courier New" w:cs="Courier New" w:eastAsia="Courier New" w:hAnsi="Courier New"/>
          <w:sz w:val="15"/>
          <w:szCs w:val="15"/>
          <w:color w:val="auto"/>
        </w:rPr>
      </w:pPr>
    </w:p>
    <w:p>
      <w:pPr>
        <w:ind w:left="265" w:right="3259" w:hanging="265"/>
        <w:spacing w:after="0" w:line="254" w:lineRule="auto"/>
        <w:tabs>
          <w:tab w:leader="none" w:pos="26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enforceability of any or all of the provisions of the documents referred to in the opinion is subject to such laws, legal and equitable principles, principles of commercial reasonableness, good faith and fair dealing (regardless of whether enforcement is sought in a proceeding at law or in equity), principles of public policy, statutory provisions, procedural requirements and/or exercise of judicial discretion as may limit the specific enforcement or existence of certain rights or remedies of the party seeking to enforce them.</w:t>
      </w:r>
    </w:p>
    <w:p>
      <w:pPr>
        <w:spacing w:after="0" w:line="86" w:lineRule="exact"/>
        <w:rPr>
          <w:rFonts w:ascii="Courier New" w:cs="Courier New" w:eastAsia="Courier New" w:hAnsi="Courier New"/>
          <w:sz w:val="15"/>
          <w:szCs w:val="15"/>
          <w:color w:val="auto"/>
        </w:rPr>
      </w:pPr>
    </w:p>
    <w:p>
      <w:pPr>
        <w:ind w:left="265" w:right="3179" w:hanging="265"/>
        <w:spacing w:after="0" w:line="283" w:lineRule="auto"/>
        <w:tabs>
          <w:tab w:leader="none" w:pos="26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enforceability of any or all of the provisions of the documents referred to in the opinion may be limited to the extent that (i) remedies are sought with respect to a breach that a court concludes is not material or does not adversely affect the party seeking to enforce the provision or provisions of such documents, or (ii) a court concludes that it would be unreasonable or unconscionable to enforce such documents.</w:t>
      </w:r>
    </w:p>
    <w:p>
      <w:pPr>
        <w:spacing w:after="0" w:line="64" w:lineRule="exact"/>
        <w:rPr>
          <w:rFonts w:ascii="Courier New" w:cs="Courier New" w:eastAsia="Courier New" w:hAnsi="Courier New"/>
          <w:sz w:val="14"/>
          <w:szCs w:val="14"/>
          <w:color w:val="auto"/>
        </w:rPr>
      </w:pPr>
    </w:p>
    <w:p>
      <w:pPr>
        <w:ind w:left="265" w:right="3179" w:hanging="265"/>
        <w:spacing w:after="0" w:line="264" w:lineRule="auto"/>
        <w:tabs>
          <w:tab w:leader="none" w:pos="26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Counsel need not express any opinion as to the validity or enforceability of (i) the indemnification and contribution provisions of the documents referred to in the opinion, to the extent that the validity or enforceability of such provisions may be limited by the federal securities laws, (ii) the severability provisions contained in such documents, or</w:t>
      </w:r>
    </w:p>
    <w:p>
      <w:pPr>
        <w:spacing w:after="0" w:line="1" w:lineRule="exact"/>
        <w:rPr>
          <w:rFonts w:ascii="Courier New" w:cs="Courier New" w:eastAsia="Courier New" w:hAnsi="Courier New"/>
          <w:sz w:val="14"/>
          <w:szCs w:val="14"/>
          <w:color w:val="auto"/>
        </w:rPr>
      </w:pPr>
    </w:p>
    <w:p>
      <w:pPr>
        <w:ind w:left="265" w:right="3179" w:hanging="1"/>
        <w:spacing w:after="0" w:line="263" w:lineRule="auto"/>
        <w:tabs>
          <w:tab w:leader="none" w:pos="794"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choice-of-law provisions contained in such documents as to which laws shall be deemed to govern. The validity or enforceability of such documents may also be limited by the exercise of judicial discretion regarding the entitlement to attorneys' fees and other costs.</w:t>
      </w:r>
    </w:p>
    <w:p>
      <w:pPr>
        <w:spacing w:after="0" w:line="76" w:lineRule="exact"/>
        <w:rPr>
          <w:rFonts w:ascii="Courier New" w:cs="Courier New" w:eastAsia="Courier New" w:hAnsi="Courier New"/>
          <w:sz w:val="15"/>
          <w:szCs w:val="15"/>
          <w:color w:val="auto"/>
        </w:rPr>
      </w:pPr>
    </w:p>
    <w:p>
      <w:pPr>
        <w:ind w:left="265" w:right="3179" w:hanging="265"/>
        <w:spacing w:after="0" w:line="266" w:lineRule="auto"/>
        <w:tabs>
          <w:tab w:leader="none" w:pos="26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counsel's opinions shall be based upon and are limited to the relevant laws of the United States of America, the Maryland REIT Law and the Maryland General Corporation Law, in each case excluding the choice of law provisions thereof, except that the opinions rendered in paragraphs</w:t>
      </w:r>
    </w:p>
    <w:p>
      <w:pPr>
        <w:ind w:left="265" w:right="3179" w:hanging="1"/>
        <w:spacing w:after="0" w:line="249" w:lineRule="auto"/>
        <w:tabs>
          <w:tab w:leader="none" w:pos="706"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(v) above, to the extent that they address enforceability of the documents referred to therein or the effect of New York law, are also based upon and are limited to the laws of the State of New York, excluding the choice of law provisions thereof. Such counsel need not render any opinion with respect to the law of any other jurisdiction or any opinion as to whether a federal or state court outside of the State of New York would give effect to the choice of New York law provisions in such documents.</w:t>
      </w:r>
    </w:p>
    <w:p>
      <w:pPr>
        <w:spacing w:after="0" w:line="89" w:lineRule="exact"/>
        <w:rPr>
          <w:rFonts w:ascii="Courier New" w:cs="Courier New" w:eastAsia="Courier New" w:hAnsi="Courier New"/>
          <w:sz w:val="15"/>
          <w:szCs w:val="15"/>
          <w:color w:val="auto"/>
        </w:rPr>
      </w:pPr>
    </w:p>
    <w:p>
      <w:pPr>
        <w:ind w:left="265" w:right="3359" w:hanging="265"/>
        <w:spacing w:after="0" w:line="384" w:lineRule="auto"/>
        <w:tabs>
          <w:tab w:leader="none" w:pos="265"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counsel's opinions as to the qualification and good standing of the Company or SRI may be based solely upon good standing certificates with</w:t>
      </w:r>
    </w:p>
    <w:p>
      <w:pPr>
        <w:spacing w:after="0" w:line="1" w:lineRule="exact"/>
        <w:rPr>
          <w:sz w:val="20"/>
          <w:szCs w:val="20"/>
          <w:color w:val="auto"/>
        </w:rPr>
      </w:pPr>
    </w:p>
    <w:p>
      <w:pPr>
        <w:ind w:left="3165"/>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964"/>
          </w:cols>
          <w:pgMar w:left="495" w:top="601" w:right="1440" w:bottom="1440" w:gutter="0" w:footer="0" w:header="0"/>
        </w:sectPr>
      </w:pPr>
    </w:p>
    <w:bookmarkStart w:id="27" w:name="page28"/>
    <w:bookmarkEnd w:id="27"/>
    <w:p>
      <w:pPr>
        <w:ind w:left="265" w:right="3799"/>
        <w:spacing w:after="0" w:line="293" w:lineRule="auto"/>
        <w:rPr>
          <w:sz w:val="20"/>
          <w:szCs w:val="20"/>
          <w:color w:val="auto"/>
        </w:rPr>
      </w:pPr>
      <w:r>
        <w:rPr>
          <w:rFonts w:ascii="Courier New" w:cs="Courier New" w:eastAsia="Courier New" w:hAnsi="Courier New"/>
          <w:sz w:val="15"/>
          <w:szCs w:val="15"/>
          <w:color w:val="auto"/>
        </w:rPr>
        <w:t>respect to such entities issued by the applicable state regulatory authority or authorities, and may be rendered as of the date of the applicable certificate.</w:t>
      </w:r>
    </w:p>
    <w:p>
      <w:pPr>
        <w:spacing w:after="0" w:line="56" w:lineRule="exact"/>
        <w:rPr>
          <w:sz w:val="20"/>
          <w:szCs w:val="20"/>
          <w:color w:val="auto"/>
        </w:rPr>
      </w:pPr>
    </w:p>
    <w:p>
      <w:pPr>
        <w:ind w:left="265" w:right="3179" w:hanging="265"/>
        <w:spacing w:after="0" w:line="273" w:lineRule="auto"/>
        <w:tabs>
          <w:tab w:leader="none" w:pos="26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references herein to our knowledge or words of similar effect shall mean that, in the course of our representation of the Company, no information has come to the attention of our attorneys who have performed substantive legal services in connection with this transaction that gives such attorneys actual current knowledge that any such opinions are not accurate. In rendering the opinion, we have not undertaken any independent investigation relating to such matters or communicated the details of this transaction to all of our attorneys who may have performed services for the Company or any other person or entity.</w:t>
      </w:r>
    </w:p>
    <w:p>
      <w:pPr>
        <w:spacing w:after="0" w:line="71" w:lineRule="exact"/>
        <w:rPr>
          <w:rFonts w:ascii="Courier New" w:cs="Courier New" w:eastAsia="Courier New" w:hAnsi="Courier New"/>
          <w:sz w:val="14"/>
          <w:szCs w:val="14"/>
          <w:color w:val="auto"/>
        </w:rPr>
      </w:pPr>
    </w:p>
    <w:p>
      <w:pPr>
        <w:ind w:left="265" w:right="3259" w:hanging="265"/>
        <w:spacing w:after="0" w:line="252" w:lineRule="auto"/>
        <w:tabs>
          <w:tab w:leader="none" w:pos="26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agreed by counsel in writing, the opinion shall be solely for the benefit of the addressees thereof and may be relied upon solely by such addressees for the purposes for which it is being furnished. Notwithstanding the foregoing, Sidley Austin Brown &amp; Wood LLP, counsel to the Underwriters, may rely on the opinion as to all matters of the Maryland REIT Law and the Maryland General Corporation Law. Without counsel's express permission, the opinion letter may not be used, circulated, quoted or otherwise referred to for any purpose except as stated therein.</w:t>
      </w:r>
    </w:p>
    <w:p>
      <w:pPr>
        <w:spacing w:after="0" w:line="89" w:lineRule="exact"/>
        <w:rPr>
          <w:sz w:val="20"/>
          <w:szCs w:val="20"/>
          <w:color w:val="auto"/>
        </w:rPr>
      </w:pPr>
    </w:p>
    <w:p>
      <w:pPr>
        <w:ind w:left="3165"/>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964"/>
          </w:cols>
          <w:pgMar w:left="495" w:top="601" w:right="1440" w:bottom="1440" w:gutter="0" w:footer="0" w:header="0"/>
        </w:sectPr>
      </w:pPr>
    </w:p>
    <w:bookmarkStart w:id="28" w:name="page29"/>
    <w:bookmarkEnd w:id="28"/>
    <w:p>
      <w:pPr>
        <w:ind w:left="5200"/>
        <w:spacing w:after="0"/>
        <w:rPr>
          <w:sz w:val="20"/>
          <w:szCs w:val="20"/>
          <w:color w:val="auto"/>
        </w:rPr>
      </w:pPr>
      <w:r>
        <w:rPr>
          <w:rFonts w:ascii="Courier New" w:cs="Courier New" w:eastAsia="Courier New" w:hAnsi="Courier New"/>
          <w:sz w:val="15"/>
          <w:szCs w:val="15"/>
          <w:color w:val="auto"/>
        </w:rPr>
        <w:t>SCHEDULE A-1</w:t>
      </w:r>
    </w:p>
    <w:p>
      <w:pPr>
        <w:spacing w:after="0" w:line="169"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5"/>
          <w:szCs w:val="15"/>
          <w:color w:val="auto"/>
        </w:rPr>
        <w:t>Indenture dated December 13, 1993, related to the Company's 7.48% Debentures due August 15, 2026; 8 7/8% Senior Notes due January 15, 2000; 8% Notes due April 21, 2002; 6 5/8% Notes due 2005; 6.82% Medium Term Notes due August 1, 2027; 6.74% Medium Term Notes due March 10, 2004; and 6.99% Medium Term Notes due March 10, 2006, filed with the Commission on December 13, 1993 as Exhibit 4(a) to the Company's Registration Statement on Form S-3 (File No. 33-51029).</w:t>
      </w:r>
    </w:p>
    <w:p>
      <w:pPr>
        <w:spacing w:after="0" w:line="82" w:lineRule="exact"/>
        <w:rPr>
          <w:sz w:val="20"/>
          <w:szCs w:val="20"/>
          <w:color w:val="auto"/>
        </w:rPr>
      </w:pPr>
    </w:p>
    <w:p>
      <w:pPr>
        <w:ind w:right="3179"/>
        <w:spacing w:after="0" w:line="293" w:lineRule="auto"/>
        <w:rPr>
          <w:sz w:val="20"/>
          <w:szCs w:val="20"/>
          <w:color w:val="auto"/>
        </w:rPr>
      </w:pPr>
      <w:r>
        <w:rPr>
          <w:rFonts w:ascii="Courier New" w:cs="Courier New" w:eastAsia="Courier New" w:hAnsi="Courier New"/>
          <w:sz w:val="15"/>
          <w:szCs w:val="15"/>
          <w:color w:val="auto"/>
        </w:rPr>
        <w:t>Indenture dated September 1, 1998 related to the Company's 8.75% Notes due December 1, 2009 filed as Exhibit 4(a) to the Company's Registration Statement on Form S-3 (File No. 333-63619).</w:t>
      </w:r>
    </w:p>
    <w:p>
      <w:pPr>
        <w:spacing w:after="0" w:line="56" w:lineRule="exact"/>
        <w:rPr>
          <w:sz w:val="20"/>
          <w:szCs w:val="20"/>
          <w:color w:val="auto"/>
        </w:rPr>
      </w:pPr>
    </w:p>
    <w:p>
      <w:pPr>
        <w:ind w:right="3179"/>
        <w:spacing w:after="0" w:line="261" w:lineRule="auto"/>
        <w:rPr>
          <w:sz w:val="20"/>
          <w:szCs w:val="20"/>
          <w:color w:val="auto"/>
        </w:rPr>
      </w:pPr>
      <w:r>
        <w:rPr>
          <w:rFonts w:ascii="Courier New" w:cs="Courier New" w:eastAsia="Courier New" w:hAnsi="Courier New"/>
          <w:sz w:val="15"/>
          <w:szCs w:val="15"/>
          <w:color w:val="auto"/>
        </w:rPr>
        <w:t>Credit Agreement Dated as of December 19, 1997, and as subsequently amended, by and among the Company, as Borrower, The Financial Institutions Party Thereto and Their Assignees Under Section 13.5.(a), as Lenders, Corestates Bank, N.A., as Syndication Agent, First Union National Bank, as Administrative Agent and as Arranger, and Wells Fargo Bank, as Documentation Agent and as Co-Arranger.</w:t>
      </w:r>
    </w:p>
    <w:p>
      <w:pPr>
        <w:spacing w:after="0" w:line="78" w:lineRule="exact"/>
        <w:rPr>
          <w:sz w:val="20"/>
          <w:szCs w:val="20"/>
          <w:color w:val="auto"/>
        </w:rPr>
      </w:pPr>
    </w:p>
    <w:p>
      <w:pPr>
        <w:ind w:right="3179"/>
        <w:spacing w:after="0" w:line="261" w:lineRule="auto"/>
        <w:rPr>
          <w:sz w:val="20"/>
          <w:szCs w:val="20"/>
          <w:color w:val="auto"/>
        </w:rPr>
      </w:pPr>
      <w:r>
        <w:rPr>
          <w:rFonts w:ascii="Courier New" w:cs="Courier New" w:eastAsia="Courier New" w:hAnsi="Courier New"/>
          <w:sz w:val="15"/>
          <w:szCs w:val="15"/>
          <w:color w:val="auto"/>
        </w:rPr>
        <w:t>Term Loan Agreement, dated as of December 22, 1998, and as subsequently amended, by and among the Company, as Borrower, the Financial Institutions Party Thereto and Their Assignees Under Section 13.5.(d), as Lenders, Commerzbank Aktiengesellschaft, New York Branch as Syndication Agent, PNC, National Association, as Administrative Agent and Fleet National Bank, as documentation agent.</w:t>
      </w:r>
    </w:p>
    <w:p>
      <w:pPr>
        <w:spacing w:after="0" w:line="78"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5"/>
          <w:szCs w:val="15"/>
          <w:color w:val="auto"/>
        </w:rPr>
        <w:t>Building Loan Agreement, dated as of April 17, 2001, and as subsequently amended, by and among FRIT San Jose Town and Country Village LLC, San Jose Residential, Inc. and SRI jointly and severally as Borrower, Commerzbank AG, New York Branch, Fleet National Bank, Bayerische Hypo-Und Vereinsbank AG, New York Branch and the Other Lenders named therein.</w:t>
      </w:r>
    </w:p>
    <w:p>
      <w:pPr>
        <w:sectPr>
          <w:pgSz w:w="11900" w:h="16838" w:orient="portrait"/>
          <w:cols w:equalWidth="0" w:num="1">
            <w:col w:w="9699"/>
          </w:cols>
          <w:pgMar w:left="760" w:top="601" w:right="1440" w:bottom="1440" w:gutter="0" w:footer="0" w:header="0"/>
        </w:sectPr>
      </w:pPr>
    </w:p>
    <w:bookmarkStart w:id="29" w:name="page30"/>
    <w:bookmarkEnd w:id="29"/>
    <w:p>
      <w:pPr>
        <w:ind w:left="6240"/>
        <w:spacing w:after="0"/>
        <w:rPr>
          <w:sz w:val="20"/>
          <w:szCs w:val="20"/>
          <w:color w:val="auto"/>
        </w:rPr>
      </w:pPr>
      <w:r>
        <w:rPr>
          <w:rFonts w:ascii="Courier New" w:cs="Courier New" w:eastAsia="Courier New" w:hAnsi="Courier New"/>
          <w:sz w:val="15"/>
          <w:szCs w:val="15"/>
          <w:color w:val="auto"/>
        </w:rPr>
        <w:t>ANNEX I</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Pricing Agreement</w:t>
      </w:r>
    </w:p>
    <w:p>
      <w:pPr>
        <w:spacing w:after="0" w:line="169"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[o], 2002</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25"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INCORPORATED</w:t>
      </w:r>
    </w:p>
    <w:p>
      <w:pPr>
        <w:spacing w:after="0"/>
        <w:rPr>
          <w:sz w:val="20"/>
          <w:szCs w:val="20"/>
          <w:color w:val="auto"/>
        </w:rPr>
      </w:pPr>
      <w:r>
        <w:rPr>
          <w:rFonts w:ascii="Courier New" w:cs="Courier New" w:eastAsia="Courier New" w:hAnsi="Courier New"/>
          <w:sz w:val="15"/>
          <w:szCs w:val="15"/>
          <w:color w:val="auto"/>
        </w:rPr>
        <w:t>SALOMON SMITH BARNEY INC.</w:t>
      </w:r>
    </w:p>
    <w:p>
      <w:pPr>
        <w:spacing w:after="0"/>
        <w:rPr>
          <w:sz w:val="20"/>
          <w:szCs w:val="20"/>
          <w:color w:val="auto"/>
        </w:rPr>
      </w:pPr>
      <w:r>
        <w:rPr>
          <w:rFonts w:ascii="Courier New" w:cs="Courier New" w:eastAsia="Courier New" w:hAnsi="Courier New"/>
          <w:sz w:val="15"/>
          <w:szCs w:val="15"/>
          <w:color w:val="auto"/>
        </w:rPr>
        <w:t>WACHOVIA SECURITIES, INC.</w:t>
      </w:r>
    </w:p>
    <w:p>
      <w:pPr>
        <w:spacing w:after="0"/>
        <w:rPr>
          <w:sz w:val="20"/>
          <w:szCs w:val="20"/>
          <w:color w:val="auto"/>
        </w:rPr>
      </w:pPr>
      <w:r>
        <w:rPr>
          <w:rFonts w:ascii="Courier New" w:cs="Courier New" w:eastAsia="Courier New" w:hAnsi="Courier New"/>
          <w:sz w:val="15"/>
          <w:szCs w:val="15"/>
          <w:color w:val="auto"/>
        </w:rPr>
        <w:t>COMMERZBANK CAPITAL MARKETS CORP.</w:t>
      </w:r>
    </w:p>
    <w:p>
      <w:pPr>
        <w:spacing w:after="0"/>
        <w:rPr>
          <w:sz w:val="20"/>
          <w:szCs w:val="20"/>
          <w:color w:val="auto"/>
        </w:rPr>
      </w:pPr>
      <w:r>
        <w:rPr>
          <w:rFonts w:ascii="Courier New" w:cs="Courier New" w:eastAsia="Courier New" w:hAnsi="Courier New"/>
          <w:sz w:val="15"/>
          <w:szCs w:val="15"/>
          <w:color w:val="auto"/>
        </w:rPr>
        <w:t>BANC OF AMERICA SECURITIES LLC</w:t>
      </w:r>
    </w:p>
    <w:p>
      <w:pPr>
        <w:spacing w:after="0"/>
        <w:rPr>
          <w:sz w:val="20"/>
          <w:szCs w:val="20"/>
          <w:color w:val="auto"/>
        </w:rPr>
      </w:pPr>
      <w:r>
        <w:rPr>
          <w:rFonts w:ascii="Courier New" w:cs="Courier New" w:eastAsia="Courier New" w:hAnsi="Courier New"/>
          <w:sz w:val="15"/>
          <w:szCs w:val="15"/>
          <w:color w:val="auto"/>
        </w:rPr>
        <w:t>BMO NESBITT BURNS CORP.</w:t>
      </w:r>
    </w:p>
    <w:p>
      <w:pPr>
        <w:spacing w:after="0"/>
        <w:rPr>
          <w:sz w:val="20"/>
          <w:szCs w:val="20"/>
          <w:color w:val="auto"/>
        </w:rPr>
      </w:pPr>
      <w:r>
        <w:rPr>
          <w:rFonts w:ascii="Courier New" w:cs="Courier New" w:eastAsia="Courier New" w:hAnsi="Courier New"/>
          <w:sz w:val="15"/>
          <w:szCs w:val="15"/>
          <w:color w:val="auto"/>
        </w:rPr>
        <w:t>FLEET SECURITIES, INC.</w:t>
      </w:r>
    </w:p>
    <w:p>
      <w:pPr>
        <w:spacing w:after="0"/>
        <w:rPr>
          <w:sz w:val="20"/>
          <w:szCs w:val="20"/>
          <w:color w:val="auto"/>
        </w:rPr>
      </w:pPr>
      <w:r>
        <w:rPr>
          <w:rFonts w:ascii="Courier New" w:cs="Courier New" w:eastAsia="Courier New" w:hAnsi="Courier New"/>
          <w:sz w:val="15"/>
          <w:szCs w:val="15"/>
          <w:color w:val="auto"/>
        </w:rPr>
        <w:t>HVB CAPITAL MARKETS, INC.</w:t>
      </w:r>
    </w:p>
    <w:p>
      <w:pPr>
        <w:spacing w:after="0"/>
        <w:rPr>
          <w:sz w:val="20"/>
          <w:szCs w:val="20"/>
          <w:color w:val="auto"/>
        </w:rPr>
      </w:pPr>
      <w:r>
        <w:rPr>
          <w:rFonts w:ascii="Courier New" w:cs="Courier New" w:eastAsia="Courier New" w:hAnsi="Courier New"/>
          <w:sz w:val="15"/>
          <w:szCs w:val="15"/>
          <w:color w:val="auto"/>
        </w:rPr>
        <w:t>WELLS FARGO BROKERAGE SERVICES, LLC</w:t>
      </w:r>
    </w:p>
    <w:p>
      <w:pPr>
        <w:spacing w:after="0"/>
        <w:rPr>
          <w:sz w:val="20"/>
          <w:szCs w:val="20"/>
          <w:color w:val="auto"/>
        </w:rPr>
      </w:pPr>
      <w:r>
        <w:rPr>
          <w:rFonts w:ascii="Courier New" w:cs="Courier New" w:eastAsia="Courier New" w:hAnsi="Courier New"/>
          <w:sz w:val="15"/>
          <w:szCs w:val="15"/>
          <w:color w:val="auto"/>
        </w:rPr>
        <w:t>PNC CAPITAL MARKETS, INC.</w:t>
      </w:r>
    </w:p>
    <w:p>
      <w:pPr>
        <w:ind w:left="160"/>
        <w:spacing w:after="0"/>
        <w:rPr>
          <w:sz w:val="20"/>
          <w:szCs w:val="20"/>
          <w:color w:val="auto"/>
        </w:rPr>
      </w:pPr>
      <w:r>
        <w:rPr>
          <w:rFonts w:ascii="Courier New" w:cs="Courier New" w:eastAsia="Courier New" w:hAnsi="Courier New"/>
          <w:sz w:val="15"/>
          <w:szCs w:val="15"/>
          <w:color w:val="auto"/>
        </w:rPr>
        <w:t>c/o Merrill Lynch, Pierce, Fenner &amp; Smith</w:t>
      </w:r>
    </w:p>
    <w:p>
      <w:pPr>
        <w:ind w:left="1580"/>
        <w:spacing w:after="0"/>
        <w:rPr>
          <w:sz w:val="20"/>
          <w:szCs w:val="20"/>
          <w:color w:val="auto"/>
        </w:rPr>
      </w:pPr>
      <w:r>
        <w:rPr>
          <w:rFonts w:ascii="Courier New" w:cs="Courier New" w:eastAsia="Courier New" w:hAnsi="Courier New"/>
          <w:sz w:val="15"/>
          <w:szCs w:val="15"/>
          <w:color w:val="auto"/>
        </w:rPr>
        <w:t>Incorporated</w:t>
      </w:r>
    </w:p>
    <w:p>
      <w:pPr>
        <w:spacing w:after="0" w:line="14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4 World Financial Center</w:t>
      </w:r>
    </w:p>
    <w:p>
      <w:pPr>
        <w:spacing w:after="0" w:line="2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New York, New York 10080</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69" w:lineRule="exact"/>
        <w:rPr>
          <w:sz w:val="20"/>
          <w:szCs w:val="20"/>
          <w:color w:val="auto"/>
        </w:rPr>
      </w:pPr>
    </w:p>
    <w:p>
      <w:pPr>
        <w:ind w:right="3179" w:firstLine="793"/>
        <w:spacing w:after="0" w:line="262" w:lineRule="auto"/>
        <w:rPr>
          <w:sz w:val="20"/>
          <w:szCs w:val="20"/>
          <w:color w:val="auto"/>
        </w:rPr>
      </w:pPr>
      <w:r>
        <w:rPr>
          <w:rFonts w:ascii="Courier New" w:cs="Courier New" w:eastAsia="Courier New" w:hAnsi="Courier New"/>
          <w:sz w:val="14"/>
          <w:szCs w:val="14"/>
          <w:color w:val="auto"/>
        </w:rPr>
        <w:t>Federal Realty Investment Trust, a Maryland real estate investment trust (the "Company"), proposes, subject to the terms and conditions stated herein and in the Underwriting Agreement, dated November [o], 2002 (the "Underwriting Agreement"), between the Company on the one hand and Merrill Lynch, Pierce, Fenner &amp; Smith Incorporated, Salomon Smith Barney Inc., Wachovia Securities, Inc., Commerzbank Capital Markets Corp., Banc of America Securities LLC, BMO Nesbitt Burns Corp., Fleet Securities, Inc., HVB Capital Markets, Inc., Wells Fargo Brokerage Services, LLC and PNC Capital Markets, Inc. on the other hand, to issue and sell to the Underwriters named in Schedule I hereto (the "Underwriters") the Securities specified in Schedules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 provisions of the Underwriting Agreement so incorporated by reference shall</w:t>
      </w:r>
    </w:p>
    <w:p>
      <w:pPr>
        <w:sectPr>
          <w:pgSz w:w="11900" w:h="16838" w:orient="portrait"/>
          <w:cols w:equalWidth="0" w:num="1">
            <w:col w:w="10219"/>
          </w:cols>
          <w:pgMar w:left="240" w:top="601" w:right="1440" w:bottom="1440" w:gutter="0" w:footer="0" w:header="0"/>
        </w:sectPr>
      </w:pPr>
    </w:p>
    <w:bookmarkStart w:id="30" w:name="page31"/>
    <w:bookmarkEnd w:id="30"/>
    <w:p>
      <w:pPr>
        <w:ind w:right="3179"/>
        <w:spacing w:after="0" w:line="254" w:lineRule="auto"/>
        <w:rPr>
          <w:sz w:val="20"/>
          <w:szCs w:val="20"/>
          <w:color w:val="auto"/>
        </w:rPr>
      </w:pPr>
      <w:r>
        <w:rPr>
          <w:rFonts w:ascii="Courier New" w:cs="Courier New" w:eastAsia="Courier New" w:hAnsi="Courier New"/>
          <w:sz w:val="15"/>
          <w:szCs w:val="15"/>
          <w:color w:val="auto"/>
        </w:rPr>
        <w:t>be deemed to refer to you. Unless otherwise defined herein, terms defined in the Underwriting Agreement are used herein as therein defined. The Representative designated to act on behalf of the Representatives pursuant to Section 12 of the Underwriting Agreement is Merrill Lynch, Pierce, Fenner &amp; Smith Incorporated, and the Representatives designated to act on behalf of each of the Underwriters of the Designated Securities pursuant to Section 12 of the Underwriting Agreement and the address of the Representatives referred to in such Section 12 are set forth in Schedule II hereto.</w:t>
      </w:r>
    </w:p>
    <w:p>
      <w:pPr>
        <w:spacing w:after="0" w:line="87" w:lineRule="exact"/>
        <w:rPr>
          <w:sz w:val="20"/>
          <w:szCs w:val="20"/>
          <w:color w:val="auto"/>
        </w:rPr>
      </w:pPr>
    </w:p>
    <w:p>
      <w:pPr>
        <w:ind w:right="3439" w:firstLine="793"/>
        <w:spacing w:after="0" w:line="275" w:lineRule="auto"/>
        <w:rPr>
          <w:sz w:val="20"/>
          <w:szCs w:val="20"/>
          <w:color w:val="auto"/>
        </w:rPr>
      </w:pPr>
      <w:r>
        <w:rPr>
          <w:rFonts w:ascii="Courier New" w:cs="Courier New" w:eastAsia="Courier New" w:hAnsi="Courier New"/>
          <w:sz w:val="15"/>
          <w:szCs w:val="15"/>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69" w:lineRule="exact"/>
        <w:rPr>
          <w:sz w:val="20"/>
          <w:szCs w:val="20"/>
          <w:color w:val="auto"/>
        </w:rPr>
      </w:pPr>
    </w:p>
    <w:p>
      <w:pPr>
        <w:ind w:right="3179" w:firstLine="793"/>
        <w:spacing w:after="0" w:line="278" w:lineRule="auto"/>
        <w:rPr>
          <w:sz w:val="20"/>
          <w:szCs w:val="20"/>
          <w:color w:val="auto"/>
        </w:rPr>
      </w:pPr>
      <w:r>
        <w:rPr>
          <w:rFonts w:ascii="Courier New" w:cs="Courier New" w:eastAsia="Courier New" w:hAnsi="Courier New"/>
          <w:sz w:val="14"/>
          <w:szCs w:val="14"/>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(as defined in Schedule II hereto) set forth opposite the name of such Underwriter in Schedule I hereto.</w:t>
      </w:r>
    </w:p>
    <w:p>
      <w:pPr>
        <w:spacing w:after="0" w:line="70" w:lineRule="exact"/>
        <w:rPr>
          <w:sz w:val="20"/>
          <w:szCs w:val="20"/>
          <w:color w:val="auto"/>
        </w:rPr>
      </w:pPr>
    </w:p>
    <w:p>
      <w:pPr>
        <w:ind w:right="3439" w:firstLine="793"/>
        <w:spacing w:after="0" w:line="384" w:lineRule="auto"/>
        <w:rPr>
          <w:sz w:val="20"/>
          <w:szCs w:val="20"/>
          <w:color w:val="auto"/>
        </w:rPr>
      </w:pPr>
      <w:r>
        <w:rPr>
          <w:rFonts w:ascii="Courier New" w:cs="Courier New" w:eastAsia="Courier New" w:hAnsi="Courier New"/>
          <w:sz w:val="14"/>
          <w:szCs w:val="14"/>
          <w:color w:val="auto"/>
        </w:rPr>
        <w:t>The obligations of the Underwriters under this Pricing Agreement and the Underwriting Agreement incorporated herein are several and not joint.</w:t>
      </w:r>
    </w:p>
    <w:p>
      <w:pPr>
        <w:spacing w:after="0" w:line="1" w:lineRule="exact"/>
        <w:rPr>
          <w:sz w:val="20"/>
          <w:szCs w:val="20"/>
          <w:color w:val="auto"/>
        </w:rPr>
      </w:pPr>
    </w:p>
    <w:p>
      <w:pPr>
        <w:ind w:right="3179" w:firstLine="793"/>
        <w:spacing w:after="0" w:line="347" w:lineRule="auto"/>
        <w:rPr>
          <w:sz w:val="20"/>
          <w:szCs w:val="20"/>
          <w:color w:val="auto"/>
        </w:rPr>
      </w:pPr>
      <w:r>
        <w:rPr>
          <w:rFonts w:ascii="Courier New" w:cs="Courier New" w:eastAsia="Courier New" w:hAnsi="Courier New"/>
          <w:sz w:val="15"/>
          <w:szCs w:val="15"/>
          <w:color w:val="auto"/>
        </w:rPr>
        <w:t>This Pricing Agreement shall be governed by and construed in accordance with the laws of the State of New York.</w:t>
      </w:r>
    </w:p>
    <w:p>
      <w:pPr>
        <w:spacing w:after="0" w:line="1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[REMAINDER OF THIS PAGE INTENTIONALLY LEFT BLANK]</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1" w:right="1440" w:bottom="1440" w:gutter="0" w:footer="0" w:header="0"/>
        </w:sectPr>
      </w:pPr>
    </w:p>
    <w:bookmarkStart w:id="31" w:name="page32"/>
    <w:bookmarkEnd w:id="31"/>
    <w:p>
      <w:pPr>
        <w:ind w:right="3259" w:firstLine="793"/>
        <w:spacing w:after="0" w:line="261" w:lineRule="auto"/>
        <w:rPr>
          <w:sz w:val="20"/>
          <w:szCs w:val="20"/>
          <w:color w:val="auto"/>
        </w:rPr>
      </w:pPr>
      <w:r>
        <w:rPr>
          <w:rFonts w:ascii="Courier New" w:cs="Courier New" w:eastAsia="Courier New" w:hAnsi="Courier New"/>
          <w:sz w:val="15"/>
          <w:szCs w:val="15"/>
          <w:color w:val="auto"/>
        </w:rPr>
        <w:t>If the foregoing is in accordance with your understanding, please sign and return this Pricing Agreement to us, and upon acceptance hereof by you, on behalf of each of the Underwriters, this Pricing Agreement and such acceptance hereof, including the provisions of the Underwriting Agreement incorporated herein by reference, shall constitute a binding agreement between each of the Underwriters and the Company.</w:t>
      </w:r>
    </w:p>
    <w:p>
      <w:pPr>
        <w:spacing w:after="0" w:line="78"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By:</w:t>
      </w:r>
    </w:p>
    <w:p>
      <w:pPr>
        <w:spacing w:after="0" w:line="2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t>
      </w:r>
    </w:p>
    <w:p>
      <w:pPr>
        <w:ind w:left="3160"/>
        <w:spacing w:after="0"/>
        <w:rPr>
          <w:sz w:val="20"/>
          <w:szCs w:val="20"/>
          <w:color w:val="auto"/>
        </w:rPr>
      </w:pPr>
      <w:r>
        <w:rPr>
          <w:rFonts w:ascii="Courier New" w:cs="Courier New" w:eastAsia="Courier New" w:hAnsi="Courier New"/>
          <w:sz w:val="15"/>
          <w:szCs w:val="15"/>
          <w:color w:val="auto"/>
        </w:rPr>
        <w:t>Name:</w:t>
      </w:r>
    </w:p>
    <w:p>
      <w:pPr>
        <w:ind w:left="3160"/>
        <w:spacing w:after="0"/>
        <w:rPr>
          <w:sz w:val="20"/>
          <w:szCs w:val="20"/>
          <w:color w:val="auto"/>
        </w:rPr>
      </w:pPr>
      <w:r>
        <w:rPr>
          <w:rFonts w:ascii="Courier New" w:cs="Courier New" w:eastAsia="Courier New" w:hAnsi="Courier New"/>
          <w:sz w:val="15"/>
          <w:szCs w:val="15"/>
          <w:color w:val="auto"/>
        </w:rPr>
        <w:t>Title: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as of the date hereof:</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25"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INCORPORATED</w:t>
      </w:r>
    </w:p>
    <w:p>
      <w:pPr>
        <w:spacing w:after="0"/>
        <w:rPr>
          <w:sz w:val="20"/>
          <w:szCs w:val="20"/>
          <w:color w:val="auto"/>
        </w:rPr>
      </w:pPr>
      <w:r>
        <w:rPr>
          <w:rFonts w:ascii="Courier New" w:cs="Courier New" w:eastAsia="Courier New" w:hAnsi="Courier New"/>
          <w:sz w:val="15"/>
          <w:szCs w:val="15"/>
          <w:color w:val="auto"/>
        </w:rPr>
        <w:t>SALOMON SMITH BARNEY INC.</w:t>
      </w:r>
    </w:p>
    <w:p>
      <w:pPr>
        <w:spacing w:after="0"/>
        <w:rPr>
          <w:sz w:val="20"/>
          <w:szCs w:val="20"/>
          <w:color w:val="auto"/>
        </w:rPr>
      </w:pPr>
      <w:r>
        <w:rPr>
          <w:rFonts w:ascii="Courier New" w:cs="Courier New" w:eastAsia="Courier New" w:hAnsi="Courier New"/>
          <w:sz w:val="15"/>
          <w:szCs w:val="15"/>
          <w:color w:val="auto"/>
        </w:rPr>
        <w:t>WACHOVIA SECURITIES, INC.</w:t>
      </w:r>
    </w:p>
    <w:p>
      <w:pPr>
        <w:spacing w:after="0"/>
        <w:rPr>
          <w:sz w:val="20"/>
          <w:szCs w:val="20"/>
          <w:color w:val="auto"/>
        </w:rPr>
      </w:pPr>
      <w:r>
        <w:rPr>
          <w:rFonts w:ascii="Courier New" w:cs="Courier New" w:eastAsia="Courier New" w:hAnsi="Courier New"/>
          <w:sz w:val="15"/>
          <w:szCs w:val="15"/>
          <w:color w:val="auto"/>
        </w:rPr>
        <w:t>COMMERZBANK CAPITAL MARKETS CORP.</w:t>
      </w:r>
    </w:p>
    <w:p>
      <w:pPr>
        <w:spacing w:after="0"/>
        <w:rPr>
          <w:sz w:val="20"/>
          <w:szCs w:val="20"/>
          <w:color w:val="auto"/>
        </w:rPr>
      </w:pPr>
      <w:r>
        <w:rPr>
          <w:rFonts w:ascii="Courier New" w:cs="Courier New" w:eastAsia="Courier New" w:hAnsi="Courier New"/>
          <w:sz w:val="15"/>
          <w:szCs w:val="15"/>
          <w:color w:val="auto"/>
        </w:rPr>
        <w:t>BANC OF AMERICA SECURITIES LLC</w:t>
      </w:r>
    </w:p>
    <w:p>
      <w:pPr>
        <w:spacing w:after="0"/>
        <w:rPr>
          <w:sz w:val="20"/>
          <w:szCs w:val="20"/>
          <w:color w:val="auto"/>
        </w:rPr>
      </w:pPr>
      <w:r>
        <w:rPr>
          <w:rFonts w:ascii="Courier New" w:cs="Courier New" w:eastAsia="Courier New" w:hAnsi="Courier New"/>
          <w:sz w:val="15"/>
          <w:szCs w:val="15"/>
          <w:color w:val="auto"/>
        </w:rPr>
        <w:t>BMO NESBITT BURNS CORP.</w:t>
      </w:r>
    </w:p>
    <w:p>
      <w:pPr>
        <w:spacing w:after="0"/>
        <w:rPr>
          <w:sz w:val="20"/>
          <w:szCs w:val="20"/>
          <w:color w:val="auto"/>
        </w:rPr>
      </w:pPr>
      <w:r>
        <w:rPr>
          <w:rFonts w:ascii="Courier New" w:cs="Courier New" w:eastAsia="Courier New" w:hAnsi="Courier New"/>
          <w:sz w:val="15"/>
          <w:szCs w:val="15"/>
          <w:color w:val="auto"/>
        </w:rPr>
        <w:t>FLEET SECURITIES, INC.</w:t>
      </w:r>
    </w:p>
    <w:p>
      <w:pPr>
        <w:spacing w:after="0"/>
        <w:rPr>
          <w:sz w:val="20"/>
          <w:szCs w:val="20"/>
          <w:color w:val="auto"/>
        </w:rPr>
      </w:pPr>
      <w:r>
        <w:rPr>
          <w:rFonts w:ascii="Courier New" w:cs="Courier New" w:eastAsia="Courier New" w:hAnsi="Courier New"/>
          <w:sz w:val="15"/>
          <w:szCs w:val="15"/>
          <w:color w:val="auto"/>
        </w:rPr>
        <w:t>HVB CAPITAL MARKETS, INC.</w:t>
      </w:r>
    </w:p>
    <w:p>
      <w:pPr>
        <w:spacing w:after="0"/>
        <w:rPr>
          <w:sz w:val="20"/>
          <w:szCs w:val="20"/>
          <w:color w:val="auto"/>
        </w:rPr>
      </w:pPr>
      <w:r>
        <w:rPr>
          <w:rFonts w:ascii="Courier New" w:cs="Courier New" w:eastAsia="Courier New" w:hAnsi="Courier New"/>
          <w:sz w:val="15"/>
          <w:szCs w:val="15"/>
          <w:color w:val="auto"/>
        </w:rPr>
        <w:t>WELLS FARGO BROKERAGE SERVICES, LLC</w:t>
      </w:r>
    </w:p>
    <w:p>
      <w:pPr>
        <w:spacing w:after="0"/>
        <w:rPr>
          <w:sz w:val="20"/>
          <w:szCs w:val="20"/>
          <w:color w:val="auto"/>
        </w:rPr>
      </w:pPr>
      <w:r>
        <w:rPr>
          <w:rFonts w:ascii="Courier New" w:cs="Courier New" w:eastAsia="Courier New" w:hAnsi="Courier New"/>
          <w:sz w:val="15"/>
          <w:szCs w:val="15"/>
          <w:color w:val="auto"/>
        </w:rPr>
        <w:t>PNC CAPITAL MARKETS, INC.</w:t>
      </w:r>
    </w:p>
    <w:p>
      <w:pPr>
        <w:spacing w:after="0" w:line="14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Merrill Lynch, Pierce, Fenner &amp; Smith</w:t>
      </w:r>
    </w:p>
    <w:p>
      <w:pPr>
        <w:spacing w:after="0" w:line="26"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Incorporated</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ind w:left="340"/>
        <w:spacing w:after="0"/>
        <w:rPr>
          <w:sz w:val="20"/>
          <w:szCs w:val="20"/>
          <w:color w:val="auto"/>
        </w:rPr>
      </w:pPr>
      <w:r>
        <w:rPr>
          <w:rFonts w:ascii="Courier New" w:cs="Courier New" w:eastAsia="Courier New" w:hAnsi="Courier New"/>
          <w:sz w:val="15"/>
          <w:szCs w:val="15"/>
          <w:color w:val="auto"/>
        </w:rPr>
        <w:t>Name:</w:t>
      </w:r>
    </w:p>
    <w:p>
      <w:pPr>
        <w:ind w:left="34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01"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46"/>
        </w:trPr>
        <w:tc>
          <w:tcPr>
            <w:tcW w:w="1000" w:type="dxa"/>
            <w:vAlign w:val="bottom"/>
          </w:tcPr>
          <w:p>
            <w:pPr>
              <w:spacing w:after="0"/>
              <w:rPr>
                <w:sz w:val="21"/>
                <w:szCs w:val="21"/>
                <w:color w:val="auto"/>
              </w:rPr>
            </w:pPr>
          </w:p>
        </w:tc>
        <w:tc>
          <w:tcPr>
            <w:tcW w:w="3700" w:type="dxa"/>
            <w:vAlign w:val="bottom"/>
          </w:tcPr>
          <w:p>
            <w:pPr>
              <w:ind w:left="2080"/>
              <w:spacing w:after="0"/>
              <w:rPr>
                <w:sz w:val="20"/>
                <w:szCs w:val="20"/>
                <w:color w:val="auto"/>
              </w:rPr>
            </w:pPr>
            <w:r>
              <w:rPr>
                <w:rFonts w:ascii="Courier New" w:cs="Courier New" w:eastAsia="Courier New" w:hAnsi="Courier New"/>
                <w:sz w:val="15"/>
                <w:szCs w:val="15"/>
                <w:color w:val="auto"/>
              </w:rPr>
              <w:t>SCHEDULE I</w:t>
            </w:r>
          </w:p>
        </w:tc>
        <w:tc>
          <w:tcPr>
            <w:tcW w:w="1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1000" w:type="dxa"/>
            <w:vAlign w:val="bottom"/>
          </w:tcPr>
          <w:p>
            <w:pPr>
              <w:spacing w:after="0"/>
              <w:rPr>
                <w:sz w:val="24"/>
                <w:szCs w:val="24"/>
                <w:color w:val="auto"/>
              </w:rPr>
            </w:pPr>
          </w:p>
        </w:tc>
        <w:tc>
          <w:tcPr>
            <w:tcW w:w="37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Underwriter</w:t>
            </w:r>
          </w:p>
        </w:tc>
        <w:tc>
          <w:tcPr>
            <w:tcW w:w="2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Principal Amount of</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3700" w:type="dxa"/>
            <w:vAlign w:val="bottom"/>
            <w:vMerge w:val="continue"/>
          </w:tcPr>
          <w:p>
            <w:pPr>
              <w:spacing w:after="0"/>
              <w:rPr>
                <w:sz w:val="14"/>
                <w:szCs w:val="14"/>
                <w:color w:val="auto"/>
              </w:rPr>
            </w:pPr>
          </w:p>
        </w:tc>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Designated Securities</w:t>
            </w:r>
          </w:p>
        </w:tc>
        <w:tc>
          <w:tcPr>
            <w:tcW w:w="0" w:type="dxa"/>
            <w:vAlign w:val="bottom"/>
          </w:tcPr>
          <w:p>
            <w:pPr>
              <w:spacing w:after="0"/>
              <w:rPr>
                <w:sz w:val="1"/>
                <w:szCs w:val="1"/>
                <w:color w:val="auto"/>
              </w:rPr>
            </w:pPr>
          </w:p>
        </w:tc>
      </w:tr>
      <w:tr>
        <w:trPr>
          <w:trHeight w:val="246"/>
        </w:trPr>
        <w:tc>
          <w:tcPr>
            <w:tcW w:w="1000" w:type="dxa"/>
            <w:vAlign w:val="bottom"/>
          </w:tcPr>
          <w:p>
            <w:pPr>
              <w:spacing w:after="0"/>
              <w:rPr>
                <w:sz w:val="21"/>
                <w:szCs w:val="21"/>
                <w:color w:val="auto"/>
              </w:rPr>
            </w:pPr>
          </w:p>
        </w:tc>
        <w:tc>
          <w:tcPr>
            <w:tcW w:w="37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2"/>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Merrill Lynch, Pierce, Fenner &amp; Smith</w:t>
            </w:r>
          </w:p>
        </w:tc>
        <w:tc>
          <w:tcPr>
            <w:tcW w:w="12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XX,XXX,XXX</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Incorporated</w:t>
            </w:r>
          </w:p>
        </w:tc>
        <w:tc>
          <w:tcPr>
            <w:tcW w:w="12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Salomon Smith Barney Inc.</w:t>
            </w:r>
          </w:p>
        </w:tc>
        <w:tc>
          <w:tcPr>
            <w:tcW w:w="120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XX,XXX,XXX</w:t>
            </w:r>
          </w:p>
        </w:tc>
        <w:tc>
          <w:tcPr>
            <w:tcW w:w="0" w:type="dxa"/>
            <w:vAlign w:val="bottom"/>
          </w:tcPr>
          <w:p>
            <w:pPr>
              <w:spacing w:after="0"/>
              <w:rPr>
                <w:sz w:val="1"/>
                <w:szCs w:val="1"/>
                <w:color w:val="auto"/>
              </w:rPr>
            </w:pPr>
          </w:p>
        </w:tc>
      </w:tr>
      <w:tr>
        <w:trPr>
          <w:trHeight w:val="170"/>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Wachovia Securities, Inc.</w:t>
            </w:r>
          </w:p>
        </w:tc>
        <w:tc>
          <w:tcPr>
            <w:tcW w:w="120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XX,XXX,XXX</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Commerzbank</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Capital Markets Corp.</w:t>
            </w:r>
          </w:p>
        </w:tc>
        <w:tc>
          <w:tcPr>
            <w:tcW w:w="120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XX,XXX,XXX</w:t>
            </w:r>
          </w:p>
        </w:tc>
        <w:tc>
          <w:tcPr>
            <w:tcW w:w="0" w:type="dxa"/>
            <w:vAlign w:val="bottom"/>
          </w:tcPr>
          <w:p>
            <w:pPr>
              <w:spacing w:after="0"/>
              <w:rPr>
                <w:sz w:val="1"/>
                <w:szCs w:val="1"/>
                <w:color w:val="auto"/>
              </w:rPr>
            </w:pPr>
          </w:p>
        </w:tc>
      </w:tr>
      <w:tr>
        <w:trPr>
          <w:trHeight w:val="170"/>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Banc of America Securities LLC</w:t>
            </w:r>
          </w:p>
        </w:tc>
        <w:tc>
          <w:tcPr>
            <w:tcW w:w="120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XX,XXX,XXX</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BMO Nesbitt</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Burns Corp.</w:t>
            </w:r>
          </w:p>
        </w:tc>
        <w:tc>
          <w:tcPr>
            <w:tcW w:w="120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XX,XXX,XXX</w:t>
            </w:r>
          </w:p>
        </w:tc>
        <w:tc>
          <w:tcPr>
            <w:tcW w:w="0" w:type="dxa"/>
            <w:vAlign w:val="bottom"/>
          </w:tcPr>
          <w:p>
            <w:pPr>
              <w:spacing w:after="0"/>
              <w:rPr>
                <w:sz w:val="1"/>
                <w:szCs w:val="1"/>
                <w:color w:val="auto"/>
              </w:rPr>
            </w:pPr>
          </w:p>
        </w:tc>
      </w:tr>
      <w:tr>
        <w:trPr>
          <w:trHeight w:val="170"/>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Fleet Securities, Inc.</w:t>
            </w:r>
          </w:p>
        </w:tc>
        <w:tc>
          <w:tcPr>
            <w:tcW w:w="120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XX,XXX,XXX</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HVB Capital</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Markets, Inc.</w:t>
            </w:r>
          </w:p>
        </w:tc>
        <w:tc>
          <w:tcPr>
            <w:tcW w:w="120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XX,XXX,XXX</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Wells Fargo</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Brokerage Services, LLC</w:t>
            </w:r>
          </w:p>
        </w:tc>
        <w:tc>
          <w:tcPr>
            <w:tcW w:w="120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XX,XXX,XXX</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PNC Capital</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Markets, Inc.</w:t>
            </w:r>
          </w:p>
        </w:tc>
        <w:tc>
          <w:tcPr>
            <w:tcW w:w="26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7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Total</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150,000,000</w:t>
            </w:r>
          </w:p>
        </w:tc>
        <w:tc>
          <w:tcPr>
            <w:tcW w:w="0" w:type="dxa"/>
            <w:vAlign w:val="bottom"/>
          </w:tcPr>
          <w:p>
            <w:pPr>
              <w:spacing w:after="0"/>
              <w:rPr>
                <w:sz w:val="1"/>
                <w:szCs w:val="1"/>
                <w:color w:val="auto"/>
              </w:rPr>
            </w:pPr>
          </w:p>
        </w:tc>
      </w:tr>
      <w:tr>
        <w:trPr>
          <w:trHeight w:val="246"/>
        </w:trPr>
        <w:tc>
          <w:tcPr>
            <w:tcW w:w="1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601" w:right="1440" w:bottom="1440" w:gutter="0" w:footer="0" w:header="0"/>
        </w:sectPr>
      </w:pPr>
    </w:p>
    <w:bookmarkStart w:id="33" w:name="page34"/>
    <w:bookmarkEnd w:id="33"/>
    <w:p>
      <w:pPr>
        <w:ind w:left="3080"/>
        <w:spacing w:after="0"/>
        <w:rPr>
          <w:sz w:val="20"/>
          <w:szCs w:val="20"/>
          <w:color w:val="auto"/>
        </w:rPr>
      </w:pPr>
      <w:r>
        <w:rPr>
          <w:rFonts w:ascii="Courier New" w:cs="Courier New" w:eastAsia="Courier New" w:hAnsi="Courier New"/>
          <w:sz w:val="15"/>
          <w:szCs w:val="15"/>
          <w:color w:val="auto"/>
        </w:rPr>
        <w:t>SCHEDULE 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of Designated Securities: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 Notes due November [o], 20[o]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principal amount:</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to Public:</w:t>
      </w:r>
    </w:p>
    <w:p>
      <w:pPr>
        <w:spacing w:after="0" w:line="169" w:lineRule="exact"/>
        <w:rPr>
          <w:sz w:val="20"/>
          <w:szCs w:val="20"/>
          <w:color w:val="auto"/>
        </w:rPr>
      </w:pPr>
    </w:p>
    <w:p>
      <w:pPr>
        <w:ind w:left="960" w:hanging="176"/>
        <w:spacing w:after="0"/>
        <w:tabs>
          <w:tab w:leader="none" w:pos="9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principal amount of the Designated Securities, plus</w:t>
      </w:r>
    </w:p>
    <w:p>
      <w:pPr>
        <w:spacing w:after="0" w:line="25" w:lineRule="exact"/>
        <w:rPr>
          <w:rFonts w:ascii="Courier New" w:cs="Courier New" w:eastAsia="Courier New" w:hAnsi="Courier New"/>
          <w:sz w:val="15"/>
          <w:szCs w:val="15"/>
          <w:color w:val="auto"/>
        </w:rPr>
      </w:pP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accrued interest from November [o], 2002 to November [o], 2002</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Price by Underwriters:</w:t>
      </w:r>
    </w:p>
    <w:p>
      <w:pPr>
        <w:spacing w:after="0" w:line="169" w:lineRule="exact"/>
        <w:rPr>
          <w:sz w:val="20"/>
          <w:szCs w:val="20"/>
          <w:color w:val="auto"/>
        </w:rPr>
      </w:pPr>
    </w:p>
    <w:p>
      <w:pPr>
        <w:ind w:left="780" w:right="3179"/>
        <w:spacing w:after="0" w:line="347" w:lineRule="auto"/>
        <w:rPr>
          <w:sz w:val="20"/>
          <w:szCs w:val="20"/>
          <w:color w:val="auto"/>
        </w:rPr>
      </w:pPr>
      <w:r>
        <w:rPr>
          <w:rFonts w:ascii="Courier New" w:cs="Courier New" w:eastAsia="Courier New" w:hAnsi="Courier New"/>
          <w:sz w:val="15"/>
          <w:szCs w:val="15"/>
          <w:color w:val="auto"/>
        </w:rPr>
        <w:t>[o]% of the principal amount of the Designated Securities, plus accrued interest from November [o], 2002 to November [o], 2002</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Specified funds for payment of purchase price:</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Wire transfer of immediately available funds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Indenture:</w:t>
      </w:r>
    </w:p>
    <w:p>
      <w:pPr>
        <w:spacing w:after="0" w:line="169" w:lineRule="exact"/>
        <w:rPr>
          <w:sz w:val="20"/>
          <w:szCs w:val="20"/>
          <w:color w:val="auto"/>
        </w:rPr>
      </w:pPr>
    </w:p>
    <w:p>
      <w:pPr>
        <w:ind w:left="780" w:right="3539"/>
        <w:spacing w:after="0" w:line="293" w:lineRule="auto"/>
        <w:rPr>
          <w:sz w:val="20"/>
          <w:szCs w:val="20"/>
          <w:color w:val="auto"/>
        </w:rPr>
      </w:pPr>
      <w:r>
        <w:rPr>
          <w:rFonts w:ascii="Courier New" w:cs="Courier New" w:eastAsia="Courier New" w:hAnsi="Courier New"/>
          <w:sz w:val="15"/>
          <w:szCs w:val="15"/>
          <w:color w:val="auto"/>
        </w:rPr>
        <w:t>Indenture dated as of September 1, 1998, between the Company and Wachovia Bank, National Association (formerly, First Union National Bank), as Trustee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Maturity:</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 20[o]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Payment Dates:</w:t>
      </w:r>
    </w:p>
    <w:p>
      <w:pPr>
        <w:spacing w:after="0" w:line="169" w:lineRule="exact"/>
        <w:rPr>
          <w:sz w:val="20"/>
          <w:szCs w:val="20"/>
          <w:color w:val="auto"/>
        </w:rPr>
      </w:pPr>
    </w:p>
    <w:p>
      <w:pPr>
        <w:ind w:right="6519" w:firstLine="784"/>
        <w:spacing w:after="0" w:line="478" w:lineRule="auto"/>
        <w:tabs>
          <w:tab w:leader="none" w:pos="114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[o], commencing [o], 2003 Redemption Provisions:</w:t>
      </w:r>
    </w:p>
    <w:p>
      <w:pPr>
        <w:spacing w:after="0" w:line="1" w:lineRule="exact"/>
        <w:rPr>
          <w:sz w:val="20"/>
          <w:szCs w:val="20"/>
          <w:color w:val="auto"/>
        </w:rPr>
      </w:pPr>
    </w:p>
    <w:p>
      <w:pPr>
        <w:ind w:left="780" w:right="3359"/>
        <w:spacing w:after="0" w:line="384" w:lineRule="auto"/>
        <w:rPr>
          <w:sz w:val="20"/>
          <w:szCs w:val="20"/>
          <w:color w:val="auto"/>
        </w:rPr>
      </w:pPr>
      <w:r>
        <w:rPr>
          <w:rFonts w:ascii="Courier New" w:cs="Courier New" w:eastAsia="Courier New" w:hAnsi="Courier New"/>
          <w:sz w:val="14"/>
          <w:szCs w:val="14"/>
          <w:color w:val="auto"/>
        </w:rPr>
        <w:t>The Designated Securities may be redeemed at any time, in whole or in part, at a redemption price as described in the Prospectus Supplement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Sinking Fund Provisions:</w:t>
      </w:r>
    </w:p>
    <w:p>
      <w:pPr>
        <w:sectPr>
          <w:pgSz w:w="11900" w:h="16838" w:orient="portrait"/>
          <w:cols w:equalWidth="0" w:num="1">
            <w:col w:w="10219"/>
          </w:cols>
          <w:pgMar w:left="240" w:top="601" w:right="1440" w:bottom="1440" w:gutter="0" w:footer="0" w:header="0"/>
        </w:sectPr>
      </w:pPr>
    </w:p>
    <w:bookmarkStart w:id="34" w:name="page35"/>
    <w:bookmarkEnd w:id="34"/>
    <w:p>
      <w:pPr>
        <w:ind w:left="4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Defeasance provisions:</w:t>
      </w:r>
    </w:p>
    <w:p>
      <w:pPr>
        <w:spacing w:after="0" w:line="169" w:lineRule="exact"/>
        <w:rPr>
          <w:sz w:val="20"/>
          <w:szCs w:val="20"/>
          <w:color w:val="auto"/>
        </w:rPr>
      </w:pPr>
    </w:p>
    <w:p>
      <w:pPr>
        <w:ind w:left="780" w:right="3619"/>
        <w:spacing w:after="0" w:line="347" w:lineRule="auto"/>
        <w:rPr>
          <w:sz w:val="20"/>
          <w:szCs w:val="20"/>
          <w:color w:val="auto"/>
        </w:rPr>
      </w:pPr>
      <w:r>
        <w:rPr>
          <w:rFonts w:ascii="Courier New" w:cs="Courier New" w:eastAsia="Courier New" w:hAnsi="Courier New"/>
          <w:sz w:val="15"/>
          <w:szCs w:val="15"/>
          <w:color w:val="auto"/>
        </w:rPr>
        <w:t>The defeasance and covenant defeasance provisions of the Indenture apply to the Designated Securities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of Delivery:</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November [o], 2002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Location:</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Sidley Austin Brown &amp; Wood LLP</w:t>
      </w:r>
    </w:p>
    <w:p>
      <w:pPr>
        <w:spacing w:after="0" w:line="2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787 Seventh Avenue</w:t>
      </w:r>
    </w:p>
    <w:p>
      <w:pPr>
        <w:ind w:left="780"/>
        <w:spacing w:after="0"/>
        <w:rPr>
          <w:sz w:val="20"/>
          <w:szCs w:val="20"/>
          <w:color w:val="auto"/>
        </w:rPr>
      </w:pPr>
      <w:r>
        <w:rPr>
          <w:rFonts w:ascii="Courier New" w:cs="Courier New" w:eastAsia="Courier New" w:hAnsi="Courier New"/>
          <w:sz w:val="15"/>
          <w:szCs w:val="15"/>
          <w:color w:val="auto"/>
        </w:rPr>
        <w:t>New York, New York 10019</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Names and addresses of Representatives: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Designated Representatives:</w:t>
      </w:r>
    </w:p>
    <w:p>
      <w:pPr>
        <w:spacing w:after="0" w:line="169" w:lineRule="exact"/>
        <w:rPr>
          <w:sz w:val="20"/>
          <w:szCs w:val="20"/>
          <w:color w:val="auto"/>
        </w:rPr>
      </w:pPr>
    </w:p>
    <w:p>
      <w:pPr>
        <w:ind w:left="780" w:right="3359"/>
        <w:spacing w:after="0" w:line="266" w:lineRule="auto"/>
        <w:rPr>
          <w:sz w:val="20"/>
          <w:szCs w:val="20"/>
          <w:color w:val="auto"/>
        </w:rPr>
      </w:pPr>
      <w:r>
        <w:rPr>
          <w:rFonts w:ascii="Courier New" w:cs="Courier New" w:eastAsia="Courier New" w:hAnsi="Courier New"/>
          <w:sz w:val="15"/>
          <w:szCs w:val="15"/>
          <w:color w:val="auto"/>
        </w:rPr>
        <w:t>Merrill Lynch, Pierce, Fenner &amp; Smith, Incorporated, Salomon Smith Barney Inc., Wachovia Securities, Inc., Commerzbank Capital Markets Corp., Banc of America Securities LLC, BMO Nesbitt Burns Corp., Fleet Securities, Inc., HVB Capital Markets, Inc., Wells Fargo Brokerage Services, LLC and PNC Capital Markets, Inc.</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Address for Notices, etc.:</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 Merrill Lynch, Pierce, Fenner &amp; Smith</w:t>
      </w:r>
    </w:p>
    <w:p>
      <w:pPr>
        <w:spacing w:after="0" w:line="2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Incorporated</w:t>
      </w:r>
    </w:p>
    <w:p>
      <w:pPr>
        <w:ind w:left="780"/>
        <w:spacing w:after="0"/>
        <w:rPr>
          <w:sz w:val="20"/>
          <w:szCs w:val="20"/>
          <w:color w:val="auto"/>
        </w:rPr>
      </w:pPr>
      <w:r>
        <w:rPr>
          <w:rFonts w:ascii="Courier New" w:cs="Courier New" w:eastAsia="Courier New" w:hAnsi="Courier New"/>
          <w:sz w:val="15"/>
          <w:szCs w:val="15"/>
          <w:color w:val="auto"/>
        </w:rPr>
        <w:t>4 World Financial Center</w:t>
      </w:r>
    </w:p>
    <w:p>
      <w:pPr>
        <w:ind w:left="780"/>
        <w:spacing w:after="0"/>
        <w:rPr>
          <w:sz w:val="20"/>
          <w:szCs w:val="20"/>
          <w:color w:val="auto"/>
        </w:rPr>
      </w:pPr>
      <w:r>
        <w:rPr>
          <w:rFonts w:ascii="Courier New" w:cs="Courier New" w:eastAsia="Courier New" w:hAnsi="Courier New"/>
          <w:sz w:val="15"/>
          <w:szCs w:val="15"/>
          <w:color w:val="auto"/>
        </w:rPr>
        <w:t>New York, New York 10080</w:t>
      </w:r>
    </w:p>
    <w:p>
      <w:pPr>
        <w:ind w:left="780"/>
        <w:spacing w:after="0"/>
        <w:rPr>
          <w:sz w:val="20"/>
          <w:szCs w:val="20"/>
          <w:color w:val="auto"/>
        </w:rPr>
      </w:pPr>
      <w:r>
        <w:rPr>
          <w:rFonts w:ascii="Courier New" w:cs="Courier New" w:eastAsia="Courier New" w:hAnsi="Courier New"/>
          <w:sz w:val="15"/>
          <w:szCs w:val="15"/>
          <w:color w:val="auto"/>
        </w:rPr>
        <w:t>Attn: [[o]]</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Terms]*: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6" w:lineRule="exact"/>
        <w:rPr>
          <w:sz w:val="20"/>
          <w:szCs w:val="20"/>
          <w:color w:val="auto"/>
        </w:rPr>
      </w:pPr>
    </w:p>
    <w:p>
      <w:pPr>
        <w:ind w:right="3259" w:firstLine="793"/>
        <w:spacing w:after="0" w:line="275" w:lineRule="auto"/>
        <w:rPr>
          <w:sz w:val="20"/>
          <w:szCs w:val="20"/>
          <w:color w:val="auto"/>
        </w:rPr>
      </w:pPr>
      <w:r>
        <w:rPr>
          <w:rFonts w:ascii="Courier New" w:cs="Courier New" w:eastAsia="Courier New" w:hAnsi="Courier New"/>
          <w:sz w:val="14"/>
          <w:szCs w:val="14"/>
          <w:color w:val="auto"/>
        </w:rPr>
        <w:t>*A description of particular tax, accounting or other unusual features (such as the addition of event risk provisions) of the Securities should be set forth, or referenced to an attached and accompanying description, if necessary to ensure agreement as to the terms of the Securities to be purchased and sold. Such a description might appropriately be in the form in which such features will be described in the Prospectus Supplement for the offering.</w:t>
      </w:r>
    </w:p>
    <w:p>
      <w:pPr>
        <w:spacing w:after="0" w:line="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1" w:right="1440" w:bottom="1440" w:gutter="0" w:footer="0" w:header="0"/>
        </w:sectPr>
      </w:pPr>
    </w:p>
    <w:bookmarkStart w:id="35" w:name="page36"/>
    <w:bookmarkEnd w:id="35"/>
    <w:p>
      <w:pPr>
        <w:ind w:left="6080"/>
        <w:spacing w:after="0"/>
        <w:rPr>
          <w:sz w:val="20"/>
          <w:szCs w:val="20"/>
          <w:color w:val="auto"/>
        </w:rPr>
      </w:pPr>
      <w:r>
        <w:rPr>
          <w:rFonts w:ascii="Courier New" w:cs="Courier New" w:eastAsia="Courier New" w:hAnsi="Courier New"/>
          <w:sz w:val="15"/>
          <w:szCs w:val="15"/>
          <w:color w:val="auto"/>
        </w:rPr>
        <w:t>ANNEX II</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CERTIFICATE OF THE CHIEF EXECUTIVE OFFICER</w:t>
      </w:r>
    </w:p>
    <w:p>
      <w:pPr>
        <w:spacing w:after="0" w:line="2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AND CHIEF FINANCIAL OFFICER</w:t>
      </w:r>
    </w:p>
    <w:p>
      <w:pPr>
        <w:jc w:val="center"/>
        <w:ind w:right="3179"/>
        <w:spacing w:after="0"/>
        <w:rPr>
          <w:sz w:val="20"/>
          <w:szCs w:val="20"/>
          <w:color w:val="auto"/>
        </w:rPr>
      </w:pPr>
      <w:r>
        <w:rPr>
          <w:rFonts w:ascii="Courier New" w:cs="Courier New" w:eastAsia="Courier New" w:hAnsi="Courier New"/>
          <w:sz w:val="15"/>
          <w:szCs w:val="15"/>
          <w:color w:val="auto"/>
        </w:rPr>
        <w:t>PURSUANT TO SECTION 7(f) OF THE UNDERWRITING AGREEMENT</w:t>
      </w:r>
    </w:p>
    <w:p>
      <w:pPr>
        <w:spacing w:after="0" w:line="143" w:lineRule="exact"/>
        <w:rPr>
          <w:sz w:val="20"/>
          <w:szCs w:val="20"/>
          <w:color w:val="auto"/>
        </w:rPr>
      </w:pPr>
    </w:p>
    <w:p>
      <w:pPr>
        <w:ind w:right="3359" w:firstLine="793"/>
        <w:spacing w:after="0" w:line="293" w:lineRule="auto"/>
        <w:rPr>
          <w:sz w:val="20"/>
          <w:szCs w:val="20"/>
          <w:color w:val="auto"/>
        </w:rPr>
      </w:pPr>
      <w:r>
        <w:rPr>
          <w:rFonts w:ascii="Courier New" w:cs="Courier New" w:eastAsia="Courier New" w:hAnsi="Courier New"/>
          <w:sz w:val="15"/>
          <w:szCs w:val="15"/>
          <w:color w:val="auto"/>
        </w:rPr>
        <w:t>I, Steven J. Guttman, the Chairman, Chief Executive Officer and Trustee, and I, Larry E. Finger, the Senior Vice President and Chief Financial Officer, of Federal Realty Investment Trust, certify that:</w:t>
      </w:r>
    </w:p>
    <w:p>
      <w:pPr>
        <w:spacing w:after="0" w:line="56" w:lineRule="exact"/>
        <w:rPr>
          <w:sz w:val="20"/>
          <w:szCs w:val="20"/>
          <w:color w:val="auto"/>
        </w:rPr>
      </w:pPr>
    </w:p>
    <w:p>
      <w:pPr>
        <w:ind w:left="1040" w:right="3179" w:hanging="256"/>
        <w:spacing w:after="0" w:line="289" w:lineRule="auto"/>
        <w:tabs>
          <w:tab w:leader="none" w:pos="10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Annual Report on Form 10-K for the year ended December 31, 2001, and Quarterly Reports on Form 10-Q for the fiscal quarters ended March 31, 2002, June 30, 2002 and September 30, 2002 (collectively, the "Reports"), fully comply with the requirements of Section 13(a) or 15(d) of the Securities and Exchange Act of 1934; and</w:t>
      </w:r>
    </w:p>
    <w:p>
      <w:pPr>
        <w:spacing w:after="0" w:line="62" w:lineRule="exact"/>
        <w:rPr>
          <w:rFonts w:ascii="Courier New" w:cs="Courier New" w:eastAsia="Courier New" w:hAnsi="Courier New"/>
          <w:sz w:val="14"/>
          <w:szCs w:val="14"/>
          <w:color w:val="auto"/>
        </w:rPr>
      </w:pPr>
    </w:p>
    <w:p>
      <w:pPr>
        <w:ind w:left="1040" w:right="3179" w:hanging="256"/>
        <w:spacing w:after="0" w:line="275" w:lineRule="auto"/>
        <w:tabs>
          <w:tab w:leader="none" w:pos="10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each Report fairly presents, in all material respects, the financial condition and results of operations of Federal Realty Investment Trust as of its date of filing with the Securities and Exchange Commission.</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____, 2002</w:t>
      </w:r>
    </w:p>
    <w:p>
      <w:pPr>
        <w:spacing w:after="0" w:line="200" w:lineRule="exact"/>
        <w:rPr>
          <w:sz w:val="20"/>
          <w:szCs w:val="20"/>
          <w:color w:val="auto"/>
        </w:rPr>
      </w:pPr>
    </w:p>
    <w:p>
      <w:pPr>
        <w:spacing w:after="0" w:line="30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2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Steven J. Guttman</w:t>
      </w:r>
    </w:p>
    <w:p>
      <w:pPr>
        <w:ind w:left="3960"/>
        <w:spacing w:after="0"/>
        <w:rPr>
          <w:sz w:val="20"/>
          <w:szCs w:val="20"/>
          <w:color w:val="auto"/>
        </w:rPr>
      </w:pPr>
      <w:r>
        <w:rPr>
          <w:rFonts w:ascii="Courier New" w:cs="Courier New" w:eastAsia="Courier New" w:hAnsi="Courier New"/>
          <w:sz w:val="15"/>
          <w:szCs w:val="15"/>
          <w:color w:val="auto"/>
        </w:rPr>
        <w:t>Chairman, Chief Executive Officer</w:t>
      </w:r>
    </w:p>
    <w:p>
      <w:pPr>
        <w:ind w:left="3960"/>
        <w:spacing w:after="0"/>
        <w:rPr>
          <w:sz w:val="20"/>
          <w:szCs w:val="20"/>
          <w:color w:val="auto"/>
        </w:rPr>
      </w:pPr>
      <w:r>
        <w:rPr>
          <w:rFonts w:ascii="Courier New" w:cs="Courier New" w:eastAsia="Courier New" w:hAnsi="Courier New"/>
          <w:sz w:val="15"/>
          <w:szCs w:val="15"/>
          <w:color w:val="auto"/>
        </w:rPr>
        <w:t>and Trustee</w:t>
      </w:r>
    </w:p>
    <w:p>
      <w:pPr>
        <w:spacing w:after="0" w:line="31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2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Larry E. Finger</w:t>
      </w:r>
    </w:p>
    <w:p>
      <w:pPr>
        <w:ind w:left="3960"/>
        <w:spacing w:after="0"/>
        <w:rPr>
          <w:sz w:val="20"/>
          <w:szCs w:val="20"/>
          <w:color w:val="auto"/>
        </w:rPr>
      </w:pPr>
      <w:r>
        <w:rPr>
          <w:rFonts w:ascii="Courier New" w:cs="Courier New" w:eastAsia="Courier New" w:hAnsi="Courier New"/>
          <w:sz w:val="15"/>
          <w:szCs w:val="15"/>
          <w:color w:val="auto"/>
        </w:rPr>
        <w:t>Senior Vice President and Chief</w:t>
      </w:r>
    </w:p>
    <w:p>
      <w:pPr>
        <w:ind w:left="3960"/>
        <w:spacing w:after="0"/>
        <w:rPr>
          <w:sz w:val="20"/>
          <w:szCs w:val="20"/>
          <w:color w:val="auto"/>
        </w:rPr>
      </w:pPr>
      <w:r>
        <w:rPr>
          <w:rFonts w:ascii="Courier New" w:cs="Courier New" w:eastAsia="Courier New" w:hAnsi="Courier New"/>
          <w:sz w:val="15"/>
          <w:szCs w:val="15"/>
          <w:color w:val="auto"/>
        </w:rPr>
        <w:t>Financial Officer</w:t>
      </w:r>
    </w:p>
    <w:p>
      <w:pPr>
        <w:sectPr>
          <w:pgSz w:w="11900" w:h="16838" w:orient="portrait"/>
          <w:cols w:equalWidth="0" w:num="1">
            <w:col w:w="10219"/>
          </w:cols>
          <w:pgMar w:left="240" w:top="601" w:right="1440" w:bottom="1440" w:gutter="0" w:footer="0" w:header="0"/>
        </w:sectPr>
      </w:pPr>
    </w:p>
    <w:bookmarkStart w:id="36" w:name="page37"/>
    <w:bookmarkEnd w:id="36"/>
    <w:p>
      <w:pPr>
        <w:ind w:left="5980"/>
        <w:spacing w:after="0"/>
        <w:rPr>
          <w:sz w:val="20"/>
          <w:szCs w:val="20"/>
          <w:color w:val="auto"/>
        </w:rPr>
      </w:pPr>
      <w:r>
        <w:rPr>
          <w:rFonts w:ascii="Courier New" w:cs="Courier New" w:eastAsia="Courier New" w:hAnsi="Courier New"/>
          <w:sz w:val="15"/>
          <w:szCs w:val="15"/>
          <w:color w:val="auto"/>
        </w:rPr>
        <w:t>ANNEX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040"/>
        <w:spacing w:after="0"/>
        <w:rPr>
          <w:sz w:val="20"/>
          <w:szCs w:val="20"/>
          <w:color w:val="auto"/>
        </w:rPr>
      </w:pPr>
      <w:r>
        <w:rPr>
          <w:rFonts w:ascii="Courier New" w:cs="Courier New" w:eastAsia="Courier New" w:hAnsi="Courier New"/>
          <w:sz w:val="15"/>
          <w:szCs w:val="15"/>
          <w:color w:val="auto"/>
        </w:rPr>
        <w:t>Company's Direct or Indirect</w:t>
      </w:r>
    </w:p>
    <w:tbl>
      <w:tblPr>
        <w:tblLayout w:type="fixed"/>
        <w:tblInd w:w="0" w:type="dxa"/>
        <w:tblCellMar>
          <w:top w:w="0" w:type="dxa"/>
          <w:left w:w="0" w:type="dxa"/>
          <w:bottom w:w="0" w:type="dxa"/>
          <w:right w:w="0" w:type="dxa"/>
        </w:tblCellMar>
      </w:tblPr>
      <w:tr>
        <w:trPr>
          <w:trHeight w:val="169"/>
        </w:trPr>
        <w:tc>
          <w:tcPr>
            <w:tcW w:w="7360" w:type="dxa"/>
            <w:vAlign w:val="bottom"/>
          </w:tcPr>
          <w:p>
            <w:pPr>
              <w:spacing w:after="0"/>
              <w:rPr>
                <w:sz w:val="20"/>
                <w:szCs w:val="20"/>
                <w:color w:val="auto"/>
              </w:rPr>
            </w:pPr>
            <w:r>
              <w:rPr>
                <w:rFonts w:ascii="Courier New" w:cs="Courier New" w:eastAsia="Courier New" w:hAnsi="Courier New"/>
                <w:sz w:val="15"/>
                <w:szCs w:val="15"/>
                <w:color w:val="auto"/>
              </w:rPr>
              <w:t>FEDERAL REALTY INVESTMENT TRUST</w:t>
            </w:r>
          </w:p>
        </w:tc>
        <w:tc>
          <w:tcPr>
            <w:tcW w:w="2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Ownership Interest</w:t>
            </w:r>
          </w:p>
        </w:tc>
        <w:tc>
          <w:tcPr>
            <w:tcW w:w="0" w:type="dxa"/>
            <w:vAlign w:val="bottom"/>
          </w:tcPr>
          <w:p>
            <w:pPr>
              <w:spacing w:after="0"/>
              <w:rPr>
                <w:sz w:val="1"/>
                <w:szCs w:val="1"/>
                <w:color w:val="auto"/>
              </w:rPr>
            </w:pPr>
          </w:p>
        </w:tc>
      </w:tr>
      <w:tr>
        <w:trPr>
          <w:trHeight w:val="246"/>
        </w:trPr>
        <w:tc>
          <w:tcPr>
            <w:tcW w:w="7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7360" w:type="dxa"/>
            <w:vAlign w:val="bottom"/>
          </w:tcPr>
          <w:p>
            <w:pPr>
              <w:spacing w:after="0"/>
              <w:rPr>
                <w:sz w:val="20"/>
                <w:szCs w:val="20"/>
                <w:color w:val="auto"/>
              </w:rPr>
            </w:pPr>
            <w:r>
              <w:rPr>
                <w:rFonts w:ascii="Courier New" w:cs="Courier New" w:eastAsia="Courier New" w:hAnsi="Courier New"/>
                <w:sz w:val="15"/>
                <w:szCs w:val="15"/>
                <w:color w:val="auto"/>
              </w:rPr>
              <w:t>FR Associates Limited Partnership ("FR")</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99%</w:t>
            </w:r>
          </w:p>
        </w:tc>
        <w:tc>
          <w:tcPr>
            <w:tcW w:w="1840" w:type="dxa"/>
            <w:vAlign w:val="bottom"/>
            <w:vMerge w:val="restart"/>
          </w:tcPr>
          <w:p>
            <w:pPr>
              <w:spacing w:after="0"/>
              <w:rPr>
                <w:sz w:val="20"/>
                <w:szCs w:val="20"/>
                <w:color w:val="auto"/>
              </w:rPr>
            </w:pPr>
            <w:r>
              <w:rPr>
                <w:rFonts w:ascii="Courier New" w:cs="Courier New" w:eastAsia="Courier New" w:hAnsi="Courier New"/>
                <w:sz w:val="15"/>
                <w:szCs w:val="15"/>
                <w:color w:val="auto"/>
              </w:rPr>
              <w:t>(1% FR)</w:t>
            </w:r>
          </w:p>
        </w:tc>
        <w:tc>
          <w:tcPr>
            <w:tcW w:w="0" w:type="dxa"/>
            <w:vAlign w:val="bottom"/>
          </w:tcPr>
          <w:p>
            <w:pPr>
              <w:spacing w:after="0"/>
              <w:rPr>
                <w:sz w:val="1"/>
                <w:szCs w:val="1"/>
                <w:color w:val="auto"/>
              </w:rPr>
            </w:pPr>
          </w:p>
        </w:tc>
      </w:tr>
      <w:tr>
        <w:trPr>
          <w:trHeight w:val="170"/>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Andorra Associates</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99%</w:t>
            </w: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Governor Plaza Associates</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99%</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(1% FR)</w:t>
            </w:r>
          </w:p>
        </w:tc>
        <w:tc>
          <w:tcPr>
            <w:tcW w:w="0" w:type="dxa"/>
            <w:vAlign w:val="bottom"/>
          </w:tcPr>
          <w:p>
            <w:pPr>
              <w:spacing w:after="0"/>
              <w:rPr>
                <w:sz w:val="1"/>
                <w:szCs w:val="1"/>
                <w:color w:val="auto"/>
              </w:rPr>
            </w:pPr>
          </w:p>
        </w:tc>
      </w:tr>
      <w:tr>
        <w:trPr>
          <w:trHeight w:val="170"/>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Shopping Center Associates</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99%</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(1% FR)</w:t>
            </w:r>
          </w:p>
        </w:tc>
        <w:tc>
          <w:tcPr>
            <w:tcW w:w="0" w:type="dxa"/>
            <w:vAlign w:val="bottom"/>
          </w:tcPr>
          <w:p>
            <w:pPr>
              <w:spacing w:after="0"/>
              <w:rPr>
                <w:sz w:val="1"/>
                <w:szCs w:val="1"/>
                <w:color w:val="auto"/>
              </w:rPr>
            </w:pPr>
          </w:p>
        </w:tc>
      </w:tr>
      <w:tr>
        <w:trPr>
          <w:trHeight w:val="170"/>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Berman Enterprises II Limited Partnership</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99%</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(1% FR)</w:t>
            </w:r>
          </w:p>
        </w:tc>
        <w:tc>
          <w:tcPr>
            <w:tcW w:w="0" w:type="dxa"/>
            <w:vAlign w:val="bottom"/>
          </w:tcPr>
          <w:p>
            <w:pPr>
              <w:spacing w:after="0"/>
              <w:rPr>
                <w:sz w:val="1"/>
                <w:szCs w:val="1"/>
                <w:color w:val="auto"/>
              </w:rPr>
            </w:pPr>
          </w:p>
        </w:tc>
      </w:t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rPr>
              <w:t>FRIT Escondido Promenade, LLC</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70%</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rPr>
              <w:t>FRIT Leasing &amp; Development Services, Inc.</w:t>
            </w:r>
          </w:p>
        </w:tc>
        <w:tc>
          <w:tcPr>
            <w:tcW w:w="2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100% voting stock</w:t>
            </w:r>
          </w:p>
        </w:tc>
        <w:tc>
          <w:tcPr>
            <w:tcW w:w="0" w:type="dxa"/>
            <w:vAlign w:val="bottom"/>
          </w:tcPr>
          <w:p>
            <w:pPr>
              <w:spacing w:after="0"/>
              <w:rPr>
                <w:sz w:val="1"/>
                <w:szCs w:val="1"/>
                <w:color w:val="auto"/>
              </w:rPr>
            </w:pPr>
          </w:p>
        </w:tc>
      </w:t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rPr>
              <w:t>Congressional Plaza Associates</w:t>
            </w:r>
          </w:p>
        </w:tc>
        <w:tc>
          <w:tcPr>
            <w:tcW w:w="2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55.7065%</w:t>
            </w:r>
          </w:p>
        </w:tc>
        <w:tc>
          <w:tcPr>
            <w:tcW w:w="0" w:type="dxa"/>
            <w:vAlign w:val="bottom"/>
          </w:tcPr>
          <w:p>
            <w:pPr>
              <w:spacing w:after="0"/>
              <w:rPr>
                <w:sz w:val="1"/>
                <w:szCs w:val="1"/>
                <w:color w:val="auto"/>
              </w:rPr>
            </w:pPr>
          </w:p>
        </w:tc>
      </w:t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rPr>
              <w:t>FR Pike 7 Limited Partnership (DownREIT)</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99%</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w w:val="98"/>
              </w:rPr>
              <w:t>Federal Realty Partners L. P. (Master DownREIT- 476,669 units outstanding - 264,952</w:t>
            </w:r>
          </w:p>
        </w:tc>
        <w:tc>
          <w:tcPr>
            <w:tcW w:w="2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40 units (FedRP Inc.)</w:t>
            </w:r>
          </w:p>
        </w:tc>
        <w:tc>
          <w:tcPr>
            <w:tcW w:w="0" w:type="dxa"/>
            <w:vAlign w:val="bottom"/>
          </w:tcPr>
          <w:p>
            <w:pPr>
              <w:spacing w:after="0"/>
              <w:rPr>
                <w:sz w:val="1"/>
                <w:szCs w:val="1"/>
                <w:color w:val="auto"/>
              </w:rPr>
            </w:pPr>
          </w:p>
        </w:tc>
      </w:tr>
      <w:tr>
        <w:trPr>
          <w:trHeight w:val="170"/>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units have been redeemed)</w:t>
            </w:r>
          </w:p>
        </w:tc>
        <w:tc>
          <w:tcPr>
            <w:tcW w:w="2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40 units (FRLP Inc.)</w:t>
            </w:r>
          </w:p>
        </w:tc>
        <w:tc>
          <w:tcPr>
            <w:tcW w:w="0" w:type="dxa"/>
            <w:vAlign w:val="bottom"/>
          </w:tcPr>
          <w:p>
            <w:pPr>
              <w:spacing w:after="0"/>
              <w:rPr>
                <w:sz w:val="1"/>
                <w:szCs w:val="1"/>
                <w:color w:val="auto"/>
              </w:rPr>
            </w:pPr>
          </w:p>
        </w:tc>
      </w:t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rPr>
              <w:t>Federal Realty Partners, Inc.</w:t>
            </w:r>
          </w:p>
        </w:tc>
        <w:tc>
          <w:tcPr>
            <w:tcW w:w="2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100% voting stock</w:t>
            </w:r>
          </w:p>
        </w:tc>
        <w:tc>
          <w:tcPr>
            <w:tcW w:w="0" w:type="dxa"/>
            <w:vAlign w:val="bottom"/>
          </w:tcPr>
          <w:p>
            <w:pPr>
              <w:spacing w:after="0"/>
              <w:rPr>
                <w:sz w:val="1"/>
                <w:szCs w:val="1"/>
                <w:color w:val="auto"/>
              </w:rPr>
            </w:pPr>
          </w:p>
        </w:tc>
      </w:tr>
      <w:tr>
        <w:trPr>
          <w:trHeight w:val="170"/>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Loehmann's Plaza Limited Partnership (DownREIT - 250,000 units outstanding)</w:t>
            </w:r>
          </w:p>
        </w:tc>
        <w:tc>
          <w:tcPr>
            <w:tcW w:w="25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6"/>
              </w:rPr>
              <w:t>60,000 units (FedRP Inc.)</w:t>
            </w:r>
          </w:p>
        </w:tc>
        <w:tc>
          <w:tcPr>
            <w:tcW w:w="0" w:type="dxa"/>
            <w:vAlign w:val="bottom"/>
          </w:tcPr>
          <w:p>
            <w:pPr>
              <w:spacing w:after="0"/>
              <w:rPr>
                <w:sz w:val="1"/>
                <w:szCs w:val="1"/>
                <w:color w:val="auto"/>
              </w:rPr>
            </w:pPr>
          </w:p>
        </w:tc>
      </w:t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rPr>
              <w:t>FRLP, Inc.</w:t>
            </w:r>
          </w:p>
        </w:tc>
        <w:tc>
          <w:tcPr>
            <w:tcW w:w="2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100% voting stock</w:t>
            </w:r>
          </w:p>
        </w:tc>
        <w:tc>
          <w:tcPr>
            <w:tcW w:w="0" w:type="dxa"/>
            <w:vAlign w:val="bottom"/>
          </w:tcPr>
          <w:p>
            <w:pPr>
              <w:spacing w:after="0"/>
              <w:rPr>
                <w:sz w:val="1"/>
                <w:szCs w:val="1"/>
                <w:color w:val="auto"/>
              </w:rPr>
            </w:pPr>
          </w:p>
        </w:tc>
      </w:t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rPr>
              <w:t>FR Leesburg Plaza, LLC</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w w:val="94"/>
              </w:rPr>
              <w:t>100%</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w w:val="99"/>
              </w:rPr>
              <w:t>FR Leesburg Plaza, LP (DownREIT-352,500 total units issued - 7,816 units have</w:t>
            </w:r>
          </w:p>
        </w:tc>
        <w:tc>
          <w:tcPr>
            <w:tcW w:w="2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214,500 units (LLC)</w:t>
            </w:r>
          </w:p>
        </w:tc>
        <w:tc>
          <w:tcPr>
            <w:tcW w:w="0" w:type="dxa"/>
            <w:vAlign w:val="bottom"/>
          </w:tcPr>
          <w:p>
            <w:pPr>
              <w:spacing w:after="0"/>
              <w:rPr>
                <w:sz w:val="1"/>
                <w:szCs w:val="1"/>
                <w:color w:val="auto"/>
              </w:rPr>
            </w:pPr>
          </w:p>
        </w:tc>
      </w:tr>
      <w:tr>
        <w:trPr>
          <w:trHeight w:val="170"/>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been redeemed)</w:t>
            </w:r>
          </w:p>
        </w:tc>
        <w:tc>
          <w:tcPr>
            <w:tcW w:w="2500" w:type="dxa"/>
            <w:vAlign w:val="bottom"/>
            <w:gridSpan w:val="2"/>
            <w:vMerge w:val="restart"/>
          </w:tcPr>
          <w:p>
            <w:pPr>
              <w:ind w:left="300"/>
              <w:spacing w:after="0"/>
              <w:rPr>
                <w:sz w:val="20"/>
                <w:szCs w:val="20"/>
                <w:color w:val="auto"/>
              </w:rPr>
            </w:pPr>
            <w:r>
              <w:rPr>
                <w:rFonts w:ascii="Courier New" w:cs="Courier New" w:eastAsia="Courier New" w:hAnsi="Courier New"/>
                <w:sz w:val="15"/>
                <w:szCs w:val="15"/>
                <w:color w:val="auto"/>
              </w:rPr>
              <w:t>100% nonvoting stock</w:t>
            </w:r>
          </w:p>
        </w:tc>
        <w:tc>
          <w:tcPr>
            <w:tcW w:w="0" w:type="dxa"/>
            <w:vAlign w:val="bottom"/>
          </w:tcPr>
          <w:p>
            <w:pPr>
              <w:spacing w:after="0"/>
              <w:rPr>
                <w:sz w:val="1"/>
                <w:szCs w:val="1"/>
                <w:color w:val="auto"/>
              </w:rPr>
            </w:pPr>
          </w:p>
        </w:tc>
      </w:t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rPr>
              <w:t>FRIT Property Services, Inc. (f/k/a Terranomics Retail Services, Inc. f/k/a TRS</w:t>
            </w:r>
          </w:p>
        </w:tc>
        <w:tc>
          <w:tcPr>
            <w:tcW w:w="2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Acquisition, Inc.)</w:t>
            </w:r>
          </w:p>
        </w:tc>
        <w:tc>
          <w:tcPr>
            <w:tcW w:w="2500" w:type="dxa"/>
            <w:vAlign w:val="bottom"/>
            <w:gridSpan w:val="2"/>
            <w:vMerge w:val="restart"/>
          </w:tcPr>
          <w:p>
            <w:pPr>
              <w:ind w:left="300"/>
              <w:spacing w:after="0"/>
              <w:rPr>
                <w:sz w:val="20"/>
                <w:szCs w:val="20"/>
                <w:color w:val="auto"/>
              </w:rPr>
            </w:pPr>
            <w:r>
              <w:rPr>
                <w:rFonts w:ascii="Courier New" w:cs="Courier New" w:eastAsia="Courier New" w:hAnsi="Courier New"/>
                <w:sz w:val="15"/>
                <w:szCs w:val="15"/>
                <w:color w:val="auto"/>
              </w:rPr>
              <w:t>100% nonvoting stock</w:t>
            </w:r>
          </w:p>
        </w:tc>
        <w:tc>
          <w:tcPr>
            <w:tcW w:w="0" w:type="dxa"/>
            <w:vAlign w:val="bottom"/>
          </w:tcPr>
          <w:p>
            <w:pPr>
              <w:spacing w:after="0"/>
              <w:rPr>
                <w:sz w:val="1"/>
                <w:szCs w:val="1"/>
                <w:color w:val="auto"/>
              </w:rPr>
            </w:pPr>
          </w:p>
        </w:tc>
      </w:t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rPr>
              <w:t>Ravenswood Development Services, Inc.</w:t>
            </w:r>
          </w:p>
        </w:tc>
        <w:tc>
          <w:tcPr>
            <w:tcW w:w="2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rPr>
              <w:t>Federal Realty Management Services, Inc.</w:t>
            </w:r>
          </w:p>
        </w:tc>
        <w:tc>
          <w:tcPr>
            <w:tcW w:w="2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100% voting stock</w:t>
            </w:r>
          </w:p>
        </w:tc>
        <w:tc>
          <w:tcPr>
            <w:tcW w:w="0" w:type="dxa"/>
            <w:vAlign w:val="bottom"/>
          </w:tcPr>
          <w:p>
            <w:pPr>
              <w:spacing w:after="0"/>
              <w:rPr>
                <w:sz w:val="1"/>
                <w:szCs w:val="1"/>
                <w:color w:val="auto"/>
              </w:rPr>
            </w:pPr>
          </w:p>
        </w:tc>
      </w:t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rPr>
              <w:t>FR Federal Plaza, Inc.</w:t>
            </w:r>
          </w:p>
        </w:tc>
        <w:tc>
          <w:tcPr>
            <w:tcW w:w="2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100% voting stock</w:t>
            </w:r>
          </w:p>
        </w:tc>
        <w:tc>
          <w:tcPr>
            <w:tcW w:w="0" w:type="dxa"/>
            <w:vAlign w:val="bottom"/>
          </w:tcPr>
          <w:p>
            <w:pPr>
              <w:spacing w:after="0"/>
              <w:rPr>
                <w:sz w:val="1"/>
                <w:szCs w:val="1"/>
                <w:color w:val="auto"/>
              </w:rPr>
            </w:pPr>
          </w:p>
        </w:tc>
      </w:tr>
      <w:tr>
        <w:trPr>
          <w:trHeight w:val="170"/>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FR Federal Plaza, LLC</w:t>
            </w:r>
          </w:p>
        </w:tc>
        <w:tc>
          <w:tcPr>
            <w:tcW w:w="2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100% (FedPlaza Inc.)</w:t>
            </w:r>
          </w:p>
        </w:tc>
        <w:tc>
          <w:tcPr>
            <w:tcW w:w="0" w:type="dxa"/>
            <w:vAlign w:val="bottom"/>
          </w:tcPr>
          <w:p>
            <w:pPr>
              <w:spacing w:after="0"/>
              <w:rPr>
                <w:sz w:val="1"/>
                <w:szCs w:val="1"/>
                <w:color w:val="auto"/>
              </w:rPr>
            </w:pPr>
          </w:p>
        </w:tc>
      </w:tr>
      <w:tr>
        <w:trPr>
          <w:trHeight w:val="246"/>
        </w:trPr>
        <w:tc>
          <w:tcPr>
            <w:tcW w:w="7360" w:type="dxa"/>
            <w:vAlign w:val="bottom"/>
          </w:tcPr>
          <w:p>
            <w:pPr>
              <w:spacing w:after="0"/>
              <w:rPr>
                <w:sz w:val="20"/>
                <w:szCs w:val="20"/>
                <w:color w:val="auto"/>
              </w:rPr>
            </w:pPr>
            <w:r>
              <w:rPr>
                <w:rFonts w:ascii="Courier New" w:cs="Courier New" w:eastAsia="Courier New" w:hAnsi="Courier New"/>
                <w:sz w:val="15"/>
                <w:szCs w:val="15"/>
                <w:color w:val="auto"/>
              </w:rPr>
              <w:t>Street Retail, Inc.</w:t>
            </w:r>
          </w:p>
        </w:tc>
        <w:tc>
          <w:tcPr>
            <w:tcW w:w="2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100% voting stock</w:t>
            </w:r>
          </w:p>
        </w:tc>
        <w:tc>
          <w:tcPr>
            <w:tcW w:w="0" w:type="dxa"/>
            <w:vAlign w:val="bottom"/>
          </w:tcPr>
          <w:p>
            <w:pPr>
              <w:spacing w:after="0"/>
              <w:rPr>
                <w:sz w:val="1"/>
                <w:szCs w:val="1"/>
                <w:color w:val="auto"/>
              </w:rPr>
            </w:pPr>
          </w:p>
        </w:tc>
      </w:tr>
      <w:tr>
        <w:trPr>
          <w:trHeight w:val="262"/>
        </w:trPr>
        <w:tc>
          <w:tcPr>
            <w:tcW w:w="7360" w:type="dxa"/>
            <w:vAlign w:val="bottom"/>
          </w:tcPr>
          <w:p>
            <w:pPr>
              <w:spacing w:after="0"/>
              <w:rPr>
                <w:sz w:val="20"/>
                <w:szCs w:val="20"/>
                <w:color w:val="auto"/>
              </w:rPr>
            </w:pPr>
            <w:r>
              <w:rPr>
                <w:rFonts w:ascii="Courier New" w:cs="Courier New" w:eastAsia="Courier New" w:hAnsi="Courier New"/>
                <w:sz w:val="15"/>
                <w:szCs w:val="15"/>
                <w:color w:val="auto"/>
              </w:rPr>
              <w:t>STREET RETAIL, INC. ("SRI")</w:t>
            </w:r>
          </w:p>
        </w:tc>
        <w:tc>
          <w:tcPr>
            <w:tcW w:w="6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7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360" w:type="dxa"/>
            <w:vAlign w:val="bottom"/>
          </w:tcPr>
          <w:p>
            <w:pPr>
              <w:spacing w:after="0"/>
              <w:rPr>
                <w:sz w:val="20"/>
                <w:szCs w:val="20"/>
                <w:color w:val="auto"/>
              </w:rPr>
            </w:pPr>
            <w:r>
              <w:rPr>
                <w:rFonts w:ascii="Courier New" w:cs="Courier New" w:eastAsia="Courier New" w:hAnsi="Courier New"/>
                <w:sz w:val="15"/>
                <w:szCs w:val="15"/>
                <w:color w:val="auto"/>
              </w:rPr>
              <w:t>SRI Old Town, LLC</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w w:val="94"/>
              </w:rPr>
              <w:t>100%</w:t>
            </w: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rPr>
              <w:t>Street Retail Forest Hills I, LLC</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w w:val="94"/>
              </w:rPr>
              <w:t>100%</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rPr>
              <w:t>Street Retail Forest Hills II, LLC</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w w:val="94"/>
              </w:rPr>
              <w:t>100%</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rPr>
              <w:t>Street Retail Tempe I, LLC</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85%</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rPr>
              <w:t>Street Retail West GP, Inc. ("SRWGP")</w:t>
            </w:r>
          </w:p>
        </w:tc>
        <w:tc>
          <w:tcPr>
            <w:tcW w:w="2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100% voting stock</w:t>
            </w:r>
          </w:p>
        </w:tc>
        <w:tc>
          <w:tcPr>
            <w:tcW w:w="0" w:type="dxa"/>
            <w:vAlign w:val="bottom"/>
          </w:tcPr>
          <w:p>
            <w:pPr>
              <w:spacing w:after="0"/>
              <w:rPr>
                <w:sz w:val="1"/>
                <w:szCs w:val="1"/>
                <w:color w:val="auto"/>
              </w:rPr>
            </w:pPr>
          </w:p>
        </w:tc>
      </w:tr>
      <w:tr>
        <w:trPr>
          <w:trHeight w:val="170"/>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Street Retail West I, L.P.</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90%</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(10% SRI)</w:t>
            </w:r>
          </w:p>
        </w:tc>
        <w:tc>
          <w:tcPr>
            <w:tcW w:w="0" w:type="dxa"/>
            <w:vAlign w:val="bottom"/>
          </w:tcPr>
          <w:p>
            <w:pPr>
              <w:spacing w:after="0"/>
              <w:rPr>
                <w:sz w:val="1"/>
                <w:szCs w:val="1"/>
                <w:color w:val="auto"/>
              </w:rPr>
            </w:pPr>
          </w:p>
        </w:tc>
      </w:tr>
      <w:tr>
        <w:trPr>
          <w:trHeight w:val="170"/>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Street Retail West II, L.P.</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90%</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(10% SRI)</w:t>
            </w:r>
          </w:p>
        </w:tc>
        <w:tc>
          <w:tcPr>
            <w:tcW w:w="0" w:type="dxa"/>
            <w:vAlign w:val="bottom"/>
          </w:tcPr>
          <w:p>
            <w:pPr>
              <w:spacing w:after="0"/>
              <w:rPr>
                <w:sz w:val="1"/>
                <w:szCs w:val="1"/>
                <w:color w:val="auto"/>
              </w:rPr>
            </w:pPr>
          </w:p>
        </w:tc>
      </w:tr>
      <w:tr>
        <w:trPr>
          <w:trHeight w:val="170"/>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Street Retail West 3, L.P.</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90%</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(10% SRI)</w:t>
            </w:r>
          </w:p>
        </w:tc>
        <w:tc>
          <w:tcPr>
            <w:tcW w:w="0" w:type="dxa"/>
            <w:vAlign w:val="bottom"/>
          </w:tcPr>
          <w:p>
            <w:pPr>
              <w:spacing w:after="0"/>
              <w:rPr>
                <w:sz w:val="1"/>
                <w:szCs w:val="1"/>
                <w:color w:val="auto"/>
              </w:rPr>
            </w:pPr>
          </w:p>
        </w:tc>
      </w:tr>
      <w:tr>
        <w:trPr>
          <w:trHeight w:val="170"/>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Street Retail West 4, L.P.</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90%</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Street Retail West 6, L.P.</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90%</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Street Retail West 7, L.P.</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90%</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Street Retail West 10, L.P.</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90%</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01" w:right="1440" w:bottom="1440" w:gutter="0" w:footer="0" w:header="0"/>
        </w:sectPr>
      </w:pPr>
    </w:p>
    <w:bookmarkStart w:id="37" w:name="page38"/>
    <w:bookmarkEnd w:id="37"/>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Street Retail San Antonio, LP</w:t>
            </w:r>
          </w:p>
        </w:tc>
        <w:tc>
          <w:tcPr>
            <w:tcW w:w="28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.1% (SRI San Anton)</w:t>
            </w:r>
          </w:p>
        </w:tc>
        <w:tc>
          <w:tcPr>
            <w:tcW w:w="0" w:type="dxa"/>
            <w:vAlign w:val="bottom"/>
          </w:tcPr>
          <w:p>
            <w:pPr>
              <w:spacing w:after="0"/>
              <w:rPr>
                <w:sz w:val="1"/>
                <w:szCs w:val="1"/>
                <w:color w:val="auto"/>
              </w:rPr>
            </w:pPr>
          </w:p>
        </w:tc>
      </w:tr>
      <w:tr>
        <w:trPr>
          <w:trHeight w:val="170"/>
        </w:trPr>
        <w:tc>
          <w:tcPr>
            <w:tcW w:w="71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SRI San Antonio, Inc. (f/k/a Dim Sum, Inc.</w:t>
            </w:r>
          </w:p>
        </w:tc>
        <w:tc>
          <w:tcPr>
            <w:tcW w:w="28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99.9% (SRI Texas)</w:t>
            </w:r>
          </w:p>
        </w:tc>
        <w:tc>
          <w:tcPr>
            <w:tcW w:w="0" w:type="dxa"/>
            <w:vAlign w:val="bottom"/>
          </w:tcPr>
          <w:p>
            <w:pPr>
              <w:spacing w:after="0"/>
              <w:rPr>
                <w:sz w:val="1"/>
                <w:szCs w:val="1"/>
                <w:color w:val="auto"/>
              </w:rPr>
            </w:pPr>
          </w:p>
        </w:tc>
      </w:tr>
      <w:tr>
        <w:trPr>
          <w:trHeight w:val="170"/>
        </w:trPr>
        <w:tc>
          <w:tcPr>
            <w:tcW w:w="7120" w:type="dxa"/>
            <w:vAlign w:val="bottom"/>
            <w:gridSpan w:val="2"/>
            <w:vMerge w:val="continue"/>
          </w:tcPr>
          <w:p>
            <w:pPr>
              <w:spacing w:after="0"/>
              <w:rPr>
                <w:sz w:val="14"/>
                <w:szCs w:val="14"/>
                <w:color w:val="auto"/>
              </w:rPr>
            </w:pP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100%</w:t>
            </w: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voting stock</w:t>
            </w:r>
          </w:p>
        </w:tc>
        <w:tc>
          <w:tcPr>
            <w:tcW w:w="0" w:type="dxa"/>
            <w:vAlign w:val="bottom"/>
          </w:tcPr>
          <w:p>
            <w:pPr>
              <w:spacing w:after="0"/>
              <w:rPr>
                <w:sz w:val="1"/>
                <w:szCs w:val="1"/>
                <w:color w:val="auto"/>
              </w:rPr>
            </w:pPr>
          </w:p>
        </w:tc>
      </w:tr>
      <w:tr>
        <w:trPr>
          <w:trHeight w:val="170"/>
        </w:trPr>
        <w:tc>
          <w:tcPr>
            <w:tcW w:w="71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f/k/a FR Acquisition Holding Co., Inc.)</w:t>
            </w:r>
          </w:p>
        </w:tc>
        <w:tc>
          <w:tcPr>
            <w:tcW w:w="98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100%</w:t>
            </w:r>
          </w:p>
        </w:tc>
        <w:tc>
          <w:tcPr>
            <w:tcW w:w="1860" w:type="dxa"/>
            <w:vAlign w:val="bottom"/>
            <w:vMerge w:val="restart"/>
          </w:tcPr>
          <w:p>
            <w:pPr>
              <w:spacing w:after="0"/>
              <w:rPr>
                <w:sz w:val="20"/>
                <w:szCs w:val="20"/>
                <w:color w:val="auto"/>
              </w:rPr>
            </w:pPr>
            <w:r>
              <w:rPr>
                <w:rFonts w:ascii="Courier New" w:cs="Courier New" w:eastAsia="Courier New" w:hAnsi="Courier New"/>
                <w:sz w:val="15"/>
                <w:szCs w:val="15"/>
                <w:color w:val="auto"/>
              </w:rPr>
              <w:t>voting stock</w:t>
            </w:r>
          </w:p>
        </w:tc>
        <w:tc>
          <w:tcPr>
            <w:tcW w:w="0" w:type="dxa"/>
            <w:vAlign w:val="bottom"/>
          </w:tcPr>
          <w:p>
            <w:pPr>
              <w:spacing w:after="0"/>
              <w:rPr>
                <w:sz w:val="1"/>
                <w:szCs w:val="1"/>
                <w:color w:val="auto"/>
              </w:rPr>
            </w:pPr>
          </w:p>
        </w:tc>
      </w:tr>
      <w:tr>
        <w:trPr>
          <w:trHeight w:val="170"/>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SRI Texas, Inc.</w:t>
            </w:r>
          </w:p>
        </w:tc>
        <w:tc>
          <w:tcPr>
            <w:tcW w:w="98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JS&amp;DB, Inc.</w:t>
            </w:r>
          </w:p>
        </w:tc>
        <w:tc>
          <w:tcPr>
            <w:tcW w:w="61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Company, Inc.</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100%</w:t>
            </w: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voting stock</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SRI Holding</w:t>
            </w:r>
          </w:p>
        </w:tc>
        <w:tc>
          <w:tcPr>
            <w:tcW w:w="6120" w:type="dxa"/>
            <w:vAlign w:val="bottom"/>
            <w:vMerge w:val="continue"/>
          </w:tcPr>
          <w:p>
            <w:pPr>
              <w:spacing w:after="0"/>
              <w:rPr>
                <w:sz w:val="14"/>
                <w:szCs w:val="14"/>
                <w:color w:val="auto"/>
              </w:rPr>
            </w:pP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100%</w:t>
            </w: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nonvoting stock</w:t>
            </w:r>
          </w:p>
        </w:tc>
        <w:tc>
          <w:tcPr>
            <w:tcW w:w="0" w:type="dxa"/>
            <w:vAlign w:val="bottom"/>
          </w:tcPr>
          <w:p>
            <w:pPr>
              <w:spacing w:after="0"/>
              <w:rPr>
                <w:sz w:val="1"/>
                <w:szCs w:val="1"/>
                <w:color w:val="auto"/>
              </w:rPr>
            </w:pPr>
          </w:p>
        </w:tc>
      </w:tr>
      <w:tr>
        <w:trPr>
          <w:trHeight w:val="170"/>
        </w:trPr>
        <w:tc>
          <w:tcPr>
            <w:tcW w:w="1000" w:type="dxa"/>
            <w:vAlign w:val="bottom"/>
          </w:tcPr>
          <w:p>
            <w:pPr>
              <w:ind w:left="440"/>
              <w:spacing w:after="0"/>
              <w:rPr>
                <w:sz w:val="20"/>
                <w:szCs w:val="20"/>
                <w:color w:val="auto"/>
              </w:rPr>
            </w:pPr>
            <w:r>
              <w:rPr>
                <w:rFonts w:ascii="Courier New" w:cs="Courier New" w:eastAsia="Courier New" w:hAnsi="Courier New"/>
                <w:sz w:val="15"/>
                <w:szCs w:val="15"/>
                <w:color w:val="auto"/>
                <w:w w:val="99"/>
              </w:rPr>
              <w:t>Street</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Retail West 9, L.P.</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90%</w:t>
            </w: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(SRI Holding)</w:t>
            </w:r>
          </w:p>
        </w:tc>
        <w:tc>
          <w:tcPr>
            <w:tcW w:w="0" w:type="dxa"/>
            <w:vAlign w:val="bottom"/>
          </w:tcPr>
          <w:p>
            <w:pPr>
              <w:spacing w:after="0"/>
              <w:rPr>
                <w:sz w:val="1"/>
                <w:szCs w:val="1"/>
                <w:color w:val="auto"/>
              </w:rPr>
            </w:pPr>
          </w:p>
        </w:tc>
      </w:tr>
      <w:tr>
        <w:trPr>
          <w:trHeight w:val="170"/>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FRIT San Jose Town and Country Village, LLC</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100%</w:t>
            </w:r>
          </w:p>
        </w:tc>
        <w:tc>
          <w:tcPr>
            <w:tcW w:w="1860" w:type="dxa"/>
            <w:vAlign w:val="bottom"/>
            <w:vMerge w:val="restart"/>
          </w:tcPr>
          <w:p>
            <w:pPr>
              <w:spacing w:after="0"/>
              <w:rPr>
                <w:sz w:val="20"/>
                <w:szCs w:val="20"/>
                <w:color w:val="auto"/>
              </w:rPr>
            </w:pPr>
            <w:r>
              <w:rPr>
                <w:rFonts w:ascii="Courier New" w:cs="Courier New" w:eastAsia="Courier New" w:hAnsi="Courier New"/>
                <w:sz w:val="15"/>
                <w:szCs w:val="15"/>
                <w:color w:val="auto"/>
                <w:w w:val="97"/>
              </w:rPr>
              <w:t>nonvoting stock (LLC)</w:t>
            </w:r>
          </w:p>
        </w:tc>
        <w:tc>
          <w:tcPr>
            <w:tcW w:w="0" w:type="dxa"/>
            <w:vAlign w:val="bottom"/>
          </w:tcPr>
          <w:p>
            <w:pPr>
              <w:spacing w:after="0"/>
              <w:rPr>
                <w:sz w:val="1"/>
                <w:szCs w:val="1"/>
                <w:color w:val="auto"/>
              </w:rPr>
            </w:pPr>
          </w:p>
        </w:tc>
      </w:tr>
      <w:tr>
        <w:trPr>
          <w:trHeight w:val="170"/>
        </w:trPr>
        <w:tc>
          <w:tcPr>
            <w:tcW w:w="71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San Jose Residential, Inc.</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100%</w:t>
            </w: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Santana Row</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Services, Inc.</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100%</w:t>
            </w: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voting</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Santana Row</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ROF, Inc.</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100%</w:t>
            </w: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voting</w:t>
            </w:r>
          </w:p>
        </w:tc>
        <w:tc>
          <w:tcPr>
            <w:tcW w:w="0" w:type="dxa"/>
            <w:vAlign w:val="bottom"/>
          </w:tcPr>
          <w:p>
            <w:pPr>
              <w:spacing w:after="0"/>
              <w:rPr>
                <w:sz w:val="1"/>
                <w:szCs w:val="1"/>
                <w:color w:val="auto"/>
              </w:rPr>
            </w:pPr>
          </w:p>
        </w:tc>
      </w:tr>
      <w:tr>
        <w:trPr>
          <w:trHeight w:val="170"/>
        </w:trPr>
        <w:tc>
          <w:tcPr>
            <w:tcW w:w="71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La Rive Gauche San Jose, LLC</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w w:val="93"/>
              </w:rPr>
              <w:t>37.5%</w:t>
            </w: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Straits Santana Row, LLC</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90%</w:t>
            </w: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Blowfish SR, LLC</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30%</w:t>
            </w: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Village Cafe Santana Row, LLC</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49%</w:t>
            </w: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0" w:type="dxa"/>
            <w:vAlign w:val="bottom"/>
          </w:tcPr>
          <w:p>
            <w:pPr>
              <w:ind w:left="440"/>
              <w:spacing w:after="0"/>
              <w:rPr>
                <w:sz w:val="20"/>
                <w:szCs w:val="20"/>
                <w:color w:val="auto"/>
              </w:rPr>
            </w:pPr>
            <w:r>
              <w:rPr>
                <w:rFonts w:ascii="Courier New" w:cs="Courier New" w:eastAsia="Courier New" w:hAnsi="Courier New"/>
                <w:sz w:val="15"/>
                <w:szCs w:val="15"/>
                <w:color w:val="auto"/>
                <w:w w:val="99"/>
              </w:rPr>
              <w:t>Yankee</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Pier Santana Row, LLC</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75%</w:t>
            </w: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1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Pizza Antica, LLC</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20%</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Santana Row</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Association, a California non-profit mutual benefit corporation</w:t>
            </w: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1000" w:type="dxa"/>
            <w:vAlign w:val="bottom"/>
          </w:tcPr>
          <w:p>
            <w:pPr>
              <w:spacing w:after="0"/>
              <w:rPr>
                <w:sz w:val="24"/>
                <w:szCs w:val="24"/>
                <w:color w:val="auto"/>
              </w:rPr>
            </w:pPr>
          </w:p>
        </w:tc>
        <w:tc>
          <w:tcPr>
            <w:tcW w:w="6120" w:type="dxa"/>
            <w:vAlign w:val="bottom"/>
          </w:tcPr>
          <w:p>
            <w:pPr>
              <w:ind w:left="2420"/>
              <w:spacing w:after="0"/>
              <w:rPr>
                <w:sz w:val="20"/>
                <w:szCs w:val="20"/>
                <w:color w:val="auto"/>
              </w:rPr>
            </w:pPr>
            <w:r>
              <w:rPr>
                <w:rFonts w:ascii="Courier New" w:cs="Courier New" w:eastAsia="Courier New" w:hAnsi="Courier New"/>
                <w:sz w:val="15"/>
                <w:szCs w:val="15"/>
                <w:color w:val="auto"/>
              </w:rPr>
              <w:t>2</w:t>
            </w: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38" w:name="page39"/>
    <w:bookmarkEnd w:id="38"/>
    <w:p>
      <w:pPr>
        <w:jc w:val="right"/>
        <w:ind w:right="3179"/>
        <w:spacing w:after="0"/>
        <w:rPr>
          <w:sz w:val="20"/>
          <w:szCs w:val="20"/>
          <w:color w:val="auto"/>
        </w:rPr>
      </w:pPr>
      <w:r>
        <w:rPr>
          <w:rFonts w:ascii="Courier New" w:cs="Courier New" w:eastAsia="Courier New" w:hAnsi="Courier New"/>
          <w:sz w:val="15"/>
          <w:szCs w:val="15"/>
          <w:color w:val="auto"/>
        </w:rPr>
        <w:t>Exhibit 1.02</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Pricing Agreement</w:t>
      </w:r>
    </w:p>
    <w:p>
      <w:pPr>
        <w:spacing w:after="0" w:line="26"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November 14, 2002</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25"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INCORPORATED</w:t>
      </w:r>
    </w:p>
    <w:p>
      <w:pPr>
        <w:spacing w:after="0"/>
        <w:rPr>
          <w:sz w:val="20"/>
          <w:szCs w:val="20"/>
          <w:color w:val="auto"/>
        </w:rPr>
      </w:pPr>
      <w:r>
        <w:rPr>
          <w:rFonts w:ascii="Courier New" w:cs="Courier New" w:eastAsia="Courier New" w:hAnsi="Courier New"/>
          <w:sz w:val="15"/>
          <w:szCs w:val="15"/>
          <w:color w:val="auto"/>
        </w:rPr>
        <w:t>SALOMON SMITH BARNEY INC.</w:t>
      </w:r>
    </w:p>
    <w:p>
      <w:pPr>
        <w:spacing w:after="0"/>
        <w:rPr>
          <w:sz w:val="20"/>
          <w:szCs w:val="20"/>
          <w:color w:val="auto"/>
        </w:rPr>
      </w:pPr>
      <w:r>
        <w:rPr>
          <w:rFonts w:ascii="Courier New" w:cs="Courier New" w:eastAsia="Courier New" w:hAnsi="Courier New"/>
          <w:sz w:val="15"/>
          <w:szCs w:val="15"/>
          <w:color w:val="auto"/>
        </w:rPr>
        <w:t>WACHOVIA SECURITIES, INC.</w:t>
      </w:r>
    </w:p>
    <w:p>
      <w:pPr>
        <w:spacing w:after="0"/>
        <w:rPr>
          <w:sz w:val="20"/>
          <w:szCs w:val="20"/>
          <w:color w:val="auto"/>
        </w:rPr>
      </w:pPr>
      <w:r>
        <w:rPr>
          <w:rFonts w:ascii="Courier New" w:cs="Courier New" w:eastAsia="Courier New" w:hAnsi="Courier New"/>
          <w:sz w:val="15"/>
          <w:szCs w:val="15"/>
          <w:color w:val="auto"/>
        </w:rPr>
        <w:t>COMMERZBANK CAPITAL MARKETS CORP.</w:t>
      </w:r>
    </w:p>
    <w:p>
      <w:pPr>
        <w:spacing w:after="0"/>
        <w:rPr>
          <w:sz w:val="20"/>
          <w:szCs w:val="20"/>
          <w:color w:val="auto"/>
        </w:rPr>
      </w:pPr>
      <w:r>
        <w:rPr>
          <w:rFonts w:ascii="Courier New" w:cs="Courier New" w:eastAsia="Courier New" w:hAnsi="Courier New"/>
          <w:sz w:val="15"/>
          <w:szCs w:val="15"/>
          <w:color w:val="auto"/>
        </w:rPr>
        <w:t>BANC OF AMERICA SECURITIES LLC</w:t>
      </w:r>
    </w:p>
    <w:p>
      <w:pPr>
        <w:spacing w:after="0"/>
        <w:rPr>
          <w:sz w:val="20"/>
          <w:szCs w:val="20"/>
          <w:color w:val="auto"/>
        </w:rPr>
      </w:pPr>
      <w:r>
        <w:rPr>
          <w:rFonts w:ascii="Courier New" w:cs="Courier New" w:eastAsia="Courier New" w:hAnsi="Courier New"/>
          <w:sz w:val="15"/>
          <w:szCs w:val="15"/>
          <w:color w:val="auto"/>
        </w:rPr>
        <w:t>BMO NESBITT BURNS CORP.</w:t>
      </w:r>
    </w:p>
    <w:p>
      <w:pPr>
        <w:spacing w:after="0"/>
        <w:rPr>
          <w:sz w:val="20"/>
          <w:szCs w:val="20"/>
          <w:color w:val="auto"/>
        </w:rPr>
      </w:pPr>
      <w:r>
        <w:rPr>
          <w:rFonts w:ascii="Courier New" w:cs="Courier New" w:eastAsia="Courier New" w:hAnsi="Courier New"/>
          <w:sz w:val="15"/>
          <w:szCs w:val="15"/>
          <w:color w:val="auto"/>
        </w:rPr>
        <w:t>FLEET SECURITIES, INC.</w:t>
      </w:r>
    </w:p>
    <w:p>
      <w:pPr>
        <w:spacing w:after="0"/>
        <w:rPr>
          <w:sz w:val="20"/>
          <w:szCs w:val="20"/>
          <w:color w:val="auto"/>
        </w:rPr>
      </w:pPr>
      <w:r>
        <w:rPr>
          <w:rFonts w:ascii="Courier New" w:cs="Courier New" w:eastAsia="Courier New" w:hAnsi="Courier New"/>
          <w:sz w:val="15"/>
          <w:szCs w:val="15"/>
          <w:color w:val="auto"/>
        </w:rPr>
        <w:t>HVB CAPITAL MARKETS, INC.</w:t>
      </w:r>
    </w:p>
    <w:p>
      <w:pPr>
        <w:spacing w:after="0"/>
        <w:rPr>
          <w:sz w:val="20"/>
          <w:szCs w:val="20"/>
          <w:color w:val="auto"/>
        </w:rPr>
      </w:pPr>
      <w:r>
        <w:rPr>
          <w:rFonts w:ascii="Courier New" w:cs="Courier New" w:eastAsia="Courier New" w:hAnsi="Courier New"/>
          <w:sz w:val="15"/>
          <w:szCs w:val="15"/>
          <w:color w:val="auto"/>
        </w:rPr>
        <w:t>WELLS FARGO BROKERAGE SERVICES, LLC</w:t>
      </w:r>
    </w:p>
    <w:p>
      <w:pPr>
        <w:spacing w:after="0"/>
        <w:rPr>
          <w:sz w:val="20"/>
          <w:szCs w:val="20"/>
          <w:color w:val="auto"/>
        </w:rPr>
      </w:pPr>
      <w:r>
        <w:rPr>
          <w:rFonts w:ascii="Courier New" w:cs="Courier New" w:eastAsia="Courier New" w:hAnsi="Courier New"/>
          <w:sz w:val="15"/>
          <w:szCs w:val="15"/>
          <w:color w:val="auto"/>
        </w:rPr>
        <w:t>PNC CAPITAL MARKETS, INC.</w:t>
      </w:r>
    </w:p>
    <w:p>
      <w:pPr>
        <w:ind w:left="440"/>
        <w:spacing w:after="0"/>
        <w:rPr>
          <w:sz w:val="20"/>
          <w:szCs w:val="20"/>
          <w:color w:val="auto"/>
        </w:rPr>
      </w:pPr>
      <w:r>
        <w:rPr>
          <w:rFonts w:ascii="Courier New" w:cs="Courier New" w:eastAsia="Courier New" w:hAnsi="Courier New"/>
          <w:sz w:val="15"/>
          <w:szCs w:val="15"/>
          <w:color w:val="auto"/>
        </w:rPr>
        <w:t>c/o Merrill Lynch, Pierce, Fenner &amp; Smith</w:t>
      </w:r>
    </w:p>
    <w:p>
      <w:pPr>
        <w:ind w:left="1840"/>
        <w:spacing w:after="0"/>
        <w:rPr>
          <w:sz w:val="20"/>
          <w:szCs w:val="20"/>
          <w:color w:val="auto"/>
        </w:rPr>
      </w:pPr>
      <w:r>
        <w:rPr>
          <w:rFonts w:ascii="Courier New" w:cs="Courier New" w:eastAsia="Courier New" w:hAnsi="Courier New"/>
          <w:sz w:val="15"/>
          <w:szCs w:val="15"/>
          <w:color w:val="auto"/>
        </w:rPr>
        <w:t>Incorporated</w:t>
      </w:r>
    </w:p>
    <w:p>
      <w:pPr>
        <w:ind w:left="440"/>
        <w:spacing w:after="0"/>
        <w:rPr>
          <w:sz w:val="20"/>
          <w:szCs w:val="20"/>
          <w:color w:val="auto"/>
        </w:rPr>
      </w:pPr>
      <w:r>
        <w:rPr>
          <w:rFonts w:ascii="Courier New" w:cs="Courier New" w:eastAsia="Courier New" w:hAnsi="Courier New"/>
          <w:sz w:val="15"/>
          <w:szCs w:val="15"/>
          <w:color w:val="auto"/>
        </w:rPr>
        <w:t>4 World Financial Center</w:t>
      </w:r>
    </w:p>
    <w:p>
      <w:pPr>
        <w:ind w:left="440"/>
        <w:spacing w:after="0"/>
        <w:rPr>
          <w:sz w:val="20"/>
          <w:szCs w:val="20"/>
          <w:color w:val="auto"/>
        </w:rPr>
      </w:pPr>
      <w:r>
        <w:rPr>
          <w:rFonts w:ascii="Courier New" w:cs="Courier New" w:eastAsia="Courier New" w:hAnsi="Courier New"/>
          <w:sz w:val="15"/>
          <w:szCs w:val="15"/>
          <w:color w:val="auto"/>
        </w:rPr>
        <w:t>New York, New York 10080</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69" w:lineRule="exact"/>
        <w:rPr>
          <w:sz w:val="20"/>
          <w:szCs w:val="20"/>
          <w:color w:val="auto"/>
        </w:rPr>
      </w:pPr>
    </w:p>
    <w:p>
      <w:pPr>
        <w:ind w:right="3179" w:firstLine="793"/>
        <w:spacing w:after="0" w:line="261" w:lineRule="auto"/>
        <w:rPr>
          <w:sz w:val="20"/>
          <w:szCs w:val="20"/>
          <w:color w:val="auto"/>
        </w:rPr>
      </w:pPr>
      <w:r>
        <w:rPr>
          <w:rFonts w:ascii="Courier New" w:cs="Courier New" w:eastAsia="Courier New" w:hAnsi="Courier New"/>
          <w:sz w:val="14"/>
          <w:szCs w:val="14"/>
          <w:color w:val="auto"/>
        </w:rPr>
        <w:t>Federal Realty Investment Trust, a Maryland real estate investment trust (the "Company"), proposes, subject to the terms and conditions stated herein and in the Underwriting Agreement, dated November 14, 2002 (the "Underwriting Agreement"), between the Company on the one hand and Merrill Lynch, Pierce, Fenner &amp; Smith Incorporated, Salomon Smith Barney Inc., Wachovia Securities, Inc., Commerzbank Capital Markets Corp., Banc of America Securities LLC, BMO Nesbitt Burns Corp., Fleet Securities, Inc., HVB Capital Markets, Inc., Wells Fargo Brokerage Services, LLC and PNC Capital Markets, Inc. on the other hand, to issue and sell to the Underwriters named in Schedule I hereto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 designated to act on behalf of the Representatives pursuant to Section 12 of the</w:t>
      </w:r>
    </w:p>
    <w:p>
      <w:pPr>
        <w:sectPr>
          <w:pgSz w:w="11900" w:h="16838" w:orient="portrait"/>
          <w:cols w:equalWidth="0" w:num="1">
            <w:col w:w="10219"/>
          </w:cols>
          <w:pgMar w:left="240" w:top="454" w:right="1440" w:bottom="1440" w:gutter="0" w:footer="0" w:header="0"/>
        </w:sectPr>
      </w:pPr>
    </w:p>
    <w:bookmarkStart w:id="39" w:name="page40"/>
    <w:bookmarkEnd w:id="39"/>
    <w:p>
      <w:pPr>
        <w:ind w:right="3259"/>
        <w:spacing w:after="0" w:line="266" w:lineRule="auto"/>
        <w:rPr>
          <w:sz w:val="20"/>
          <w:szCs w:val="20"/>
          <w:color w:val="auto"/>
        </w:rPr>
      </w:pPr>
      <w:r>
        <w:rPr>
          <w:rFonts w:ascii="Courier New" w:cs="Courier New" w:eastAsia="Courier New" w:hAnsi="Courier New"/>
          <w:sz w:val="15"/>
          <w:szCs w:val="15"/>
          <w:color w:val="auto"/>
        </w:rPr>
        <w:t>Underwriting Agreement is Merrill Lynch, Pierce, Fenner &amp; Smith Incorporated, and the Representatives designated to act on behalf of each of the Underwriters of the Designated Securities pursuant to Section 12 of the Underwriting Agreement and the address of the Representatives referred to in such Section 12 are set forth in Schedule II hereto.</w:t>
      </w:r>
    </w:p>
    <w:p>
      <w:pPr>
        <w:spacing w:after="0" w:line="75" w:lineRule="exact"/>
        <w:rPr>
          <w:sz w:val="20"/>
          <w:szCs w:val="20"/>
          <w:color w:val="auto"/>
        </w:rPr>
      </w:pPr>
    </w:p>
    <w:p>
      <w:pPr>
        <w:ind w:right="3439" w:firstLine="793"/>
        <w:spacing w:after="0" w:line="275" w:lineRule="auto"/>
        <w:rPr>
          <w:sz w:val="20"/>
          <w:szCs w:val="20"/>
          <w:color w:val="auto"/>
        </w:rPr>
      </w:pPr>
      <w:r>
        <w:rPr>
          <w:rFonts w:ascii="Courier New" w:cs="Courier New" w:eastAsia="Courier New" w:hAnsi="Courier New"/>
          <w:sz w:val="15"/>
          <w:szCs w:val="15"/>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69" w:lineRule="exact"/>
        <w:rPr>
          <w:sz w:val="20"/>
          <w:szCs w:val="20"/>
          <w:color w:val="auto"/>
        </w:rPr>
      </w:pPr>
    </w:p>
    <w:p>
      <w:pPr>
        <w:ind w:right="3179" w:firstLine="793"/>
        <w:spacing w:after="0" w:line="278" w:lineRule="auto"/>
        <w:rPr>
          <w:sz w:val="20"/>
          <w:szCs w:val="20"/>
          <w:color w:val="auto"/>
        </w:rPr>
      </w:pPr>
      <w:r>
        <w:rPr>
          <w:rFonts w:ascii="Courier New" w:cs="Courier New" w:eastAsia="Courier New" w:hAnsi="Courier New"/>
          <w:sz w:val="14"/>
          <w:szCs w:val="14"/>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(as defined in Schedule II hereto) set forth opposite the name of such Underwriter in Schedule I hereto.</w:t>
      </w:r>
    </w:p>
    <w:p>
      <w:pPr>
        <w:spacing w:after="0" w:line="70" w:lineRule="exact"/>
        <w:rPr>
          <w:sz w:val="20"/>
          <w:szCs w:val="20"/>
          <w:color w:val="auto"/>
        </w:rPr>
      </w:pPr>
    </w:p>
    <w:p>
      <w:pPr>
        <w:ind w:right="3439" w:firstLine="793"/>
        <w:spacing w:after="0" w:line="384" w:lineRule="auto"/>
        <w:rPr>
          <w:sz w:val="20"/>
          <w:szCs w:val="20"/>
          <w:color w:val="auto"/>
        </w:rPr>
      </w:pPr>
      <w:r>
        <w:rPr>
          <w:rFonts w:ascii="Courier New" w:cs="Courier New" w:eastAsia="Courier New" w:hAnsi="Courier New"/>
          <w:sz w:val="14"/>
          <w:szCs w:val="14"/>
          <w:color w:val="auto"/>
        </w:rPr>
        <w:t>The obligations of the Underwriters under this Pricing Agreement and the Underwriting Agreement incorporated herein are several and not joint.</w:t>
      </w:r>
    </w:p>
    <w:p>
      <w:pPr>
        <w:spacing w:after="0" w:line="1" w:lineRule="exact"/>
        <w:rPr>
          <w:sz w:val="20"/>
          <w:szCs w:val="20"/>
          <w:color w:val="auto"/>
        </w:rPr>
      </w:pPr>
    </w:p>
    <w:p>
      <w:pPr>
        <w:ind w:right="3179" w:firstLine="793"/>
        <w:spacing w:after="0" w:line="347" w:lineRule="auto"/>
        <w:rPr>
          <w:sz w:val="20"/>
          <w:szCs w:val="20"/>
          <w:color w:val="auto"/>
        </w:rPr>
      </w:pPr>
      <w:r>
        <w:rPr>
          <w:rFonts w:ascii="Courier New" w:cs="Courier New" w:eastAsia="Courier New" w:hAnsi="Courier New"/>
          <w:sz w:val="15"/>
          <w:szCs w:val="15"/>
          <w:color w:val="auto"/>
        </w:rPr>
        <w:t>This Pricing Agreement shall be governed by and construed in accordance with the laws of the State of New York.</w:t>
      </w:r>
    </w:p>
    <w:p>
      <w:pPr>
        <w:spacing w:after="0" w:line="35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[REMAINDER OF THIS PAGE INTENTIONALLY LEFT BLANK]</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1" w:right="1440" w:bottom="1440" w:gutter="0" w:footer="0" w:header="0"/>
        </w:sectPr>
      </w:pPr>
    </w:p>
    <w:bookmarkStart w:id="40" w:name="page41"/>
    <w:bookmarkEnd w:id="40"/>
    <w:p>
      <w:pPr>
        <w:ind w:right="3259" w:firstLine="793"/>
        <w:spacing w:after="0" w:line="261" w:lineRule="auto"/>
        <w:rPr>
          <w:sz w:val="20"/>
          <w:szCs w:val="20"/>
          <w:color w:val="auto"/>
        </w:rPr>
      </w:pPr>
      <w:r>
        <w:rPr>
          <w:rFonts w:ascii="Courier New" w:cs="Courier New" w:eastAsia="Courier New" w:hAnsi="Courier New"/>
          <w:sz w:val="15"/>
          <w:szCs w:val="15"/>
          <w:color w:val="auto"/>
        </w:rPr>
        <w:t>If the foregoing is in accordance with your understanding, please sign and return this Pricing Agreement to us, and upon acceptance hereof by you, on behalf of each of the Underwriters, this Pricing Agreement and such acceptance hereof, including the provisions of the Underwriting Agreement incorporated herein by reference, shall constitute a binding agreement between each of the Underwriters and the Company.</w:t>
      </w: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FEDERAL REALTY INVESTMENT TRUST</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w:t>
      </w:r>
    </w:p>
    <w:p>
      <w:pPr>
        <w:spacing w:after="0" w:line="2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ind w:left="3520"/>
        <w:spacing w:after="0"/>
        <w:rPr>
          <w:sz w:val="20"/>
          <w:szCs w:val="20"/>
          <w:color w:val="auto"/>
        </w:rPr>
      </w:pPr>
      <w:r>
        <w:rPr>
          <w:rFonts w:ascii="Courier New" w:cs="Courier New" w:eastAsia="Courier New" w:hAnsi="Courier New"/>
          <w:sz w:val="15"/>
          <w:szCs w:val="15"/>
          <w:color w:val="auto"/>
        </w:rPr>
        <w:t>Name:</w:t>
      </w:r>
    </w:p>
    <w:p>
      <w:pPr>
        <w:ind w:left="3520"/>
        <w:spacing w:after="0"/>
        <w:rPr>
          <w:sz w:val="20"/>
          <w:szCs w:val="20"/>
          <w:color w:val="auto"/>
        </w:rPr>
      </w:pPr>
      <w:r>
        <w:rPr>
          <w:rFonts w:ascii="Courier New" w:cs="Courier New" w:eastAsia="Courier New" w:hAnsi="Courier New"/>
          <w:sz w:val="15"/>
          <w:szCs w:val="15"/>
          <w:color w:val="auto"/>
        </w:rPr>
        <w:t>Title:</w:t>
      </w:r>
    </w:p>
    <w:p>
      <w:pPr>
        <w:spacing w:after="0"/>
        <w:rPr>
          <w:sz w:val="20"/>
          <w:szCs w:val="20"/>
          <w:color w:val="auto"/>
        </w:rPr>
      </w:pPr>
      <w:r>
        <w:rPr>
          <w:rFonts w:ascii="Courier New" w:cs="Courier New" w:eastAsia="Courier New" w:hAnsi="Courier New"/>
          <w:sz w:val="15"/>
          <w:szCs w:val="15"/>
          <w:color w:val="auto"/>
        </w:rPr>
        <w:t>Accepted as of the date hereof:</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25"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INCORPORATED</w:t>
      </w:r>
    </w:p>
    <w:p>
      <w:pPr>
        <w:spacing w:after="0"/>
        <w:rPr>
          <w:sz w:val="20"/>
          <w:szCs w:val="20"/>
          <w:color w:val="auto"/>
        </w:rPr>
      </w:pPr>
      <w:r>
        <w:rPr>
          <w:rFonts w:ascii="Courier New" w:cs="Courier New" w:eastAsia="Courier New" w:hAnsi="Courier New"/>
          <w:sz w:val="15"/>
          <w:szCs w:val="15"/>
          <w:color w:val="auto"/>
        </w:rPr>
        <w:t>SALOMON SMITH BARNEY INC.</w:t>
      </w:r>
    </w:p>
    <w:p>
      <w:pPr>
        <w:spacing w:after="0"/>
        <w:rPr>
          <w:sz w:val="20"/>
          <w:szCs w:val="20"/>
          <w:color w:val="auto"/>
        </w:rPr>
      </w:pPr>
      <w:r>
        <w:rPr>
          <w:rFonts w:ascii="Courier New" w:cs="Courier New" w:eastAsia="Courier New" w:hAnsi="Courier New"/>
          <w:sz w:val="15"/>
          <w:szCs w:val="15"/>
          <w:color w:val="auto"/>
        </w:rPr>
        <w:t>WACHOVIA SECURITIES, INC.</w:t>
      </w:r>
    </w:p>
    <w:p>
      <w:pPr>
        <w:spacing w:after="0"/>
        <w:rPr>
          <w:sz w:val="20"/>
          <w:szCs w:val="20"/>
          <w:color w:val="auto"/>
        </w:rPr>
      </w:pPr>
      <w:r>
        <w:rPr>
          <w:rFonts w:ascii="Courier New" w:cs="Courier New" w:eastAsia="Courier New" w:hAnsi="Courier New"/>
          <w:sz w:val="15"/>
          <w:szCs w:val="15"/>
          <w:color w:val="auto"/>
        </w:rPr>
        <w:t>COMMERZBANK CAPITAL MARKETS CORP.</w:t>
      </w:r>
    </w:p>
    <w:p>
      <w:pPr>
        <w:spacing w:after="0"/>
        <w:rPr>
          <w:sz w:val="20"/>
          <w:szCs w:val="20"/>
          <w:color w:val="auto"/>
        </w:rPr>
      </w:pPr>
      <w:r>
        <w:rPr>
          <w:rFonts w:ascii="Courier New" w:cs="Courier New" w:eastAsia="Courier New" w:hAnsi="Courier New"/>
          <w:sz w:val="15"/>
          <w:szCs w:val="15"/>
          <w:color w:val="auto"/>
        </w:rPr>
        <w:t>BANC OF AMERICA SECURITIES LLC</w:t>
      </w:r>
    </w:p>
    <w:p>
      <w:pPr>
        <w:spacing w:after="0"/>
        <w:rPr>
          <w:sz w:val="20"/>
          <w:szCs w:val="20"/>
          <w:color w:val="auto"/>
        </w:rPr>
      </w:pPr>
      <w:r>
        <w:rPr>
          <w:rFonts w:ascii="Courier New" w:cs="Courier New" w:eastAsia="Courier New" w:hAnsi="Courier New"/>
          <w:sz w:val="15"/>
          <w:szCs w:val="15"/>
          <w:color w:val="auto"/>
        </w:rPr>
        <w:t>BMO NESBITT BURNS CORP.</w:t>
      </w:r>
    </w:p>
    <w:p>
      <w:pPr>
        <w:spacing w:after="0"/>
        <w:rPr>
          <w:sz w:val="20"/>
          <w:szCs w:val="20"/>
          <w:color w:val="auto"/>
        </w:rPr>
      </w:pPr>
      <w:r>
        <w:rPr>
          <w:rFonts w:ascii="Courier New" w:cs="Courier New" w:eastAsia="Courier New" w:hAnsi="Courier New"/>
          <w:sz w:val="15"/>
          <w:szCs w:val="15"/>
          <w:color w:val="auto"/>
        </w:rPr>
        <w:t>FLEET SECURITIES, INC.</w:t>
      </w:r>
    </w:p>
    <w:p>
      <w:pPr>
        <w:spacing w:after="0"/>
        <w:rPr>
          <w:sz w:val="20"/>
          <w:szCs w:val="20"/>
          <w:color w:val="auto"/>
        </w:rPr>
      </w:pPr>
      <w:r>
        <w:rPr>
          <w:rFonts w:ascii="Courier New" w:cs="Courier New" w:eastAsia="Courier New" w:hAnsi="Courier New"/>
          <w:sz w:val="15"/>
          <w:szCs w:val="15"/>
          <w:color w:val="auto"/>
        </w:rPr>
        <w:t>HVB CAPITAL MARKETS, INC.</w:t>
      </w:r>
    </w:p>
    <w:p>
      <w:pPr>
        <w:spacing w:after="0"/>
        <w:rPr>
          <w:sz w:val="20"/>
          <w:szCs w:val="20"/>
          <w:color w:val="auto"/>
        </w:rPr>
      </w:pPr>
      <w:r>
        <w:rPr>
          <w:rFonts w:ascii="Courier New" w:cs="Courier New" w:eastAsia="Courier New" w:hAnsi="Courier New"/>
          <w:sz w:val="15"/>
          <w:szCs w:val="15"/>
          <w:color w:val="auto"/>
        </w:rPr>
        <w:t>WELLS FARGO BROKERGE SERVICES, LLC</w:t>
      </w:r>
    </w:p>
    <w:p>
      <w:pPr>
        <w:spacing w:after="0"/>
        <w:rPr>
          <w:sz w:val="20"/>
          <w:szCs w:val="20"/>
          <w:color w:val="auto"/>
        </w:rPr>
      </w:pPr>
      <w:r>
        <w:rPr>
          <w:rFonts w:ascii="Courier New" w:cs="Courier New" w:eastAsia="Courier New" w:hAnsi="Courier New"/>
          <w:sz w:val="15"/>
          <w:szCs w:val="15"/>
          <w:color w:val="auto"/>
        </w:rPr>
        <w:t>PNC CAPITAL MARKETS, INC.</w:t>
      </w:r>
    </w:p>
    <w:p>
      <w:pPr>
        <w:spacing w:after="0" w:line="14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Merrill Lynch, Pierce, Fenner &amp; Smith</w:t>
      </w:r>
    </w:p>
    <w:p>
      <w:pPr>
        <w:spacing w:after="0" w:line="26"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Incorporated</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ind w:left="600"/>
        <w:spacing w:after="0"/>
        <w:rPr>
          <w:sz w:val="20"/>
          <w:szCs w:val="20"/>
          <w:color w:val="auto"/>
        </w:rPr>
      </w:pPr>
      <w:r>
        <w:rPr>
          <w:rFonts w:ascii="Courier New" w:cs="Courier New" w:eastAsia="Courier New" w:hAnsi="Courier New"/>
          <w:sz w:val="15"/>
          <w:szCs w:val="15"/>
          <w:color w:val="auto"/>
        </w:rPr>
        <w:t>Name:</w:t>
      </w:r>
    </w:p>
    <w:p>
      <w:pPr>
        <w:ind w:left="60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01"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46"/>
        </w:trPr>
        <w:tc>
          <w:tcPr>
            <w:tcW w:w="1040" w:type="dxa"/>
            <w:vAlign w:val="bottom"/>
          </w:tcPr>
          <w:p>
            <w:pPr>
              <w:spacing w:after="0"/>
              <w:rPr>
                <w:sz w:val="21"/>
                <w:szCs w:val="21"/>
                <w:color w:val="auto"/>
              </w:rPr>
            </w:pPr>
          </w:p>
        </w:tc>
        <w:tc>
          <w:tcPr>
            <w:tcW w:w="38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SCHEDULE I</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1040" w:type="dxa"/>
            <w:vAlign w:val="bottom"/>
          </w:tcPr>
          <w:p>
            <w:pPr>
              <w:spacing w:after="0"/>
              <w:rPr>
                <w:sz w:val="24"/>
                <w:szCs w:val="24"/>
                <w:color w:val="auto"/>
              </w:rPr>
            </w:pPr>
          </w:p>
        </w:tc>
        <w:tc>
          <w:tcPr>
            <w:tcW w:w="3840" w:type="dxa"/>
            <w:vAlign w:val="bottom"/>
            <w:vMerge w:val="restart"/>
          </w:tcPr>
          <w:p>
            <w:pPr>
              <w:jc w:val="right"/>
              <w:ind w:right="2787"/>
              <w:spacing w:after="0"/>
              <w:rPr>
                <w:sz w:val="20"/>
                <w:szCs w:val="20"/>
                <w:color w:val="auto"/>
              </w:rPr>
            </w:pPr>
            <w:r>
              <w:rPr>
                <w:rFonts w:ascii="Courier New" w:cs="Courier New" w:eastAsia="Courier New" w:hAnsi="Courier New"/>
                <w:sz w:val="15"/>
                <w:szCs w:val="15"/>
                <w:color w:val="auto"/>
                <w:w w:val="96"/>
              </w:rPr>
              <w:t>Underwriter</w:t>
            </w:r>
          </w:p>
        </w:tc>
        <w:tc>
          <w:tcPr>
            <w:tcW w:w="2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Principal Amount of</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3840" w:type="dxa"/>
            <w:vAlign w:val="bottom"/>
            <w:vMerge w:val="continue"/>
          </w:tcPr>
          <w:p>
            <w:pPr>
              <w:spacing w:after="0"/>
              <w:rPr>
                <w:sz w:val="14"/>
                <w:szCs w:val="14"/>
                <w:color w:val="auto"/>
              </w:rPr>
            </w:pPr>
          </w:p>
        </w:tc>
        <w:tc>
          <w:tcPr>
            <w:tcW w:w="2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Designated Securities</w:t>
            </w:r>
          </w:p>
        </w:tc>
        <w:tc>
          <w:tcPr>
            <w:tcW w:w="0" w:type="dxa"/>
            <w:vAlign w:val="bottom"/>
          </w:tcPr>
          <w:p>
            <w:pPr>
              <w:spacing w:after="0"/>
              <w:rPr>
                <w:sz w:val="1"/>
                <w:szCs w:val="1"/>
                <w:color w:val="auto"/>
              </w:rPr>
            </w:pPr>
          </w:p>
        </w:tc>
      </w:tr>
      <w:tr>
        <w:trPr>
          <w:trHeight w:val="246"/>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Merrill Lynch, Pierce, Fenner &amp; Smith</w:t>
            </w:r>
          </w:p>
        </w:tc>
        <w:tc>
          <w:tcPr>
            <w:tcW w:w="20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$42,500,000</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w w:val="97"/>
              </w:rPr>
              <w:t>Incorporated ..............................</w:t>
            </w:r>
          </w:p>
        </w:tc>
        <w:tc>
          <w:tcPr>
            <w:tcW w:w="2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w w:val="98"/>
              </w:rPr>
              <w:t>Salomon Smith Barney Inc...............................</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42,500,000</w:t>
            </w:r>
          </w:p>
        </w:tc>
        <w:tc>
          <w:tcPr>
            <w:tcW w:w="0" w:type="dxa"/>
            <w:vAlign w:val="bottom"/>
          </w:tcPr>
          <w:p>
            <w:pPr>
              <w:spacing w:after="0"/>
              <w:rPr>
                <w:sz w:val="1"/>
                <w:szCs w:val="1"/>
                <w:color w:val="auto"/>
              </w:rPr>
            </w:pPr>
          </w:p>
        </w:tc>
      </w:tr>
      <w:tr>
        <w:trPr>
          <w:trHeight w:val="170"/>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w w:val="98"/>
              </w:rPr>
              <w:t>Wachovia Securities, Inc...............................</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42,500,000</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Commerzbank</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w w:val="97"/>
              </w:rPr>
              <w:t>Capital Markets Corp.......................</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6,000,000</w:t>
            </w:r>
          </w:p>
        </w:tc>
        <w:tc>
          <w:tcPr>
            <w:tcW w:w="0" w:type="dxa"/>
            <w:vAlign w:val="bottom"/>
          </w:tcPr>
          <w:p>
            <w:pPr>
              <w:spacing w:after="0"/>
              <w:rPr>
                <w:sz w:val="1"/>
                <w:szCs w:val="1"/>
                <w:color w:val="auto"/>
              </w:rPr>
            </w:pPr>
          </w:p>
        </w:tc>
      </w:tr>
      <w:tr>
        <w:trPr>
          <w:trHeight w:val="170"/>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w w:val="98"/>
              </w:rPr>
              <w:t>Banc of America Securities LLC.........................</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3,000,000</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BMO Nesbitt</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w w:val="97"/>
              </w:rPr>
              <w:t>Burns Corp.................................</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3,000,000</w:t>
            </w:r>
          </w:p>
        </w:tc>
        <w:tc>
          <w:tcPr>
            <w:tcW w:w="0" w:type="dxa"/>
            <w:vAlign w:val="bottom"/>
          </w:tcPr>
          <w:p>
            <w:pPr>
              <w:spacing w:after="0"/>
              <w:rPr>
                <w:sz w:val="1"/>
                <w:szCs w:val="1"/>
                <w:color w:val="auto"/>
              </w:rPr>
            </w:pPr>
          </w:p>
        </w:tc>
      </w:tr>
      <w:tr>
        <w:trPr>
          <w:trHeight w:val="170"/>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w w:val="98"/>
              </w:rPr>
              <w:t>Fleet Securities, Inc..................................</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3,000,000</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HVB Capital</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w w:val="97"/>
              </w:rPr>
              <w:t>Markets, Inc...............................</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3,000,000</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Wells Fargo</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w w:val="97"/>
              </w:rPr>
              <w:t>Brokerage Services, LLC....................</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3,000,000</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PNC Capital</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w w:val="97"/>
              </w:rPr>
              <w:t>Markets, Inc...............................</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1,500,000</w:t>
            </w:r>
          </w:p>
        </w:tc>
        <w:tc>
          <w:tcPr>
            <w:tcW w:w="0" w:type="dxa"/>
            <w:vAlign w:val="bottom"/>
          </w:tcPr>
          <w:p>
            <w:pPr>
              <w:spacing w:after="0"/>
              <w:rPr>
                <w:sz w:val="1"/>
                <w:szCs w:val="1"/>
                <w:color w:val="auto"/>
              </w:rPr>
            </w:pPr>
          </w:p>
        </w:tc>
      </w:tr>
      <w:tr>
        <w:trPr>
          <w:trHeight w:val="170"/>
        </w:trPr>
        <w:tc>
          <w:tcPr>
            <w:tcW w:w="104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Total</w:t>
            </w:r>
          </w:p>
        </w:tc>
        <w:tc>
          <w:tcPr>
            <w:tcW w:w="3840" w:type="dxa"/>
            <w:vAlign w:val="bottom"/>
          </w:tcPr>
          <w:p>
            <w:pPr>
              <w:spacing w:after="0"/>
              <w:rPr>
                <w:sz w:val="14"/>
                <w:szCs w:val="14"/>
                <w:color w:val="auto"/>
              </w:rPr>
            </w:pP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80" w:type="dxa"/>
            <w:vAlign w:val="bottom"/>
            <w:gridSpan w:val="2"/>
            <w:vMerge w:val="continue"/>
          </w:tcPr>
          <w:p>
            <w:pPr>
              <w:jc w:val="right"/>
              <w:spacing w:after="0" w:line="148" w:lineRule="exact"/>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$150,000,000</w:t>
            </w: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601" w:right="1440" w:bottom="1440" w:gutter="0" w:footer="0" w:header="0"/>
        </w:sectPr>
      </w:pPr>
    </w:p>
    <w:bookmarkStart w:id="42" w:name="page43"/>
    <w:bookmarkEnd w:id="42"/>
    <w:p>
      <w:pPr>
        <w:ind w:left="3080"/>
        <w:spacing w:after="0"/>
        <w:rPr>
          <w:sz w:val="20"/>
          <w:szCs w:val="20"/>
          <w:color w:val="auto"/>
        </w:rPr>
      </w:pPr>
      <w:r>
        <w:rPr>
          <w:rFonts w:ascii="Courier New" w:cs="Courier New" w:eastAsia="Courier New" w:hAnsi="Courier New"/>
          <w:sz w:val="15"/>
          <w:szCs w:val="15"/>
          <w:color w:val="auto"/>
        </w:rPr>
        <w:t>SCHEDULE II</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of Designated Securities: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 1/8% Notes due November 15, 2007</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principal amount: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$150,000,000</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to Public:</w:t>
      </w:r>
    </w:p>
    <w:p>
      <w:pPr>
        <w:spacing w:after="0" w:line="169" w:lineRule="exact"/>
        <w:rPr>
          <w:sz w:val="20"/>
          <w:szCs w:val="20"/>
          <w:color w:val="auto"/>
        </w:rPr>
      </w:pPr>
    </w:p>
    <w:p>
      <w:pPr>
        <w:ind w:left="440" w:right="3259"/>
        <w:spacing w:after="0" w:line="389" w:lineRule="auto"/>
        <w:rPr>
          <w:sz w:val="20"/>
          <w:szCs w:val="20"/>
          <w:color w:val="auto"/>
        </w:rPr>
      </w:pPr>
      <w:r>
        <w:rPr>
          <w:rFonts w:ascii="Courier New" w:cs="Courier New" w:eastAsia="Courier New" w:hAnsi="Courier New"/>
          <w:sz w:val="14"/>
          <w:szCs w:val="14"/>
          <w:color w:val="auto"/>
        </w:rPr>
        <w:t>99.764% of the principal amount of the Designated Securities, plus accrued interest from November 19, 2002 (if settlement occurs after that date)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Price by Underwriters:</w:t>
      </w:r>
    </w:p>
    <w:p>
      <w:pPr>
        <w:spacing w:after="0" w:line="169" w:lineRule="exact"/>
        <w:rPr>
          <w:sz w:val="20"/>
          <w:szCs w:val="20"/>
          <w:color w:val="auto"/>
        </w:rPr>
      </w:pPr>
    </w:p>
    <w:p>
      <w:pPr>
        <w:ind w:left="440" w:right="3259"/>
        <w:spacing w:after="0" w:line="389" w:lineRule="auto"/>
        <w:rPr>
          <w:sz w:val="20"/>
          <w:szCs w:val="20"/>
          <w:color w:val="auto"/>
        </w:rPr>
      </w:pPr>
      <w:r>
        <w:rPr>
          <w:rFonts w:ascii="Courier New" w:cs="Courier New" w:eastAsia="Courier New" w:hAnsi="Courier New"/>
          <w:sz w:val="14"/>
          <w:szCs w:val="14"/>
          <w:color w:val="auto"/>
        </w:rPr>
        <w:t>99.164% of the principal amount of the Designated Securities, plus accrued interest from November 19, 2002 (if settlement occurs after that date)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Specified funds for payment of purchase price: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Wire transfer of immediately available funds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Indenture:</w:t>
      </w:r>
    </w:p>
    <w:p>
      <w:pPr>
        <w:spacing w:after="0" w:line="169" w:lineRule="exact"/>
        <w:rPr>
          <w:sz w:val="20"/>
          <w:szCs w:val="20"/>
          <w:color w:val="auto"/>
        </w:rPr>
      </w:pPr>
    </w:p>
    <w:p>
      <w:pPr>
        <w:ind w:left="440" w:right="3359"/>
        <w:spacing w:after="0" w:line="293" w:lineRule="auto"/>
        <w:rPr>
          <w:sz w:val="20"/>
          <w:szCs w:val="20"/>
          <w:color w:val="auto"/>
        </w:rPr>
      </w:pPr>
      <w:r>
        <w:rPr>
          <w:rFonts w:ascii="Courier New" w:cs="Courier New" w:eastAsia="Courier New" w:hAnsi="Courier New"/>
          <w:sz w:val="15"/>
          <w:szCs w:val="15"/>
          <w:color w:val="auto"/>
        </w:rPr>
        <w:t>Indenture dated as of September 1, 1998, between the Company and Wachovia Bank, National Association (formerly, First Union National Bank), as Trustee</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November 15, 2007</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 1/8%</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Payment Dates: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May 15 and November 15 of each year, commencing May 15, 2003</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Provisions:</w:t>
      </w:r>
    </w:p>
    <w:p>
      <w:pPr>
        <w:spacing w:after="0" w:line="169" w:lineRule="exact"/>
        <w:rPr>
          <w:sz w:val="20"/>
          <w:szCs w:val="20"/>
          <w:color w:val="auto"/>
        </w:rPr>
      </w:pPr>
    </w:p>
    <w:p>
      <w:pPr>
        <w:ind w:left="780" w:right="3359"/>
        <w:spacing w:after="0" w:line="389" w:lineRule="auto"/>
        <w:rPr>
          <w:sz w:val="20"/>
          <w:szCs w:val="20"/>
          <w:color w:val="auto"/>
        </w:rPr>
      </w:pPr>
      <w:r>
        <w:rPr>
          <w:rFonts w:ascii="Courier New" w:cs="Courier New" w:eastAsia="Courier New" w:hAnsi="Courier New"/>
          <w:sz w:val="14"/>
          <w:szCs w:val="14"/>
          <w:color w:val="auto"/>
        </w:rPr>
        <w:t>The Designated Securities may be redeemed at any time, in whole or in part, at a redemption price as described in the Prospectus Supplement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Sinking Fund Provisions: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601"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Defeasance provisions:</w:t>
      </w:r>
    </w:p>
    <w:p>
      <w:pPr>
        <w:spacing w:after="0" w:line="169" w:lineRule="exact"/>
        <w:rPr>
          <w:sz w:val="20"/>
          <w:szCs w:val="20"/>
          <w:color w:val="auto"/>
        </w:rPr>
      </w:pPr>
    </w:p>
    <w:p>
      <w:pPr>
        <w:ind w:left="440" w:right="3179"/>
        <w:spacing w:after="0" w:line="347" w:lineRule="auto"/>
        <w:rPr>
          <w:sz w:val="20"/>
          <w:szCs w:val="20"/>
          <w:color w:val="auto"/>
        </w:rPr>
      </w:pPr>
      <w:r>
        <w:rPr>
          <w:rFonts w:ascii="Courier New" w:cs="Courier New" w:eastAsia="Courier New" w:hAnsi="Courier New"/>
          <w:sz w:val="15"/>
          <w:szCs w:val="15"/>
          <w:color w:val="auto"/>
        </w:rPr>
        <w:t>The defeasance and covenant defeasance provisions of the Indenture apply to the Designated Securities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of Delivery: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9:00 a.m., New York City time, on November 19, 2002</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Location: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Sidley Austin Brown &amp; Wood LLP</w:t>
      </w:r>
    </w:p>
    <w:p>
      <w:pPr>
        <w:spacing w:after="0" w:line="2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787 Seventh Avenue</w:t>
      </w:r>
    </w:p>
    <w:p>
      <w:pPr>
        <w:ind w:left="440"/>
        <w:spacing w:after="0"/>
        <w:rPr>
          <w:sz w:val="20"/>
          <w:szCs w:val="20"/>
          <w:color w:val="auto"/>
        </w:rPr>
      </w:pPr>
      <w:r>
        <w:rPr>
          <w:rFonts w:ascii="Courier New" w:cs="Courier New" w:eastAsia="Courier New" w:hAnsi="Courier New"/>
          <w:sz w:val="15"/>
          <w:szCs w:val="15"/>
          <w:color w:val="auto"/>
        </w:rPr>
        <w:t>New York, New York 10019</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Names and addresses of Representatives: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Designated Representatives:</w:t>
      </w:r>
    </w:p>
    <w:p>
      <w:pPr>
        <w:spacing w:after="0" w:line="169" w:lineRule="exact"/>
        <w:rPr>
          <w:sz w:val="20"/>
          <w:szCs w:val="20"/>
          <w:color w:val="auto"/>
        </w:rPr>
      </w:pPr>
    </w:p>
    <w:p>
      <w:pPr>
        <w:ind w:left="880" w:right="3259"/>
        <w:spacing w:after="0" w:line="266" w:lineRule="auto"/>
        <w:rPr>
          <w:sz w:val="20"/>
          <w:szCs w:val="20"/>
          <w:color w:val="auto"/>
        </w:rPr>
      </w:pPr>
      <w:r>
        <w:rPr>
          <w:rFonts w:ascii="Courier New" w:cs="Courier New" w:eastAsia="Courier New" w:hAnsi="Courier New"/>
          <w:sz w:val="15"/>
          <w:szCs w:val="15"/>
          <w:color w:val="auto"/>
        </w:rPr>
        <w:t>Merrill Lynch, Pierce, Fenner &amp; Smith, Incorporated, Salomon Smith Barney Inc., Wachovia Securities, Inc., Commerzbank Capital Markets Corp., Banc of America Securities LLC, BMO Nesbitt Burns Corp., Fleet Securities, Inc., HVB Capital Markets, Inc., Wells Fargo Brokerage Services, LLC and PNC Capital Markets, Inc.</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Address for Notices, etc.:</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 Merrill Lynch, Pierce, Fenner &amp; Smith</w:t>
      </w:r>
    </w:p>
    <w:p>
      <w:pPr>
        <w:spacing w:after="0" w:line="2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Incorporated</w:t>
      </w:r>
    </w:p>
    <w:p>
      <w:pPr>
        <w:ind w:left="780"/>
        <w:spacing w:after="0"/>
        <w:rPr>
          <w:sz w:val="20"/>
          <w:szCs w:val="20"/>
          <w:color w:val="auto"/>
        </w:rPr>
      </w:pPr>
      <w:r>
        <w:rPr>
          <w:rFonts w:ascii="Courier New" w:cs="Courier New" w:eastAsia="Courier New" w:hAnsi="Courier New"/>
          <w:sz w:val="15"/>
          <w:szCs w:val="15"/>
          <w:color w:val="auto"/>
        </w:rPr>
        <w:t>4 World Financial Center</w:t>
      </w:r>
    </w:p>
    <w:p>
      <w:pPr>
        <w:ind w:left="780"/>
        <w:spacing w:after="0"/>
        <w:rPr>
          <w:sz w:val="20"/>
          <w:szCs w:val="20"/>
          <w:color w:val="auto"/>
        </w:rPr>
      </w:pPr>
      <w:r>
        <w:rPr>
          <w:rFonts w:ascii="Courier New" w:cs="Courier New" w:eastAsia="Courier New" w:hAnsi="Courier New"/>
          <w:sz w:val="15"/>
          <w:szCs w:val="15"/>
          <w:color w:val="auto"/>
        </w:rPr>
        <w:t>New York, New York 10080</w:t>
      </w:r>
    </w:p>
    <w:p>
      <w:pPr>
        <w:ind w:left="780"/>
        <w:spacing w:after="0"/>
        <w:rPr>
          <w:sz w:val="20"/>
          <w:szCs w:val="20"/>
          <w:color w:val="auto"/>
        </w:rPr>
      </w:pPr>
      <w:r>
        <w:rPr>
          <w:rFonts w:ascii="Courier New" w:cs="Courier New" w:eastAsia="Courier New" w:hAnsi="Courier New"/>
          <w:sz w:val="15"/>
          <w:szCs w:val="15"/>
          <w:color w:val="auto"/>
        </w:rPr>
        <w:t>Attn: Real Estate Investment Banking</w:t>
      </w:r>
    </w:p>
    <w:p>
      <w:pPr>
        <w:spacing w:after="0" w:line="14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01" w:right="1440" w:bottom="1440" w:gutter="0" w:footer="0" w:header="0"/>
        </w:sectPr>
      </w:pPr>
    </w:p>
    <w:bookmarkStart w:id="44" w:name="page45"/>
    <w:bookmarkEnd w:id="44"/>
    <w:p>
      <w:pPr>
        <w:ind w:left="2720"/>
        <w:spacing w:after="0"/>
        <w:rPr>
          <w:sz w:val="20"/>
          <w:szCs w:val="20"/>
          <w:color w:val="auto"/>
        </w:rPr>
      </w:pPr>
      <w:r>
        <w:rPr>
          <w:rFonts w:ascii="Courier New" w:cs="Courier New" w:eastAsia="Courier New" w:hAnsi="Courier New"/>
          <w:sz w:val="15"/>
          <w:szCs w:val="15"/>
          <w:color w:val="auto"/>
        </w:rPr>
        <w:t>[Face of Security]</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6 1/8% Note due November 15, 2007</w:t>
      </w:r>
    </w:p>
    <w:p>
      <w:pPr>
        <w:sectPr>
          <w:pgSz w:w="11900" w:h="16838" w:orient="portrait"/>
          <w:cols w:equalWidth="0" w:num="1">
            <w:col w:w="10219"/>
          </w:cols>
          <w:pgMar w:left="240" w:top="771"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$150,000,000</w:t>
      </w:r>
    </w:p>
    <w:p>
      <w:pPr>
        <w:spacing w:after="0" w:line="88" w:lineRule="exact"/>
        <w:rPr>
          <w:sz w:val="20"/>
          <w:szCs w:val="20"/>
          <w:color w:val="auto"/>
        </w:rPr>
      </w:pPr>
    </w:p>
    <w:p>
      <w:pPr>
        <w:sectPr>
          <w:pgSz w:w="11900" w:h="16838" w:orient="portrait"/>
          <w:cols w:equalWidth="0" w:num="2">
            <w:col w:w="5260" w:space="720"/>
            <w:col w:w="4239"/>
          </w:cols>
          <w:pgMar w:left="240" w:top="771" w:right="1440"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771" w:right="1440" w:bottom="1440" w:gutter="0" w:footer="0" w:header="0"/>
          <w:type w:val="continuous"/>
        </w:sectPr>
      </w:pPr>
    </w:p>
    <w:p>
      <w:pPr>
        <w:spacing w:after="0" w:line="104" w:lineRule="exact"/>
        <w:rPr>
          <w:sz w:val="20"/>
          <w:szCs w:val="20"/>
          <w:color w:val="auto"/>
        </w:rPr>
      </w:pPr>
    </w:p>
    <w:p>
      <w:pPr>
        <w:ind w:right="3259"/>
        <w:spacing w:after="0" w:line="278" w:lineRule="auto"/>
        <w:rPr>
          <w:sz w:val="20"/>
          <w:szCs w:val="20"/>
          <w:color w:val="auto"/>
        </w:rPr>
      </w:pPr>
      <w:r>
        <w:rPr>
          <w:rFonts w:ascii="Courier New" w:cs="Courier New" w:eastAsia="Courier New" w:hAnsi="Courier New"/>
          <w:sz w:val="14"/>
          <w:szCs w:val="14"/>
          <w:color w:val="auto"/>
        </w:rPr>
        <w:t>UNLESS THIS NOTE IS PRESENTED BY AN AUTHORIZED REPRESENTATIVE OF THE DEPOSITORY TRUST COMPANY (55 WATER STREET, NEW YORK, NEW YORK)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70"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75" w:lineRule="exact"/>
        <w:rPr>
          <w:sz w:val="20"/>
          <w:szCs w:val="20"/>
          <w:color w:val="auto"/>
        </w:rPr>
      </w:pPr>
    </w:p>
    <w:p>
      <w:pPr>
        <w:ind w:right="3179"/>
        <w:spacing w:after="0" w:line="347" w:lineRule="auto"/>
        <w:rPr>
          <w:sz w:val="20"/>
          <w:szCs w:val="20"/>
          <w:color w:val="auto"/>
        </w:rPr>
      </w:pPr>
      <w:r>
        <w:rPr>
          <w:rFonts w:ascii="Courier New" w:cs="Courier New" w:eastAsia="Courier New" w:hAnsi="Courier New"/>
          <w:sz w:val="15"/>
          <w:szCs w:val="15"/>
          <w:color w:val="auto"/>
        </w:rPr>
        <w:t>THIS NOTE WILL BE ISSUED AND MAY BE TRANSFERRED ONLY IN MINIMUM DENOMINATIONS OF $1,000 AND INTEGRAL MULTIPLES OF $1,000 IN EXCESS THEREOF.</w:t>
      </w:r>
    </w:p>
    <w:p>
      <w:pPr>
        <w:spacing w:after="0" w:line="17" w:lineRule="exact"/>
        <w:rPr>
          <w:sz w:val="20"/>
          <w:szCs w:val="20"/>
          <w:color w:val="auto"/>
        </w:rPr>
      </w:pPr>
    </w:p>
    <w:p>
      <w:pPr>
        <w:ind w:right="3179" w:firstLine="1587"/>
        <w:spacing w:after="0" w:line="244" w:lineRule="auto"/>
        <w:rPr>
          <w:sz w:val="20"/>
          <w:szCs w:val="20"/>
          <w:color w:val="auto"/>
        </w:rPr>
      </w:pPr>
      <w:r>
        <w:rPr>
          <w:rFonts w:ascii="Courier New" w:cs="Courier New" w:eastAsia="Courier New" w:hAnsi="Courier New"/>
          <w:sz w:val="15"/>
          <w:szCs w:val="15"/>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One Hundred Fifty Million Dollars on November 15, 2007 (the "Stated Maturity Date") or the date fixed for earlier redemption (the "Redemption Date," and together with the Stated Maturity Date with respect to principal repayable on such date, the "Maturity Date"), and to pay interest thereon from November 19, 2002 or from the most recent interest payment date to which interest has been paid or duly provided for, semi-annually on May 15 and November 15 in each year (each, an "Interest Payment Date"), commencing May 15, 2003, at the rate of 6 1/8%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May 1 or November 1 (whether or not a Business Day), as the case may be, next preceding such Interest Payment Date at the office or agency of the Company maintained for such purpose; provided, however, that such interest may be paid, at the Company's option, by mailing a check to such Holder at its</w:t>
      </w:r>
    </w:p>
    <w:p>
      <w:pPr>
        <w:sectPr>
          <w:pgSz w:w="11900" w:h="16838" w:orient="portrait"/>
          <w:cols w:equalWidth="0" w:num="1">
            <w:col w:w="10219"/>
          </w:cols>
          <w:pgMar w:left="240" w:top="771" w:right="1440" w:bottom="1440" w:gutter="0" w:footer="0" w:header="0"/>
          <w:type w:val="continuous"/>
        </w:sectPr>
      </w:pPr>
    </w:p>
    <w:bookmarkStart w:id="45" w:name="page46"/>
    <w:bookmarkEnd w:id="45"/>
    <w:p>
      <w:pPr>
        <w:ind w:right="3179"/>
        <w:spacing w:after="0" w:line="248" w:lineRule="auto"/>
        <w:rPr>
          <w:sz w:val="20"/>
          <w:szCs w:val="20"/>
          <w:color w:val="auto"/>
        </w:rPr>
      </w:pPr>
      <w:r>
        <w:rPr>
          <w:rFonts w:ascii="Courier New" w:cs="Courier New" w:eastAsia="Courier New" w:hAnsi="Courier New"/>
          <w:sz w:val="15"/>
          <w:szCs w:val="15"/>
          <w:color w:val="auto"/>
        </w:rPr>
        <w:t>registered 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91" w:lineRule="exact"/>
        <w:rPr>
          <w:sz w:val="20"/>
          <w:szCs w:val="20"/>
          <w:color w:val="auto"/>
        </w:rPr>
      </w:pPr>
    </w:p>
    <w:p>
      <w:pPr>
        <w:ind w:right="3179" w:firstLine="1587"/>
        <w:spacing w:after="0" w:line="257" w:lineRule="auto"/>
        <w:rPr>
          <w:sz w:val="20"/>
          <w:szCs w:val="20"/>
          <w:color w:val="auto"/>
        </w:rPr>
      </w:pPr>
      <w:r>
        <w:rPr>
          <w:rFonts w:ascii="Courier New" w:cs="Courier New" w:eastAsia="Courier New" w:hAnsi="Courier New"/>
          <w:sz w:val="15"/>
          <w:szCs w:val="15"/>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82" w:lineRule="exact"/>
        <w:rPr>
          <w:sz w:val="20"/>
          <w:szCs w:val="20"/>
          <w:color w:val="auto"/>
        </w:rPr>
      </w:pPr>
    </w:p>
    <w:p>
      <w:pPr>
        <w:ind w:right="3179" w:firstLine="1587"/>
        <w:spacing w:after="0" w:line="246" w:lineRule="auto"/>
        <w:rPr>
          <w:sz w:val="20"/>
          <w:szCs w:val="20"/>
          <w:color w:val="auto"/>
        </w:rPr>
      </w:pPr>
      <w:r>
        <w:rPr>
          <w:rFonts w:ascii="Courier New" w:cs="Courier New" w:eastAsia="Courier New" w:hAnsi="Courier New"/>
          <w:sz w:val="15"/>
          <w:szCs w:val="15"/>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November 19, 2002, if no interest has been paid on this Note) to but excluding such Interest Payment Date or the Maturity Date, as the case may be. If any Interest Payment Date or the Maturity Date falls on a day that is not a Business Day, as defined below,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95" w:lineRule="exact"/>
        <w:rPr>
          <w:sz w:val="20"/>
          <w:szCs w:val="20"/>
          <w:color w:val="auto"/>
        </w:rPr>
      </w:pPr>
    </w:p>
    <w:p>
      <w:pPr>
        <w:jc w:val="both"/>
        <w:ind w:right="3179" w:firstLine="1587"/>
        <w:spacing w:after="0" w:line="384" w:lineRule="auto"/>
        <w:rPr>
          <w:sz w:val="20"/>
          <w:szCs w:val="20"/>
          <w:color w:val="auto"/>
        </w:rPr>
      </w:pPr>
      <w:r>
        <w:rPr>
          <w:rFonts w:ascii="Courier New" w:cs="Courier New" w:eastAsia="Courier New" w:hAnsi="Courier New"/>
          <w:sz w:val="14"/>
          <w:szCs w:val="14"/>
          <w:color w:val="auto"/>
        </w:rPr>
        <w:t>All payments of principal, premium, if any, and interest in respect of this Note will be made by the Company in immediately available funds.</w:t>
      </w:r>
    </w:p>
    <w:p>
      <w:pPr>
        <w:spacing w:after="0" w:line="1" w:lineRule="exact"/>
        <w:rPr>
          <w:sz w:val="20"/>
          <w:szCs w:val="20"/>
          <w:color w:val="auto"/>
        </w:rPr>
      </w:pPr>
    </w:p>
    <w:p>
      <w:pPr>
        <w:jc w:val="both"/>
        <w:ind w:right="3539" w:firstLine="1587"/>
        <w:spacing w:after="0" w:line="293" w:lineRule="auto"/>
        <w:rPr>
          <w:sz w:val="20"/>
          <w:szCs w:val="20"/>
          <w:color w:val="auto"/>
        </w:rPr>
      </w:pPr>
      <w:r>
        <w:rPr>
          <w:rFonts w:ascii="Courier New" w:cs="Courier New" w:eastAsia="Courier New" w:hAnsi="Courier New"/>
          <w:sz w:val="15"/>
          <w:szCs w:val="15"/>
          <w:color w:val="auto"/>
        </w:rPr>
        <w:t>Reference is hereby made to the further provisions of this Note set forth on the reverse hereof, which further provisions shall for all purposes have the same effect as if set forth at this place.</w:t>
      </w:r>
    </w:p>
    <w:p>
      <w:pPr>
        <w:spacing w:after="0" w:line="56" w:lineRule="exact"/>
        <w:rPr>
          <w:sz w:val="20"/>
          <w:szCs w:val="20"/>
          <w:color w:val="auto"/>
        </w:rPr>
      </w:pPr>
    </w:p>
    <w:p>
      <w:pPr>
        <w:ind w:right="3179" w:firstLine="1587"/>
        <w:spacing w:after="0" w:line="275" w:lineRule="auto"/>
        <w:rPr>
          <w:sz w:val="20"/>
          <w:szCs w:val="20"/>
          <w:color w:val="auto"/>
        </w:rPr>
      </w:pPr>
      <w:r>
        <w:rPr>
          <w:rFonts w:ascii="Courier New" w:cs="Courier New" w:eastAsia="Courier New" w:hAnsi="Courier New"/>
          <w:sz w:val="15"/>
          <w:szCs w:val="15"/>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238"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[This space intentionally left blank]</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1" w:right="1440" w:bottom="1440" w:gutter="0" w:footer="0" w:header="0"/>
        </w:sectPr>
      </w:pPr>
    </w:p>
    <w:bookmarkStart w:id="46" w:name="page47"/>
    <w:bookmarkEnd w:id="46"/>
    <w:p>
      <w:pPr>
        <w:jc w:val="right"/>
        <w:ind w:right="3259"/>
        <w:spacing w:after="0"/>
        <w:rPr>
          <w:sz w:val="20"/>
          <w:szCs w:val="20"/>
          <w:color w:val="auto"/>
        </w:rPr>
      </w:pPr>
      <w:r>
        <w:rPr>
          <w:rFonts w:ascii="Courier New" w:cs="Courier New" w:eastAsia="Courier New" w:hAnsi="Courier New"/>
          <w:sz w:val="15"/>
          <w:szCs w:val="15"/>
          <w:color w:val="auto"/>
        </w:rPr>
        <w:t>IN WITNESS WHEREOF, the Company has caused this instrument to</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be duly executed.</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Dated: November __, 2002</w:t>
      </w:r>
    </w:p>
    <w:p>
      <w:pPr>
        <w:spacing w:after="0" w:line="169"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By:</w:t>
      </w:r>
    </w:p>
    <w:p>
      <w:pPr>
        <w:spacing w:after="0" w:line="2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w:t>
      </w:r>
    </w:p>
    <w:p>
      <w:pPr>
        <w:ind w:left="3610"/>
        <w:spacing w:after="0"/>
        <w:rPr>
          <w:sz w:val="20"/>
          <w:szCs w:val="20"/>
          <w:color w:val="auto"/>
        </w:rPr>
      </w:pPr>
      <w:r>
        <w:rPr>
          <w:rFonts w:ascii="Courier New" w:cs="Courier New" w:eastAsia="Courier New" w:hAnsi="Courier New"/>
          <w:sz w:val="15"/>
          <w:szCs w:val="15"/>
          <w:color w:val="auto"/>
        </w:rPr>
        <w:t>Steven J. Guttman</w:t>
      </w:r>
    </w:p>
    <w:p>
      <w:pPr>
        <w:ind w:left="3610"/>
        <w:spacing w:after="0"/>
        <w:rPr>
          <w:sz w:val="20"/>
          <w:szCs w:val="20"/>
          <w:color w:val="auto"/>
        </w:rPr>
      </w:pPr>
      <w:r>
        <w:rPr>
          <w:rFonts w:ascii="Courier New" w:cs="Courier New" w:eastAsia="Courier New" w:hAnsi="Courier New"/>
          <w:sz w:val="15"/>
          <w:szCs w:val="15"/>
          <w:color w:val="auto"/>
        </w:rPr>
        <w:t>Chief Executive Officer and</w:t>
      </w:r>
    </w:p>
    <w:p>
      <w:pPr>
        <w:ind w:left="3610"/>
        <w:spacing w:after="0"/>
        <w:rPr>
          <w:sz w:val="20"/>
          <w:szCs w:val="20"/>
          <w:color w:val="auto"/>
        </w:rPr>
      </w:pPr>
      <w:r>
        <w:rPr>
          <w:rFonts w:ascii="Courier New" w:cs="Courier New" w:eastAsia="Courier New" w:hAnsi="Courier New"/>
          <w:sz w:val="15"/>
          <w:szCs w:val="15"/>
          <w:color w:val="auto"/>
        </w:rPr>
        <w:t>Trustee</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Attest:</w:t>
      </w:r>
    </w:p>
    <w:p>
      <w:pPr>
        <w:spacing w:after="0" w:line="169" w:lineRule="exact"/>
        <w:rPr>
          <w:sz w:val="20"/>
          <w:szCs w:val="20"/>
          <w:color w:val="auto"/>
        </w:rPr>
      </w:pPr>
    </w:p>
    <w:p>
      <w:pPr>
        <w:ind w:left="170" w:hanging="170"/>
        <w:spacing w:after="0"/>
        <w:tabs>
          <w:tab w:leader="none" w:pos="17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5"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Dawn M. Becker</w:t>
      </w:r>
    </w:p>
    <w:p>
      <w:pPr>
        <w:ind w:left="10" w:right="7499"/>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Vice President, General Counsel and Secretary</w:t>
      </w:r>
    </w:p>
    <w:p>
      <w:pPr>
        <w:spacing w:after="0" w:line="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169" w:lineRule="exact"/>
        <w:rPr>
          <w:sz w:val="20"/>
          <w:szCs w:val="20"/>
          <w:color w:val="auto"/>
        </w:rPr>
      </w:pPr>
    </w:p>
    <w:p>
      <w:pPr>
        <w:ind w:left="10" w:right="4239"/>
        <w:spacing w:after="0" w:line="347" w:lineRule="auto"/>
        <w:rPr>
          <w:sz w:val="20"/>
          <w:szCs w:val="20"/>
          <w:color w:val="auto"/>
        </w:rPr>
      </w:pPr>
      <w:r>
        <w:rPr>
          <w:rFonts w:ascii="Courier New" w:cs="Courier New" w:eastAsia="Courier New" w:hAnsi="Courier New"/>
          <w:sz w:val="15"/>
          <w:szCs w:val="15"/>
          <w:color w:val="auto"/>
        </w:rPr>
        <w:t>This is the Note of the series designated therein referred to in the within-mentioned Indenture.</w:t>
      </w:r>
    </w:p>
    <w:p>
      <w:pPr>
        <w:spacing w:after="0" w:line="17"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WACHOVIA BANK, NATIONAL</w:t>
      </w:r>
    </w:p>
    <w:p>
      <w:pPr>
        <w:spacing w:after="0" w:line="26"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ASSOCIATION, as Trustee</w:t>
      </w:r>
    </w:p>
    <w:p>
      <w:pPr>
        <w:spacing w:after="0" w:line="313"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By:</w:t>
      </w:r>
    </w:p>
    <w:p>
      <w:pPr>
        <w:spacing w:after="0" w:line="2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w:t>
      </w:r>
    </w:p>
    <w:p>
      <w:pPr>
        <w:jc w:val="center"/>
        <w:ind w:right="170"/>
        <w:spacing w:after="0"/>
        <w:rPr>
          <w:sz w:val="20"/>
          <w:szCs w:val="20"/>
          <w:color w:val="auto"/>
        </w:rPr>
      </w:pPr>
      <w:r>
        <w:rPr>
          <w:rFonts w:ascii="Courier New" w:cs="Courier New" w:eastAsia="Courier New" w:hAnsi="Courier New"/>
          <w:sz w:val="15"/>
          <w:szCs w:val="15"/>
          <w:color w:val="auto"/>
        </w:rPr>
        <w:t>Authorized Signatory</w:t>
      </w:r>
    </w:p>
    <w:p>
      <w:pPr>
        <w:sectPr>
          <w:pgSz w:w="11900" w:h="16838" w:orient="portrait"/>
          <w:cols w:equalWidth="0" w:num="1">
            <w:col w:w="10229"/>
          </w:cols>
          <w:pgMar w:left="230" w:top="601" w:right="1440" w:bottom="1440" w:gutter="0" w:footer="0" w:header="0"/>
        </w:sectPr>
      </w:pPr>
    </w:p>
    <w:bookmarkStart w:id="47" w:name="page48"/>
    <w:bookmarkEnd w:id="47"/>
    <w:p>
      <w:pPr>
        <w:jc w:val="center"/>
        <w:ind w:right="3099"/>
        <w:spacing w:after="0"/>
        <w:rPr>
          <w:sz w:val="20"/>
          <w:szCs w:val="20"/>
          <w:color w:val="auto"/>
        </w:rPr>
      </w:pPr>
      <w:r>
        <w:rPr>
          <w:rFonts w:ascii="Courier New" w:cs="Courier New" w:eastAsia="Courier New" w:hAnsi="Courier New"/>
          <w:sz w:val="15"/>
          <w:szCs w:val="15"/>
          <w:color w:val="auto"/>
        </w:rPr>
        <w:t>[Reverse of Security]</w:t>
      </w:r>
    </w:p>
    <w:p>
      <w:pPr>
        <w:spacing w:after="0" w:line="2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FEDERAL REALTY INVESTMENT TRUST</w:t>
      </w:r>
    </w:p>
    <w:p>
      <w:pPr>
        <w:spacing w:after="0" w:line="14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6 1/8% Note due November 15, 2007</w:t>
      </w:r>
    </w:p>
    <w:p>
      <w:pPr>
        <w:spacing w:after="0" w:line="169" w:lineRule="exact"/>
        <w:rPr>
          <w:sz w:val="20"/>
          <w:szCs w:val="20"/>
          <w:color w:val="auto"/>
        </w:rPr>
      </w:pPr>
    </w:p>
    <w:p>
      <w:pPr>
        <w:ind w:right="3179" w:firstLine="1587"/>
        <w:spacing w:after="0" w:line="246" w:lineRule="auto"/>
        <w:rPr>
          <w:sz w:val="20"/>
          <w:szCs w:val="20"/>
          <w:color w:val="auto"/>
        </w:rPr>
      </w:pPr>
      <w:r>
        <w:rPr>
          <w:rFonts w:ascii="Courier New" w:cs="Courier New" w:eastAsia="Courier New" w:hAnsi="Courier New"/>
          <w:sz w:val="15"/>
          <w:szCs w:val="15"/>
          <w:color w:val="auto"/>
        </w:rPr>
        <w:t>This Note is one of a duly authorized issue of securities of the Company (herein called the "Securities"), issued and to be issued in one or more series under an Indenture, dated as of September 1, 1998 (herein called the "Indenture") between the Company and Wachovia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"6 1/8% Notes due November 15, 2007" (collectively, the "Notes"), and the aggregate principal amount of the Notes to be issued under such series is limited to $150,000,000 (except for Notes authenticated and delivered upon transfer of, or in exchange for, or in lieu of other Notes). All terms used in this Note which are defined in the Indenture shall have the meanings assigned to them in the Indenture.</w:t>
      </w:r>
    </w:p>
    <w:p>
      <w:pPr>
        <w:spacing w:after="0" w:line="90" w:lineRule="exact"/>
        <w:rPr>
          <w:sz w:val="20"/>
          <w:szCs w:val="20"/>
          <w:color w:val="auto"/>
        </w:rPr>
      </w:pPr>
    </w:p>
    <w:p>
      <w:pPr>
        <w:ind w:right="3359" w:firstLine="1587"/>
        <w:spacing w:after="0" w:line="275" w:lineRule="auto"/>
        <w:rPr>
          <w:sz w:val="20"/>
          <w:szCs w:val="20"/>
          <w:color w:val="auto"/>
        </w:rPr>
      </w:pPr>
      <w:r>
        <w:rPr>
          <w:rFonts w:ascii="Courier New" w:cs="Courier New" w:eastAsia="Courier New" w:hAnsi="Courier New"/>
          <w:sz w:val="15"/>
          <w:szCs w:val="15"/>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69" w:lineRule="exact"/>
        <w:rPr>
          <w:sz w:val="20"/>
          <w:szCs w:val="20"/>
          <w:color w:val="auto"/>
        </w:rPr>
      </w:pPr>
    </w:p>
    <w:p>
      <w:pPr>
        <w:ind w:right="3179" w:firstLine="1587"/>
        <w:spacing w:after="0" w:line="266" w:lineRule="auto"/>
        <w:rPr>
          <w:sz w:val="20"/>
          <w:szCs w:val="20"/>
          <w:color w:val="auto"/>
        </w:rPr>
      </w:pPr>
      <w:r>
        <w:rPr>
          <w:rFonts w:ascii="Courier New" w:cs="Courier New" w:eastAsia="Courier New" w:hAnsi="Courier New"/>
          <w:sz w:val="14"/>
          <w:szCs w:val="14"/>
          <w:color w:val="auto"/>
        </w:rPr>
        <w:t>The Notes are subject to redemption at any time, in whole or in part, at the election of the Company, at a redemption price equal to the greater of (1) 100% of the principal amount of the Notes being redeemed, and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37.5 basis points plus, in each case, accrued interest thereon to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8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As used herein:</w:t>
      </w:r>
    </w:p>
    <w:p>
      <w:pPr>
        <w:spacing w:after="0" w:line="169" w:lineRule="exact"/>
        <w:rPr>
          <w:sz w:val="20"/>
          <w:szCs w:val="20"/>
          <w:color w:val="auto"/>
        </w:rPr>
      </w:pPr>
    </w:p>
    <w:p>
      <w:pPr>
        <w:ind w:left="780" w:right="3179" w:firstLine="793"/>
        <w:spacing w:after="0" w:line="261" w:lineRule="auto"/>
        <w:rPr>
          <w:sz w:val="20"/>
          <w:szCs w:val="20"/>
          <w:color w:val="auto"/>
        </w:rPr>
      </w:pPr>
      <w:r>
        <w:rPr>
          <w:rFonts w:ascii="Courier New" w:cs="Courier New" w:eastAsia="Courier New" w:hAnsi="Courier New"/>
          <w:sz w:val="15"/>
          <w:szCs w:val="15"/>
          <w:color w:val="auto"/>
        </w:rPr>
        <w:t>"Adjusted Treasury Rate"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78" w:lineRule="exact"/>
        <w:rPr>
          <w:sz w:val="20"/>
          <w:szCs w:val="20"/>
          <w:color w:val="auto"/>
        </w:rPr>
      </w:pPr>
    </w:p>
    <w:p>
      <w:pPr>
        <w:ind w:left="780" w:right="3359" w:firstLine="793"/>
        <w:spacing w:after="0" w:line="293" w:lineRule="auto"/>
        <w:rPr>
          <w:sz w:val="20"/>
          <w:szCs w:val="20"/>
          <w:color w:val="auto"/>
        </w:rPr>
      </w:pPr>
      <w:r>
        <w:rPr>
          <w:rFonts w:ascii="Courier New" w:cs="Courier New" w:eastAsia="Courier New" w:hAnsi="Courier New"/>
          <w:sz w:val="15"/>
          <w:szCs w:val="15"/>
          <w:color w:val="auto"/>
        </w:rPr>
        <w:t>"Comparable Treasury Issue" means the United States Treasury security selected by the Quotation Agent as having a maturity comparable to the remaining term of the</w:t>
      </w:r>
    </w:p>
    <w:p>
      <w:pPr>
        <w:sectPr>
          <w:pgSz w:w="11900" w:h="16838" w:orient="portrait"/>
          <w:cols w:equalWidth="0" w:num="1">
            <w:col w:w="10219"/>
          </w:cols>
          <w:pgMar w:left="240" w:top="601" w:right="1440" w:bottom="1440" w:gutter="0" w:footer="0" w:header="0"/>
        </w:sectPr>
      </w:pPr>
    </w:p>
    <w:bookmarkStart w:id="48" w:name="page49"/>
    <w:bookmarkEnd w:id="48"/>
    <w:p>
      <w:pPr>
        <w:ind w:left="780" w:right="3359"/>
        <w:spacing w:after="0" w:line="275" w:lineRule="auto"/>
        <w:rPr>
          <w:sz w:val="20"/>
          <w:szCs w:val="20"/>
          <w:color w:val="auto"/>
        </w:rPr>
      </w:pPr>
      <w:r>
        <w:rPr>
          <w:rFonts w:ascii="Courier New" w:cs="Courier New" w:eastAsia="Courier New" w:hAnsi="Courier New"/>
          <w:sz w:val="15"/>
          <w:szCs w:val="15"/>
          <w:color w:val="auto"/>
        </w:rPr>
        <w:t>notes to be redeemed that would be utilized, at the time of selection and in accordance with customary financial practice, in pricing new issues of corporate debt securities of comparable maturity to the remaining term of such notes.</w:t>
      </w:r>
    </w:p>
    <w:p>
      <w:pPr>
        <w:spacing w:after="0" w:line="69" w:lineRule="exact"/>
        <w:rPr>
          <w:sz w:val="20"/>
          <w:szCs w:val="20"/>
          <w:color w:val="auto"/>
        </w:rPr>
      </w:pPr>
    </w:p>
    <w:p>
      <w:pPr>
        <w:ind w:left="780" w:right="3179" w:firstLine="793"/>
        <w:spacing w:after="0" w:line="261" w:lineRule="auto"/>
        <w:rPr>
          <w:sz w:val="20"/>
          <w:szCs w:val="20"/>
          <w:color w:val="auto"/>
        </w:rPr>
      </w:pPr>
      <w:r>
        <w:rPr>
          <w:rFonts w:ascii="Courier New" w:cs="Courier New" w:eastAsia="Courier New" w:hAnsi="Courier New"/>
          <w:sz w:val="15"/>
          <w:szCs w:val="15"/>
          <w:color w:val="auto"/>
        </w:rPr>
        <w:t>"Comparable Treasury Price" means, with respect to any Redemption Date, (1) the average of the Reference Treasury Dealer Quotations for such Redemption Date, after excluding the highest and lowest such Reference Treasury Dealer Quotations, or (2) if the Trustee obtains fewer than three such Reference Treasury Dealer quotations, the average of all such Quotations.</w:t>
      </w:r>
    </w:p>
    <w:p>
      <w:pPr>
        <w:spacing w:after="0" w:line="78" w:lineRule="exact"/>
        <w:rPr>
          <w:sz w:val="20"/>
          <w:szCs w:val="20"/>
          <w:color w:val="auto"/>
        </w:rPr>
      </w:pPr>
    </w:p>
    <w:p>
      <w:pPr>
        <w:ind w:left="780" w:right="3979" w:firstLine="793"/>
        <w:spacing w:after="0" w:line="347" w:lineRule="auto"/>
        <w:rPr>
          <w:sz w:val="20"/>
          <w:szCs w:val="20"/>
          <w:color w:val="auto"/>
        </w:rPr>
      </w:pPr>
      <w:r>
        <w:rPr>
          <w:rFonts w:ascii="Courier New" w:cs="Courier New" w:eastAsia="Courier New" w:hAnsi="Courier New"/>
          <w:sz w:val="15"/>
          <w:szCs w:val="15"/>
          <w:color w:val="auto"/>
        </w:rPr>
        <w:t>"Quotation Agent" means the Reference Treasury Dealer appointed by the Company.</w:t>
      </w:r>
    </w:p>
    <w:p>
      <w:pPr>
        <w:spacing w:after="0" w:line="17" w:lineRule="exact"/>
        <w:rPr>
          <w:sz w:val="20"/>
          <w:szCs w:val="20"/>
          <w:color w:val="auto"/>
        </w:rPr>
      </w:pPr>
    </w:p>
    <w:p>
      <w:pPr>
        <w:ind w:left="780" w:right="3179" w:firstLine="793"/>
        <w:spacing w:after="0" w:line="257" w:lineRule="auto"/>
        <w:rPr>
          <w:sz w:val="20"/>
          <w:szCs w:val="20"/>
          <w:color w:val="auto"/>
        </w:rPr>
      </w:pPr>
      <w:r>
        <w:rPr>
          <w:rFonts w:ascii="Courier New" w:cs="Courier New" w:eastAsia="Courier New" w:hAnsi="Courier New"/>
          <w:sz w:val="15"/>
          <w:szCs w:val="15"/>
          <w:color w:val="auto"/>
        </w:rPr>
        <w:t>"Reference Treasury Dealer" means (1) each of Merrill, Lynch, Pierce, Fenner &amp; Smith Incorporated, Salomon Smith Barney Inc. and Wachovia Securities, Inc., and their respective successors; provided, however, that if any of the foregoing cease to be a primary U.S. Government securities dealer (a "Primary Treasury Dealer"), the Company will substitute therefor another Primary Treasury Dealer; and (2) any other Primary Treasury Dealer selected by the Company.</w:t>
      </w:r>
    </w:p>
    <w:p>
      <w:pPr>
        <w:spacing w:after="0" w:line="82" w:lineRule="exact"/>
        <w:rPr>
          <w:sz w:val="20"/>
          <w:szCs w:val="20"/>
          <w:color w:val="auto"/>
        </w:rPr>
      </w:pPr>
    </w:p>
    <w:p>
      <w:pPr>
        <w:ind w:left="780" w:right="3179" w:firstLine="793"/>
        <w:spacing w:after="0" w:line="267" w:lineRule="auto"/>
        <w:rPr>
          <w:sz w:val="20"/>
          <w:szCs w:val="20"/>
          <w:color w:val="auto"/>
        </w:rPr>
      </w:pPr>
      <w:r>
        <w:rPr>
          <w:rFonts w:ascii="Courier New" w:cs="Courier New" w:eastAsia="Courier New" w:hAnsi="Courier New"/>
          <w:sz w:val="14"/>
          <w:szCs w:val="14"/>
          <w:color w:val="auto"/>
        </w:rPr>
        <w:t>"Reference Treasury Dealer Quotations"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 together in the case of any such redemption with accrued interest to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79" w:lineRule="exact"/>
        <w:rPr>
          <w:sz w:val="20"/>
          <w:szCs w:val="20"/>
          <w:color w:val="auto"/>
        </w:rPr>
      </w:pPr>
    </w:p>
    <w:p>
      <w:pPr>
        <w:ind w:right="3179" w:firstLine="1587"/>
        <w:spacing w:after="0" w:line="293" w:lineRule="auto"/>
        <w:rPr>
          <w:sz w:val="20"/>
          <w:szCs w:val="20"/>
          <w:color w:val="auto"/>
        </w:rPr>
      </w:pPr>
      <w:r>
        <w:rPr>
          <w:rFonts w:ascii="Courier New" w:cs="Courier New" w:eastAsia="Courier New" w:hAnsi="Courier New"/>
          <w:sz w:val="15"/>
          <w:szCs w:val="15"/>
          <w:color w:val="auto"/>
        </w:rPr>
        <w:t>Notice of redemption will be given by mail to Holders of Securities, not less than 30 nor more than 60 days prior to the Redemption Date, all as provided in the Indenture.</w:t>
      </w:r>
    </w:p>
    <w:p>
      <w:pPr>
        <w:spacing w:after="0" w:line="56" w:lineRule="exact"/>
        <w:rPr>
          <w:sz w:val="20"/>
          <w:szCs w:val="20"/>
          <w:color w:val="auto"/>
        </w:rPr>
      </w:pPr>
    </w:p>
    <w:p>
      <w:pPr>
        <w:jc w:val="both"/>
        <w:ind w:right="3359" w:firstLine="1587"/>
        <w:spacing w:after="0" w:line="293" w:lineRule="auto"/>
        <w:rPr>
          <w:sz w:val="20"/>
          <w:szCs w:val="20"/>
          <w:color w:val="auto"/>
        </w:rPr>
      </w:pPr>
      <w:r>
        <w:rPr>
          <w:rFonts w:ascii="Courier New" w:cs="Courier New" w:eastAsia="Courier New" w:hAnsi="Courier New"/>
          <w:sz w:val="15"/>
          <w:szCs w:val="15"/>
          <w:color w:val="auto"/>
        </w:rPr>
        <w:t>In the event of redemption of this Note in part only, a new Note or Notes for the unredeemed portion hereof shall be issued in the name of the Holder hereof upon the cancellation hereof.</w:t>
      </w:r>
    </w:p>
    <w:p>
      <w:pPr>
        <w:spacing w:after="0" w:line="56" w:lineRule="exact"/>
        <w:rPr>
          <w:sz w:val="20"/>
          <w:szCs w:val="20"/>
          <w:color w:val="auto"/>
        </w:rPr>
      </w:pPr>
    </w:p>
    <w:p>
      <w:pPr>
        <w:ind w:right="3179" w:firstLine="1587"/>
        <w:spacing w:after="0" w:line="251"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w:t>
      </w:r>
    </w:p>
    <w:p>
      <w:pPr>
        <w:spacing w:after="0" w:line="8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1" w:right="1440" w:bottom="1440" w:gutter="0" w:footer="0" w:header="0"/>
        </w:sectPr>
      </w:pPr>
    </w:p>
    <w:bookmarkStart w:id="49" w:name="page50"/>
    <w:bookmarkEnd w:id="49"/>
    <w:p>
      <w:pPr>
        <w:ind w:right="3179" w:firstLine="1587"/>
        <w:spacing w:after="0" w:line="252" w:lineRule="auto"/>
        <w:rPr>
          <w:sz w:val="20"/>
          <w:szCs w:val="20"/>
          <w:color w:val="auto"/>
        </w:rPr>
      </w:pPr>
      <w:r>
        <w:rPr>
          <w:rFonts w:ascii="Courier New" w:cs="Courier New" w:eastAsia="Courier New" w:hAnsi="Courier New"/>
          <w:sz w:val="15"/>
          <w:szCs w:val="15"/>
          <w:color w:val="auto"/>
        </w:rPr>
        <w:t>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89" w:lineRule="exact"/>
        <w:rPr>
          <w:sz w:val="20"/>
          <w:szCs w:val="20"/>
          <w:color w:val="auto"/>
        </w:rPr>
      </w:pPr>
    </w:p>
    <w:p>
      <w:pPr>
        <w:ind w:right="3179" w:firstLine="1587"/>
        <w:spacing w:after="0" w:line="266" w:lineRule="auto"/>
        <w:rPr>
          <w:sz w:val="20"/>
          <w:szCs w:val="20"/>
          <w:color w:val="auto"/>
        </w:rPr>
      </w:pPr>
      <w:r>
        <w:rPr>
          <w:rFonts w:ascii="Courier New" w:cs="Courier New" w:eastAsia="Courier New" w:hAnsi="Courier New"/>
          <w:sz w:val="15"/>
          <w:szCs w:val="15"/>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75" w:lineRule="exact"/>
        <w:rPr>
          <w:sz w:val="20"/>
          <w:szCs w:val="20"/>
          <w:color w:val="auto"/>
        </w:rPr>
      </w:pPr>
    </w:p>
    <w:p>
      <w:pPr>
        <w:ind w:right="3179" w:firstLine="1587"/>
        <w:spacing w:after="0" w:line="246" w:lineRule="auto"/>
        <w:rPr>
          <w:sz w:val="20"/>
          <w:szCs w:val="20"/>
          <w:color w:val="auto"/>
        </w:rPr>
      </w:pPr>
      <w:r>
        <w:rPr>
          <w:rFonts w:ascii="Courier New" w:cs="Courier New" w:eastAsia="Courier New" w:hAnsi="Courier New"/>
          <w:sz w:val="15"/>
          <w:szCs w:val="15"/>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65% of the sum of (without duplication) (i)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90" w:lineRule="exact"/>
        <w:rPr>
          <w:sz w:val="20"/>
          <w:szCs w:val="20"/>
          <w:color w:val="auto"/>
        </w:rPr>
      </w:pPr>
    </w:p>
    <w:p>
      <w:pPr>
        <w:ind w:right="3179" w:firstLine="1587"/>
        <w:spacing w:after="0" w:line="262" w:lineRule="auto"/>
        <w:rPr>
          <w:sz w:val="20"/>
          <w:szCs w:val="20"/>
          <w:color w:val="auto"/>
        </w:rPr>
      </w:pPr>
      <w:r>
        <w:rPr>
          <w:rFonts w:ascii="Courier New" w:cs="Courier New" w:eastAsia="Courier New" w:hAnsi="Courier New"/>
          <w:sz w:val="14"/>
          <w:szCs w:val="14"/>
          <w:color w:val="auto"/>
        </w:rPr>
        <w:t>In addition to the foregoing limitation on the incurrence of Debt, the Company will not, and will not permit any Subsidiary to, incur any Debt secured by any mortgage, lien, charge, pledge, encumbrance or security interest of any kind upon any of the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occurrence of such additional Debt; provided, however, that for purposes of this limitation, the amount of obligations under capital leases shown as a liability on the Company's consolidated balance sheet shall be deducted from Debt and Total Assets.</w:t>
      </w:r>
    </w:p>
    <w:p>
      <w:pPr>
        <w:spacing w:after="0" w:line="2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01" w:right="1440" w:bottom="1440" w:gutter="0" w:footer="0" w:header="0"/>
        </w:sectPr>
      </w:pPr>
    </w:p>
    <w:bookmarkStart w:id="50" w:name="page51"/>
    <w:bookmarkEnd w:id="50"/>
    <w:p>
      <w:pPr>
        <w:ind w:right="3179" w:firstLine="1587"/>
        <w:spacing w:after="0" w:line="264" w:lineRule="auto"/>
        <w:rPr>
          <w:sz w:val="20"/>
          <w:szCs w:val="20"/>
          <w:color w:val="auto"/>
        </w:rPr>
      </w:pPr>
      <w:r>
        <w:rPr>
          <w:rFonts w:ascii="Courier New" w:cs="Courier New" w:eastAsia="Courier New" w:hAnsi="Courier New"/>
          <w:sz w:val="14"/>
          <w:szCs w:val="14"/>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w:t>
      </w:r>
    </w:p>
    <w:p>
      <w:pPr>
        <w:spacing w:after="0" w:line="1" w:lineRule="exact"/>
        <w:rPr>
          <w:sz w:val="20"/>
          <w:szCs w:val="20"/>
          <w:color w:val="auto"/>
        </w:rPr>
      </w:pPr>
    </w:p>
    <w:p>
      <w:pPr>
        <w:ind w:right="3179"/>
        <w:spacing w:after="0" w:line="261" w:lineRule="auto"/>
        <w:rPr>
          <w:sz w:val="20"/>
          <w:szCs w:val="20"/>
          <w:color w:val="auto"/>
        </w:rPr>
      </w:pPr>
      <w:r>
        <w:rPr>
          <w:rFonts w:ascii="Courier New" w:cs="Courier New" w:eastAsia="Courier New" w:hAnsi="Courier New"/>
          <w:sz w:val="14"/>
          <w:szCs w:val="14"/>
          <w:color w:val="auto"/>
        </w:rPr>
        <w:t>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incurred,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81"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Furthermore, the Company and each of its Subsidiaries taken as a whole, will, at all times maintain an Unencumbered Total Asset Value (as defined below) in an amount not less than 125% of the aggregate outstanding principal amount of the unsecured Debt of the Company and each of its Subsidiaries, taken as a whole.</w:t>
      </w:r>
    </w:p>
    <w:p>
      <w:pPr>
        <w:spacing w:after="0" w:line="7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As used herein,</w:t>
      </w:r>
    </w:p>
    <w:p>
      <w:pPr>
        <w:spacing w:after="0" w:line="169" w:lineRule="exact"/>
        <w:rPr>
          <w:sz w:val="20"/>
          <w:szCs w:val="20"/>
          <w:color w:val="auto"/>
        </w:rPr>
      </w:pPr>
    </w:p>
    <w:p>
      <w:pPr>
        <w:ind w:left="780" w:right="3359" w:firstLine="793"/>
        <w:spacing w:after="0" w:line="254" w:lineRule="auto"/>
        <w:rPr>
          <w:sz w:val="20"/>
          <w:szCs w:val="20"/>
          <w:color w:val="auto"/>
        </w:rPr>
      </w:pPr>
      <w:r>
        <w:rPr>
          <w:rFonts w:ascii="Courier New" w:cs="Courier New" w:eastAsia="Courier New" w:hAnsi="Courier New"/>
          <w:sz w:val="15"/>
          <w:szCs w:val="15"/>
          <w:color w:val="auto"/>
        </w:rPr>
        <w:t>"Acquired Debt"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87" w:lineRule="exact"/>
        <w:rPr>
          <w:sz w:val="20"/>
          <w:szCs w:val="20"/>
          <w:color w:val="auto"/>
        </w:rPr>
      </w:pPr>
    </w:p>
    <w:p>
      <w:pPr>
        <w:ind w:left="780" w:right="3259" w:firstLine="793"/>
        <w:spacing w:after="0" w:line="266" w:lineRule="auto"/>
        <w:rPr>
          <w:sz w:val="20"/>
          <w:szCs w:val="20"/>
          <w:color w:val="auto"/>
        </w:rPr>
      </w:pPr>
      <w:r>
        <w:rPr>
          <w:rFonts w:ascii="Courier New" w:cs="Courier New" w:eastAsia="Courier New" w:hAnsi="Courier New"/>
          <w:sz w:val="15"/>
          <w:szCs w:val="15"/>
          <w:color w:val="auto"/>
        </w:rPr>
        <w:t>"Annual Debt Service Charge"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75" w:lineRule="exact"/>
        <w:rPr>
          <w:sz w:val="20"/>
          <w:szCs w:val="20"/>
          <w:color w:val="auto"/>
        </w:rPr>
      </w:pPr>
    </w:p>
    <w:p>
      <w:pPr>
        <w:jc w:val="both"/>
        <w:ind w:left="780" w:right="3179" w:firstLine="793"/>
        <w:spacing w:after="0" w:line="293" w:lineRule="auto"/>
        <w:rPr>
          <w:sz w:val="20"/>
          <w:szCs w:val="20"/>
          <w:color w:val="auto"/>
        </w:rPr>
      </w:pPr>
      <w:r>
        <w:rPr>
          <w:rFonts w:ascii="Courier New" w:cs="Courier New" w:eastAsia="Courier New" w:hAnsi="Courier New"/>
          <w:sz w:val="15"/>
          <w:szCs w:val="15"/>
          <w:color w:val="auto"/>
        </w:rPr>
        <w:t>"Capital Stock" means, with respect to any Person, any capital stock (including preferred stock), shares, interests, participations or other ownership interests (however</w:t>
      </w:r>
    </w:p>
    <w:p>
      <w:pPr>
        <w:spacing w:after="0" w:line="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01" w:right="1440" w:bottom="1440" w:gutter="0" w:footer="0" w:header="0"/>
        </w:sectPr>
      </w:pPr>
    </w:p>
    <w:bookmarkStart w:id="51" w:name="page52"/>
    <w:bookmarkEnd w:id="51"/>
    <w:p>
      <w:pPr>
        <w:ind w:right="3359"/>
        <w:spacing w:after="0" w:line="293" w:lineRule="auto"/>
        <w:rPr>
          <w:sz w:val="20"/>
          <w:szCs w:val="20"/>
          <w:color w:val="auto"/>
        </w:rPr>
      </w:pPr>
      <w:r>
        <w:rPr>
          <w:rFonts w:ascii="Courier New" w:cs="Courier New" w:eastAsia="Courier New" w:hAnsi="Courier New"/>
          <w:sz w:val="15"/>
          <w:szCs w:val="15"/>
          <w:color w:val="auto"/>
        </w:rPr>
        <w:t>designated) of such Person and any rights (other than debt securities convertible into or exchangeable for corporate stock), warrants or options to purchase any thereof.</w:t>
      </w:r>
    </w:p>
    <w:p>
      <w:pPr>
        <w:spacing w:after="0" w:line="56"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"Consolidated Income Available for Debt Service" for any period means Funds from Operations (as defined below) of the Company and its Subsidiaries plus amounts which have been deducted for interest on Debt of the Company and its Subsidiaries.</w:t>
      </w:r>
    </w:p>
    <w:p>
      <w:pPr>
        <w:spacing w:after="0" w:line="69" w:lineRule="exact"/>
        <w:rPr>
          <w:sz w:val="20"/>
          <w:szCs w:val="20"/>
          <w:color w:val="auto"/>
        </w:rPr>
      </w:pPr>
    </w:p>
    <w:p>
      <w:pPr>
        <w:ind w:right="3259" w:firstLine="793"/>
        <w:spacing w:after="0" w:line="259" w:lineRule="auto"/>
        <w:rPr>
          <w:sz w:val="20"/>
          <w:szCs w:val="20"/>
          <w:color w:val="auto"/>
        </w:rPr>
      </w:pPr>
      <w:r>
        <w:rPr>
          <w:rFonts w:ascii="Courier New" w:cs="Courier New" w:eastAsia="Courier New" w:hAnsi="Courier New"/>
          <w:sz w:val="14"/>
          <w:szCs w:val="14"/>
          <w:color w:val="auto"/>
        </w:rPr>
        <w:t>"Debt"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Company or any Subsidiary with respect to redemption, repayment or other repurchase of any Disqualified Stock or</w:t>
      </w:r>
    </w:p>
    <w:p>
      <w:pPr>
        <w:spacing w:after="0" w:line="3" w:lineRule="exact"/>
        <w:rPr>
          <w:sz w:val="20"/>
          <w:szCs w:val="20"/>
          <w:color w:val="auto"/>
        </w:rPr>
      </w:pPr>
    </w:p>
    <w:p>
      <w:pPr>
        <w:ind w:right="3439" w:firstLine="4"/>
        <w:spacing w:after="0" w:line="256" w:lineRule="auto"/>
        <w:tabs>
          <w:tab w:leader="none" w:pos="353"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lease of property by the Company or any Subsidiary as lessee which is reflected on the Company's consolidated balance sheet as a capitalized lease in accordance with generally accepted accounting principles to the extent, in the case of items of indebtedness under</w:t>
      </w:r>
    </w:p>
    <w:p>
      <w:pPr>
        <w:spacing w:after="0" w:line="1" w:lineRule="exact"/>
        <w:rPr>
          <w:rFonts w:ascii="Courier New" w:cs="Courier New" w:eastAsia="Courier New" w:hAnsi="Courier New"/>
          <w:sz w:val="14"/>
          <w:szCs w:val="14"/>
          <w:color w:val="auto"/>
        </w:rPr>
      </w:pPr>
    </w:p>
    <w:p>
      <w:pPr>
        <w:ind w:right="3179" w:firstLine="4"/>
        <w:spacing w:after="0" w:line="244" w:lineRule="auto"/>
        <w:tabs>
          <w:tab w:leader="none" w:pos="353"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(iii) 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provided that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95" w:lineRule="exact"/>
        <w:rPr>
          <w:sz w:val="20"/>
          <w:szCs w:val="20"/>
          <w:color w:val="auto"/>
        </w:rPr>
      </w:pPr>
    </w:p>
    <w:p>
      <w:pPr>
        <w:ind w:right="3179" w:firstLine="793"/>
        <w:spacing w:after="0" w:line="273" w:lineRule="auto"/>
        <w:rPr>
          <w:sz w:val="20"/>
          <w:szCs w:val="20"/>
          <w:color w:val="auto"/>
        </w:rPr>
      </w:pPr>
      <w:r>
        <w:rPr>
          <w:rFonts w:ascii="Courier New" w:cs="Courier New" w:eastAsia="Courier New" w:hAnsi="Courier New"/>
          <w:sz w:val="14"/>
          <w:szCs w:val="14"/>
          <w:color w:val="auto"/>
        </w:rPr>
        <w:t>"Disqualified Stock" means, with respect to any Person, any Capital Stock of such Person which by the terms of such Capital Stock (or by the terms of any security into which it is convertible or for which it is exchangeable or exercisable), upon the happening of any event or otherwise (i) 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71" w:lineRule="exact"/>
        <w:rPr>
          <w:sz w:val="20"/>
          <w:szCs w:val="20"/>
          <w:color w:val="auto"/>
        </w:rPr>
      </w:pPr>
    </w:p>
    <w:p>
      <w:pPr>
        <w:ind w:right="3259" w:firstLine="793"/>
        <w:spacing w:after="0" w:line="275" w:lineRule="auto"/>
        <w:rPr>
          <w:sz w:val="20"/>
          <w:szCs w:val="20"/>
          <w:color w:val="auto"/>
        </w:rPr>
      </w:pPr>
      <w:r>
        <w:rPr>
          <w:rFonts w:ascii="Courier New" w:cs="Courier New" w:eastAsia="Courier New" w:hAnsi="Courier New"/>
          <w:sz w:val="15"/>
          <w:szCs w:val="15"/>
          <w:color w:val="auto"/>
        </w:rPr>
        <w:t>"Funds from Operations" for any period means income available to common shareholders before depreciation and amortization of real estate assets and before extraordinary items less gain on sale of real estate.</w:t>
      </w:r>
    </w:p>
    <w:p>
      <w:pPr>
        <w:spacing w:after="0" w:line="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439"/>
          </w:cols>
          <w:pgMar w:left="1020" w:top="601" w:right="1440" w:bottom="1440" w:gutter="0" w:footer="0" w:header="0"/>
        </w:sectPr>
      </w:pPr>
    </w:p>
    <w:bookmarkStart w:id="52" w:name="page53"/>
    <w:bookmarkEnd w:id="52"/>
    <w:p>
      <w:pPr>
        <w:ind w:left="780" w:right="3439" w:firstLine="793"/>
        <w:spacing w:after="0" w:line="276" w:lineRule="auto"/>
        <w:rPr>
          <w:sz w:val="20"/>
          <w:szCs w:val="20"/>
          <w:color w:val="auto"/>
        </w:rPr>
      </w:pPr>
      <w:r>
        <w:rPr>
          <w:rFonts w:ascii="Courier New" w:cs="Courier New" w:eastAsia="Courier New" w:hAnsi="Courier New"/>
          <w:sz w:val="14"/>
          <w:szCs w:val="14"/>
          <w:color w:val="auto"/>
        </w:rPr>
        <w:t>"Total Assets" as of any date means the sum of (i) the Company's and its Subsidiaries' Undepreciated Real Estate Assets and</w:t>
      </w:r>
    </w:p>
    <w:p>
      <w:pPr>
        <w:jc w:val="both"/>
        <w:ind w:left="780" w:right="3179" w:firstLine="4"/>
        <w:spacing w:after="0" w:line="275" w:lineRule="auto"/>
        <w:tabs>
          <w:tab w:leader="none" w:pos="122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assets of the Company and its Subsidiaries determined in accordance with generally accepted accounting principles (but excluding goodwill).</w:t>
      </w:r>
    </w:p>
    <w:p>
      <w:pPr>
        <w:spacing w:after="0" w:line="68" w:lineRule="exact"/>
        <w:rPr>
          <w:sz w:val="20"/>
          <w:szCs w:val="20"/>
          <w:color w:val="auto"/>
        </w:rPr>
      </w:pPr>
    </w:p>
    <w:p>
      <w:pPr>
        <w:ind w:left="780" w:right="3179" w:firstLine="793"/>
        <w:spacing w:after="0" w:line="266" w:lineRule="auto"/>
        <w:rPr>
          <w:sz w:val="20"/>
          <w:szCs w:val="20"/>
          <w:color w:val="auto"/>
        </w:rPr>
      </w:pPr>
      <w:r>
        <w:rPr>
          <w:rFonts w:ascii="Courier New" w:cs="Courier New" w:eastAsia="Courier New" w:hAnsi="Courier New"/>
          <w:sz w:val="15"/>
          <w:szCs w:val="15"/>
          <w:color w:val="auto"/>
        </w:rPr>
        <w:t>"Undepreciated Real Estate Assets"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75" w:lineRule="exact"/>
        <w:rPr>
          <w:sz w:val="20"/>
          <w:szCs w:val="20"/>
          <w:color w:val="auto"/>
        </w:rPr>
      </w:pPr>
    </w:p>
    <w:p>
      <w:pPr>
        <w:ind w:left="780" w:right="3179" w:firstLine="793"/>
        <w:spacing w:after="0" w:line="254" w:lineRule="auto"/>
        <w:rPr>
          <w:sz w:val="20"/>
          <w:szCs w:val="20"/>
          <w:color w:val="auto"/>
        </w:rPr>
      </w:pPr>
      <w:r>
        <w:rPr>
          <w:rFonts w:ascii="Courier New" w:cs="Courier New" w:eastAsia="Courier New" w:hAnsi="Courier New"/>
          <w:sz w:val="15"/>
          <w:szCs w:val="15"/>
          <w:color w:val="auto"/>
        </w:rPr>
        <w:t>"Unencumbered Total Asset Value"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w:t>
      </w:r>
    </w:p>
    <w:p>
      <w:pPr>
        <w:spacing w:after="0" w:line="87" w:lineRule="exact"/>
        <w:rPr>
          <w:sz w:val="20"/>
          <w:szCs w:val="20"/>
          <w:color w:val="auto"/>
        </w:rPr>
      </w:pPr>
    </w:p>
    <w:p>
      <w:pPr>
        <w:ind w:right="3179" w:firstLine="1587"/>
        <w:spacing w:after="0" w:line="271" w:lineRule="auto"/>
        <w:rPr>
          <w:sz w:val="20"/>
          <w:szCs w:val="20"/>
          <w:color w:val="auto"/>
        </w:rPr>
      </w:pPr>
      <w:r>
        <w:rPr>
          <w:rFonts w:ascii="Courier New" w:cs="Courier New" w:eastAsia="Courier New" w:hAnsi="Courier New"/>
          <w:sz w:val="14"/>
          <w:szCs w:val="14"/>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74" w:lineRule="exact"/>
        <w:rPr>
          <w:sz w:val="20"/>
          <w:szCs w:val="20"/>
          <w:color w:val="auto"/>
        </w:rPr>
      </w:pPr>
    </w:p>
    <w:p>
      <w:pPr>
        <w:ind w:right="3359" w:firstLine="1587"/>
        <w:spacing w:after="0" w:line="266" w:lineRule="auto"/>
        <w:rPr>
          <w:sz w:val="20"/>
          <w:szCs w:val="20"/>
          <w:color w:val="auto"/>
        </w:rPr>
      </w:pPr>
      <w:r>
        <w:rPr>
          <w:rFonts w:ascii="Courier New" w:cs="Courier New" w:eastAsia="Courier New" w:hAnsi="Courier New"/>
          <w:sz w:val="15"/>
          <w:szCs w:val="15"/>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75" w:lineRule="exact"/>
        <w:rPr>
          <w:sz w:val="20"/>
          <w:szCs w:val="20"/>
          <w:color w:val="auto"/>
        </w:rPr>
      </w:pPr>
    </w:p>
    <w:p>
      <w:pPr>
        <w:ind w:right="3259" w:firstLine="1587"/>
        <w:spacing w:after="0" w:line="293" w:lineRule="auto"/>
        <w:rPr>
          <w:sz w:val="20"/>
          <w:szCs w:val="20"/>
          <w:color w:val="auto"/>
        </w:rPr>
      </w:pPr>
      <w:r>
        <w:rPr>
          <w:rFonts w:ascii="Courier New" w:cs="Courier New" w:eastAsia="Courier New" w:hAnsi="Courier New"/>
          <w:sz w:val="15"/>
          <w:szCs w:val="15"/>
          <w:color w:val="auto"/>
        </w:rPr>
        <w:t>The Securities of this series are issuable only in registered form without coupons in denominations of $1,000 and any integral multiple thereof.</w:t>
      </w:r>
    </w:p>
    <w:p>
      <w:pPr>
        <w:spacing w:after="0" w:line="56" w:lineRule="exact"/>
        <w:rPr>
          <w:sz w:val="20"/>
          <w:szCs w:val="20"/>
          <w:color w:val="auto"/>
        </w:rPr>
      </w:pPr>
    </w:p>
    <w:p>
      <w:pPr>
        <w:ind w:right="3179" w:firstLine="1587"/>
        <w:spacing w:after="0" w:line="293" w:lineRule="auto"/>
        <w:rPr>
          <w:sz w:val="20"/>
          <w:szCs w:val="20"/>
          <w:color w:val="auto"/>
        </w:rPr>
      </w:pPr>
      <w:r>
        <w:rPr>
          <w:rFonts w:ascii="Courier New" w:cs="Courier New" w:eastAsia="Courier New" w:hAnsi="Courier New"/>
          <w:sz w:val="15"/>
          <w:szCs w:val="15"/>
          <w:color w:val="auto"/>
        </w:rPr>
        <w:t>No service charge shall be made for any such registration of transfer or exchange, but the Company may require payment of a sum sufficient to cover any tax or other governmental charge payable in connection therewith.</w:t>
      </w:r>
    </w:p>
    <w:p>
      <w:pPr>
        <w:spacing w:after="0" w:line="56" w:lineRule="exact"/>
        <w:rPr>
          <w:sz w:val="20"/>
          <w:szCs w:val="20"/>
          <w:color w:val="auto"/>
        </w:rPr>
      </w:pPr>
    </w:p>
    <w:p>
      <w:pPr>
        <w:ind w:right="3259" w:firstLine="1587"/>
        <w:spacing w:after="0" w:line="289" w:lineRule="auto"/>
        <w:rPr>
          <w:sz w:val="20"/>
          <w:szCs w:val="20"/>
          <w:color w:val="auto"/>
        </w:rPr>
      </w:pPr>
      <w:r>
        <w:rPr>
          <w:rFonts w:ascii="Courier New" w:cs="Courier New" w:eastAsia="Courier New" w:hAnsi="Courier New"/>
          <w:sz w:val="14"/>
          <w:szCs w:val="14"/>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01" w:right="1440" w:bottom="1440" w:gutter="0" w:footer="0" w:header="0"/>
        </w:sectPr>
      </w:pPr>
    </w:p>
    <w:bookmarkStart w:id="53" w:name="page54"/>
    <w:bookmarkEnd w:id="53"/>
    <w:p>
      <w:pPr>
        <w:ind w:right="3179" w:firstLine="1587"/>
        <w:spacing w:after="0" w:line="293" w:lineRule="auto"/>
        <w:rPr>
          <w:sz w:val="20"/>
          <w:szCs w:val="20"/>
          <w:color w:val="auto"/>
        </w:rPr>
      </w:pPr>
      <w:r>
        <w:rPr>
          <w:rFonts w:ascii="Courier New" w:cs="Courier New" w:eastAsia="Courier New" w:hAnsi="Courier New"/>
          <w:sz w:val="15"/>
          <w:szCs w:val="15"/>
          <w:color w:val="auto"/>
        </w:rPr>
        <w:t>The Indenture and the Notes shall be governed by and construed in accordance with the laws of the State of New York applicable to agreements made and to be performed entirely in such State.</w:t>
      </w:r>
    </w:p>
    <w:p>
      <w:pPr>
        <w:spacing w:after="0" w:line="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01" w:right="1440" w:bottom="1440" w:gutter="0" w:footer="0" w:header="0"/>
        </w:sectPr>
      </w:pPr>
    </w:p>
    <w:bookmarkStart w:id="54" w:name="page55"/>
    <w:bookmarkEnd w:id="54"/>
    <w:p>
      <w:pPr>
        <w:ind w:left="5900"/>
        <w:spacing w:after="0"/>
        <w:rPr>
          <w:sz w:val="20"/>
          <w:szCs w:val="20"/>
          <w:color w:val="auto"/>
        </w:rPr>
      </w:pPr>
      <w:r>
        <w:rPr>
          <w:rFonts w:ascii="Courier New" w:cs="Courier New" w:eastAsia="Courier New" w:hAnsi="Courier New"/>
          <w:sz w:val="14"/>
          <w:szCs w:val="14"/>
          <w:color w:val="auto"/>
        </w:rPr>
        <w:t>Exhibit 4.01</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[Face of Security]</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6 1/8% Note due November 15, 2007</w:t>
      </w:r>
    </w:p>
    <w:p>
      <w:pPr>
        <w:sectPr>
          <w:pgSz w:w="11900" w:h="16838" w:orient="portrait"/>
          <w:cols w:equalWidth="0" w:num="1">
            <w:col w:w="10219"/>
          </w:cols>
          <w:pgMar w:left="240" w:top="454"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$150,000,000</w:t>
      </w:r>
    </w:p>
    <w:p>
      <w:pPr>
        <w:spacing w:after="0" w:line="88" w:lineRule="exact"/>
        <w:rPr>
          <w:sz w:val="20"/>
          <w:szCs w:val="20"/>
          <w:color w:val="auto"/>
        </w:rPr>
      </w:pPr>
    </w:p>
    <w:p>
      <w:pPr>
        <w:sectPr>
          <w:pgSz w:w="11900" w:h="16838" w:orient="portrait"/>
          <w:cols w:equalWidth="0" w:num="2">
            <w:col w:w="5180" w:space="720"/>
            <w:col w:w="4319"/>
          </w:cols>
          <w:pgMar w:left="240" w:top="454" w:right="1440"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54" w:right="1440" w:bottom="1440" w:gutter="0" w:footer="0" w:header="0"/>
          <w:type w:val="continuous"/>
        </w:sectPr>
      </w:pPr>
    </w:p>
    <w:p>
      <w:pPr>
        <w:spacing w:after="0" w:line="273" w:lineRule="exact"/>
        <w:rPr>
          <w:sz w:val="20"/>
          <w:szCs w:val="20"/>
          <w:color w:val="auto"/>
        </w:rPr>
      </w:pPr>
    </w:p>
    <w:p>
      <w:pPr>
        <w:ind w:right="3259"/>
        <w:spacing w:after="0" w:line="278" w:lineRule="auto"/>
        <w:rPr>
          <w:sz w:val="20"/>
          <w:szCs w:val="20"/>
          <w:color w:val="auto"/>
        </w:rPr>
      </w:pPr>
      <w:r>
        <w:rPr>
          <w:rFonts w:ascii="Courier New" w:cs="Courier New" w:eastAsia="Courier New" w:hAnsi="Courier New"/>
          <w:sz w:val="14"/>
          <w:szCs w:val="14"/>
          <w:color w:val="auto"/>
        </w:rPr>
        <w:t>UNLESS THIS NOTE IS PRESENTED BY AN AUTHORIZED REPRESENTATIVE OF THE DEPOSITORY TRUST COMPANY (55 WATER STREET, NEW YORK, NEW YORK)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70"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75" w:lineRule="exact"/>
        <w:rPr>
          <w:sz w:val="20"/>
          <w:szCs w:val="20"/>
          <w:color w:val="auto"/>
        </w:rPr>
      </w:pPr>
    </w:p>
    <w:p>
      <w:pPr>
        <w:ind w:right="3179"/>
        <w:spacing w:after="0" w:line="347" w:lineRule="auto"/>
        <w:rPr>
          <w:sz w:val="20"/>
          <w:szCs w:val="20"/>
          <w:color w:val="auto"/>
        </w:rPr>
      </w:pPr>
      <w:r>
        <w:rPr>
          <w:rFonts w:ascii="Courier New" w:cs="Courier New" w:eastAsia="Courier New" w:hAnsi="Courier New"/>
          <w:sz w:val="15"/>
          <w:szCs w:val="15"/>
          <w:color w:val="auto"/>
        </w:rPr>
        <w:t>THIS NOTE WILL BE ISSUED AND MAY BE TRANSFERRED ONLY IN MINIMUM DENOMINATIONS OF $1,000 AND INTEGRAL MULTIPLES OF $1,000 IN EXCESS THEREOF.</w:t>
      </w:r>
    </w:p>
    <w:p>
      <w:pPr>
        <w:spacing w:after="0" w:line="17" w:lineRule="exact"/>
        <w:rPr>
          <w:sz w:val="20"/>
          <w:szCs w:val="20"/>
          <w:color w:val="auto"/>
        </w:rPr>
      </w:pPr>
    </w:p>
    <w:p>
      <w:pPr>
        <w:ind w:right="3179" w:firstLine="793"/>
        <w:spacing w:after="0" w:line="244" w:lineRule="auto"/>
        <w:rPr>
          <w:sz w:val="20"/>
          <w:szCs w:val="20"/>
          <w:color w:val="auto"/>
        </w:rPr>
      </w:pPr>
      <w:r>
        <w:rPr>
          <w:rFonts w:ascii="Courier New" w:cs="Courier New" w:eastAsia="Courier New" w:hAnsi="Courier New"/>
          <w:sz w:val="15"/>
          <w:szCs w:val="15"/>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One Hundred Fifty Million Dollars on November 15, 2007 (the "Stated Maturity Date") or the date fixed for earlier redemption (the "Redemption Date," and together with the Stated Maturity Date with respect to principal repayable on such date, the "Maturity Date"), and to pay interest thereon from November 19, 2002 or from the most recent interest payment date to which interest has been paid or duly provided for, semi-annually on May 15 and November 15 in each year (each, an "Interest Payment Date"), commencing May 15, 2003, at the rate of 6 1/8%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May 1 or November 1 (whether or not a Business Day), as the case may be, next preceding such Interest Payment Date at the office or agency of the Company maintained for such purpose; provided, however, that such interest may be paid, at the Company's option, by mailing a check to such Holder at its</w:t>
      </w:r>
    </w:p>
    <w:p>
      <w:pPr>
        <w:sectPr>
          <w:pgSz w:w="11900" w:h="16838" w:orient="portrait"/>
          <w:cols w:equalWidth="0" w:num="1">
            <w:col w:w="10219"/>
          </w:cols>
          <w:pgMar w:left="240" w:top="454" w:right="1440" w:bottom="1440" w:gutter="0" w:footer="0" w:header="0"/>
          <w:type w:val="continuous"/>
        </w:sectPr>
      </w:pPr>
    </w:p>
    <w:bookmarkStart w:id="55" w:name="page56"/>
    <w:bookmarkEnd w:id="55"/>
    <w:p>
      <w:pPr>
        <w:ind w:right="3179"/>
        <w:spacing w:after="0" w:line="248" w:lineRule="auto"/>
        <w:rPr>
          <w:sz w:val="20"/>
          <w:szCs w:val="20"/>
          <w:color w:val="auto"/>
        </w:rPr>
      </w:pPr>
      <w:r>
        <w:rPr>
          <w:rFonts w:ascii="Courier New" w:cs="Courier New" w:eastAsia="Courier New" w:hAnsi="Courier New"/>
          <w:sz w:val="15"/>
          <w:szCs w:val="15"/>
          <w:color w:val="auto"/>
        </w:rPr>
        <w:t>registered 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91"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5"/>
          <w:szCs w:val="15"/>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82" w:lineRule="exact"/>
        <w:rPr>
          <w:sz w:val="20"/>
          <w:szCs w:val="20"/>
          <w:color w:val="auto"/>
        </w:rPr>
      </w:pPr>
    </w:p>
    <w:p>
      <w:pPr>
        <w:ind w:right="3179" w:firstLine="793"/>
        <w:spacing w:after="0" w:line="246" w:lineRule="auto"/>
        <w:rPr>
          <w:sz w:val="20"/>
          <w:szCs w:val="20"/>
          <w:color w:val="auto"/>
        </w:rPr>
      </w:pPr>
      <w:r>
        <w:rPr>
          <w:rFonts w:ascii="Courier New" w:cs="Courier New" w:eastAsia="Courier New" w:hAnsi="Courier New"/>
          <w:sz w:val="15"/>
          <w:szCs w:val="15"/>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November 19, 2002, if no interest has been paid on this Note) to but excluding such Interest Payment Date or the Maturity Date, as the case may be. If any Interest Payment Date or the Maturity Date falls on a day that is not a Business Day, as defined below,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95" w:lineRule="exact"/>
        <w:rPr>
          <w:sz w:val="20"/>
          <w:szCs w:val="20"/>
          <w:color w:val="auto"/>
        </w:rPr>
      </w:pPr>
    </w:p>
    <w:p>
      <w:pPr>
        <w:ind w:right="3259" w:firstLine="793"/>
        <w:spacing w:after="0" w:line="347" w:lineRule="auto"/>
        <w:rPr>
          <w:sz w:val="20"/>
          <w:szCs w:val="20"/>
          <w:color w:val="auto"/>
        </w:rPr>
      </w:pPr>
      <w:r>
        <w:rPr>
          <w:rFonts w:ascii="Courier New" w:cs="Courier New" w:eastAsia="Courier New" w:hAnsi="Courier New"/>
          <w:sz w:val="15"/>
          <w:szCs w:val="15"/>
          <w:color w:val="auto"/>
        </w:rPr>
        <w:t>All payments of principal, premium, if any, and interest in respect of this Note will be made by the Company in immediately available funds.</w:t>
      </w:r>
    </w:p>
    <w:p>
      <w:pPr>
        <w:spacing w:after="0" w:line="17" w:lineRule="exact"/>
        <w:rPr>
          <w:sz w:val="20"/>
          <w:szCs w:val="20"/>
          <w:color w:val="auto"/>
        </w:rPr>
      </w:pPr>
    </w:p>
    <w:p>
      <w:pPr>
        <w:jc w:val="both"/>
        <w:ind w:right="3539" w:firstLine="793"/>
        <w:spacing w:after="0" w:line="293" w:lineRule="auto"/>
        <w:rPr>
          <w:sz w:val="20"/>
          <w:szCs w:val="20"/>
          <w:color w:val="auto"/>
        </w:rPr>
      </w:pPr>
      <w:r>
        <w:rPr>
          <w:rFonts w:ascii="Courier New" w:cs="Courier New" w:eastAsia="Courier New" w:hAnsi="Courier New"/>
          <w:sz w:val="15"/>
          <w:szCs w:val="15"/>
          <w:color w:val="auto"/>
        </w:rPr>
        <w:t>Reference is hereby made to the further provisions of this Note set forth on the reverse hereof, which further provisions shall for all purposes have the same effect as if set forth at this place.</w:t>
      </w:r>
    </w:p>
    <w:p>
      <w:pPr>
        <w:spacing w:after="0" w:line="56" w:lineRule="exact"/>
        <w:rPr>
          <w:sz w:val="20"/>
          <w:szCs w:val="20"/>
          <w:color w:val="auto"/>
        </w:rPr>
      </w:pPr>
    </w:p>
    <w:p>
      <w:pPr>
        <w:ind w:right="3259" w:firstLine="793"/>
        <w:spacing w:after="0" w:line="275" w:lineRule="auto"/>
        <w:rPr>
          <w:sz w:val="20"/>
          <w:szCs w:val="20"/>
          <w:color w:val="auto"/>
        </w:rPr>
      </w:pPr>
      <w:r>
        <w:rPr>
          <w:rFonts w:ascii="Courier New" w:cs="Courier New" w:eastAsia="Courier New" w:hAnsi="Courier New"/>
          <w:sz w:val="15"/>
          <w:szCs w:val="15"/>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[This space intentionally left blank]</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1" w:right="1440" w:bottom="1440" w:gutter="0" w:footer="0" w:header="0"/>
        </w:sectPr>
      </w:pPr>
    </w:p>
    <w:bookmarkStart w:id="56" w:name="page57"/>
    <w:bookmarkEnd w:id="56"/>
    <w:p>
      <w:pPr>
        <w:jc w:val="right"/>
        <w:ind w:right="3359"/>
        <w:spacing w:after="0"/>
        <w:rPr>
          <w:sz w:val="20"/>
          <w:szCs w:val="20"/>
          <w:color w:val="auto"/>
        </w:rPr>
      </w:pPr>
      <w:r>
        <w:rPr>
          <w:rFonts w:ascii="Courier New" w:cs="Courier New" w:eastAsia="Courier New" w:hAnsi="Courier New"/>
          <w:sz w:val="15"/>
          <w:szCs w:val="15"/>
          <w:color w:val="auto"/>
        </w:rPr>
        <w:t>IN WITNESS WHEREOF, the Company has caused this instrument to be duly</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executed.</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Dated: November __, 2002</w:t>
      </w:r>
    </w:p>
    <w:p>
      <w:pPr>
        <w:spacing w:after="0" w:line="169"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By: ______________________________________</w:t>
      </w:r>
    </w:p>
    <w:p>
      <w:pPr>
        <w:spacing w:after="0" w:line="25"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Steven J. Guttman</w:t>
      </w:r>
    </w:p>
    <w:p>
      <w:pPr>
        <w:ind w:left="2550"/>
        <w:spacing w:after="0"/>
        <w:rPr>
          <w:sz w:val="20"/>
          <w:szCs w:val="20"/>
          <w:color w:val="auto"/>
        </w:rPr>
      </w:pPr>
      <w:r>
        <w:rPr>
          <w:rFonts w:ascii="Courier New" w:cs="Courier New" w:eastAsia="Courier New" w:hAnsi="Courier New"/>
          <w:sz w:val="15"/>
          <w:szCs w:val="15"/>
          <w:color w:val="auto"/>
        </w:rPr>
        <w:t>Chief Executive Officer and</w:t>
      </w:r>
    </w:p>
    <w:p>
      <w:pPr>
        <w:ind w:left="2550"/>
        <w:spacing w:after="0"/>
        <w:rPr>
          <w:sz w:val="20"/>
          <w:szCs w:val="20"/>
          <w:color w:val="auto"/>
        </w:rPr>
      </w:pPr>
      <w:r>
        <w:rPr>
          <w:rFonts w:ascii="Courier New" w:cs="Courier New" w:eastAsia="Courier New" w:hAnsi="Courier New"/>
          <w:sz w:val="15"/>
          <w:szCs w:val="15"/>
          <w:color w:val="auto"/>
        </w:rPr>
        <w:t>Trustee</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Attest:</w:t>
      </w:r>
    </w:p>
    <w:p>
      <w:pPr>
        <w:spacing w:after="0" w:line="339" w:lineRule="exact"/>
        <w:rPr>
          <w:sz w:val="20"/>
          <w:szCs w:val="20"/>
          <w:color w:val="auto"/>
        </w:rPr>
      </w:pPr>
    </w:p>
    <w:p>
      <w:pPr>
        <w:ind w:left="170" w:hanging="170"/>
        <w:spacing w:after="0"/>
        <w:tabs>
          <w:tab w:leader="none" w:pos="17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5"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Dawn M. Becker</w:t>
      </w:r>
    </w:p>
    <w:p>
      <w:pPr>
        <w:ind w:left="10" w:right="7499"/>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Vice President, General Counsel and Secretary</w:t>
      </w:r>
    </w:p>
    <w:p>
      <w:pPr>
        <w:spacing w:after="0" w:line="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169" w:lineRule="exact"/>
        <w:rPr>
          <w:sz w:val="20"/>
          <w:szCs w:val="20"/>
          <w:color w:val="auto"/>
        </w:rPr>
      </w:pPr>
    </w:p>
    <w:p>
      <w:pPr>
        <w:ind w:left="10" w:right="4239"/>
        <w:spacing w:after="0" w:line="347" w:lineRule="auto"/>
        <w:rPr>
          <w:sz w:val="20"/>
          <w:szCs w:val="20"/>
          <w:color w:val="auto"/>
        </w:rPr>
      </w:pPr>
      <w:r>
        <w:rPr>
          <w:rFonts w:ascii="Courier New" w:cs="Courier New" w:eastAsia="Courier New" w:hAnsi="Courier New"/>
          <w:sz w:val="15"/>
          <w:szCs w:val="15"/>
          <w:color w:val="auto"/>
        </w:rPr>
        <w:t>This is the Note of the series designated therein referred to in the within-mentioned Indenture.</w:t>
      </w:r>
    </w:p>
    <w:p>
      <w:pPr>
        <w:spacing w:after="0" w:line="17"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WACHOVIA BANK, NATIONAL ASSOCIATION, as Trustee</w:t>
      </w:r>
    </w:p>
    <w:p>
      <w:pPr>
        <w:spacing w:after="0" w:line="339"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By: ______________________________________</w:t>
      </w:r>
    </w:p>
    <w:p>
      <w:pPr>
        <w:spacing w:after="0" w:line="26"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Authorized Signatory</w:t>
      </w:r>
    </w:p>
    <w:p>
      <w:pPr>
        <w:sectPr>
          <w:pgSz w:w="11900" w:h="16838" w:orient="portrait"/>
          <w:cols w:equalWidth="0" w:num="1">
            <w:col w:w="10229"/>
          </w:cols>
          <w:pgMar w:left="230" w:top="601" w:right="1440" w:bottom="1440" w:gutter="0" w:footer="0" w:header="0"/>
        </w:sectPr>
      </w:pPr>
    </w:p>
    <w:bookmarkStart w:id="57" w:name="page58"/>
    <w:bookmarkEnd w:id="57"/>
    <w:p>
      <w:pPr>
        <w:jc w:val="center"/>
        <w:ind w:right="3090"/>
        <w:spacing w:after="0"/>
        <w:rPr>
          <w:sz w:val="20"/>
          <w:szCs w:val="20"/>
          <w:color w:val="auto"/>
        </w:rPr>
      </w:pPr>
      <w:r>
        <w:rPr>
          <w:rFonts w:ascii="Courier New" w:cs="Courier New" w:eastAsia="Courier New" w:hAnsi="Courier New"/>
          <w:sz w:val="15"/>
          <w:szCs w:val="15"/>
          <w:color w:val="auto"/>
        </w:rPr>
        <w:t>[Reverse of Security]</w:t>
      </w:r>
    </w:p>
    <w:p>
      <w:pPr>
        <w:spacing w:after="0" w:line="169"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6 1/8% Note due November 15, 2007</w:t>
      </w:r>
    </w:p>
    <w:p>
      <w:pPr>
        <w:spacing w:after="0" w:line="169" w:lineRule="exact"/>
        <w:rPr>
          <w:sz w:val="20"/>
          <w:szCs w:val="20"/>
          <w:color w:val="auto"/>
        </w:rPr>
      </w:pPr>
    </w:p>
    <w:p>
      <w:pPr>
        <w:ind w:left="10" w:right="3179" w:firstLine="793"/>
        <w:spacing w:after="0" w:line="246" w:lineRule="auto"/>
        <w:rPr>
          <w:sz w:val="20"/>
          <w:szCs w:val="20"/>
          <w:color w:val="auto"/>
        </w:rPr>
      </w:pPr>
      <w:r>
        <w:rPr>
          <w:rFonts w:ascii="Courier New" w:cs="Courier New" w:eastAsia="Courier New" w:hAnsi="Courier New"/>
          <w:sz w:val="15"/>
          <w:szCs w:val="15"/>
          <w:color w:val="auto"/>
        </w:rPr>
        <w:t>This Note is one of a duly authorized issue of securities of the Company (herein called the "Securities"), issued and to be issued in one or more series under an Indenture, dated as of September 1, 1998 (herein called the "Indenture") between the Company and Wachovia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"6 1/8% Notes due November 15, 2007" (collectively, the "Notes"), and the aggregate principal amount of the Notes to be issued under such series is limited to $150,000,000 (except for Notes authenticated and delivered upon transfer of, or in exchange for, or in lieu of other Notes). All terms used in this Note which are defined in the Indenture shall have the meanings assigned to them in the Indenture.</w:t>
      </w:r>
    </w:p>
    <w:p>
      <w:pPr>
        <w:spacing w:after="0" w:line="90" w:lineRule="exact"/>
        <w:rPr>
          <w:sz w:val="20"/>
          <w:szCs w:val="20"/>
          <w:color w:val="auto"/>
        </w:rPr>
      </w:pPr>
    </w:p>
    <w:p>
      <w:pPr>
        <w:ind w:left="10" w:right="3179" w:firstLine="793"/>
        <w:spacing w:after="0" w:line="293" w:lineRule="auto"/>
        <w:rPr>
          <w:sz w:val="20"/>
          <w:szCs w:val="20"/>
          <w:color w:val="auto"/>
        </w:rPr>
      </w:pPr>
      <w:r>
        <w:rPr>
          <w:rFonts w:ascii="Courier New" w:cs="Courier New" w:eastAsia="Courier New" w:hAnsi="Courier New"/>
          <w:sz w:val="15"/>
          <w:szCs w:val="15"/>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56" w:lineRule="exact"/>
        <w:rPr>
          <w:sz w:val="20"/>
          <w:szCs w:val="20"/>
          <w:color w:val="auto"/>
        </w:rPr>
      </w:pPr>
    </w:p>
    <w:p>
      <w:pPr>
        <w:ind w:left="10" w:right="3359" w:firstLine="793"/>
        <w:spacing w:after="0" w:line="276" w:lineRule="auto"/>
        <w:rPr>
          <w:sz w:val="20"/>
          <w:szCs w:val="20"/>
          <w:color w:val="auto"/>
        </w:rPr>
      </w:pPr>
      <w:r>
        <w:rPr>
          <w:rFonts w:ascii="Courier New" w:cs="Courier New" w:eastAsia="Courier New" w:hAnsi="Courier New"/>
          <w:sz w:val="14"/>
          <w:szCs w:val="14"/>
          <w:color w:val="auto"/>
        </w:rPr>
        <w:t>The Notes are subject to redemption at any time, in whole or in part, at the election of the Company, at a redemption price equal to the greater of</w:t>
      </w:r>
    </w:p>
    <w:p>
      <w:pPr>
        <w:ind w:left="350" w:hanging="350"/>
        <w:spacing w:after="0"/>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of the principal amount of the Notes being redeemed, and (2) as</w:t>
      </w:r>
    </w:p>
    <w:p>
      <w:pPr>
        <w:ind w:left="10" w:right="325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37.5 basis points plus, in each case, accrued interest thereon to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82"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As used herein:</w:t>
      </w:r>
    </w:p>
    <w:p>
      <w:pPr>
        <w:spacing w:after="0" w:line="169" w:lineRule="exact"/>
        <w:rPr>
          <w:sz w:val="20"/>
          <w:szCs w:val="20"/>
          <w:color w:val="auto"/>
        </w:rPr>
      </w:pPr>
    </w:p>
    <w:p>
      <w:pPr>
        <w:ind w:left="450" w:right="3179" w:firstLine="441"/>
        <w:spacing w:after="0" w:line="266" w:lineRule="auto"/>
        <w:rPr>
          <w:sz w:val="20"/>
          <w:szCs w:val="20"/>
          <w:color w:val="auto"/>
        </w:rPr>
      </w:pPr>
      <w:r>
        <w:rPr>
          <w:rFonts w:ascii="Courier New" w:cs="Courier New" w:eastAsia="Courier New" w:hAnsi="Courier New"/>
          <w:sz w:val="15"/>
          <w:szCs w:val="15"/>
          <w:color w:val="auto"/>
        </w:rPr>
        <w:t>"Adjusted Treasury Rate"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75" w:lineRule="exact"/>
        <w:rPr>
          <w:sz w:val="20"/>
          <w:szCs w:val="20"/>
          <w:color w:val="auto"/>
        </w:rPr>
      </w:pPr>
    </w:p>
    <w:p>
      <w:pPr>
        <w:ind w:left="450" w:right="3259" w:firstLine="441"/>
        <w:spacing w:after="0" w:line="293" w:lineRule="auto"/>
        <w:rPr>
          <w:sz w:val="20"/>
          <w:szCs w:val="20"/>
          <w:color w:val="auto"/>
        </w:rPr>
      </w:pPr>
      <w:r>
        <w:rPr>
          <w:rFonts w:ascii="Courier New" w:cs="Courier New" w:eastAsia="Courier New" w:hAnsi="Courier New"/>
          <w:sz w:val="15"/>
          <w:szCs w:val="15"/>
          <w:color w:val="auto"/>
        </w:rPr>
        <w:t>"Comparable Treasury Issue" means the United States Treasury security selected by the Quotation Agent as having a maturity comparable to the remaining term of the</w:t>
      </w:r>
    </w:p>
    <w:p>
      <w:pPr>
        <w:sectPr>
          <w:pgSz w:w="11900" w:h="16838" w:orient="portrait"/>
          <w:cols w:equalWidth="0" w:num="1">
            <w:col w:w="10229"/>
          </w:cols>
          <w:pgMar w:left="230" w:top="601" w:right="1440" w:bottom="1440" w:gutter="0" w:footer="0" w:header="0"/>
        </w:sectPr>
      </w:pPr>
    </w:p>
    <w:bookmarkStart w:id="58" w:name="page59"/>
    <w:bookmarkEnd w:id="58"/>
    <w:p>
      <w:pPr>
        <w:jc w:val="both"/>
        <w:ind w:left="440" w:right="3359"/>
        <w:spacing w:after="0" w:line="275" w:lineRule="auto"/>
        <w:rPr>
          <w:sz w:val="20"/>
          <w:szCs w:val="20"/>
          <w:color w:val="auto"/>
        </w:rPr>
      </w:pPr>
      <w:r>
        <w:rPr>
          <w:rFonts w:ascii="Courier New" w:cs="Courier New" w:eastAsia="Courier New" w:hAnsi="Courier New"/>
          <w:sz w:val="15"/>
          <w:szCs w:val="15"/>
          <w:color w:val="auto"/>
        </w:rPr>
        <w:t>notes to be redeemed that would be utilized, at the time of selection and in accordance with customary financial practice, in pricing new issues of corporate debt securities of comparable maturity to the remaining term of such notes.</w:t>
      </w:r>
    </w:p>
    <w:p>
      <w:pPr>
        <w:spacing w:after="0" w:line="69" w:lineRule="exact"/>
        <w:rPr>
          <w:sz w:val="20"/>
          <w:szCs w:val="20"/>
          <w:color w:val="auto"/>
        </w:rPr>
      </w:pPr>
    </w:p>
    <w:p>
      <w:pPr>
        <w:ind w:left="440" w:right="3259" w:firstLine="441"/>
        <w:spacing w:after="0" w:line="261" w:lineRule="auto"/>
        <w:rPr>
          <w:sz w:val="20"/>
          <w:szCs w:val="20"/>
          <w:color w:val="auto"/>
        </w:rPr>
      </w:pPr>
      <w:r>
        <w:rPr>
          <w:rFonts w:ascii="Courier New" w:cs="Courier New" w:eastAsia="Courier New" w:hAnsi="Courier New"/>
          <w:sz w:val="15"/>
          <w:szCs w:val="15"/>
          <w:color w:val="auto"/>
        </w:rPr>
        <w:t>"Comparable Treasury Price" means, with respect to any Redemption Date, (1) the average of the Reference Treasury Dealer Quotations for such Redemption Date, after excluding the highest and lowest such Reference Treasury Dealer Quotations, or (2) if the Trustee obtains fewer than three such Reference Treasury Dealer quotations, the average of all such Quotations.</w:t>
      </w:r>
    </w:p>
    <w:p>
      <w:pPr>
        <w:spacing w:after="0" w:line="78" w:lineRule="exact"/>
        <w:rPr>
          <w:sz w:val="20"/>
          <w:szCs w:val="20"/>
          <w:color w:val="auto"/>
        </w:rPr>
      </w:pPr>
    </w:p>
    <w:p>
      <w:pPr>
        <w:ind w:left="440" w:right="3179" w:firstLine="441"/>
        <w:spacing w:after="0" w:line="347" w:lineRule="auto"/>
        <w:rPr>
          <w:sz w:val="20"/>
          <w:szCs w:val="20"/>
          <w:color w:val="auto"/>
        </w:rPr>
      </w:pPr>
      <w:r>
        <w:rPr>
          <w:rFonts w:ascii="Courier New" w:cs="Courier New" w:eastAsia="Courier New" w:hAnsi="Courier New"/>
          <w:sz w:val="15"/>
          <w:szCs w:val="15"/>
          <w:color w:val="auto"/>
        </w:rPr>
        <w:t>"Quotation Agent" means the Reference Treasury Dealer appointed by the Company.</w:t>
      </w:r>
    </w:p>
    <w:p>
      <w:pPr>
        <w:spacing w:after="0" w:line="17" w:lineRule="exact"/>
        <w:rPr>
          <w:sz w:val="20"/>
          <w:szCs w:val="20"/>
          <w:color w:val="auto"/>
        </w:rPr>
      </w:pPr>
    </w:p>
    <w:p>
      <w:pPr>
        <w:ind w:left="440" w:right="3259" w:firstLine="441"/>
        <w:spacing w:after="0" w:line="257" w:lineRule="auto"/>
        <w:rPr>
          <w:sz w:val="20"/>
          <w:szCs w:val="20"/>
          <w:color w:val="auto"/>
        </w:rPr>
      </w:pPr>
      <w:r>
        <w:rPr>
          <w:rFonts w:ascii="Courier New" w:cs="Courier New" w:eastAsia="Courier New" w:hAnsi="Courier New"/>
          <w:sz w:val="15"/>
          <w:szCs w:val="15"/>
          <w:color w:val="auto"/>
        </w:rPr>
        <w:t>"Reference Treasury Dealer" means (1) each of Merrill, Lynch, Pierce, Fenner &amp; Smith Incorporated, Salomon Smith Barney Inc. and Wachovia Securities, Inc., and their respective successors; provided, however, that if any of the foregoing cease to be a primary U.S. Government securities dealer (a "Primary Treasury Dealer"), the Company will substitute therefor another Primary Treasury Dealer; and (2) any other Primary Treasury Dealer selected by the Company.</w:t>
      </w:r>
    </w:p>
    <w:p>
      <w:pPr>
        <w:spacing w:after="0" w:line="82" w:lineRule="exact"/>
        <w:rPr>
          <w:sz w:val="20"/>
          <w:szCs w:val="20"/>
          <w:color w:val="auto"/>
        </w:rPr>
      </w:pPr>
    </w:p>
    <w:p>
      <w:pPr>
        <w:ind w:left="440" w:right="3259" w:firstLine="441"/>
        <w:spacing w:after="0" w:line="248" w:lineRule="auto"/>
        <w:rPr>
          <w:sz w:val="20"/>
          <w:szCs w:val="20"/>
          <w:color w:val="auto"/>
        </w:rPr>
      </w:pPr>
      <w:r>
        <w:rPr>
          <w:rFonts w:ascii="Courier New" w:cs="Courier New" w:eastAsia="Courier New" w:hAnsi="Courier New"/>
          <w:sz w:val="15"/>
          <w:szCs w:val="15"/>
          <w:color w:val="auto"/>
        </w:rPr>
        <w:t>"Reference Treasury Dealer Quotations"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 together in the case of any such redemption with accrued interest to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91" w:lineRule="exact"/>
        <w:rPr>
          <w:sz w:val="20"/>
          <w:szCs w:val="20"/>
          <w:color w:val="auto"/>
        </w:rPr>
      </w:pPr>
    </w:p>
    <w:p>
      <w:pPr>
        <w:ind w:right="3439" w:firstLine="793"/>
        <w:spacing w:after="0" w:line="293" w:lineRule="auto"/>
        <w:rPr>
          <w:sz w:val="20"/>
          <w:szCs w:val="20"/>
          <w:color w:val="auto"/>
        </w:rPr>
      </w:pPr>
      <w:r>
        <w:rPr>
          <w:rFonts w:ascii="Courier New" w:cs="Courier New" w:eastAsia="Courier New" w:hAnsi="Courier New"/>
          <w:sz w:val="15"/>
          <w:szCs w:val="15"/>
          <w:color w:val="auto"/>
        </w:rPr>
        <w:t>Notice of redemption will be given by mail to Holders of Securities, not less than 30 nor more than 60 days prior to the Redemption Date, all as provided in the Indenture.</w:t>
      </w:r>
    </w:p>
    <w:p>
      <w:pPr>
        <w:spacing w:after="0" w:line="56" w:lineRule="exact"/>
        <w:rPr>
          <w:sz w:val="20"/>
          <w:szCs w:val="20"/>
          <w:color w:val="auto"/>
        </w:rPr>
      </w:pPr>
    </w:p>
    <w:p>
      <w:pPr>
        <w:ind w:right="3539" w:firstLine="793"/>
        <w:spacing w:after="0" w:line="293" w:lineRule="auto"/>
        <w:rPr>
          <w:sz w:val="20"/>
          <w:szCs w:val="20"/>
          <w:color w:val="auto"/>
        </w:rPr>
      </w:pPr>
      <w:r>
        <w:rPr>
          <w:rFonts w:ascii="Courier New" w:cs="Courier New" w:eastAsia="Courier New" w:hAnsi="Courier New"/>
          <w:sz w:val="15"/>
          <w:szCs w:val="15"/>
          <w:color w:val="auto"/>
        </w:rPr>
        <w:t>In the event of redemption of this Note in part only, a new Note or Notes for the unredeemed portion hereof shall be issued in the name of the Holder hereof upon the cancellation hereof.</w:t>
      </w:r>
    </w:p>
    <w:p>
      <w:pPr>
        <w:spacing w:after="0" w:line="56" w:lineRule="exact"/>
        <w:rPr>
          <w:sz w:val="20"/>
          <w:szCs w:val="20"/>
          <w:color w:val="auto"/>
        </w:rPr>
      </w:pPr>
    </w:p>
    <w:p>
      <w:pPr>
        <w:ind w:right="3179" w:firstLine="793"/>
        <w:spacing w:after="0" w:line="251"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w:t>
      </w:r>
    </w:p>
    <w:p>
      <w:pPr>
        <w:spacing w:after="0" w:line="8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1" w:right="1440" w:bottom="1440" w:gutter="0" w:footer="0" w:header="0"/>
        </w:sectPr>
      </w:pPr>
    </w:p>
    <w:bookmarkStart w:id="59" w:name="page60"/>
    <w:bookmarkEnd w:id="59"/>
    <w:p>
      <w:pPr>
        <w:ind w:right="3259"/>
        <w:spacing w:after="0" w:line="252" w:lineRule="auto"/>
        <w:rPr>
          <w:sz w:val="20"/>
          <w:szCs w:val="20"/>
          <w:color w:val="auto"/>
        </w:rPr>
      </w:pPr>
      <w:r>
        <w:rPr>
          <w:rFonts w:ascii="Courier New" w:cs="Courier New" w:eastAsia="Courier New" w:hAnsi="Courier New"/>
          <w:sz w:val="15"/>
          <w:szCs w:val="15"/>
          <w:color w:val="auto"/>
        </w:rPr>
        <w:t>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89" w:lineRule="exact"/>
        <w:rPr>
          <w:sz w:val="20"/>
          <w:szCs w:val="20"/>
          <w:color w:val="auto"/>
        </w:rPr>
      </w:pPr>
    </w:p>
    <w:p>
      <w:pPr>
        <w:ind w:right="3359" w:firstLine="793"/>
        <w:spacing w:after="0" w:line="266" w:lineRule="auto"/>
        <w:rPr>
          <w:sz w:val="20"/>
          <w:szCs w:val="20"/>
          <w:color w:val="auto"/>
        </w:rPr>
      </w:pPr>
      <w:r>
        <w:rPr>
          <w:rFonts w:ascii="Courier New" w:cs="Courier New" w:eastAsia="Courier New" w:hAnsi="Courier New"/>
          <w:sz w:val="15"/>
          <w:szCs w:val="15"/>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75" w:lineRule="exact"/>
        <w:rPr>
          <w:sz w:val="20"/>
          <w:szCs w:val="20"/>
          <w:color w:val="auto"/>
        </w:rPr>
      </w:pPr>
    </w:p>
    <w:p>
      <w:pPr>
        <w:ind w:right="3179" w:firstLine="793"/>
        <w:spacing w:after="0" w:line="246" w:lineRule="auto"/>
        <w:rPr>
          <w:sz w:val="20"/>
          <w:szCs w:val="20"/>
          <w:color w:val="auto"/>
        </w:rPr>
      </w:pPr>
      <w:r>
        <w:rPr>
          <w:rFonts w:ascii="Courier New" w:cs="Courier New" w:eastAsia="Courier New" w:hAnsi="Courier New"/>
          <w:sz w:val="15"/>
          <w:szCs w:val="15"/>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65% of the sum of (without duplication) (i)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90" w:lineRule="exact"/>
        <w:rPr>
          <w:sz w:val="20"/>
          <w:szCs w:val="20"/>
          <w:color w:val="auto"/>
        </w:rPr>
      </w:pPr>
    </w:p>
    <w:p>
      <w:pPr>
        <w:ind w:right="3179" w:firstLine="793"/>
        <w:spacing w:after="0" w:line="262" w:lineRule="auto"/>
        <w:rPr>
          <w:sz w:val="20"/>
          <w:szCs w:val="20"/>
          <w:color w:val="auto"/>
        </w:rPr>
      </w:pPr>
      <w:r>
        <w:rPr>
          <w:rFonts w:ascii="Courier New" w:cs="Courier New" w:eastAsia="Courier New" w:hAnsi="Courier New"/>
          <w:sz w:val="14"/>
          <w:szCs w:val="14"/>
          <w:color w:val="auto"/>
        </w:rPr>
        <w:t>In addition to the foregoing limitation on the incurrence of Debt, the Company will not, and will not permit any Subsidiary to, incur any Debt secured by any mortgage, lien, charge, pledge, encumbrance or security interest of any kind upon any of the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occurrence of such additional Debt; provided, however, that for purposes of this limitation, the amount of obligations under capital leases shown as a liability on the Company's consolidated balance sheet shall be deducted from Debt and Total Assets.</w:t>
      </w:r>
    </w:p>
    <w:p>
      <w:pPr>
        <w:spacing w:after="0" w:line="2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01" w:right="1440" w:bottom="1440" w:gutter="0" w:footer="0" w:header="0"/>
        </w:sectPr>
      </w:pPr>
    </w:p>
    <w:bookmarkStart w:id="60" w:name="page61"/>
    <w:bookmarkEnd w:id="60"/>
    <w:p>
      <w:pPr>
        <w:ind w:right="3179" w:firstLine="793"/>
        <w:spacing w:after="0" w:line="261" w:lineRule="auto"/>
        <w:rPr>
          <w:sz w:val="20"/>
          <w:szCs w:val="20"/>
          <w:color w:val="auto"/>
        </w:rPr>
      </w:pPr>
      <w:r>
        <w:rPr>
          <w:rFonts w:ascii="Courier New" w:cs="Courier New" w:eastAsia="Courier New" w:hAnsi="Courier New"/>
          <w:sz w:val="14"/>
          <w:szCs w:val="14"/>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incurred,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265"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Furthermore, the Company and each of its Subsidiaries taken as a whole, will, at all times maintain an Unencumbered Total Asset Value (as defined below) in an amount not less than 125% of the aggregate outstanding principal amount of the unsecured Debt of the Company and each of its Subsidiaries, taken as a whole.</w:t>
      </w:r>
    </w:p>
    <w:p>
      <w:pPr>
        <w:spacing w:after="0" w:line="7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As used herein,</w:t>
      </w:r>
    </w:p>
    <w:p>
      <w:pPr>
        <w:spacing w:after="0" w:line="169" w:lineRule="exact"/>
        <w:rPr>
          <w:sz w:val="20"/>
          <w:szCs w:val="20"/>
          <w:color w:val="auto"/>
        </w:rPr>
      </w:pPr>
    </w:p>
    <w:p>
      <w:pPr>
        <w:ind w:left="440" w:right="3179" w:firstLine="441"/>
        <w:spacing w:after="0" w:line="257" w:lineRule="auto"/>
        <w:rPr>
          <w:sz w:val="20"/>
          <w:szCs w:val="20"/>
          <w:color w:val="auto"/>
        </w:rPr>
      </w:pPr>
      <w:r>
        <w:rPr>
          <w:rFonts w:ascii="Courier New" w:cs="Courier New" w:eastAsia="Courier New" w:hAnsi="Courier New"/>
          <w:sz w:val="15"/>
          <w:szCs w:val="15"/>
          <w:color w:val="auto"/>
        </w:rPr>
        <w:t>"Acquired Debt"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82" w:lineRule="exact"/>
        <w:rPr>
          <w:sz w:val="20"/>
          <w:szCs w:val="20"/>
          <w:color w:val="auto"/>
        </w:rPr>
      </w:pPr>
    </w:p>
    <w:p>
      <w:pPr>
        <w:ind w:left="440" w:right="3179" w:firstLine="441"/>
        <w:spacing w:after="0" w:line="300" w:lineRule="auto"/>
        <w:rPr>
          <w:sz w:val="20"/>
          <w:szCs w:val="20"/>
          <w:color w:val="auto"/>
        </w:rPr>
      </w:pPr>
      <w:r>
        <w:rPr>
          <w:rFonts w:ascii="Courier New" w:cs="Courier New" w:eastAsia="Courier New" w:hAnsi="Courier New"/>
          <w:sz w:val="14"/>
          <w:szCs w:val="14"/>
          <w:color w:val="auto"/>
        </w:rPr>
        <w:t>"Annual Debt Service Charge"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55" w:lineRule="exact"/>
        <w:rPr>
          <w:sz w:val="20"/>
          <w:szCs w:val="20"/>
          <w:color w:val="auto"/>
        </w:rPr>
      </w:pPr>
    </w:p>
    <w:p>
      <w:pPr>
        <w:ind w:left="440" w:right="3359" w:firstLine="441"/>
        <w:spacing w:after="0" w:line="293" w:lineRule="auto"/>
        <w:rPr>
          <w:sz w:val="20"/>
          <w:szCs w:val="20"/>
          <w:color w:val="auto"/>
        </w:rPr>
      </w:pPr>
      <w:r>
        <w:rPr>
          <w:rFonts w:ascii="Courier New" w:cs="Courier New" w:eastAsia="Courier New" w:hAnsi="Courier New"/>
          <w:sz w:val="15"/>
          <w:szCs w:val="15"/>
          <w:color w:val="auto"/>
        </w:rPr>
        <w:t>"Capital Stock" means, with respect to any Person, any capital stock (including preferred stock), shares, interests, participations or other ownership interests (however</w:t>
      </w:r>
    </w:p>
    <w:p>
      <w:pPr>
        <w:spacing w:after="0" w:line="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01" w:right="1440" w:bottom="1440" w:gutter="0" w:footer="0" w:header="0"/>
        </w:sectPr>
      </w:pPr>
    </w:p>
    <w:bookmarkStart w:id="61" w:name="page62"/>
    <w:bookmarkEnd w:id="61"/>
    <w:p>
      <w:pPr>
        <w:ind w:left="9" w:right="3259"/>
        <w:spacing w:after="0" w:line="293" w:lineRule="auto"/>
        <w:rPr>
          <w:sz w:val="20"/>
          <w:szCs w:val="20"/>
          <w:color w:val="auto"/>
        </w:rPr>
      </w:pPr>
      <w:r>
        <w:rPr>
          <w:rFonts w:ascii="Courier New" w:cs="Courier New" w:eastAsia="Courier New" w:hAnsi="Courier New"/>
          <w:sz w:val="15"/>
          <w:szCs w:val="15"/>
          <w:color w:val="auto"/>
        </w:rPr>
        <w:t>designated) of such Person and any rights (other than debt securities convertible into or exchangeable for corporate stock), warrants or options to purchase any thereof.</w:t>
      </w:r>
    </w:p>
    <w:p>
      <w:pPr>
        <w:spacing w:after="0" w:line="56" w:lineRule="exact"/>
        <w:rPr>
          <w:sz w:val="20"/>
          <w:szCs w:val="20"/>
          <w:color w:val="auto"/>
        </w:rPr>
      </w:pPr>
    </w:p>
    <w:p>
      <w:pPr>
        <w:ind w:left="9" w:right="3259" w:firstLine="441"/>
        <w:spacing w:after="0" w:line="275" w:lineRule="auto"/>
        <w:rPr>
          <w:sz w:val="20"/>
          <w:szCs w:val="20"/>
          <w:color w:val="auto"/>
        </w:rPr>
      </w:pPr>
      <w:r>
        <w:rPr>
          <w:rFonts w:ascii="Courier New" w:cs="Courier New" w:eastAsia="Courier New" w:hAnsi="Courier New"/>
          <w:sz w:val="15"/>
          <w:szCs w:val="15"/>
          <w:color w:val="auto"/>
        </w:rPr>
        <w:t>"Consolidated Income Available for Debt Service" for any period means Funds from Operations (as defined below) of the Company and its Subsidiaries plus amounts which have been deducted for interest on Debt of the Company and its Subsidiaries.</w:t>
      </w:r>
    </w:p>
    <w:p>
      <w:pPr>
        <w:spacing w:after="0" w:line="69" w:lineRule="exact"/>
        <w:rPr>
          <w:sz w:val="20"/>
          <w:szCs w:val="20"/>
          <w:color w:val="auto"/>
        </w:rPr>
      </w:pPr>
    </w:p>
    <w:p>
      <w:pPr>
        <w:ind w:left="9" w:right="3179" w:firstLine="441"/>
        <w:spacing w:after="0" w:line="260" w:lineRule="auto"/>
        <w:rPr>
          <w:sz w:val="20"/>
          <w:szCs w:val="20"/>
          <w:color w:val="auto"/>
        </w:rPr>
      </w:pPr>
      <w:r>
        <w:rPr>
          <w:rFonts w:ascii="Courier New" w:cs="Courier New" w:eastAsia="Courier New" w:hAnsi="Courier New"/>
          <w:sz w:val="14"/>
          <w:szCs w:val="14"/>
          <w:color w:val="auto"/>
        </w:rPr>
        <w:t>"Debt"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Company or any Subsidiary with respect to redemption, repayment or other repurchase of any Disqualified Stock or (v) any lease of property by the Company or any Subsidiary as lessee which is reflected on the Company's consolidated balance sheet as a capitalized lease in accordance with generally accepted accounting principles to the extent, in the case of items of indebtedness under (i) through (iii) 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provided that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270" w:lineRule="exact"/>
        <w:rPr>
          <w:sz w:val="20"/>
          <w:szCs w:val="20"/>
          <w:color w:val="auto"/>
        </w:rPr>
      </w:pPr>
    </w:p>
    <w:p>
      <w:pPr>
        <w:ind w:left="9" w:right="3259" w:firstLine="441"/>
        <w:spacing w:after="0" w:line="266" w:lineRule="auto"/>
        <w:rPr>
          <w:sz w:val="20"/>
          <w:szCs w:val="20"/>
          <w:color w:val="auto"/>
        </w:rPr>
      </w:pPr>
      <w:r>
        <w:rPr>
          <w:rFonts w:ascii="Courier New" w:cs="Courier New" w:eastAsia="Courier New" w:hAnsi="Courier New"/>
          <w:sz w:val="14"/>
          <w:szCs w:val="14"/>
          <w:color w:val="auto"/>
        </w:rPr>
        <w:t>"Disqualified Stock" means, with respect to any Person, any Capital Stock of such Person which by the terms of such Capital Stock (or by the terms of any security into which it is convertible or for which it is exchangeable or exercisable), upon the happening of any event or otherwise</w:t>
      </w:r>
    </w:p>
    <w:p>
      <w:pPr>
        <w:spacing w:after="0" w:line="1" w:lineRule="exact"/>
        <w:rPr>
          <w:sz w:val="20"/>
          <w:szCs w:val="20"/>
          <w:color w:val="auto"/>
        </w:rPr>
      </w:pPr>
    </w:p>
    <w:p>
      <w:pPr>
        <w:ind w:left="9" w:right="3179" w:hanging="9"/>
        <w:spacing w:after="0" w:line="257" w:lineRule="auto"/>
        <w:tabs>
          <w:tab w:leader="none" w:pos="36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81" w:lineRule="exact"/>
        <w:rPr>
          <w:sz w:val="20"/>
          <w:szCs w:val="20"/>
          <w:color w:val="auto"/>
        </w:rPr>
      </w:pPr>
    </w:p>
    <w:p>
      <w:pPr>
        <w:ind w:left="9" w:right="3539" w:firstLine="441"/>
        <w:spacing w:after="0" w:line="322" w:lineRule="auto"/>
        <w:rPr>
          <w:sz w:val="20"/>
          <w:szCs w:val="20"/>
          <w:color w:val="auto"/>
        </w:rPr>
      </w:pPr>
      <w:r>
        <w:rPr>
          <w:rFonts w:ascii="Courier New" w:cs="Courier New" w:eastAsia="Courier New" w:hAnsi="Courier New"/>
          <w:sz w:val="14"/>
          <w:szCs w:val="14"/>
          <w:color w:val="auto"/>
        </w:rPr>
        <w:t>"Funds from Operations" for any period means income available to common shareholders before depreciation and amortization of real estate assets and before extraordinary items less gain on sale of real estate.</w:t>
      </w:r>
    </w:p>
    <w:p>
      <w:pPr>
        <w:spacing w:after="0" w:line="40" w:lineRule="exact"/>
        <w:rPr>
          <w:sz w:val="20"/>
          <w:szCs w:val="20"/>
          <w:color w:val="auto"/>
        </w:rPr>
      </w:pPr>
    </w:p>
    <w:p>
      <w:pPr>
        <w:ind w:left="298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88"/>
          </w:cols>
          <w:pgMar w:left="671" w:top="601" w:right="1440" w:bottom="1440" w:gutter="0" w:footer="0" w:header="0"/>
        </w:sectPr>
      </w:pPr>
    </w:p>
    <w:bookmarkStart w:id="62" w:name="page63"/>
    <w:bookmarkEnd w:id="62"/>
    <w:p>
      <w:pPr>
        <w:ind w:left="440" w:right="3359" w:firstLine="441"/>
        <w:spacing w:after="0" w:line="300" w:lineRule="auto"/>
        <w:rPr>
          <w:sz w:val="20"/>
          <w:szCs w:val="20"/>
          <w:color w:val="auto"/>
        </w:rPr>
      </w:pPr>
      <w:r>
        <w:rPr>
          <w:rFonts w:ascii="Courier New" w:cs="Courier New" w:eastAsia="Courier New" w:hAnsi="Courier New"/>
          <w:sz w:val="14"/>
          <w:szCs w:val="14"/>
          <w:color w:val="auto"/>
        </w:rPr>
        <w:t>"Total Assets"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55" w:lineRule="exact"/>
        <w:rPr>
          <w:sz w:val="20"/>
          <w:szCs w:val="20"/>
          <w:color w:val="auto"/>
        </w:rPr>
      </w:pPr>
    </w:p>
    <w:p>
      <w:pPr>
        <w:ind w:left="440" w:right="3619" w:firstLine="441"/>
        <w:spacing w:after="0" w:line="266" w:lineRule="auto"/>
        <w:rPr>
          <w:sz w:val="20"/>
          <w:szCs w:val="20"/>
          <w:color w:val="auto"/>
        </w:rPr>
      </w:pPr>
      <w:r>
        <w:rPr>
          <w:rFonts w:ascii="Courier New" w:cs="Courier New" w:eastAsia="Courier New" w:hAnsi="Courier New"/>
          <w:sz w:val="15"/>
          <w:szCs w:val="15"/>
          <w:color w:val="auto"/>
        </w:rPr>
        <w:t>"Undepreciated Real Estate Assets"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75" w:lineRule="exact"/>
        <w:rPr>
          <w:sz w:val="20"/>
          <w:szCs w:val="20"/>
          <w:color w:val="auto"/>
        </w:rPr>
      </w:pPr>
    </w:p>
    <w:p>
      <w:pPr>
        <w:ind w:left="440" w:right="3259" w:firstLine="441"/>
        <w:spacing w:after="0" w:line="278" w:lineRule="auto"/>
        <w:rPr>
          <w:sz w:val="20"/>
          <w:szCs w:val="20"/>
          <w:color w:val="auto"/>
        </w:rPr>
      </w:pPr>
      <w:r>
        <w:rPr>
          <w:rFonts w:ascii="Courier New" w:cs="Courier New" w:eastAsia="Courier New" w:hAnsi="Courier New"/>
          <w:sz w:val="14"/>
          <w:szCs w:val="14"/>
          <w:color w:val="auto"/>
        </w:rPr>
        <w:t>"Unencumbered Total Asset Value"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w:t>
      </w:r>
    </w:p>
    <w:p>
      <w:pPr>
        <w:spacing w:after="0" w:line="70" w:lineRule="exact"/>
        <w:rPr>
          <w:sz w:val="20"/>
          <w:szCs w:val="20"/>
          <w:color w:val="auto"/>
        </w:rPr>
      </w:pPr>
    </w:p>
    <w:p>
      <w:pPr>
        <w:ind w:right="3179" w:firstLine="793"/>
        <w:spacing w:after="0" w:line="251" w:lineRule="auto"/>
        <w:rPr>
          <w:sz w:val="20"/>
          <w:szCs w:val="20"/>
          <w:color w:val="auto"/>
        </w:rPr>
      </w:pPr>
      <w:r>
        <w:rPr>
          <w:rFonts w:ascii="Courier New" w:cs="Courier New" w:eastAsia="Courier New" w:hAnsi="Courier New"/>
          <w:sz w:val="15"/>
          <w:szCs w:val="15"/>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88"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75" w:lineRule="exact"/>
        <w:rPr>
          <w:sz w:val="20"/>
          <w:szCs w:val="20"/>
          <w:color w:val="auto"/>
        </w:rPr>
      </w:pPr>
    </w:p>
    <w:p>
      <w:pPr>
        <w:ind w:right="3439" w:firstLine="793"/>
        <w:spacing w:after="0" w:line="384" w:lineRule="auto"/>
        <w:rPr>
          <w:sz w:val="20"/>
          <w:szCs w:val="20"/>
          <w:color w:val="auto"/>
        </w:rPr>
      </w:pPr>
      <w:r>
        <w:rPr>
          <w:rFonts w:ascii="Courier New" w:cs="Courier New" w:eastAsia="Courier New" w:hAnsi="Courier New"/>
          <w:sz w:val="14"/>
          <w:szCs w:val="14"/>
          <w:color w:val="auto"/>
        </w:rPr>
        <w:t>The Securities of this series are issuable only in registered form without coupons in denominations of $1,000 and any integral multiple thereof.</w:t>
      </w:r>
    </w:p>
    <w:p>
      <w:pPr>
        <w:spacing w:after="0" w:line="1" w:lineRule="exact"/>
        <w:rPr>
          <w:sz w:val="20"/>
          <w:szCs w:val="20"/>
          <w:color w:val="auto"/>
        </w:rPr>
      </w:pPr>
    </w:p>
    <w:p>
      <w:pPr>
        <w:jc w:val="both"/>
        <w:ind w:right="3359" w:firstLine="793"/>
        <w:spacing w:after="0" w:line="322" w:lineRule="auto"/>
        <w:rPr>
          <w:sz w:val="20"/>
          <w:szCs w:val="20"/>
          <w:color w:val="auto"/>
        </w:rPr>
      </w:pPr>
      <w:r>
        <w:rPr>
          <w:rFonts w:ascii="Courier New" w:cs="Courier New" w:eastAsia="Courier New" w:hAnsi="Courier New"/>
          <w:sz w:val="14"/>
          <w:szCs w:val="14"/>
          <w:color w:val="auto"/>
        </w:rPr>
        <w:t>No service charge shall be made for any such registration of transfer or exchange, but the Company may require payment of a sum sufficient to cover any tax or other governmental charge payable in connection therewith.</w:t>
      </w:r>
    </w:p>
    <w:p>
      <w:pPr>
        <w:spacing w:after="0" w:line="40"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01" w:right="1440" w:bottom="1440" w:gutter="0" w:footer="0" w:header="0"/>
        </w:sectPr>
      </w:pPr>
    </w:p>
    <w:bookmarkStart w:id="63" w:name="page64"/>
    <w:bookmarkEnd w:id="63"/>
    <w:p>
      <w:pPr>
        <w:ind w:right="3259" w:firstLine="793"/>
        <w:spacing w:after="0" w:line="293" w:lineRule="auto"/>
        <w:rPr>
          <w:sz w:val="20"/>
          <w:szCs w:val="20"/>
          <w:color w:val="auto"/>
        </w:rPr>
      </w:pPr>
      <w:r>
        <w:rPr>
          <w:rFonts w:ascii="Courier New" w:cs="Courier New" w:eastAsia="Courier New" w:hAnsi="Courier New"/>
          <w:sz w:val="15"/>
          <w:szCs w:val="15"/>
          <w:color w:val="auto"/>
        </w:rPr>
        <w:t>The Indenture and the Notes shall be governed by and construed in accordance with the laws of the State of New York applicable to agreements made and to be performed entirely in such State.</w:t>
      </w:r>
    </w:p>
    <w:p>
      <w:pPr>
        <w:spacing w:after="0" w:line="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01" w:right="1440" w:bottom="1440" w:gutter="0" w:footer="0" w:header="0"/>
        </w:sectPr>
      </w:pPr>
    </w:p>
    <w:bookmarkStart w:id="64" w:name="page65"/>
    <w:bookmarkEnd w:id="64"/>
    <w:p>
      <w:pPr>
        <w:jc w:val="right"/>
        <w:ind w:right="3179"/>
        <w:spacing w:after="0"/>
        <w:rPr>
          <w:sz w:val="20"/>
          <w:szCs w:val="20"/>
          <w:color w:val="auto"/>
        </w:rPr>
      </w:pPr>
      <w:r>
        <w:rPr>
          <w:rFonts w:ascii="Courier New" w:cs="Courier New" w:eastAsia="Courier New" w:hAnsi="Courier New"/>
          <w:sz w:val="15"/>
          <w:szCs w:val="15"/>
          <w:color w:val="auto"/>
        </w:rPr>
        <w:t>Exhibit 5.01</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November 19, 2002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1626 East Jefferson Street</w:t>
      </w:r>
    </w:p>
    <w:p>
      <w:pPr>
        <w:spacing w:after="0"/>
        <w:rPr>
          <w:sz w:val="20"/>
          <w:szCs w:val="20"/>
          <w:color w:val="auto"/>
        </w:rPr>
      </w:pPr>
      <w:r>
        <w:rPr>
          <w:rFonts w:ascii="Courier New" w:cs="Courier New" w:eastAsia="Courier New" w:hAnsi="Courier New"/>
          <w:sz w:val="15"/>
          <w:szCs w:val="15"/>
          <w:color w:val="auto"/>
        </w:rPr>
        <w:t>Rockville, Maryland 20852</w:t>
      </w:r>
    </w:p>
    <w:p>
      <w:pPr>
        <w:sectPr>
          <w:pgSz w:w="11900" w:h="16838" w:orient="portrait"/>
          <w:cols w:equalWidth="0" w:num="1">
            <w:col w:w="10219"/>
          </w:cols>
          <w:pgMar w:left="240" w:top="454" w:right="1440" w:bottom="1440" w:gutter="0" w:footer="0" w:header="0"/>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 on Form S-3</w:t>
      </w:r>
    </w:p>
    <w:p>
      <w:pPr>
        <w:spacing w:after="0"/>
        <w:rPr>
          <w:sz w:val="20"/>
          <w:szCs w:val="20"/>
          <w:color w:val="auto"/>
        </w:rPr>
      </w:pPr>
      <w:r>
        <w:rPr>
          <w:rFonts w:ascii="Courier New" w:cs="Courier New" w:eastAsia="Courier New" w:hAnsi="Courier New"/>
          <w:sz w:val="14"/>
          <w:szCs w:val="14"/>
          <w:color w:val="auto"/>
        </w:rPr>
        <w:t>Underwritten Public Offering of $150,000,000 6 1/8% Notes due 2007</w:t>
      </w:r>
    </w:p>
    <w:p>
      <w:pPr>
        <w:spacing w:after="0" w:line="154" w:lineRule="exact"/>
        <w:rPr>
          <w:sz w:val="20"/>
          <w:szCs w:val="20"/>
          <w:color w:val="auto"/>
        </w:rPr>
      </w:pPr>
    </w:p>
    <w:p>
      <w:pPr>
        <w:sectPr>
          <w:pgSz w:w="11900" w:h="16838" w:orient="portrait"/>
          <w:cols w:equalWidth="0" w:num="2">
            <w:col w:w="260" w:space="520"/>
            <w:col w:w="9439"/>
          </w:cols>
          <w:pgMar w:left="240" w:top="4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69" w:lineRule="exact"/>
        <w:rPr>
          <w:sz w:val="20"/>
          <w:szCs w:val="20"/>
          <w:color w:val="auto"/>
        </w:rPr>
      </w:pPr>
    </w:p>
    <w:p>
      <w:pPr>
        <w:ind w:right="3179" w:firstLine="441"/>
        <w:spacing w:after="0" w:line="264" w:lineRule="auto"/>
        <w:rPr>
          <w:sz w:val="20"/>
          <w:szCs w:val="20"/>
          <w:color w:val="auto"/>
        </w:rPr>
      </w:pPr>
      <w:r>
        <w:rPr>
          <w:rFonts w:ascii="Courier New" w:cs="Courier New" w:eastAsia="Courier New" w:hAnsi="Courier New"/>
          <w:sz w:val="14"/>
          <w:szCs w:val="14"/>
          <w:color w:val="auto"/>
        </w:rPr>
        <w:t>We have acted as counsel to Federal Realty Investment Trust, a Maryland real estate investment trust (the "Company"), in connection with the filing with the Securities and Exchange Commission under the Securities Act of 1933, as amended, of a prospectus supplement dated November 14, 2002 (the "Prospectus Supplement") to the prospectus dated September 30, 1998 (the "Prospectus") contained in the registration statement on Form S-3 (File No. 033-63687) (the "Registration Statement"), which was declared effective on September 30, 1998. The Prospectus and the Prospectus Supplement are together referred to herein as the "Prospectus." The Prospectus related to the issuance and sale by the Company of $150,000,000 aggregate principal amount of its 6 1/8% Notes due November 15, 2007 (the "Notes"), pursuant to the Underwriting Agreement dated November 14, 2002 between the Company and the Underwriters (as defined below) (the "Underwriting Agreement") and the related Pricing Agreement dated November 14, 2002 between the Company and the Underwriters (the "Pricing Agreement"), to the firms named in Schedule I to the Pricing Agreement (the "Underwriters"). The Notes will be offered and sold pursuant to an Indenture (the "Indenture") dated as of September 1, 1998 between the Company and Wachovia Bank National Association, formerly known as First Union National Bank (the "Trustee").</w:t>
      </w:r>
    </w:p>
    <w:p>
      <w:pPr>
        <w:spacing w:after="0" w:line="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rendering our opinion, we have examined the following:</w:t>
      </w:r>
    </w:p>
    <w:p>
      <w:pPr>
        <w:spacing w:after="0" w:line="169" w:lineRule="exact"/>
        <w:rPr>
          <w:sz w:val="20"/>
          <w:szCs w:val="20"/>
          <w:color w:val="auto"/>
        </w:rPr>
      </w:pPr>
    </w:p>
    <w:p>
      <w:pPr>
        <w:ind w:left="1040" w:hanging="609"/>
        <w:spacing w:after="0"/>
        <w:tabs>
          <w:tab w:leader="none" w:pos="10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w:t>
      </w:r>
    </w:p>
    <w:p>
      <w:pPr>
        <w:spacing w:after="0" w:line="169" w:lineRule="exact"/>
        <w:rPr>
          <w:rFonts w:ascii="Courier New" w:cs="Courier New" w:eastAsia="Courier New" w:hAnsi="Courier New"/>
          <w:sz w:val="15"/>
          <w:szCs w:val="15"/>
          <w:color w:val="auto"/>
        </w:rPr>
      </w:pPr>
    </w:p>
    <w:p>
      <w:pPr>
        <w:ind w:left="1040" w:hanging="609"/>
        <w:spacing w:after="0"/>
        <w:tabs>
          <w:tab w:leader="none" w:pos="10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Prospectus;</w:t>
      </w:r>
    </w:p>
    <w:p>
      <w:pPr>
        <w:spacing w:after="0" w:line="169" w:lineRule="exact"/>
        <w:rPr>
          <w:rFonts w:ascii="Courier New" w:cs="Courier New" w:eastAsia="Courier New" w:hAnsi="Courier New"/>
          <w:sz w:val="15"/>
          <w:szCs w:val="15"/>
          <w:color w:val="auto"/>
        </w:rPr>
      </w:pPr>
    </w:p>
    <w:p>
      <w:pPr>
        <w:ind w:left="1040" w:hanging="609"/>
        <w:spacing w:after="0"/>
        <w:tabs>
          <w:tab w:leader="none" w:pos="10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w:t>
      </w:r>
    </w:p>
    <w:p>
      <w:pPr>
        <w:sectPr>
          <w:pgSz w:w="11900" w:h="16838" w:orient="portrait"/>
          <w:cols w:equalWidth="0" w:num="1">
            <w:col w:w="10219"/>
          </w:cols>
          <w:pgMar w:left="240" w:top="454" w:right="1440" w:bottom="1440" w:gutter="0" w:footer="0" w:header="0"/>
          <w:type w:val="continuous"/>
        </w:sectPr>
      </w:pPr>
    </w:p>
    <w:bookmarkStart w:id="65" w:name="page66"/>
    <w:bookmarkEnd w:id="65"/>
    <w:p>
      <w:pPr>
        <w:ind w:left="1050" w:right="3879" w:hanging="609"/>
        <w:spacing w:after="0" w:line="293" w:lineRule="auto"/>
        <w:tabs>
          <w:tab w:leader="none" w:pos="10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Declaration of Trust of the Company, as certified by the Maryland State Department of Assessments and Taxation on November 13, 2002;</w:t>
      </w:r>
    </w:p>
    <w:p>
      <w:pPr>
        <w:spacing w:after="0" w:line="225" w:lineRule="exact"/>
        <w:rPr>
          <w:rFonts w:ascii="Courier New" w:cs="Courier New" w:eastAsia="Courier New" w:hAnsi="Courier New"/>
          <w:sz w:val="15"/>
          <w:szCs w:val="15"/>
          <w:color w:val="auto"/>
        </w:rPr>
      </w:pPr>
    </w:p>
    <w:p>
      <w:pPr>
        <w:ind w:left="1050" w:right="3979" w:hanging="609"/>
        <w:spacing w:after="0" w:line="347" w:lineRule="auto"/>
        <w:tabs>
          <w:tab w:leader="none" w:pos="10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as amended, of the Company, as certified by the Secretary of the Company on November 19, 2002;</w:t>
      </w:r>
    </w:p>
    <w:p>
      <w:pPr>
        <w:spacing w:after="0" w:line="17" w:lineRule="exact"/>
        <w:rPr>
          <w:rFonts w:ascii="Courier New" w:cs="Courier New" w:eastAsia="Courier New" w:hAnsi="Courier New"/>
          <w:sz w:val="15"/>
          <w:szCs w:val="15"/>
          <w:color w:val="auto"/>
        </w:rPr>
      </w:pPr>
    </w:p>
    <w:p>
      <w:pPr>
        <w:jc w:val="both"/>
        <w:ind w:left="1050" w:right="3799" w:hanging="609"/>
        <w:spacing w:after="0" w:line="293" w:lineRule="auto"/>
        <w:tabs>
          <w:tab w:leader="none" w:pos="10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of the Board of Directors dated September 2, 1998 approving the Indenture, as certified by the Secretary of the Company on November 19, 2002;</w:t>
      </w:r>
    </w:p>
    <w:p>
      <w:pPr>
        <w:spacing w:after="0" w:line="55" w:lineRule="exact"/>
        <w:rPr>
          <w:rFonts w:ascii="Courier New" w:cs="Courier New" w:eastAsia="Courier New" w:hAnsi="Courier New"/>
          <w:sz w:val="15"/>
          <w:szCs w:val="15"/>
          <w:color w:val="auto"/>
        </w:rPr>
      </w:pPr>
    </w:p>
    <w:p>
      <w:pPr>
        <w:ind w:left="1050" w:right="3439" w:hanging="609"/>
        <w:spacing w:after="0" w:line="275" w:lineRule="auto"/>
        <w:tabs>
          <w:tab w:leader="none" w:pos="10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of the Board of Directors of the Company adopted at a special meeting of the Board held on September 2, 1998, approving the Registration Statement, as certified by the Secretary of the Company on November 19, 2002;</w:t>
      </w:r>
    </w:p>
    <w:p>
      <w:pPr>
        <w:spacing w:after="0" w:line="68" w:lineRule="exact"/>
        <w:rPr>
          <w:rFonts w:ascii="Courier New" w:cs="Courier New" w:eastAsia="Courier New" w:hAnsi="Courier New"/>
          <w:sz w:val="15"/>
          <w:szCs w:val="15"/>
          <w:color w:val="auto"/>
        </w:rPr>
      </w:pPr>
    </w:p>
    <w:p>
      <w:pPr>
        <w:ind w:left="1050" w:right="3179" w:hanging="609"/>
        <w:spacing w:after="0" w:line="275" w:lineRule="auto"/>
        <w:tabs>
          <w:tab w:leader="none" w:pos="10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of the Board of Directors of the Company with respect to the offering of the Notes adopted by unanimous written consent in lieu of a meeting of the Board on November 13, 2002, as certified by the Secretary of the Company on November 19, 2002;</w:t>
      </w:r>
    </w:p>
    <w:p>
      <w:pPr>
        <w:spacing w:after="0" w:line="68" w:lineRule="exact"/>
        <w:rPr>
          <w:rFonts w:ascii="Courier New" w:cs="Courier New" w:eastAsia="Courier New" w:hAnsi="Courier New"/>
          <w:sz w:val="15"/>
          <w:szCs w:val="15"/>
          <w:color w:val="auto"/>
        </w:rPr>
      </w:pPr>
    </w:p>
    <w:p>
      <w:pPr>
        <w:ind w:left="1050" w:right="3179" w:hanging="609"/>
        <w:spacing w:after="0" w:line="347" w:lineRule="auto"/>
        <w:tabs>
          <w:tab w:leader="none" w:pos="10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of the Pricing Committee with respect to the offering of the Notes adopted on November 14, 2002;</w:t>
      </w:r>
    </w:p>
    <w:p>
      <w:pPr>
        <w:spacing w:after="0" w:line="17" w:lineRule="exact"/>
        <w:rPr>
          <w:rFonts w:ascii="Courier New" w:cs="Courier New" w:eastAsia="Courier New" w:hAnsi="Courier New"/>
          <w:sz w:val="15"/>
          <w:szCs w:val="15"/>
          <w:color w:val="auto"/>
        </w:rPr>
      </w:pPr>
    </w:p>
    <w:p>
      <w:pPr>
        <w:ind w:left="1050" w:right="3619" w:hanging="609"/>
        <w:spacing w:after="0" w:line="347" w:lineRule="auto"/>
        <w:tabs>
          <w:tab w:leader="none" w:pos="10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an officer of the Company dated as of the date hereof; and</w:t>
      </w:r>
    </w:p>
    <w:p>
      <w:pPr>
        <w:spacing w:after="0" w:line="17" w:lineRule="exact"/>
        <w:rPr>
          <w:rFonts w:ascii="Courier New" w:cs="Courier New" w:eastAsia="Courier New" w:hAnsi="Courier New"/>
          <w:sz w:val="15"/>
          <w:szCs w:val="15"/>
          <w:color w:val="auto"/>
        </w:rPr>
      </w:pPr>
    </w:p>
    <w:p>
      <w:pPr>
        <w:ind w:left="1050" w:right="3619" w:hanging="609"/>
        <w:spacing w:after="0" w:line="293" w:lineRule="auto"/>
        <w:tabs>
          <w:tab w:leader="none" w:pos="10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documents, corporate records, certificates of public officials and other instruments as we have deemed necessary for the purposes of rendering this opinion.</w:t>
      </w:r>
    </w:p>
    <w:p>
      <w:pPr>
        <w:spacing w:after="0" w:line="56" w:lineRule="exact"/>
        <w:rPr>
          <w:sz w:val="20"/>
          <w:szCs w:val="20"/>
          <w:color w:val="auto"/>
        </w:rPr>
      </w:pPr>
    </w:p>
    <w:p>
      <w:pPr>
        <w:ind w:left="10" w:right="3179" w:firstLine="441"/>
        <w:spacing w:after="0" w:line="260" w:lineRule="auto"/>
        <w:rPr>
          <w:sz w:val="20"/>
          <w:szCs w:val="20"/>
          <w:color w:val="auto"/>
        </w:rPr>
      </w:pPr>
      <w:r>
        <w:rPr>
          <w:rFonts w:ascii="Courier New" w:cs="Courier New" w:eastAsia="Courier New" w:hAnsi="Courier New"/>
          <w:sz w:val="14"/>
          <w:szCs w:val="14"/>
          <w:color w:val="auto"/>
        </w:rPr>
        <w:t>The documents referred to in clauses (vi) through (viii) are collectively referred to as the "Resolutions." In our examination of the aforesaid documents, we have assumed the legal capacity of all natural persons, the genuineness of all signatures, the completeness and authenticity of all documents submitted to us as originals, and the conformity to original documents of all documents submitted to us as certified, telecopied, photostatic or reproduced copies. In connection with the opinions expressed below, we have assumed that, at and prior to the time of the sale and delivery of any Notes pursuant to the Registration Statement, (i) the Resolutions have not been amended, modified or rescinded,</w:t>
      </w:r>
    </w:p>
    <w:p>
      <w:pPr>
        <w:spacing w:after="0" w:line="5" w:lineRule="exact"/>
        <w:rPr>
          <w:sz w:val="20"/>
          <w:szCs w:val="20"/>
          <w:color w:val="auto"/>
        </w:rPr>
      </w:pPr>
    </w:p>
    <w:p>
      <w:pPr>
        <w:ind w:left="10" w:right="3359" w:hanging="10"/>
        <w:spacing w:after="0" w:line="256" w:lineRule="auto"/>
        <w:tabs>
          <w:tab w:leader="none" w:pos="45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has been declared effective and no stop order suspending the effectiveness of the Registration Statement has been issued and no proceedings with respect thereto have been commenced or threatened, and</w:t>
      </w:r>
    </w:p>
    <w:p>
      <w:pPr>
        <w:spacing w:after="0" w:line="1" w:lineRule="exact"/>
        <w:rPr>
          <w:rFonts w:ascii="Courier New" w:cs="Courier New" w:eastAsia="Courier New" w:hAnsi="Courier New"/>
          <w:sz w:val="14"/>
          <w:szCs w:val="14"/>
          <w:color w:val="auto"/>
        </w:rPr>
      </w:pPr>
    </w:p>
    <w:p>
      <w:pPr>
        <w:ind w:left="10" w:right="3439" w:hanging="10"/>
        <w:spacing w:after="0" w:line="275" w:lineRule="auto"/>
        <w:tabs>
          <w:tab w:leader="none" w:pos="53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not occurred any change in law materially adversely affecting the power of the Company to offer and sell the Notes or the validity of the Notes.</w:t>
      </w:r>
    </w:p>
    <w:p>
      <w:pPr>
        <w:spacing w:after="0" w:line="68" w:lineRule="exact"/>
        <w:rPr>
          <w:sz w:val="20"/>
          <w:szCs w:val="20"/>
          <w:color w:val="auto"/>
        </w:rPr>
      </w:pPr>
    </w:p>
    <w:p>
      <w:pPr>
        <w:ind w:left="10" w:right="3179" w:firstLine="441"/>
        <w:spacing w:after="0" w:line="266" w:lineRule="auto"/>
        <w:rPr>
          <w:sz w:val="20"/>
          <w:szCs w:val="20"/>
          <w:color w:val="auto"/>
        </w:rPr>
      </w:pPr>
      <w:r>
        <w:rPr>
          <w:rFonts w:ascii="Courier New" w:cs="Courier New" w:eastAsia="Courier New" w:hAnsi="Courier New"/>
          <w:sz w:val="15"/>
          <w:szCs w:val="15"/>
          <w:color w:val="auto"/>
        </w:rPr>
        <w:t>We have also assumed that the offering, sale and delivery of the Notes, and compliance by the Company with the rights, powers, privileges and preferences and other terms of the Notes will not at the time of such offering, sale and delivery violate or conflict with (i) the Declaration of Trust, as then amended, restated and supplemented,</w:t>
      </w:r>
    </w:p>
    <w:p>
      <w:pPr>
        <w:sectPr>
          <w:pgSz w:w="11900" w:h="16838" w:orient="portrait"/>
          <w:cols w:equalWidth="0" w:num="1">
            <w:col w:w="10229"/>
          </w:cols>
          <w:pgMar w:left="230" w:top="601" w:right="1440" w:bottom="1440" w:gutter="0" w:footer="0" w:header="0"/>
        </w:sectPr>
      </w:pPr>
    </w:p>
    <w:bookmarkStart w:id="66" w:name="page67"/>
    <w:bookmarkEnd w:id="66"/>
    <w:p>
      <w:pPr>
        <w:ind w:right="3179"/>
        <w:spacing w:after="0" w:line="266" w:lineRule="auto"/>
        <w:rPr>
          <w:sz w:val="20"/>
          <w:szCs w:val="20"/>
          <w:color w:val="auto"/>
        </w:rPr>
      </w:pPr>
      <w:r>
        <w:rPr>
          <w:rFonts w:ascii="Courier New" w:cs="Courier New" w:eastAsia="Courier New" w:hAnsi="Courier New"/>
          <w:sz w:val="15"/>
          <w:szCs w:val="15"/>
          <w:color w:val="auto"/>
        </w:rPr>
        <w:t>and Bylaws, as then amended, restated and supplemented, of the Company, (ii) any provision of any license, indenture, instrument, mortgage, contract, document or agreement to which the Company is then a party or by which the Company is then bound, or (iii) any law or regulation or any decree, judgment or order then applicable to the Company.</w:t>
      </w:r>
    </w:p>
    <w:p>
      <w:pPr>
        <w:spacing w:after="0" w:line="75" w:lineRule="exact"/>
        <w:rPr>
          <w:sz w:val="20"/>
          <w:szCs w:val="20"/>
          <w:color w:val="auto"/>
        </w:rPr>
      </w:pPr>
    </w:p>
    <w:p>
      <w:pPr>
        <w:ind w:right="3259" w:firstLine="441"/>
        <w:spacing w:after="0" w:line="254" w:lineRule="auto"/>
        <w:rPr>
          <w:sz w:val="20"/>
          <w:szCs w:val="20"/>
          <w:color w:val="auto"/>
        </w:rPr>
      </w:pPr>
      <w:r>
        <w:rPr>
          <w:rFonts w:ascii="Courier New" w:cs="Courier New" w:eastAsia="Courier New" w:hAnsi="Courier New"/>
          <w:sz w:val="15"/>
          <w:szCs w:val="15"/>
          <w:color w:val="auto"/>
        </w:rPr>
        <w:t>Based upon the foregoing and subject to the limitations and qualifications hereinafter set forth, we are of the opinion that the Notes will constitute legally valid and binding obligations of the Company, enforceable against the Company in accordance with their terms when duly executed and delivered by the Company against payment therefor and countersigned or authenticated by the Trustee in accordance with the Indenture and delivered to and paid for by the purchasers of the Notes in the manner contemplated by the Underwriting Agreement.</w:t>
      </w:r>
    </w:p>
    <w:p>
      <w:pPr>
        <w:spacing w:after="0" w:line="87" w:lineRule="exact"/>
        <w:rPr>
          <w:sz w:val="20"/>
          <w:szCs w:val="20"/>
          <w:color w:val="auto"/>
        </w:rPr>
      </w:pPr>
    </w:p>
    <w:p>
      <w:pPr>
        <w:ind w:right="3179" w:firstLine="441"/>
        <w:spacing w:after="0" w:line="247" w:lineRule="auto"/>
        <w:rPr>
          <w:sz w:val="20"/>
          <w:szCs w:val="20"/>
          <w:color w:val="auto"/>
        </w:rPr>
      </w:pPr>
      <w:r>
        <w:rPr>
          <w:rFonts w:ascii="Courier New" w:cs="Courier New" w:eastAsia="Courier New" w:hAnsi="Courier New"/>
          <w:sz w:val="15"/>
          <w:szCs w:val="15"/>
          <w:color w:val="auto"/>
        </w:rPr>
        <w:t>The opinion above with respect to the enforceability of obligations may be limited by bankruptcy, insolvency, reorganization, moratorium or other laws affecting creditors' rights (including, without limitation, the effect of statutory and other law regarding fraudulent conveyances, fraudulent transfers and preferential transfers) and by the exercise of judicial discretion and the application of principles of equity, including, without limitation, requirements of good faith, fair dealing, conscionability and materiality (regardless of whether the Notes are considered in a proceeding in equity or at law). Such opinions shall be understood to mean only that if there is a default in performance of an obligation, (i) if a failure to pay or other damage can be shown and (ii) if the defaulting party can be brought into a court which will hear the case and apply the governing law, then, subject to the availability of defenses and to the exceptions set forth in the previous sentence, the court will provide a money damage (or perhaps injunctive or specific performance) remedy.</w:t>
      </w:r>
    </w:p>
    <w:p>
      <w:pPr>
        <w:spacing w:after="0" w:line="89" w:lineRule="exact"/>
        <w:rPr>
          <w:sz w:val="20"/>
          <w:szCs w:val="20"/>
          <w:color w:val="auto"/>
        </w:rPr>
      </w:pPr>
    </w:p>
    <w:p>
      <w:pPr>
        <w:ind w:right="3179" w:firstLine="441"/>
        <w:spacing w:after="0" w:line="267" w:lineRule="auto"/>
        <w:rPr>
          <w:sz w:val="20"/>
          <w:szCs w:val="20"/>
          <w:color w:val="auto"/>
        </w:rPr>
      </w:pPr>
      <w:r>
        <w:rPr>
          <w:rFonts w:ascii="Courier New" w:cs="Courier New" w:eastAsia="Courier New" w:hAnsi="Courier New"/>
          <w:sz w:val="14"/>
          <w:szCs w:val="14"/>
          <w:color w:val="auto"/>
        </w:rPr>
        <w:t>This opinion is limited to the laws of the United States, the General Corporation Law of Maryland and New York contract law (but not including any statutes, ordinances, administrative decisions, rules or regulations of any political subdivision of the State of New York), in each case excluding choice of law provisions thereof. We render no opinions with respect to the law of any other jurisdiction. Our opinion is rendered only with respect to the laws and the rules, regulations and orders thereunder that are currently in effect. We assume no obligation to advise you of any changes in the foregoing subsequent to the delivery of this opinion. This opinion has been prepared solely for your use in connection with the filing of the Prospectus to the Registration Statement, and should not be quoted in whole or in part or otherwise be referred to, nor otherwise be filed with or furnished to, any governmental agency or other person or entity, without our express prior written consent.</w:t>
      </w:r>
    </w:p>
    <w:p>
      <w:pPr>
        <w:spacing w:after="0" w:line="79" w:lineRule="exact"/>
        <w:rPr>
          <w:sz w:val="20"/>
          <w:szCs w:val="20"/>
          <w:color w:val="auto"/>
        </w:rPr>
      </w:pPr>
    </w:p>
    <w:p>
      <w:pPr>
        <w:ind w:right="3179" w:firstLine="441"/>
        <w:spacing w:after="0" w:line="261"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 and to the use of our name in the Prospectus under the caption "Legal Matters." The giving of this consent, however, does not constitute an admission that we are "experts" within the meaning of Section 11 of the Securities Act of 1933 (the "Act"), as amended, or within the category of persons whose consent is required by Section 7 of the Act.</w:t>
      </w:r>
    </w:p>
    <w:p>
      <w:pPr>
        <w:sectPr>
          <w:pgSz w:w="11900" w:h="16838" w:orient="portrait"/>
          <w:cols w:equalWidth="0" w:num="1">
            <w:col w:w="10219"/>
          </w:cols>
          <w:pgMar w:left="240" w:top="601" w:right="1440" w:bottom="1440" w:gutter="0" w:footer="0" w:header="0"/>
        </w:sectPr>
      </w:pPr>
    </w:p>
    <w:bookmarkStart w:id="67" w:name="page68"/>
    <w:bookmarkEnd w:id="67"/>
    <w:p>
      <w:pPr>
        <w:ind w:left="3460"/>
        <w:spacing w:after="0"/>
        <w:rPr>
          <w:sz w:val="20"/>
          <w:szCs w:val="20"/>
          <w:color w:val="auto"/>
        </w:rPr>
      </w:pPr>
      <w:r>
        <w:rPr>
          <w:rFonts w:ascii="Courier New" w:cs="Courier New" w:eastAsia="Courier New" w:hAnsi="Courier New"/>
          <w:sz w:val="14"/>
          <w:szCs w:val="14"/>
          <w:color w:val="auto"/>
        </w:rPr>
        <w:t>Very truly yours,</w:t>
      </w: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SHAW PITTMAN LLP</w:t>
      </w:r>
    </w:p>
    <w:p>
      <w:pPr>
        <w:sectPr>
          <w:pgSz w:w="11900" w:h="16838" w:orient="portrait"/>
          <w:cols w:equalWidth="0" w:num="1">
            <w:col w:w="9019"/>
          </w:cols>
          <w:pgMar w:left="1440" w:top="601" w:right="1440" w:bottom="1440" w:gutter="0" w:footer="0" w:header="0"/>
        </w:sectPr>
      </w:pPr>
    </w:p>
    <w:bookmarkStart w:id="68" w:name="page69"/>
    <w:bookmarkEnd w:id="68"/>
    <w:p>
      <w:pPr>
        <w:jc w:val="right"/>
        <w:ind w:right="3179"/>
        <w:spacing w:after="0"/>
        <w:rPr>
          <w:sz w:val="20"/>
          <w:szCs w:val="20"/>
          <w:color w:val="auto"/>
        </w:rPr>
      </w:pPr>
      <w:r>
        <w:rPr>
          <w:rFonts w:ascii="Courier New" w:cs="Courier New" w:eastAsia="Courier New" w:hAnsi="Courier New"/>
          <w:sz w:val="15"/>
          <w:szCs w:val="15"/>
          <w:color w:val="auto"/>
        </w:rPr>
        <w:t>Exhibit 8.01</w:t>
      </w:r>
    </w:p>
    <w:p>
      <w:pPr>
        <w:spacing w:after="0" w:line="169"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November 19, 2002</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Federal Realty Investment Trust</w:t>
      </w:r>
    </w:p>
    <w:p>
      <w:pPr>
        <w:spacing w:after="0" w:line="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1626 East Jefferson Street</w:t>
      </w:r>
    </w:p>
    <w:p>
      <w:pPr>
        <w:ind w:left="10"/>
        <w:spacing w:after="0"/>
        <w:rPr>
          <w:sz w:val="20"/>
          <w:szCs w:val="20"/>
          <w:color w:val="auto"/>
        </w:rPr>
      </w:pPr>
      <w:r>
        <w:rPr>
          <w:rFonts w:ascii="Courier New" w:cs="Courier New" w:eastAsia="Courier New" w:hAnsi="Courier New"/>
          <w:sz w:val="15"/>
          <w:szCs w:val="15"/>
          <w:color w:val="auto"/>
        </w:rPr>
        <w:t>Rockville, Maryland 20852</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Ladies and Gentlemen:</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You have requested certain opinions regarding the application of</w:t>
      </w:r>
    </w:p>
    <w:p>
      <w:pPr>
        <w:spacing w:after="0" w:line="26" w:lineRule="exact"/>
        <w:rPr>
          <w:sz w:val="20"/>
          <w:szCs w:val="20"/>
          <w:color w:val="auto"/>
        </w:rPr>
      </w:pPr>
    </w:p>
    <w:p>
      <w:pPr>
        <w:ind w:left="10" w:right="3179"/>
        <w:spacing w:after="0" w:line="253" w:lineRule="auto"/>
        <w:rPr>
          <w:sz w:val="20"/>
          <w:szCs w:val="20"/>
          <w:color w:val="auto"/>
        </w:rPr>
      </w:pPr>
      <w:r>
        <w:rPr>
          <w:rFonts w:ascii="Courier New" w:cs="Courier New" w:eastAsia="Courier New" w:hAnsi="Courier New"/>
          <w:sz w:val="15"/>
          <w:szCs w:val="15"/>
          <w:color w:val="auto"/>
        </w:rPr>
        <w:t>U.S. federal income tax laws to Federal Realty Investment Trust (the "Company") in connection with the offer and sale of $150,000,000 aggregate principal amount of 6 1/8% Notes due November 15, 2007 pursuant to a registration statement on Form S-3, including the prospectus and all amendments, exhibits and documents related thereto (the "Registration Statement") with the Securities and Exchange Commission (the "Commission").</w:t>
      </w:r>
    </w:p>
    <w:p>
      <w:pPr>
        <w:spacing w:after="0" w:line="86" w:lineRule="exact"/>
        <w:rPr>
          <w:sz w:val="20"/>
          <w:szCs w:val="20"/>
          <w:color w:val="auto"/>
        </w:rPr>
      </w:pPr>
    </w:p>
    <w:p>
      <w:pPr>
        <w:ind w:left="10" w:right="3259" w:firstLine="793"/>
        <w:spacing w:after="0" w:line="269" w:lineRule="auto"/>
        <w:rPr>
          <w:sz w:val="20"/>
          <w:szCs w:val="20"/>
          <w:color w:val="auto"/>
        </w:rPr>
      </w:pPr>
      <w:r>
        <w:rPr>
          <w:rFonts w:ascii="Courier New" w:cs="Courier New" w:eastAsia="Courier New" w:hAnsi="Courier New"/>
          <w:sz w:val="14"/>
          <w:szCs w:val="14"/>
          <w:color w:val="auto"/>
        </w:rPr>
        <w:t>In rendering the following opinions, we have examined such statutes, regulations, records, certificates and other documents as we have considered necessary or appropriate as a basis for such opinions, including the following:</w:t>
      </w:r>
    </w:p>
    <w:p>
      <w:pPr>
        <w:spacing w:after="0" w:line="1" w:lineRule="exact"/>
        <w:rPr>
          <w:sz w:val="20"/>
          <w:szCs w:val="20"/>
          <w:color w:val="auto"/>
        </w:rPr>
      </w:pPr>
    </w:p>
    <w:p>
      <w:pPr>
        <w:ind w:left="10" w:right="3179" w:hanging="10"/>
        <w:spacing w:after="0" w:line="262" w:lineRule="auto"/>
        <w:tabs>
          <w:tab w:leader="none" w:pos="362"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(2) the Declaration of Trust of the Company, as amended, restated or supplemented (the "Declaration of Trust"), (3) certain written representations of the Company contained in a letter to us dated as of the date hereof, (4) copies of the representative leases entered into by the Company as of the date hereof, and (5) such other documents or information as we have deemed necessary to render the opinions set forth in this letter. In our review, we have assumed, with your consent, that the documents listed above that we reviewed in proposed form will be executed in substantially the same form, all of the representations and statements set forth in such documents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85"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5"/>
          <w:szCs w:val="15"/>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w:t>
      </w:r>
    </w:p>
    <w:p>
      <w:pPr>
        <w:sectPr>
          <w:pgSz w:w="11900" w:h="16838" w:orient="portrait"/>
          <w:cols w:equalWidth="0" w:num="1">
            <w:col w:w="10229"/>
          </w:cols>
          <w:pgMar w:left="230" w:top="454"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19, 2002</w:t>
      </w:r>
    </w:p>
    <w:p>
      <w:pPr>
        <w:spacing w:after="0"/>
        <w:rPr>
          <w:sz w:val="20"/>
          <w:szCs w:val="20"/>
          <w:color w:val="auto"/>
        </w:rPr>
      </w:pPr>
      <w:r>
        <w:rPr>
          <w:rFonts w:ascii="Courier New" w:cs="Courier New" w:eastAsia="Courier New" w:hAnsi="Courier New"/>
          <w:sz w:val="15"/>
          <w:szCs w:val="15"/>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179"/>
        <w:spacing w:after="0" w:line="254" w:lineRule="auto"/>
        <w:rPr>
          <w:sz w:val="20"/>
          <w:szCs w:val="20"/>
          <w:color w:val="auto"/>
        </w:rPr>
      </w:pPr>
      <w:r>
        <w:rPr>
          <w:rFonts w:ascii="Courier New" w:cs="Courier New" w:eastAsia="Courier New" w:hAnsi="Courier New"/>
          <w:sz w:val="15"/>
          <w:szCs w:val="15"/>
          <w:color w:val="auto"/>
        </w:rPr>
        <w:t>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87"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5"/>
          <w:szCs w:val="15"/>
          <w:color w:val="auto"/>
        </w:rPr>
        <w:t>Based upon and subject to the foregoing and to the qualifications below, we are of the opinion that (i) the Company qualified as a REIT under the Code for its taxable years ending through December 31, 2001, and (ii) the Company is organized in conformity with the requirements for qualification as a REIT under the Code, and its current method of operation will enable it to meet the requirements for qualification as a REIT for the current taxable year and for future taxable years.</w:t>
      </w:r>
    </w:p>
    <w:p>
      <w:pPr>
        <w:spacing w:after="0" w:line="82" w:lineRule="exact"/>
        <w:rPr>
          <w:sz w:val="20"/>
          <w:szCs w:val="20"/>
          <w:color w:val="auto"/>
        </w:rPr>
      </w:pPr>
    </w:p>
    <w:p>
      <w:pPr>
        <w:ind w:right="3259" w:firstLine="793"/>
        <w:spacing w:after="0" w:line="266" w:lineRule="auto"/>
        <w:rPr>
          <w:sz w:val="20"/>
          <w:szCs w:val="20"/>
          <w:color w:val="auto"/>
        </w:rPr>
      </w:pPr>
      <w:r>
        <w:rPr>
          <w:rFonts w:ascii="Courier New" w:cs="Courier New" w:eastAsia="Courier New" w:hAnsi="Courier New"/>
          <w:sz w:val="15"/>
          <w:szCs w:val="15"/>
          <w:color w:val="auto"/>
        </w:rPr>
        <w:t>For a discussion relating the law to the facts and legal analysis underlying the opinions set forth in this letter, we incorporate by reference the discussion of federal income tax issues, which we assisted in preparing, in the Company's Current Report on Form 8-K filed with the Commission on November 13, 2002, under the heading "Federal Income Tax Consequences."</w:t>
      </w:r>
    </w:p>
    <w:p>
      <w:pPr>
        <w:spacing w:after="0" w:line="75" w:lineRule="exact"/>
        <w:rPr>
          <w:sz w:val="20"/>
          <w:szCs w:val="20"/>
          <w:color w:val="auto"/>
        </w:rPr>
      </w:pPr>
    </w:p>
    <w:p>
      <w:pPr>
        <w:ind w:right="3179" w:firstLine="793"/>
        <w:spacing w:after="0" w:line="264" w:lineRule="auto"/>
        <w:rPr>
          <w:sz w:val="20"/>
          <w:szCs w:val="20"/>
          <w:color w:val="auto"/>
        </w:rPr>
      </w:pPr>
      <w:r>
        <w:rPr>
          <w:rFonts w:ascii="Courier New" w:cs="Courier New" w:eastAsia="Courier New" w:hAnsi="Courier New"/>
          <w:sz w:val="14"/>
          <w:szCs w:val="14"/>
          <w:color w:val="auto"/>
        </w:rPr>
        <w:t>The opinions set forth in this letter are based on existing law as contained in the Code, Treasury Regulations (including any Temporary and Proposed Regulations), and interpretations of the foregoing by the Internal Revenue Service ("IRS")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 We assume no obligation to update the opinions set forth in this letter. We believe that the conclusions expressed herein, if challenged by the IRS, would be sustained in court. Because our positions are not binding upon the IRS or the courts, however, there can be no assurance that contrary positions may not be successfully asserted by the IRS.</w:t>
      </w:r>
    </w:p>
    <w:p>
      <w:pPr>
        <w:sectPr>
          <w:pgSz w:w="11900" w:h="16838" w:orient="portrait"/>
          <w:cols w:equalWidth="0" w:num="1">
            <w:col w:w="10219"/>
          </w:cols>
          <w:pgMar w:left="240" w:top="601"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19, 2002</w:t>
      </w:r>
    </w:p>
    <w:p>
      <w:pPr>
        <w:spacing w:after="0"/>
        <w:rPr>
          <w:sz w:val="20"/>
          <w:szCs w:val="20"/>
          <w:color w:val="auto"/>
        </w:rPr>
      </w:pPr>
      <w:r>
        <w:rPr>
          <w:rFonts w:ascii="Courier New" w:cs="Courier New" w:eastAsia="Courier New" w:hAnsi="Courier New"/>
          <w:sz w:val="15"/>
          <w:szCs w:val="15"/>
          <w:color w:val="auto"/>
        </w:rPr>
        <w:t>Page 3</w:t>
      </w:r>
    </w:p>
    <w:p>
      <w:pPr>
        <w:spacing w:after="0" w:line="313" w:lineRule="exact"/>
        <w:rPr>
          <w:sz w:val="20"/>
          <w:szCs w:val="20"/>
          <w:color w:val="auto"/>
        </w:rPr>
      </w:pPr>
    </w:p>
    <w:p>
      <w:pPr>
        <w:ind w:right="3359" w:firstLine="793"/>
        <w:spacing w:after="0" w:line="293" w:lineRule="auto"/>
        <w:rPr>
          <w:sz w:val="20"/>
          <w:szCs w:val="20"/>
          <w:color w:val="auto"/>
        </w:rPr>
      </w:pPr>
      <w:r>
        <w:rPr>
          <w:rFonts w:ascii="Courier New" w:cs="Courier New" w:eastAsia="Courier New" w:hAnsi="Courier New"/>
          <w:sz w:val="15"/>
          <w:szCs w:val="15"/>
          <w:color w:val="auto"/>
        </w:rPr>
        <w:t>The foregoing opinions are limited to the specific matters covered thereby and should not be interpreted to imply the undersigned has offered its opinion on any other matter.</w:t>
      </w:r>
    </w:p>
    <w:p>
      <w:pPr>
        <w:spacing w:after="0" w:line="56"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 The giving of this consent, however, does not constitute an admission that we are "experts" within the meaning of Section 11 of the Securities Act of 1933 (the "Act"), as amended, or within the category of persons whose consent is required by Section 7 of the Act.</w:t>
      </w:r>
    </w:p>
    <w:p>
      <w:pPr>
        <w:spacing w:after="0" w:line="24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SHAW PITTMAN LLP</w:t>
      </w:r>
    </w:p>
    <w:p>
      <w:pPr>
        <w:sectPr>
          <w:pgSz w:w="11900" w:h="16838" w:orient="portrait"/>
          <w:cols w:equalWidth="0" w:num="1">
            <w:col w:w="10219"/>
          </w:cols>
          <w:pgMar w:left="240" w:top="601"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Charles B. Temkin, P.C.</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Charles B. Temkin, P.C.</w:t>
      </w:r>
    </w:p>
    <w:p>
      <w:pPr>
        <w:sectPr>
          <w:pgSz w:w="11900" w:h="16838" w:orient="portrait"/>
          <w:cols w:equalWidth="0" w:num="2">
            <w:col w:w="3860" w:space="180"/>
            <w:col w:w="6179"/>
          </w:cols>
          <w:pgMar w:left="240" w:top="601" w:right="1440" w:bottom="1440" w:gutter="0" w:footer="0" w:header="0"/>
          <w:type w:val="continuous"/>
        </w:sectPr>
      </w:pPr>
    </w:p>
    <w:bookmarkStart w:id="71" w:name="page72"/>
    <w:bookmarkEnd w:id="71"/>
    <w:p>
      <w:pPr>
        <w:ind w:left="5800"/>
        <w:spacing w:after="0"/>
        <w:rPr>
          <w:sz w:val="20"/>
          <w:szCs w:val="20"/>
          <w:color w:val="auto"/>
        </w:rPr>
      </w:pPr>
      <w:r>
        <w:rPr>
          <w:rFonts w:ascii="Courier New" w:cs="Courier New" w:eastAsia="Courier New" w:hAnsi="Courier New"/>
          <w:sz w:val="15"/>
          <w:szCs w:val="15"/>
          <w:color w:val="auto"/>
        </w:rPr>
        <w:t>Exhibit 12.01</w:t>
      </w:r>
    </w:p>
    <w:p>
      <w:pPr>
        <w:spacing w:after="0" w:line="169"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Computation of Ratios of Earnings to Fixed Charges and</w:t>
      </w:r>
    </w:p>
    <w:p>
      <w:pPr>
        <w:spacing w:after="0" w:line="2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 Ratios of Earnings to Combined Fixed Charges and Preferred Dividends</w:t>
      </w:r>
    </w:p>
    <w:tbl>
      <w:tblPr>
        <w:tblLayout w:type="fixed"/>
        <w:tblInd w:w="0" w:type="dxa"/>
        <w:tblCellMar>
          <w:top w:w="0" w:type="dxa"/>
          <w:left w:w="0" w:type="dxa"/>
          <w:bottom w:w="0" w:type="dxa"/>
          <w:right w:w="0" w:type="dxa"/>
        </w:tblCellMar>
      </w:tblPr>
      <w:tr>
        <w:trPr>
          <w:trHeight w:val="246"/>
        </w:trPr>
        <w:tc>
          <w:tcPr>
            <w:tcW w:w="502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(in thousands)</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3860" w:type="dxa"/>
            <w:vAlign w:val="bottom"/>
          </w:tcPr>
          <w:p>
            <w:pPr>
              <w:spacing w:after="0"/>
              <w:rPr>
                <w:sz w:val="24"/>
                <w:szCs w:val="2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9/30</w:t>
            </w:r>
          </w:p>
        </w:tc>
        <w:tc>
          <w:tcPr>
            <w:tcW w:w="300" w:type="dxa"/>
            <w:vAlign w:val="bottom"/>
          </w:tcPr>
          <w:p>
            <w:pPr>
              <w:spacing w:after="0"/>
              <w:rPr>
                <w:sz w:val="24"/>
                <w:szCs w:val="2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9/30</w:t>
            </w: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2001</w:t>
            </w:r>
          </w:p>
        </w:tc>
        <w:tc>
          <w:tcPr>
            <w:tcW w:w="140" w:type="dxa"/>
            <w:vAlign w:val="bottom"/>
          </w:tcPr>
          <w:p>
            <w:pPr>
              <w:spacing w:after="0"/>
              <w:rPr>
                <w:sz w:val="24"/>
                <w:szCs w:val="2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24"/>
                <w:szCs w:val="2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1999</w:t>
            </w:r>
          </w:p>
        </w:tc>
        <w:tc>
          <w:tcPr>
            <w:tcW w:w="280" w:type="dxa"/>
            <w:vAlign w:val="bottom"/>
          </w:tcPr>
          <w:p>
            <w:pPr>
              <w:spacing w:after="0"/>
              <w:rPr>
                <w:sz w:val="24"/>
                <w:szCs w:val="24"/>
                <w:color w:val="auto"/>
              </w:rPr>
            </w:pPr>
          </w:p>
        </w:tc>
        <w:tc>
          <w:tcPr>
            <w:tcW w:w="8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24"/>
                <w:szCs w:val="24"/>
                <w:color w:val="auto"/>
              </w:rPr>
            </w:pPr>
          </w:p>
        </w:tc>
        <w:tc>
          <w:tcPr>
            <w:tcW w:w="78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1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before gain on sale of real estate</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$ 43,054</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43,684</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$ 59,571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56,842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55,493</w:t>
            </w: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$ 44,960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40,129</w:t>
            </w: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11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1,117</w:t>
            </w:r>
          </w:p>
        </w:tc>
        <w:tc>
          <w:tcPr>
            <w:tcW w:w="300" w:type="dxa"/>
            <w:vAlign w:val="bottom"/>
          </w:tcPr>
          <w:p>
            <w:pPr>
              <w:spacing w:after="0"/>
              <w:rPr>
                <w:sz w:val="22"/>
                <w:szCs w:val="22"/>
                <w:color w:val="auto"/>
              </w:rPr>
            </w:pP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1,089</w:t>
            </w: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2,037</w:t>
            </w:r>
          </w:p>
        </w:tc>
        <w:tc>
          <w:tcPr>
            <w:tcW w:w="140" w:type="dxa"/>
            <w:vAlign w:val="bottom"/>
          </w:tcPr>
          <w:p>
            <w:pPr>
              <w:spacing w:after="0"/>
              <w:rPr>
                <w:sz w:val="22"/>
                <w:szCs w:val="22"/>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1,969</w:t>
            </w:r>
          </w:p>
        </w:tc>
        <w:tc>
          <w:tcPr>
            <w:tcW w:w="180" w:type="dxa"/>
            <w:vAlign w:val="bottom"/>
          </w:tcPr>
          <w:p>
            <w:pPr>
              <w:spacing w:after="0"/>
              <w:rPr>
                <w:sz w:val="22"/>
                <w:szCs w:val="22"/>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1,619</w:t>
            </w:r>
          </w:p>
        </w:tc>
        <w:tc>
          <w:tcPr>
            <w:tcW w:w="280" w:type="dxa"/>
            <w:vAlign w:val="bottom"/>
          </w:tcPr>
          <w:p>
            <w:pPr>
              <w:spacing w:after="0"/>
              <w:rPr>
                <w:sz w:val="22"/>
                <w:szCs w:val="22"/>
                <w:color w:val="auto"/>
              </w:rPr>
            </w:pP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986</w:t>
            </w:r>
          </w:p>
        </w:tc>
        <w:tc>
          <w:tcPr>
            <w:tcW w:w="120" w:type="dxa"/>
            <w:vAlign w:val="bottom"/>
          </w:tcPr>
          <w:p>
            <w:pPr>
              <w:spacing w:after="0"/>
              <w:rPr>
                <w:sz w:val="22"/>
                <w:szCs w:val="22"/>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948</w:t>
            </w:r>
          </w:p>
        </w:tc>
        <w:tc>
          <w:tcPr>
            <w:tcW w:w="0" w:type="dxa"/>
            <w:vAlign w:val="bottom"/>
          </w:tcPr>
          <w:p>
            <w:pPr>
              <w:spacing w:after="0"/>
              <w:rPr>
                <w:sz w:val="1"/>
                <w:szCs w:val="1"/>
                <w:color w:val="auto"/>
              </w:rPr>
            </w:pPr>
          </w:p>
        </w:tc>
      </w:tr>
      <w:tr>
        <w:trPr>
          <w:trHeight w:val="170"/>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Portion of rents representing interest</w:t>
            </w:r>
          </w:p>
        </w:tc>
        <w:tc>
          <w:tcPr>
            <w:tcW w:w="11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Interest on indebtedness, including</w:t>
            </w:r>
          </w:p>
        </w:tc>
        <w:tc>
          <w:tcPr>
            <w:tcW w:w="11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45,313</w:t>
            </w:r>
          </w:p>
        </w:tc>
        <w:tc>
          <w:tcPr>
            <w:tcW w:w="300" w:type="dxa"/>
            <w:vAlign w:val="bottom"/>
          </w:tcPr>
          <w:p>
            <w:pPr>
              <w:spacing w:after="0"/>
              <w:rPr>
                <w:sz w:val="14"/>
                <w:szCs w:val="14"/>
                <w:color w:val="auto"/>
              </w:rPr>
            </w:pP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52,360</w:t>
            </w: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69,313</w:t>
            </w:r>
          </w:p>
        </w:tc>
        <w:tc>
          <w:tcPr>
            <w:tcW w:w="14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66,418</w:t>
            </w:r>
          </w:p>
        </w:tc>
        <w:tc>
          <w:tcPr>
            <w:tcW w:w="18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61,492</w:t>
            </w:r>
          </w:p>
        </w:tc>
        <w:tc>
          <w:tcPr>
            <w:tcW w:w="280" w:type="dxa"/>
            <w:vAlign w:val="bottom"/>
          </w:tcPr>
          <w:p>
            <w:pPr>
              <w:spacing w:after="0"/>
              <w:rPr>
                <w:sz w:val="14"/>
                <w:szCs w:val="14"/>
                <w:color w:val="auto"/>
              </w:rPr>
            </w:pP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55,125</w:t>
            </w:r>
          </w:p>
        </w:tc>
        <w:tc>
          <w:tcPr>
            <w:tcW w:w="120" w:type="dxa"/>
            <w:vAlign w:val="bottom"/>
          </w:tcPr>
          <w:p>
            <w:pPr>
              <w:spacing w:after="0"/>
              <w:rPr>
                <w:sz w:val="14"/>
                <w:szCs w:val="1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47,288</w:t>
            </w:r>
          </w:p>
        </w:tc>
        <w:tc>
          <w:tcPr>
            <w:tcW w:w="0" w:type="dxa"/>
            <w:vAlign w:val="bottom"/>
          </w:tcPr>
          <w:p>
            <w:pPr>
              <w:spacing w:after="0"/>
              <w:rPr>
                <w:sz w:val="1"/>
                <w:szCs w:val="1"/>
                <w:color w:val="auto"/>
              </w:rPr>
            </w:pPr>
          </w:p>
        </w:tc>
      </w:tr>
      <w:tr>
        <w:trPr>
          <w:trHeight w:val="170"/>
        </w:trPr>
        <w:tc>
          <w:tcPr>
            <w:tcW w:w="3860" w:type="dxa"/>
            <w:vAlign w:val="bottom"/>
          </w:tcPr>
          <w:p>
            <w:pPr>
              <w:ind w:left="600"/>
              <w:spacing w:after="0"/>
              <w:rPr>
                <w:sz w:val="20"/>
                <w:szCs w:val="20"/>
                <w:color w:val="auto"/>
              </w:rPr>
            </w:pPr>
            <w:r>
              <w:rPr>
                <w:rFonts w:ascii="Courier New" w:cs="Courier New" w:eastAsia="Courier New" w:hAnsi="Courier New"/>
                <w:sz w:val="15"/>
                <w:szCs w:val="15"/>
                <w:color w:val="auto"/>
              </w:rPr>
              <w:t>amortization of debt costs</w:t>
            </w:r>
          </w:p>
        </w:tc>
        <w:tc>
          <w:tcPr>
            <w:tcW w:w="11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2"/>
        </w:trPr>
        <w:tc>
          <w:tcPr>
            <w:tcW w:w="3860" w:type="dxa"/>
            <w:vAlign w:val="bottom"/>
          </w:tcPr>
          <w:p>
            <w:pPr>
              <w:ind w:left="1400"/>
              <w:spacing w:after="0"/>
              <w:rPr>
                <w:sz w:val="20"/>
                <w:szCs w:val="20"/>
                <w:color w:val="auto"/>
              </w:rPr>
            </w:pPr>
            <w:r>
              <w:rPr>
                <w:rFonts w:ascii="Courier New" w:cs="Courier New" w:eastAsia="Courier New" w:hAnsi="Courier New"/>
                <w:sz w:val="15"/>
                <w:szCs w:val="15"/>
                <w:color w:val="auto"/>
              </w:rPr>
              <w:t>Income as adjusted</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89,484</w:t>
            </w:r>
          </w:p>
        </w:tc>
        <w:tc>
          <w:tcPr>
            <w:tcW w:w="300" w:type="dxa"/>
            <w:vAlign w:val="bottom"/>
          </w:tcPr>
          <w:p>
            <w:pPr>
              <w:spacing w:after="0"/>
              <w:rPr>
                <w:sz w:val="22"/>
                <w:szCs w:val="22"/>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97,133</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130,921</w:t>
            </w:r>
          </w:p>
        </w:tc>
        <w:tc>
          <w:tcPr>
            <w:tcW w:w="140" w:type="dxa"/>
            <w:vAlign w:val="bottom"/>
          </w:tcPr>
          <w:p>
            <w:pPr>
              <w:spacing w:after="0"/>
              <w:rPr>
                <w:sz w:val="22"/>
                <w:szCs w:val="22"/>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125,229</w:t>
            </w:r>
          </w:p>
        </w:tc>
        <w:tc>
          <w:tcPr>
            <w:tcW w:w="180" w:type="dxa"/>
            <w:vAlign w:val="bottom"/>
          </w:tcPr>
          <w:p>
            <w:pPr>
              <w:spacing w:after="0"/>
              <w:rPr>
                <w:sz w:val="22"/>
                <w:szCs w:val="22"/>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118,604</w:t>
            </w:r>
          </w:p>
        </w:tc>
        <w:tc>
          <w:tcPr>
            <w:tcW w:w="280" w:type="dxa"/>
            <w:vAlign w:val="bottom"/>
          </w:tcPr>
          <w:p>
            <w:pPr>
              <w:spacing w:after="0"/>
              <w:rPr>
                <w:sz w:val="22"/>
                <w:szCs w:val="22"/>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101,071</w:t>
            </w:r>
          </w:p>
        </w:tc>
        <w:tc>
          <w:tcPr>
            <w:tcW w:w="12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88,365</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11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1,117</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1,089</w:t>
            </w: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  2,037</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1,969</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1,619</w:t>
            </w:r>
          </w:p>
        </w:tc>
        <w:tc>
          <w:tcPr>
            <w:tcW w:w="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986</w:t>
            </w: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948</w:t>
            </w:r>
          </w:p>
        </w:tc>
        <w:tc>
          <w:tcPr>
            <w:tcW w:w="0" w:type="dxa"/>
            <w:vAlign w:val="bottom"/>
          </w:tcPr>
          <w:p>
            <w:pPr>
              <w:spacing w:after="0"/>
              <w:rPr>
                <w:sz w:val="1"/>
                <w:szCs w:val="1"/>
                <w:color w:val="auto"/>
              </w:rPr>
            </w:pPr>
          </w:p>
        </w:tc>
      </w:tr>
      <w:tr>
        <w:trPr>
          <w:trHeight w:val="170"/>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Portion of rents representing interest</w:t>
            </w:r>
          </w:p>
        </w:tc>
        <w:tc>
          <w:tcPr>
            <w:tcW w:w="11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Interest on indebtedness, including</w:t>
            </w:r>
          </w:p>
        </w:tc>
        <w:tc>
          <w:tcPr>
            <w:tcW w:w="11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45,313</w:t>
            </w:r>
          </w:p>
        </w:tc>
        <w:tc>
          <w:tcPr>
            <w:tcW w:w="300" w:type="dxa"/>
            <w:vAlign w:val="bottom"/>
          </w:tcPr>
          <w:p>
            <w:pPr>
              <w:spacing w:after="0"/>
              <w:rPr>
                <w:sz w:val="14"/>
                <w:szCs w:val="14"/>
                <w:color w:val="auto"/>
              </w:rPr>
            </w:pP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52,360</w:t>
            </w: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69,313</w:t>
            </w:r>
          </w:p>
        </w:tc>
        <w:tc>
          <w:tcPr>
            <w:tcW w:w="14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66,418</w:t>
            </w:r>
          </w:p>
        </w:tc>
        <w:tc>
          <w:tcPr>
            <w:tcW w:w="18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61,492</w:t>
            </w:r>
          </w:p>
        </w:tc>
        <w:tc>
          <w:tcPr>
            <w:tcW w:w="280" w:type="dxa"/>
            <w:vAlign w:val="bottom"/>
          </w:tcPr>
          <w:p>
            <w:pPr>
              <w:spacing w:after="0"/>
              <w:rPr>
                <w:sz w:val="14"/>
                <w:szCs w:val="14"/>
                <w:color w:val="auto"/>
              </w:rPr>
            </w:pP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55,125</w:t>
            </w:r>
          </w:p>
        </w:tc>
        <w:tc>
          <w:tcPr>
            <w:tcW w:w="120" w:type="dxa"/>
            <w:vAlign w:val="bottom"/>
          </w:tcPr>
          <w:p>
            <w:pPr>
              <w:spacing w:after="0"/>
              <w:rPr>
                <w:sz w:val="14"/>
                <w:szCs w:val="1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47,288</w:t>
            </w:r>
          </w:p>
        </w:tc>
        <w:tc>
          <w:tcPr>
            <w:tcW w:w="0" w:type="dxa"/>
            <w:vAlign w:val="bottom"/>
          </w:tcPr>
          <w:p>
            <w:pPr>
              <w:spacing w:after="0"/>
              <w:rPr>
                <w:sz w:val="1"/>
                <w:szCs w:val="1"/>
                <w:color w:val="auto"/>
              </w:rPr>
            </w:pPr>
          </w:p>
        </w:tc>
      </w:tr>
      <w:tr>
        <w:trPr>
          <w:trHeight w:val="170"/>
        </w:trPr>
        <w:tc>
          <w:tcPr>
            <w:tcW w:w="3860" w:type="dxa"/>
            <w:vAlign w:val="bottom"/>
          </w:tcPr>
          <w:p>
            <w:pPr>
              <w:ind w:left="600"/>
              <w:spacing w:after="0"/>
              <w:rPr>
                <w:sz w:val="20"/>
                <w:szCs w:val="20"/>
                <w:color w:val="auto"/>
              </w:rPr>
            </w:pPr>
            <w:r>
              <w:rPr>
                <w:rFonts w:ascii="Courier New" w:cs="Courier New" w:eastAsia="Courier New" w:hAnsi="Courier New"/>
                <w:sz w:val="15"/>
                <w:szCs w:val="15"/>
                <w:color w:val="auto"/>
              </w:rPr>
              <w:t>Amortization of debt costs</w:t>
            </w:r>
          </w:p>
        </w:tc>
        <w:tc>
          <w:tcPr>
            <w:tcW w:w="11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Capitalized Interest</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19,412</w:t>
            </w:r>
          </w:p>
        </w:tc>
        <w:tc>
          <w:tcPr>
            <w:tcW w:w="30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12,747</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17,803</w:t>
            </w:r>
          </w:p>
        </w:tc>
        <w:tc>
          <w:tcPr>
            <w:tcW w:w="1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13,249</w:t>
            </w:r>
          </w:p>
        </w:tc>
        <w:tc>
          <w:tcPr>
            <w:tcW w:w="1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6,867</w:t>
            </w:r>
          </w:p>
        </w:tc>
        <w:tc>
          <w:tcPr>
            <w:tcW w:w="2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5,078</w:t>
            </w: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3,649</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2"/>
        </w:trPr>
        <w:tc>
          <w:tcPr>
            <w:tcW w:w="3860" w:type="dxa"/>
            <w:vAlign w:val="bottom"/>
          </w:tcPr>
          <w:p>
            <w:pPr>
              <w:ind w:left="1400"/>
              <w:spacing w:after="0"/>
              <w:rPr>
                <w:sz w:val="20"/>
                <w:szCs w:val="20"/>
                <w:color w:val="auto"/>
              </w:rPr>
            </w:pPr>
            <w:r>
              <w:rPr>
                <w:rFonts w:ascii="Courier New" w:cs="Courier New" w:eastAsia="Courier New" w:hAnsi="Courier New"/>
                <w:sz w:val="15"/>
                <w:szCs w:val="15"/>
                <w:color w:val="auto"/>
              </w:rPr>
              <w:t>Fixed charges</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65,842</w:t>
            </w:r>
          </w:p>
        </w:tc>
        <w:tc>
          <w:tcPr>
            <w:tcW w:w="300" w:type="dxa"/>
            <w:vAlign w:val="bottom"/>
          </w:tcPr>
          <w:p>
            <w:pPr>
              <w:spacing w:after="0"/>
              <w:rPr>
                <w:sz w:val="22"/>
                <w:szCs w:val="22"/>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66,196</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89,153</w:t>
            </w:r>
          </w:p>
        </w:tc>
        <w:tc>
          <w:tcPr>
            <w:tcW w:w="140" w:type="dxa"/>
            <w:vAlign w:val="bottom"/>
          </w:tcPr>
          <w:p>
            <w:pPr>
              <w:spacing w:after="0"/>
              <w:rPr>
                <w:sz w:val="22"/>
                <w:szCs w:val="22"/>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81,636</w:t>
            </w:r>
          </w:p>
        </w:tc>
        <w:tc>
          <w:tcPr>
            <w:tcW w:w="180" w:type="dxa"/>
            <w:vAlign w:val="bottom"/>
          </w:tcPr>
          <w:p>
            <w:pPr>
              <w:spacing w:after="0"/>
              <w:rPr>
                <w:sz w:val="22"/>
                <w:szCs w:val="22"/>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69,978</w:t>
            </w:r>
          </w:p>
        </w:tc>
        <w:tc>
          <w:tcPr>
            <w:tcW w:w="280" w:type="dxa"/>
            <w:vAlign w:val="bottom"/>
          </w:tcPr>
          <w:p>
            <w:pPr>
              <w:spacing w:after="0"/>
              <w:rPr>
                <w:sz w:val="22"/>
                <w:szCs w:val="22"/>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61,189</w:t>
            </w:r>
          </w:p>
        </w:tc>
        <w:tc>
          <w:tcPr>
            <w:tcW w:w="12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51,885</w:t>
            </w:r>
          </w:p>
        </w:tc>
        <w:tc>
          <w:tcPr>
            <w:tcW w:w="0" w:type="dxa"/>
            <w:vAlign w:val="bottom"/>
          </w:tcPr>
          <w:p>
            <w:pPr>
              <w:spacing w:after="0"/>
              <w:rPr>
                <w:sz w:val="1"/>
                <w:szCs w:val="1"/>
                <w:color w:val="auto"/>
              </w:rPr>
            </w:pPr>
          </w:p>
        </w:tc>
      </w:tr>
      <w:tr>
        <w:trPr>
          <w:trHeight w:val="170"/>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Preferred dividend</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14,568</w:t>
            </w:r>
          </w:p>
        </w:tc>
        <w:tc>
          <w:tcPr>
            <w:tcW w:w="30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5,963</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9,034</w:t>
            </w:r>
          </w:p>
        </w:tc>
        <w:tc>
          <w:tcPr>
            <w:tcW w:w="1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7,950</w:t>
            </w:r>
          </w:p>
        </w:tc>
        <w:tc>
          <w:tcPr>
            <w:tcW w:w="1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7,950</w:t>
            </w:r>
          </w:p>
        </w:tc>
        <w:tc>
          <w:tcPr>
            <w:tcW w:w="2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7,950</w:t>
            </w: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1,877</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2"/>
        </w:trPr>
        <w:tc>
          <w:tcPr>
            <w:tcW w:w="3860" w:type="dxa"/>
            <w:vAlign w:val="bottom"/>
          </w:tcPr>
          <w:p>
            <w:pPr>
              <w:ind w:left="1400"/>
              <w:spacing w:after="0"/>
              <w:rPr>
                <w:sz w:val="20"/>
                <w:szCs w:val="20"/>
                <w:color w:val="auto"/>
              </w:rPr>
            </w:pPr>
            <w:r>
              <w:rPr>
                <w:rFonts w:ascii="Courier New" w:cs="Courier New" w:eastAsia="Courier New" w:hAnsi="Courier New"/>
                <w:sz w:val="15"/>
                <w:szCs w:val="15"/>
                <w:color w:val="auto"/>
              </w:rPr>
              <w:t>Combined fixed charges and</w:t>
            </w:r>
          </w:p>
        </w:tc>
        <w:tc>
          <w:tcPr>
            <w:tcW w:w="11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80,410</w:t>
            </w:r>
          </w:p>
        </w:tc>
        <w:tc>
          <w:tcPr>
            <w:tcW w:w="300" w:type="dxa"/>
            <w:vAlign w:val="bottom"/>
          </w:tcPr>
          <w:p>
            <w:pPr>
              <w:spacing w:after="0"/>
              <w:rPr>
                <w:sz w:val="22"/>
                <w:szCs w:val="22"/>
                <w:color w:val="auto"/>
              </w:rPr>
            </w:pP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72,159</w:t>
            </w: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98,187</w:t>
            </w:r>
          </w:p>
        </w:tc>
        <w:tc>
          <w:tcPr>
            <w:tcW w:w="140" w:type="dxa"/>
            <w:vAlign w:val="bottom"/>
          </w:tcPr>
          <w:p>
            <w:pPr>
              <w:spacing w:after="0"/>
              <w:rPr>
                <w:sz w:val="22"/>
                <w:szCs w:val="22"/>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89,586</w:t>
            </w:r>
          </w:p>
        </w:tc>
        <w:tc>
          <w:tcPr>
            <w:tcW w:w="180" w:type="dxa"/>
            <w:vAlign w:val="bottom"/>
          </w:tcPr>
          <w:p>
            <w:pPr>
              <w:spacing w:after="0"/>
              <w:rPr>
                <w:sz w:val="22"/>
                <w:szCs w:val="22"/>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77,928</w:t>
            </w:r>
          </w:p>
        </w:tc>
        <w:tc>
          <w:tcPr>
            <w:tcW w:w="280" w:type="dxa"/>
            <w:vAlign w:val="bottom"/>
          </w:tcPr>
          <w:p>
            <w:pPr>
              <w:spacing w:after="0"/>
              <w:rPr>
                <w:sz w:val="22"/>
                <w:szCs w:val="22"/>
                <w:color w:val="auto"/>
              </w:rPr>
            </w:pP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69,139</w:t>
            </w:r>
          </w:p>
        </w:tc>
        <w:tc>
          <w:tcPr>
            <w:tcW w:w="120" w:type="dxa"/>
            <w:vAlign w:val="bottom"/>
          </w:tcPr>
          <w:p>
            <w:pPr>
              <w:spacing w:after="0"/>
              <w:rPr>
                <w:sz w:val="22"/>
                <w:szCs w:val="22"/>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53,762</w:t>
            </w:r>
          </w:p>
        </w:tc>
        <w:tc>
          <w:tcPr>
            <w:tcW w:w="0" w:type="dxa"/>
            <w:vAlign w:val="bottom"/>
          </w:tcPr>
          <w:p>
            <w:pPr>
              <w:spacing w:after="0"/>
              <w:rPr>
                <w:sz w:val="1"/>
                <w:szCs w:val="1"/>
                <w:color w:val="auto"/>
              </w:rPr>
            </w:pPr>
          </w:p>
        </w:tc>
      </w:tr>
      <w:tr>
        <w:trPr>
          <w:trHeight w:val="170"/>
        </w:trPr>
        <w:tc>
          <w:tcPr>
            <w:tcW w:w="3860" w:type="dxa"/>
            <w:vAlign w:val="bottom"/>
          </w:tcPr>
          <w:p>
            <w:pPr>
              <w:ind w:left="1840"/>
              <w:spacing w:after="0"/>
              <w:rPr>
                <w:sz w:val="20"/>
                <w:szCs w:val="20"/>
                <w:color w:val="auto"/>
              </w:rPr>
            </w:pPr>
            <w:r>
              <w:rPr>
                <w:rFonts w:ascii="Courier New" w:cs="Courier New" w:eastAsia="Courier New" w:hAnsi="Courier New"/>
                <w:sz w:val="15"/>
                <w:szCs w:val="15"/>
                <w:color w:val="auto"/>
              </w:rPr>
              <w:t>Preferred dividends</w:t>
            </w:r>
          </w:p>
        </w:tc>
        <w:tc>
          <w:tcPr>
            <w:tcW w:w="11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w:t>
            </w:r>
          </w:p>
        </w:tc>
        <w:tc>
          <w:tcPr>
            <w:tcW w:w="300" w:type="dxa"/>
            <w:vAlign w:val="bottom"/>
          </w:tcPr>
          <w:p>
            <w:pPr>
              <w:spacing w:after="0"/>
              <w:rPr>
                <w:sz w:val="24"/>
                <w:szCs w:val="2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1.5x</w:t>
            </w:r>
          </w:p>
        </w:tc>
        <w:tc>
          <w:tcPr>
            <w:tcW w:w="14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1.5x</w:t>
            </w:r>
          </w:p>
        </w:tc>
        <w:tc>
          <w:tcPr>
            <w:tcW w:w="180" w:type="dxa"/>
            <w:vAlign w:val="bottom"/>
          </w:tcPr>
          <w:p>
            <w:pPr>
              <w:spacing w:after="0"/>
              <w:rPr>
                <w:sz w:val="24"/>
                <w:szCs w:val="2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1.7x</w:t>
            </w:r>
          </w:p>
        </w:tc>
        <w:tc>
          <w:tcPr>
            <w:tcW w:w="28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1.7x</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1.7x</w:t>
            </w: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Ratio of earnings to combined fixed charges</w:t>
            </w:r>
          </w:p>
        </w:tc>
        <w:tc>
          <w:tcPr>
            <w:tcW w:w="11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w:t>
            </w:r>
          </w:p>
        </w:tc>
        <w:tc>
          <w:tcPr>
            <w:tcW w:w="300" w:type="dxa"/>
            <w:vAlign w:val="bottom"/>
          </w:tcPr>
          <w:p>
            <w:pPr>
              <w:spacing w:after="0"/>
              <w:rPr>
                <w:sz w:val="22"/>
                <w:szCs w:val="22"/>
                <w:color w:val="auto"/>
              </w:rPr>
            </w:pP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1.4</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1.3x</w:t>
            </w:r>
          </w:p>
        </w:tc>
        <w:tc>
          <w:tcPr>
            <w:tcW w:w="140" w:type="dxa"/>
            <w:vAlign w:val="bottom"/>
          </w:tcPr>
          <w:p>
            <w:pPr>
              <w:spacing w:after="0"/>
              <w:rPr>
                <w:sz w:val="22"/>
                <w:szCs w:val="22"/>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1.4x</w:t>
            </w:r>
          </w:p>
        </w:tc>
        <w:tc>
          <w:tcPr>
            <w:tcW w:w="180" w:type="dxa"/>
            <w:vAlign w:val="bottom"/>
          </w:tcPr>
          <w:p>
            <w:pPr>
              <w:spacing w:after="0"/>
              <w:rPr>
                <w:sz w:val="22"/>
                <w:szCs w:val="22"/>
                <w:color w:val="auto"/>
              </w:rPr>
            </w:pP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1.5x</w:t>
            </w:r>
          </w:p>
        </w:tc>
        <w:tc>
          <w:tcPr>
            <w:tcW w:w="280" w:type="dxa"/>
            <w:vAlign w:val="bottom"/>
          </w:tcPr>
          <w:p>
            <w:pPr>
              <w:spacing w:after="0"/>
              <w:rPr>
                <w:sz w:val="22"/>
                <w:szCs w:val="22"/>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1.5x</w:t>
            </w:r>
          </w:p>
        </w:tc>
        <w:tc>
          <w:tcPr>
            <w:tcW w:w="120" w:type="dxa"/>
            <w:vAlign w:val="bottom"/>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1.6x</w:t>
            </w:r>
          </w:p>
        </w:tc>
        <w:tc>
          <w:tcPr>
            <w:tcW w:w="0" w:type="dxa"/>
            <w:vAlign w:val="bottom"/>
          </w:tcPr>
          <w:p>
            <w:pPr>
              <w:spacing w:after="0"/>
              <w:rPr>
                <w:sz w:val="1"/>
                <w:szCs w:val="1"/>
                <w:color w:val="auto"/>
              </w:rPr>
            </w:pPr>
          </w:p>
        </w:tc>
      </w:tr>
      <w:tr>
        <w:trPr>
          <w:trHeight w:val="246"/>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and preferred dividend</w:t>
            </w:r>
          </w:p>
        </w:tc>
        <w:tc>
          <w:tcPr>
            <w:tcW w:w="11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520"/>
      </w:cols>
      <w:pgMar w:left="240" w:top="454"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1."/>
      <w:numFmt w:val="decimal"/>
      <w:start w:val="2"/>
    </w:lvl>
    <w:lvl w:ilvl="1">
      <w:lvlJc w:val="left"/>
      <w:lvlText w:val="(%2)"/>
      <w:numFmt w:val="lowerLetter"/>
      <w:start w:val="1"/>
    </w:lvl>
  </w:abstractNum>
  <w:abstractNum w:abstractNumId="2">
    <w:nsid w:val="B03E0C6"/>
    <w:multiLevelType w:val="hybridMultilevel"/>
    <w:lvl w:ilvl="0">
      <w:lvlJc w:val="left"/>
      <w:lvlText w:val="(%1)"/>
      <w:numFmt w:val="lowerLetter"/>
      <w:start w:val="2"/>
    </w:lvl>
  </w:abstractNum>
  <w:abstractNum w:abstractNumId="3">
    <w:nsid w:val="189A769B"/>
    <w:multiLevelType w:val="hybridMultilevel"/>
    <w:lvl w:ilvl="0">
      <w:lvlJc w:val="left"/>
      <w:lvlText w:val="(%1)"/>
      <w:numFmt w:val="lowerLetter"/>
      <w:start w:val="3"/>
    </w:lvl>
  </w:abstractNum>
  <w:abstractNum w:abstractNumId="4">
    <w:nsid w:val="54E49EB4"/>
    <w:multiLevelType w:val="hybridMultilevel"/>
    <w:lvl w:ilvl="0">
      <w:lvlJc w:val="left"/>
      <w:lvlText w:val="(%1)"/>
      <w:numFmt w:val="lowerLetter"/>
      <w:start w:val="5"/>
    </w:lvl>
  </w:abstractNum>
  <w:abstractNum w:abstractNumId="5">
    <w:nsid w:val="71F32454"/>
    <w:multiLevelType w:val="hybridMultilevel"/>
    <w:lvl w:ilvl="0">
      <w:lvlJc w:val="left"/>
      <w:lvlText w:val="(%1)"/>
      <w:numFmt w:val="lowerLetter"/>
      <w:start w:val="8"/>
    </w:lvl>
  </w:abstractNum>
  <w:abstractNum w:abstractNumId="6">
    <w:nsid w:val="2CA88611"/>
    <w:multiLevelType w:val="hybridMultilevel"/>
    <w:lvl w:ilvl="0">
      <w:lvlJc w:val="left"/>
      <w:lvlText w:val="(%1)"/>
      <w:numFmt w:val="lowerLetter"/>
      <w:start w:val="11"/>
    </w:lvl>
  </w:abstractNum>
  <w:abstractNum w:abstractNumId="7">
    <w:nsid w:val="836C40E"/>
    <w:multiLevelType w:val="hybridMultilevel"/>
    <w:lvl w:ilvl="0">
      <w:lvlJc w:val="left"/>
      <w:lvlText w:val="%1"/>
      <w:numFmt w:val="decimal"/>
      <w:start w:val="1"/>
    </w:lvl>
    <w:lvl w:ilvl="1">
      <w:lvlJc w:val="left"/>
      <w:lvlText w:val="(%2)"/>
      <w:numFmt w:val="lowerLetter"/>
      <w:start w:val="17"/>
    </w:lvl>
  </w:abstractNum>
  <w:abstractNum w:abstractNumId="8">
    <w:nsid w:val="2901D82"/>
    <w:multiLevelType w:val="hybridMultilevel"/>
    <w:lvl w:ilvl="0">
      <w:lvlJc w:val="left"/>
      <w:lvlText w:val="%1."/>
      <w:numFmt w:val="decimal"/>
      <w:start w:val="3"/>
    </w:lvl>
    <w:lvl w:ilvl="1">
      <w:lvlJc w:val="left"/>
      <w:lvlText w:val="(%2)"/>
      <w:numFmt w:val="lowerLetter"/>
      <w:start w:val="1"/>
    </w:lvl>
  </w:abstractNum>
  <w:abstractNum w:abstractNumId="9">
    <w:nsid w:val="3A95F874"/>
    <w:multiLevelType w:val="hybridMultilevel"/>
    <w:lvl w:ilvl="0">
      <w:lvlJc w:val="left"/>
      <w:lvlText w:val="(%1)"/>
      <w:numFmt w:val="lowerLetter"/>
      <w:start w:val="2"/>
    </w:lvl>
  </w:abstractNum>
  <w:abstractNum w:abstractNumId="10">
    <w:nsid w:val="8138641"/>
    <w:multiLevelType w:val="hybridMultilevel"/>
    <w:lvl w:ilvl="0">
      <w:lvlJc w:val="left"/>
      <w:lvlText w:val="%1"/>
      <w:numFmt w:val="decimal"/>
      <w:start w:val="1"/>
    </w:lvl>
    <w:lvl w:ilvl="1">
      <w:lvlJc w:val="left"/>
      <w:lvlText w:val="(%2)"/>
      <w:numFmt w:val="lowerLetter"/>
      <w:start w:val="4"/>
    </w:lvl>
  </w:abstractNum>
  <w:abstractNum w:abstractNumId="11">
    <w:nsid w:val="1E7FF521"/>
    <w:multiLevelType w:val="hybridMultilevel"/>
    <w:lvl w:ilvl="0">
      <w:lvlJc w:val="left"/>
      <w:lvlText w:val="%1."/>
      <w:numFmt w:val="decimal"/>
      <w:start w:val="6"/>
    </w:lvl>
    <w:lvl w:ilvl="1">
      <w:lvlJc w:val="left"/>
      <w:lvlText w:val="%2"/>
      <w:numFmt w:val="lowerLetter"/>
      <w:start w:val="1"/>
    </w:lvl>
  </w:abstractNum>
  <w:abstractNum w:abstractNumId="12">
    <w:nsid w:val="7C3DBD3D"/>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1"/>
    </w:lvl>
  </w:abstractNum>
  <w:abstractNum w:abstractNumId="13">
    <w:nsid w:val="737B8DDC"/>
    <w:multiLevelType w:val="hybridMultilevel"/>
    <w:lvl w:ilvl="0">
      <w:lvlJc w:val="left"/>
      <w:lvlText w:val="(%1)"/>
      <w:numFmt w:val="lowerLetter"/>
      <w:start w:val="3"/>
    </w:lvl>
  </w:abstractNum>
  <w:abstractNum w:abstractNumId="14">
    <w:nsid w:val="6CEAF087"/>
    <w:multiLevelType w:val="hybridMultilevel"/>
    <w:lvl w:ilvl="0">
      <w:lvlJc w:val="left"/>
      <w:lvlText w:val="(%1)"/>
      <w:numFmt w:val="lowerLetter"/>
      <w:start w:val="9"/>
    </w:lvl>
  </w:abstractNum>
  <w:abstractNum w:abstractNumId="15">
    <w:nsid w:val="22221A70"/>
    <w:multiLevelType w:val="hybridMultilevel"/>
    <w:lvl w:ilvl="0">
      <w:lvlJc w:val="left"/>
      <w:lvlText w:val="%1."/>
      <w:numFmt w:val="decimal"/>
      <w:start w:val="8"/>
    </w:lvl>
  </w:abstractNum>
  <w:abstractNum w:abstractNumId="16">
    <w:nsid w:val="4516DDE9"/>
    <w:multiLevelType w:val="hybridMultilevel"/>
    <w:lvl w:ilvl="0">
      <w:lvlJc w:val="left"/>
      <w:lvlText w:val="(%1)"/>
      <w:numFmt w:val="lowerLetter"/>
      <w:start w:val="2"/>
    </w:lvl>
  </w:abstractNum>
  <w:abstractNum w:abstractNumId="17">
    <w:nsid w:val="3006C83E"/>
    <w:multiLevelType w:val="hybridMultilevel"/>
    <w:lvl w:ilvl="0">
      <w:lvlJc w:val="left"/>
      <w:lvlText w:val="%1"/>
      <w:numFmt w:val="lowerLetter"/>
      <w:start w:val="1"/>
    </w:lvl>
    <w:lvl w:ilvl="1">
      <w:lvlJc w:val="left"/>
      <w:lvlText w:val="(%2)"/>
      <w:numFmt w:val="lowerLetter"/>
      <w:start w:val="3"/>
    </w:lvl>
  </w:abstractNum>
  <w:abstractNum w:abstractNumId="18">
    <w:nsid w:val="614FD4A1"/>
    <w:multiLevelType w:val="hybridMultilevel"/>
    <w:lvl w:ilvl="0">
      <w:lvlJc w:val="left"/>
      <w:lvlText w:val="(%1)"/>
      <w:numFmt w:val="lowerLetter"/>
      <w:start w:val="1"/>
    </w:lvl>
    <w:lvl w:ilvl="1">
      <w:lvlJc w:val="left"/>
      <w:lvlText w:val="%2"/>
      <w:numFmt w:val="lowerLetter"/>
      <w:start w:val="1"/>
    </w:lvl>
  </w:abstractNum>
  <w:abstractNum w:abstractNumId="19">
    <w:nsid w:val="419AC241"/>
    <w:multiLevelType w:val="hybridMultilevel"/>
    <w:lvl w:ilvl="0">
      <w:lvlJc w:val="left"/>
      <w:lvlText w:val="(%1)"/>
      <w:numFmt w:val="lowerLetter"/>
      <w:start w:val="4"/>
    </w:lvl>
  </w:abstractNum>
  <w:abstractNum w:abstractNumId="20">
    <w:nsid w:val="5577F8E1"/>
    <w:multiLevelType w:val="hybridMultilevel"/>
    <w:lvl w:ilvl="0">
      <w:lvlJc w:val="left"/>
      <w:lvlText w:val="(%1)"/>
      <w:numFmt w:val="lowerLetter"/>
      <w:start w:val="5"/>
    </w:lvl>
  </w:abstractNum>
  <w:abstractNum w:abstractNumId="21">
    <w:nsid w:val="440BADFC"/>
    <w:multiLevelType w:val="hybridMultilevel"/>
    <w:lvl w:ilvl="0">
      <w:lvlJc w:val="left"/>
      <w:lvlText w:val="%1."/>
      <w:numFmt w:val="decimal"/>
      <w:start w:val="9"/>
    </w:lvl>
  </w:abstractNum>
  <w:abstractNum w:abstractNumId="22">
    <w:nsid w:val="5072367"/>
    <w:multiLevelType w:val="hybridMultilevel"/>
    <w:lvl w:ilvl="0">
      <w:lvlJc w:val="left"/>
      <w:lvlText w:val="(%1)"/>
      <w:numFmt w:val="lowerLetter"/>
      <w:start w:val="2"/>
    </w:lvl>
  </w:abstractNum>
  <w:abstractNum w:abstractNumId="23">
    <w:nsid w:val="3804823E"/>
    <w:multiLevelType w:val="hybridMultilevel"/>
    <w:lvl w:ilvl="0">
      <w:lvlJc w:val="left"/>
      <w:lvlText w:val="%1"/>
      <w:numFmt w:val="decimal"/>
      <w:start w:val="1"/>
    </w:lvl>
    <w:lvl w:ilvl="1">
      <w:lvlJc w:val="left"/>
      <w:lvlText w:val="(%2)"/>
      <w:numFmt w:val="lowerLetter"/>
      <w:start w:val="3"/>
    </w:lvl>
  </w:abstractNum>
  <w:abstractNum w:abstractNumId="24">
    <w:nsid w:val="77465F01"/>
    <w:multiLevelType w:val="hybridMultilevel"/>
    <w:lvl w:ilvl="0">
      <w:lvlJc w:val="left"/>
      <w:lvlText w:val="%1."/>
      <w:numFmt w:val="decimal"/>
      <w:start w:val="10"/>
    </w:lvl>
    <w:lvl w:ilvl="1">
      <w:lvlJc w:val="left"/>
      <w:lvlText w:val="%2"/>
      <w:numFmt w:val="lowerLetter"/>
      <w:start w:val="1"/>
    </w:lvl>
  </w:abstractNum>
  <w:abstractNum w:abstractNumId="25">
    <w:nsid w:val="7724C67E"/>
    <w:multiLevelType w:val="hybridMultilevel"/>
    <w:lvl w:ilvl="0">
      <w:lvlJc w:val="left"/>
      <w:lvlText w:val="%1."/>
      <w:numFmt w:val="decimal"/>
      <w:start w:val="12"/>
    </w:lvl>
  </w:abstractNum>
  <w:abstractNum w:abstractNumId="26">
    <w:nsid w:val="5C482A97"/>
    <w:multiLevelType w:val="hybridMultilevel"/>
    <w:lvl w:ilvl="0">
      <w:lvlJc w:val="left"/>
      <w:lvlText w:val="%1."/>
      <w:numFmt w:val="decimal"/>
      <w:start w:val="13"/>
    </w:lvl>
  </w:abstractNum>
  <w:abstractNum w:abstractNumId="27">
    <w:nsid w:val="2463B9EA"/>
    <w:multiLevelType w:val="hybridMultilevel"/>
    <w:lvl w:ilvl="0">
      <w:lvlJc w:val="left"/>
      <w:lvlText w:val="(%1)"/>
      <w:numFmt w:val="lowerRoman"/>
      <w:start w:val="1"/>
    </w:lvl>
  </w:abstractNum>
  <w:abstractNum w:abstractNumId="28">
    <w:nsid w:val="5E884ADC"/>
    <w:multiLevelType w:val="hybridMultilevel"/>
    <w:lvl w:ilvl="0">
      <w:lvlJc w:val="left"/>
      <w:lvlText w:val="%1"/>
      <w:numFmt w:val="lowerRoman"/>
      <w:start w:val="1"/>
    </w:lvl>
    <w:lvl w:ilvl="1">
      <w:lvlJc w:val="left"/>
      <w:lvlText w:val="(%2)"/>
      <w:numFmt w:val="lowerRoman"/>
      <w:start w:val="7"/>
    </w:lvl>
  </w:abstractNum>
  <w:abstractNum w:abstractNumId="29">
    <w:nsid w:val="51EAD36B"/>
    <w:multiLevelType w:val="hybridMultilevel"/>
    <w:lvl w:ilvl="0">
      <w:lvlJc w:val="left"/>
      <w:lvlText w:val="(%1)"/>
      <w:numFmt w:val="lowerRoman"/>
      <w:start w:val="1"/>
    </w:lvl>
    <w:lvl w:ilvl="1">
      <w:lvlJc w:val="left"/>
      <w:lvlText w:val="(%2)"/>
      <w:numFmt w:val="lowerRoman"/>
      <w:start w:val="10"/>
    </w:lvl>
  </w:abstractNum>
  <w:abstractNum w:abstractNumId="30">
    <w:nsid w:val="2D517796"/>
    <w:multiLevelType w:val="hybridMultilevel"/>
    <w:lvl w:ilvl="0">
      <w:lvlJc w:val="left"/>
      <w:lvlText w:val="(%1)"/>
      <w:numFmt w:val="lowerRoman"/>
      <w:start w:val="12"/>
    </w:lvl>
  </w:abstractNum>
  <w:abstractNum w:abstractNumId="31">
    <w:nsid w:val="580BD78F"/>
    <w:multiLevelType w:val="hybridMultilevel"/>
    <w:lvl w:ilvl="0">
      <w:lvlJc w:val="left"/>
      <w:lvlText w:val="o"/>
      <w:numFmt w:val="bullet"/>
      <w:start w:val="1"/>
    </w:lvl>
  </w:abstractNum>
  <w:abstractNum w:abstractNumId="32">
    <w:nsid w:val="153EA438"/>
    <w:multiLevelType w:val="hybridMultilevel"/>
    <w:lvl w:ilvl="0">
      <w:lvlJc w:val="left"/>
      <w:lvlText w:val="o"/>
      <w:numFmt w:val="bullet"/>
      <w:start w:val="1"/>
    </w:lvl>
    <w:lvl w:ilvl="1">
      <w:lvlJc w:val="left"/>
      <w:lvlText w:val="(%2)"/>
      <w:numFmt w:val="lowerRoman"/>
      <w:start w:val="3"/>
    </w:lvl>
  </w:abstractNum>
  <w:abstractNum w:abstractNumId="33">
    <w:nsid w:val="3855585C"/>
    <w:multiLevelType w:val="hybridMultilevel"/>
    <w:lvl w:ilvl="0">
      <w:lvlJc w:val="left"/>
      <w:lvlText w:val="o"/>
      <w:numFmt w:val="bullet"/>
      <w:start w:val="1"/>
    </w:lvl>
    <w:lvl w:ilvl="1">
      <w:lvlJc w:val="left"/>
      <w:lvlText w:val="(%2)"/>
      <w:numFmt w:val="lowerRoman"/>
      <w:start w:val="4"/>
    </w:lvl>
  </w:abstractNum>
  <w:abstractNum w:abstractNumId="34">
    <w:nsid w:val="70A64E2A"/>
    <w:multiLevelType w:val="hybridMultilevel"/>
    <w:lvl w:ilvl="0">
      <w:lvlJc w:val="left"/>
      <w:lvlText w:val="o"/>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lowerLetter"/>
      <w:start w:val="15"/>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lowerRoman"/>
      <w:start w:val="5"/>
    </w:lvl>
  </w:abstractNum>
  <w:abstractNum w:abstractNumId="40">
    <w:nsid w:val="57E4CCAF"/>
    <w:multiLevelType w:val="hybridMultilevel"/>
    <w:lvl w:ilvl="0">
      <w:lvlJc w:val="left"/>
      <w:lvlText w:val="(%1)"/>
      <w:numFmt w:val="lowerRoman"/>
      <w:start w:val="1"/>
    </w:lvl>
  </w:abstractNum>
  <w:abstractNum w:abstractNumId="41">
    <w:nsid w:val="7A6D8D3C"/>
    <w:multiLevelType w:val="hybridMultilevel"/>
    <w:lvl w:ilvl="0">
      <w:lvlJc w:val="left"/>
      <w:lvlText w:val="(%1)"/>
      <w:numFmt w:val="lowerRoman"/>
      <w:start w:val="2"/>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lowerRoman"/>
      <w:start w:val="1"/>
    </w:lvl>
  </w:abstractNum>
  <w:abstractNum w:abstractNumId="45">
    <w:nsid w:val="38437FDB"/>
    <w:multiLevelType w:val="hybridMultilevel"/>
    <w:lvl w:ilvl="0">
      <w:lvlJc w:val="left"/>
      <w:lvlText w:val="(%1)"/>
      <w:numFmt w:val="lowerRoman"/>
      <w:start w:val="1"/>
    </w:lvl>
  </w:abstractNum>
  <w:abstractNum w:abstractNumId="46">
    <w:nsid w:val="7644A45C"/>
    <w:multiLevelType w:val="hybridMultilevel"/>
    <w:lvl w:ilvl="0">
      <w:lvlJc w:val="left"/>
      <w:lvlText w:val="(%1)"/>
      <w:numFmt w:val="lowerRoman"/>
      <w:start w:val="4"/>
    </w:lvl>
  </w:abstractNum>
  <w:abstractNum w:abstractNumId="47">
    <w:nsid w:val="32FFF902"/>
    <w:multiLevelType w:val="hybridMultilevel"/>
    <w:lvl w:ilvl="0">
      <w:lvlJc w:val="left"/>
      <w:lvlText w:val="(%1)"/>
      <w:numFmt w:val="lowerRoman"/>
      <w:start w:val="2"/>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2019-12-11T18:16:24Z</dcterms:created>
  <dcterms:modified xsi:type="dcterms:W3CDTF">2019-12-11T18:16:24Z</dcterms:modified>
</cp:coreProperties>
</file>