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lineRule="auto" w:line="288" w:before="18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180" w:after="283"/>
        <w:jc w:val="center"/>
        <w:rPr>
          <w:rFonts w:ascii="Times New Roman;sans-serif" w:hAnsi="Times New Roman;sans-serif"/>
          <w:b/>
          <w:color w:val="000000"/>
          <w:sz w:val="26"/>
        </w:rPr>
      </w:pPr>
      <w:r>
        <w:rPr>
          <w:rFonts w:ascii="Times New Roman;sans-serif" w:hAnsi="Times New Roman;sans-serif"/>
          <w:b/>
          <w:color w:val="000000"/>
          <w:sz w:val="26"/>
        </w:rPr>
        <w:t xml:space="preserve">CURRENT REPORT </w:t>
      </w:r>
    </w:p>
    <w:p>
      <w:pPr>
        <w:pStyle w:val="TextBody"/>
        <w:bidi w:val="0"/>
        <w:spacing w:lineRule="auto" w:line="288" w:before="180" w:after="283"/>
        <w:jc w:val="center"/>
        <w:rPr>
          <w:rFonts w:ascii="Times New Roman;sans-serif" w:hAnsi="Times New Roman;sans-serif"/>
          <w:b/>
          <w:color w:val="000000"/>
          <w:sz w:val="22"/>
        </w:rPr>
      </w:pPr>
      <w:r>
        <w:rPr>
          <w:rFonts w:ascii="Times New Roman;sans-serif" w:hAnsi="Times New Roman;sans-serif"/>
          <w:b/>
          <w:color w:val="000000"/>
          <w:sz w:val="22"/>
        </w:rPr>
        <w:t xml:space="preserve">Pursuant to Section 13 or 15(d) of the Securities Exchange Act of 1934 </w:t>
      </w:r>
    </w:p>
    <w:p>
      <w:pPr>
        <w:pStyle w:val="TextBody"/>
        <w:bidi w:val="0"/>
        <w:spacing w:lineRule="auto" w:line="288" w:before="180" w:after="283"/>
        <w:jc w:val="center"/>
        <w:rPr/>
      </w:pPr>
      <w:r>
        <w:rPr>
          <w:rFonts w:ascii="Times New Roman;sans-serif" w:hAnsi="Times New Roman;sans-serif"/>
          <w:b/>
          <w:color w:val="000000"/>
          <w:sz w:val="22"/>
        </w:rPr>
        <w:t>Date of Report (Date of earliest event reported) October 30, 2024</w:t>
      </w:r>
      <w:r>
        <w:rPr>
          <w:color w:val="000000"/>
        </w:rPr>
        <w:t xml:space="preserve"> </w:t>
      </w:r>
    </w:p>
    <w:p>
      <w:pPr>
        <w:pStyle w:val="TextBody"/>
        <w:bidi w:val="0"/>
        <w:spacing w:lineRule="auto" w:line="288" w:before="180" w:after="283"/>
        <w:jc w:val="center"/>
        <w:rPr>
          <w:rFonts w:ascii="Times New Roman;sans-serif" w:hAnsi="Times New Roman;sans-serif"/>
          <w:b/>
          <w:color w:val="000000"/>
          <w:sz w:val="48"/>
        </w:rPr>
      </w:pPr>
      <w:r>
        <w:rPr>
          <w:rFonts w:ascii="Times New Roman;sans-serif" w:hAnsi="Times New Roman;sans-serif"/>
          <w:b/>
          <w:color w:val="000000"/>
          <w:sz w:val="48"/>
        </w:rPr>
        <w:t>Federal Realty Investment Trust</w:t>
      </w:r>
    </w:p>
    <w:p>
      <w:pPr>
        <w:pStyle w:val="TextBody"/>
        <w:bidi w:val="0"/>
        <w:spacing w:lineRule="auto" w:line="288" w:before="180" w:after="283"/>
        <w:jc w:val="center"/>
        <w:rPr>
          <w:rFonts w:ascii="Times New Roman;sans-serif" w:hAnsi="Times New Roman;sans-serif"/>
          <w:b/>
          <w:color w:val="000000"/>
          <w:sz w:val="48"/>
        </w:rPr>
      </w:pPr>
      <w:r>
        <w:rPr>
          <w:rFonts w:ascii="Times New Roman;sans-serif" w:hAnsi="Times New Roman;sans-serif"/>
          <w:b/>
          <w:color w:val="000000"/>
          <w:sz w:val="48"/>
        </w:rPr>
        <w:t xml:space="preserve">Federal Realty OP LP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p>
      <w:pPr>
        <w:pStyle w:val="TextBody"/>
        <w:bidi w:val="0"/>
        <w:spacing w:lineRule="auto" w:line="288" w:before="0" w:after="0"/>
        <w:jc w:val="left"/>
        <w:rPr>
          <w:color w:val="000000"/>
        </w:rPr>
      </w:pPr>
      <w:r>
        <w:rPr>
          <w:color w:val="000000"/>
        </w:rPr>
        <w:t> </w:t>
      </w:r>
    </w:p>
    <w:tbl>
      <w:tblPr>
        <w:tblW w:w="7162" w:type="dxa"/>
        <w:jc w:val="center"/>
        <w:tblInd w:w="0" w:type="dxa"/>
        <w:tblLayout w:type="fixed"/>
        <w:tblCellMar>
          <w:top w:w="28" w:type="dxa"/>
          <w:left w:w="28" w:type="dxa"/>
          <w:bottom w:w="28" w:type="dxa"/>
          <w:right w:w="28" w:type="dxa"/>
        </w:tblCellMar>
      </w:tblPr>
      <w:tblGrid>
        <w:gridCol w:w="1408"/>
        <w:gridCol w:w="1234"/>
        <w:gridCol w:w="1242"/>
        <w:gridCol w:w="109"/>
        <w:gridCol w:w="109"/>
        <w:gridCol w:w="109"/>
        <w:gridCol w:w="458"/>
        <w:gridCol w:w="458"/>
        <w:gridCol w:w="464"/>
        <w:gridCol w:w="109"/>
        <w:gridCol w:w="109"/>
        <w:gridCol w:w="109"/>
        <w:gridCol w:w="363"/>
        <w:gridCol w:w="363"/>
        <w:gridCol w:w="518"/>
      </w:tblGrid>
      <w:tr>
        <w:trPr/>
        <w:tc>
          <w:tcPr>
            <w:tcW w:w="140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Maryland (Federal Realty Investment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1-07533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87-3916363</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Delaware (Federal Realty OP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333-262016-01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52-0782497</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w:t>
              <w:br/>
              <w:t>Identification No.)</w:t>
            </w:r>
          </w:p>
        </w:tc>
      </w:tr>
    </w:tbl>
    <w:tbl>
      <w:tblPr>
        <w:tblW w:w="6440" w:type="dxa"/>
        <w:jc w:val="center"/>
        <w:tblInd w:w="0" w:type="dxa"/>
        <w:tblLayout w:type="fixed"/>
        <w:tblCellMar>
          <w:top w:w="28" w:type="dxa"/>
          <w:left w:w="28" w:type="dxa"/>
          <w:bottom w:w="28" w:type="dxa"/>
          <w:right w:w="28" w:type="dxa"/>
        </w:tblCellMar>
      </w:tblPr>
      <w:tblGrid>
        <w:gridCol w:w="124"/>
        <w:gridCol w:w="109"/>
        <w:gridCol w:w="109"/>
        <w:gridCol w:w="739"/>
        <w:gridCol w:w="739"/>
        <w:gridCol w:w="742"/>
        <w:gridCol w:w="454"/>
        <w:gridCol w:w="454"/>
        <w:gridCol w:w="456"/>
        <w:gridCol w:w="290"/>
        <w:gridCol w:w="290"/>
        <w:gridCol w:w="291"/>
        <w:gridCol w:w="109"/>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909 Rose Avenue, Suite 200</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North Bethesda,</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20852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 xml:space="preserve">Registrant's telephone number including area code: 301/998-8100 </w:t>
      </w:r>
    </w:p>
    <w:p>
      <w:pPr>
        <w:pStyle w:val="TextBody"/>
        <w:bidi w:val="0"/>
        <w:spacing w:lineRule="auto" w:line="288" w:before="9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Check the appropriate box below if the Form 8-K filing is intended to simultaneously satisfy the filing obligation of the registrant under any of the following provisions (see General Instruction A.2. below): </w:t>
      </w:r>
    </w:p>
    <w:tbl>
      <w:tblPr>
        <w:tblW w:w="6852"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bl>
    <w:tbl>
      <w:tblPr>
        <w:tblW w:w="6851"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bl>
    <w:tbl>
      <w:tblPr>
        <w:tblW w:w="8442" w:type="dxa"/>
        <w:jc w:val="center"/>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bl>
    <w:tbl>
      <w:tblPr>
        <w:tblW w:w="8381" w:type="dxa"/>
        <w:jc w:val="center"/>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p>
      <w:pPr>
        <w:pStyle w:val="TextBody"/>
        <w:bidi w:val="0"/>
        <w:spacing w:lineRule="auto" w:line="288" w:before="100" w:after="100"/>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18"/>
        <w:gridCol w:w="1665"/>
        <w:gridCol w:w="1663"/>
        <w:gridCol w:w="448"/>
        <w:gridCol w:w="448"/>
        <w:gridCol w:w="444"/>
        <w:gridCol w:w="1057"/>
        <w:gridCol w:w="1057"/>
        <w:gridCol w:w="1505"/>
      </w:tblGrid>
      <w:tr>
        <w:trPr/>
        <w:tc>
          <w:tcPr>
            <w:tcW w:w="1918"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Shares of Beneficial Interest</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FRT</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 par value per share, with associated Common Share Purchase Rights</w:t>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Depositary Shares, each representing 1/1000 of a 5.00% </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FRT-C</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Series C Cumulative Redeemable Preferred Stock, $.01 par value per share</w:t>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Federal Realty OP LP</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None</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bl>
    <w:tbl>
      <w:tblPr>
        <w:tblW w:w="10205" w:type="dxa"/>
        <w:jc w:val="center"/>
        <w:tblInd w:w="0" w:type="dxa"/>
        <w:tblLayout w:type="fixed"/>
        <w:tblCellMar>
          <w:top w:w="28" w:type="dxa"/>
          <w:left w:w="28" w:type="dxa"/>
          <w:bottom w:w="28" w:type="dxa"/>
          <w:right w:w="28" w:type="dxa"/>
        </w:tblCellMar>
      </w:tblPr>
      <w:tblGrid>
        <w:gridCol w:w="1341"/>
        <w:gridCol w:w="1043"/>
        <w:gridCol w:w="1043"/>
        <w:gridCol w:w="1127"/>
        <w:gridCol w:w="1043"/>
        <w:gridCol w:w="1043"/>
        <w:gridCol w:w="1043"/>
        <w:gridCol w:w="1043"/>
        <w:gridCol w:w="1479"/>
      </w:tblGrid>
      <w:tr>
        <w:trPr/>
        <w:tc>
          <w:tcPr>
            <w:tcW w:w="134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or Rule 12b-2 of the Securities Exchange Act of 1934.</w:t>
            </w:r>
          </w:p>
        </w:tc>
      </w:tr>
      <w:tr>
        <w:trPr/>
        <w:tc>
          <w:tcPr>
            <w:tcW w:w="34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Investment Trust Yes ☐ No ☒</w:t>
            </w:r>
          </w:p>
        </w:tc>
        <w:tc>
          <w:tcPr>
            <w:tcW w:w="32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OP LP Yes ☐ No ☒</w:t>
            </w:r>
          </w:p>
        </w:tc>
        <w:tc>
          <w:tcPr>
            <w:tcW w:w="3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32"/>
        <w:gridCol w:w="1025"/>
        <w:gridCol w:w="1025"/>
        <w:gridCol w:w="1170"/>
        <w:gridCol w:w="1025"/>
        <w:gridCol w:w="1025"/>
        <w:gridCol w:w="1025"/>
        <w:gridCol w:w="1025"/>
        <w:gridCol w:w="1453"/>
      </w:tblGrid>
      <w:tr>
        <w:trPr/>
        <w:tc>
          <w:tcPr>
            <w:tcW w:w="143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checkmark if the registrant has elected not use the extended transition period for complying with any new or revised financial accounting standards provided pursuant to Section 13(a) of the Exchange Act.</w:t>
            </w:r>
          </w:p>
        </w:tc>
      </w:tr>
      <w:tr>
        <w:trPr/>
        <w:tc>
          <w:tcPr>
            <w:tcW w:w="34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Investment Trust ☐</w:t>
            </w:r>
          </w:p>
        </w:tc>
        <w:tc>
          <w:tcPr>
            <w:tcW w:w="3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OP LP ☐</w:t>
            </w:r>
          </w:p>
        </w:tc>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On October 30, 2024, Federal Realty Investment Trust issued supplemental data pertaining to its operations, as well as a press release, to report its financial results for the quarter ended September 30, 2024. The supplemental data and press release are furnished as Exhibit 99.1 hereto.</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4"/>
        </w:rPr>
        <w:t>Item 9.01.</w:t>
      </w:r>
      <w:r>
        <w:rPr>
          <w:color w:val="000000"/>
        </w:rPr>
        <w:t xml:space="preserve">     </w:t>
      </w:r>
      <w:r>
        <w:rPr>
          <w:rFonts w:ascii="Times New Roman;sans-serif" w:hAnsi="Times New Roman;sans-serif"/>
          <w:b/>
          <w:color w:val="000000"/>
          <w:sz w:val="24"/>
        </w:rPr>
        <w:t>Financial Statements and Exhibits.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(c)</w:t>
      </w:r>
      <w:r>
        <w:rPr>
          <w:color w:val="000000"/>
        </w:rPr>
        <w:t>    </w:t>
      </w:r>
      <w:r>
        <w:rPr>
          <w:rFonts w:ascii="Times New Roman;sans-serif" w:hAnsi="Times New Roman;sans-serif"/>
          <w:b w:val="false"/>
          <w:color w:val="000000"/>
          <w:sz w:val="24"/>
        </w:rPr>
        <w:t>Exhibits</w:t>
      </w:r>
    </w:p>
    <w:p>
      <w:pPr>
        <w:pStyle w:val="TextBody"/>
        <w:bidi w:val="0"/>
        <w:spacing w:before="0" w:after="0"/>
        <w:jc w:val="left"/>
        <w:rPr/>
      </w:pPr>
      <w:r>
        <w:rPr/>
      </w:r>
    </w:p>
    <w:p>
      <w:pPr>
        <w:pStyle w:val="TextBody"/>
        <w:bidi w:val="0"/>
        <w:spacing w:lineRule="auto" w:line="288" w:before="0" w:after="0"/>
        <w:ind w:left="0" w:right="0" w:hanging="1440"/>
        <w:jc w:val="left"/>
        <w:rPr/>
      </w:pPr>
      <w:r>
        <w:rPr>
          <w:color w:val="000000"/>
        </w:rPr>
        <w:t>    </w:t>
      </w:r>
      <w:r>
        <w:rPr>
          <w:rFonts w:ascii="Times New Roman;sans-serif" w:hAnsi="Times New Roman;sans-serif"/>
          <w:b w:val="false"/>
          <w:color w:val="000000"/>
          <w:sz w:val="24"/>
        </w:rPr>
        <w:t>99.1</w:t>
      </w:r>
      <w:r>
        <w:rPr>
          <w:color w:val="000000"/>
        </w:rPr>
        <w:t>    </w:t>
      </w:r>
      <w:r>
        <w:rPr>
          <w:rFonts w:ascii="Times New Roman;sans-serif" w:hAnsi="Times New Roman;sans-serif"/>
          <w:b w:val="false"/>
          <w:color w:val="000000"/>
          <w:sz w:val="24"/>
        </w:rPr>
        <w:t>Supplemental information at September 30, 2024 (including press release dated October 30, 2024)</w:t>
      </w:r>
    </w:p>
    <w:p>
      <w:pPr>
        <w:pStyle w:val="TextBody"/>
        <w:bidi w:val="0"/>
        <w:spacing w:before="0" w:after="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Pursuant to the requirements of the Securities Exchange Act of 1934, the registrants have duly caused this report to be signed on their behalf by the undersigned hereunto duly authorized.</w:t>
      </w:r>
    </w:p>
    <w:p>
      <w:pPr>
        <w:pStyle w:val="TextBody"/>
        <w:bidi w:val="0"/>
        <w:spacing w:before="0" w:after="0"/>
        <w:jc w:val="left"/>
        <w:rPr/>
      </w:pPr>
      <w:r>
        <w:rPr/>
      </w:r>
    </w:p>
    <w:tbl>
      <w:tblPr>
        <w:tblW w:w="7750" w:type="dxa"/>
        <w:jc w:val="center"/>
        <w:tblInd w:w="0" w:type="dxa"/>
        <w:tblLayout w:type="fixed"/>
        <w:tblCellMar>
          <w:top w:w="28" w:type="dxa"/>
          <w:left w:w="28" w:type="dxa"/>
          <w:bottom w:w="28" w:type="dxa"/>
          <w:right w:w="28" w:type="dxa"/>
        </w:tblCellMar>
      </w:tblPr>
      <w:tblGrid>
        <w:gridCol w:w="228"/>
        <w:gridCol w:w="200"/>
        <w:gridCol w:w="202"/>
        <w:gridCol w:w="589"/>
        <w:gridCol w:w="589"/>
        <w:gridCol w:w="591"/>
        <w:gridCol w:w="109"/>
        <w:gridCol w:w="109"/>
        <w:gridCol w:w="109"/>
        <w:gridCol w:w="1470"/>
        <w:gridCol w:w="1470"/>
        <w:gridCol w:w="2084"/>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FEDERAL REALTY INVESTMENT TRUST</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FEDERAL REALTY OP LP</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October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4"/>
                <w:u w:val="single"/>
              </w:rPr>
              <w:t>/s/ Daniel Guglielmone</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Daniel Guglielmone</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Executive Vice President-</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Financial Officer and Treasurer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INDEX</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501"/>
        <w:gridCol w:w="440"/>
        <w:gridCol w:w="442"/>
        <w:gridCol w:w="109"/>
        <w:gridCol w:w="109"/>
        <w:gridCol w:w="109"/>
        <w:gridCol w:w="2478"/>
        <w:gridCol w:w="2478"/>
        <w:gridCol w:w="3539"/>
      </w:tblGrid>
      <w:tr>
        <w:trPr/>
        <w:tc>
          <w:tcPr>
            <w:tcW w:w="50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3539" w:type="dxa"/>
            <w:tcBorders/>
            <w:vAlign w:val="center"/>
          </w:tcPr>
          <w:p>
            <w:pPr>
              <w:pStyle w:val="TableContents"/>
              <w:bidi w:val="0"/>
              <w:spacing w:before="0" w:after="283"/>
              <w:jc w:val="left"/>
              <w:rPr>
                <w:sz w:val="4"/>
                <w:szCs w:val="4"/>
              </w:rPr>
            </w:pPr>
            <w:r>
              <w:rPr>
                <w:sz w:val="4"/>
                <w:szCs w:val="4"/>
              </w:rPr>
            </w:r>
          </w:p>
        </w:tc>
      </w:tr>
      <w:tr>
        <w:trPr/>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frt-09302024xex991.htm">
              <w:r>
                <w:rPr>
                  <w:rStyle w:val="InternetLink"/>
                  <w:rFonts w:ascii="Times New Roman;sans-serif" w:hAnsi="Times New Roman;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Information at September 30, 2024</w:t>
            </w:r>
          </w:p>
        </w:tc>
      </w:tr>
      <w:tr>
        <w:trPr/>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(the Cover Page Interactive Data File is embedded within the Inline XBRL document)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9799" w:type="dxa"/>
        <w:jc w:val="center"/>
        <w:tblInd w:w="0" w:type="dxa"/>
        <w:tblLayout w:type="fixed"/>
        <w:tblCellMar>
          <w:top w:w="28" w:type="dxa"/>
          <w:left w:w="28" w:type="dxa"/>
          <w:bottom w:w="28" w:type="dxa"/>
          <w:right w:w="28" w:type="dxa"/>
        </w:tblCellMar>
      </w:tblPr>
      <w:tblGrid>
        <w:gridCol w:w="360"/>
        <w:gridCol w:w="317"/>
        <w:gridCol w:w="317"/>
        <w:gridCol w:w="592"/>
        <w:gridCol w:w="592"/>
        <w:gridCol w:w="592"/>
        <w:gridCol w:w="1980"/>
        <w:gridCol w:w="1980"/>
        <w:gridCol w:w="1980"/>
        <w:gridCol w:w="317"/>
        <w:gridCol w:w="317"/>
        <w:gridCol w:w="455"/>
      </w:tblGrid>
      <w:tr>
        <w:trPr/>
        <w:tc>
          <w:tcPr>
            <w:tcW w:w="3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979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8805" w:type="dxa"/>
            <w:gridSpan w:val="9"/>
            <w:tcBorders/>
          </w:tcPr>
          <w:p>
            <w:pPr>
              <w:pStyle w:val="TableContents"/>
              <w:bidi w:val="0"/>
              <w:spacing w:before="0" w:after="283"/>
              <w:jc w:val="left"/>
              <w:rPr>
                <w:sz w:val="4"/>
                <w:szCs w:val="4"/>
              </w:rPr>
            </w:pPr>
            <w:r>
              <w:rPr>
                <w:sz w:val="4"/>
                <w:szCs w:val="4"/>
              </w:rPr>
            </w:r>
          </w:p>
        </w:tc>
      </w:tr>
      <w:tr>
        <w:trPr/>
        <w:tc>
          <w:tcPr>
            <w:tcW w:w="979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SUPPLEMENTAL INFORMATION</w:t>
            </w:r>
          </w:p>
        </w:tc>
      </w:tr>
      <w:tr>
        <w:trPr/>
        <w:tc>
          <w:tcPr>
            <w:tcW w:w="979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2024</w:t>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9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71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 2024 Earnings Press Release</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d49df97a5af423bbea5fa8255b0635e_7">
              <w:r>
                <w:rPr>
                  <w:rStyle w:val="InternetLink"/>
                  <w:rFonts w:ascii="Times New Roman;sans-serif" w:hAnsi="Times New Roman;sans-serif"/>
                  <w:b w:val="false"/>
                  <w:color w:val="0000FF"/>
                  <w:sz w:val="20"/>
                  <w:u w:val="single"/>
                </w:rPr>
                <w:t>3</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771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Highlights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Income Statements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d49df97a5af423bbea5fa8255b0635e_10">
              <w:r>
                <w:rPr>
                  <w:rStyle w:val="InternetLink"/>
                  <w:rFonts w:ascii="Times New Roman;sans-serif" w:hAnsi="Times New Roman;sans-serif"/>
                  <w:b w:val="false"/>
                  <w:color w:val="0000FF"/>
                  <w:sz w:val="20"/>
                  <w:u w:val="single"/>
                </w:rPr>
                <w:t>7</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d49df97a5af423bbea5fa8255b0635e_13">
              <w:r>
                <w:rPr>
                  <w:rStyle w:val="InternetLink"/>
                  <w:rFonts w:ascii="Times New Roman;sans-serif" w:hAnsi="Times New Roman;sans-serif"/>
                  <w:b w:val="false"/>
                  <w:color w:val="0000FF"/>
                  <w:sz w:val="20"/>
                  <w:u w:val="single"/>
                </w:rPr>
                <w:t>8</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 Other Supplemental Information</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d49df97a5af423bbea5fa8255b0635e_16">
              <w:r>
                <w:rPr>
                  <w:rStyle w:val="InternetLink"/>
                  <w:rFonts w:ascii="Times New Roman;sans-serif" w:hAnsi="Times New Roman;sans-serif"/>
                  <w:b w:val="false"/>
                  <w:color w:val="0000FF"/>
                  <w:sz w:val="20"/>
                  <w:u w:val="single"/>
                </w:rPr>
                <w:t>9</w:t>
              </w:r>
            </w:hyperlink>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Rental Income</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d49df97a5af423bbea5fa8255b0635e_19">
              <w:r>
                <w:rPr>
                  <w:rStyle w:val="InternetLink"/>
                  <w:rFonts w:ascii="Times New Roman;sans-serif" w:hAnsi="Times New Roman;sans-serif"/>
                  <w:b w:val="false"/>
                  <w:color w:val="0000FF"/>
                  <w:sz w:val="20"/>
                  <w:u w:val="single"/>
                </w:rPr>
                <w:t>10</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Property Information</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d49df97a5af423bbea5fa8255b0635e_22">
              <w:r>
                <w:rPr>
                  <w:rStyle w:val="InternetLink"/>
                  <w:rFonts w:ascii="Times New Roman;sans-serif" w:hAnsi="Times New Roman;sans-serif"/>
                  <w:b w:val="false"/>
                  <w:color w:val="0000FF"/>
                  <w:sz w:val="20"/>
                  <w:u w:val="single"/>
                </w:rPr>
                <w:t>11</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Data, Debt Metrics, and Senior Notes and Debentures Covenants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d49df97a5af423bbea5fa8255b0635e_25">
              <w:r>
                <w:rPr>
                  <w:rStyle w:val="InternetLink"/>
                  <w:rFonts w:ascii="Times New Roman;sans-serif" w:hAnsi="Times New Roman;sans-serif"/>
                  <w:b w:val="false"/>
                  <w:color w:val="0000FF"/>
                  <w:sz w:val="20"/>
                  <w:u w:val="single"/>
                </w:rPr>
                <w:t>12</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771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of Debt</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of Outstanding Debt</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d49df97a5af423bbea5fa8255b0635e_28">
              <w:r>
                <w:rPr>
                  <w:rStyle w:val="InternetLink"/>
                  <w:rFonts w:ascii="Times New Roman;sans-serif" w:hAnsi="Times New Roman;sans-serif"/>
                  <w:b w:val="false"/>
                  <w:color w:val="0000FF"/>
                  <w:sz w:val="20"/>
                  <w:u w:val="single"/>
                </w:rPr>
                <w:t>13</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of Debt Maturities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d49df97a5af423bbea5fa8255b0635e_31">
              <w:r>
                <w:rPr>
                  <w:rStyle w:val="InternetLink"/>
                  <w:rFonts w:ascii="Times New Roman;sans-serif" w:hAnsi="Times New Roman;sans-serif"/>
                  <w:b w:val="false"/>
                  <w:color w:val="0000FF"/>
                  <w:sz w:val="20"/>
                  <w:u w:val="single"/>
                </w:rPr>
                <w:t>14</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771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of Redevelopment and Expansion Opportunities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d49df97a5af423bbea5fa8255b0635e_34">
              <w:r>
                <w:rPr>
                  <w:rStyle w:val="InternetLink"/>
                  <w:rFonts w:ascii="Times New Roman;sans-serif" w:hAnsi="Times New Roman;sans-serif"/>
                  <w:b w:val="false"/>
                  <w:color w:val="0000FF"/>
                  <w:sz w:val="20"/>
                  <w:u w:val="single"/>
                </w:rPr>
                <w:t>15</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771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Redevelopment and Expansion Opportunities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d49df97a5af423bbea5fa8255b0635e_37">
              <w:r>
                <w:rPr>
                  <w:rStyle w:val="InternetLink"/>
                  <w:rFonts w:ascii="Times New Roman;sans-serif" w:hAnsi="Times New Roman;sans-serif"/>
                  <w:b w:val="false"/>
                  <w:color w:val="0000FF"/>
                  <w:sz w:val="20"/>
                  <w:u w:val="single"/>
                </w:rPr>
                <w:t>16</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771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Transactions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d49df97a5af423bbea5fa8255b0635e_40">
              <w:r>
                <w:rPr>
                  <w:rStyle w:val="InternetLink"/>
                  <w:rFonts w:ascii="Times New Roman;sans-serif" w:hAnsi="Times New Roman;sans-serif"/>
                  <w:b w:val="false"/>
                  <w:color w:val="0000FF"/>
                  <w:sz w:val="20"/>
                  <w:u w:val="single"/>
                </w:rPr>
                <w:t>17</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771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Status Report</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d49df97a5af423bbea5fa8255b0635e_43">
              <w:r>
                <w:rPr>
                  <w:rStyle w:val="InternetLink"/>
                  <w:rFonts w:ascii="Times New Roman;sans-serif" w:hAnsi="Times New Roman;sans-serif"/>
                  <w:b w:val="false"/>
                  <w:color w:val="0000FF"/>
                  <w:sz w:val="20"/>
                  <w:u w:val="single"/>
                </w:rPr>
                <w:t>18</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771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Leasing Summary</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d49df97a5af423bbea5fa8255b0635e_46">
              <w:r>
                <w:rPr>
                  <w:rStyle w:val="InternetLink"/>
                  <w:rFonts w:ascii="Times New Roman;sans-serif" w:hAnsi="Times New Roman;sans-serif"/>
                  <w:b w:val="false"/>
                  <w:color w:val="0000FF"/>
                  <w:sz w:val="20"/>
                  <w:u w:val="single"/>
                </w:rPr>
                <w:t>23</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771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Expirations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d49df97a5af423bbea5fa8255b0635e_49">
              <w:r>
                <w:rPr>
                  <w:rStyle w:val="InternetLink"/>
                  <w:rFonts w:ascii="Times New Roman;sans-serif" w:hAnsi="Times New Roman;sans-serif"/>
                  <w:b w:val="false"/>
                  <w:color w:val="0000FF"/>
                  <w:sz w:val="20"/>
                  <w:u w:val="single"/>
                </w:rPr>
                <w:t>24</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771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Leased Statistics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d49df97a5af423bbea5fa8255b0635e_52">
              <w:r>
                <w:rPr>
                  <w:rStyle w:val="InternetLink"/>
                  <w:rFonts w:ascii="Times New Roman;sans-serif" w:hAnsi="Times New Roman;sans-serif"/>
                  <w:b w:val="false"/>
                  <w:color w:val="0000FF"/>
                  <w:sz w:val="20"/>
                  <w:u w:val="single"/>
                </w:rPr>
                <w:t>25</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771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of Top 25 Tenants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d49df97a5af423bbea5fa8255b0635e_55">
              <w:r>
                <w:rPr>
                  <w:rStyle w:val="InternetLink"/>
                  <w:rFonts w:ascii="Times New Roman;sans-serif" w:hAnsi="Times New Roman;sans-serif"/>
                  <w:b w:val="false"/>
                  <w:color w:val="0000FF"/>
                  <w:sz w:val="20"/>
                  <w:u w:val="single"/>
                </w:rPr>
                <w:t>26</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771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FFO Guidance</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d49df97a5af423bbea5fa8255b0635e_58">
              <w:r>
                <w:rPr>
                  <w:rStyle w:val="InternetLink"/>
                  <w:rFonts w:ascii="Times New Roman;sans-serif" w:hAnsi="Times New Roman;sans-serif"/>
                  <w:b w:val="false"/>
                  <w:color w:val="0000FF"/>
                  <w:sz w:val="20"/>
                  <w:u w:val="single"/>
                </w:rPr>
                <w:t>27</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771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Glossary of Terms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d49df97a5af423bbea5fa8255b0635e_61">
              <w:r>
                <w:rPr>
                  <w:rStyle w:val="InternetLink"/>
                  <w:rFonts w:ascii="Times New Roman;sans-serif" w:hAnsi="Times New Roman;sans-serif"/>
                  <w:b w:val="false"/>
                  <w:color w:val="0000FF"/>
                  <w:sz w:val="20"/>
                  <w:u w:val="single"/>
                </w:rPr>
                <w:t>28</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9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909 Rose Avenue, Suite 200</w:t>
            </w:r>
          </w:p>
        </w:tc>
      </w:tr>
      <w:tr>
        <w:trPr/>
        <w:tc>
          <w:tcPr>
            <w:tcW w:w="979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North Bethesda, Maryland 20852</w:t>
            </w:r>
          </w:p>
        </w:tc>
      </w:tr>
      <w:tr>
        <w:trPr/>
        <w:tc>
          <w:tcPr>
            <w:tcW w:w="979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301-998-8100</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Safe Harbor Language</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12, 2024, and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that our tenants will not pay rent, may vacate early or may file for bankruptcy or that we may be unable to renew leases or re-let space at favorable rents as leases expire or to fill existing vacancy;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that our growth will be limited if we cannot obtain additional capital, or if the costs of capital we obtain are significantly higher than historical levels;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associated with general economic conditions, including inflation and local economic conditions in our geographic markets;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12, 2024 and subsequent quarterly reports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drawing>
          <wp:inline distT="0" distB="0" distL="0" distR="0">
            <wp:extent cx="2724150" cy="106680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2724150" cy="1066800"/>
                    </a:xfrm>
                    <a:prstGeom prst="rect">
                      <a:avLst/>
                    </a:prstGeom>
                  </pic:spPr>
                </pic:pic>
              </a:graphicData>
            </a:graphic>
          </wp:inline>
        </w:drawing>
      </w:r>
    </w:p>
    <w:tbl>
      <w:tblPr>
        <w:tblW w:w="7003" w:type="dxa"/>
        <w:jc w:val="left"/>
        <w:tblInd w:w="0" w:type="dxa"/>
        <w:tblLayout w:type="fixed"/>
        <w:tblCellMar>
          <w:top w:w="28" w:type="dxa"/>
          <w:left w:w="28" w:type="dxa"/>
          <w:bottom w:w="28" w:type="dxa"/>
          <w:right w:w="28" w:type="dxa"/>
        </w:tblCellMar>
      </w:tblPr>
      <w:tblGrid>
        <w:gridCol w:w="1120"/>
        <w:gridCol w:w="981"/>
        <w:gridCol w:w="988"/>
        <w:gridCol w:w="1145"/>
        <w:gridCol w:w="1145"/>
        <w:gridCol w:w="1624"/>
      </w:tblGrid>
      <w:tr>
        <w:trPr/>
        <w:tc>
          <w:tcPr>
            <w:tcW w:w="11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NEWS RELEASE</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www.federalrealty.com</w:t>
            </w:r>
          </w:p>
        </w:tc>
      </w:tr>
      <w:tr>
        <w:trPr/>
        <w:tc>
          <w:tcPr>
            <w:tcW w:w="30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FOR IMMEDIATE RELEASE</w:t>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Investor Inquiries:</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Media Inquiries:</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Leah Andress Brady</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Brenda Pomar</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Investor Relations</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Senior Director, Corporate Communications</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301.998.8265</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301.998.8316</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lbrady@federalrealty.com</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bpomar@federalrealty.com</w:t>
            </w:r>
          </w:p>
        </w:tc>
      </w:tr>
    </w:tbl>
    <w:p>
      <w:pPr>
        <w:pStyle w:val="TextBody"/>
        <w:bidi w:val="0"/>
        <w:spacing w:before="0" w:after="0"/>
        <w:jc w:val="center"/>
        <w:rPr/>
      </w:pPr>
      <w:r>
        <w:rPr/>
      </w:r>
    </w:p>
    <w:p>
      <w:pPr>
        <w:pStyle w:val="TextBody"/>
        <w:bidi w:val="0"/>
        <w:spacing w:lineRule="auto" w:line="417" w:before="0" w:after="160"/>
        <w:jc w:val="center"/>
        <w:rPr>
          <w:rFonts w:ascii="Arial;sans-serif" w:hAnsi="Arial;sans-serif"/>
          <w:b/>
          <w:color w:val="000000"/>
          <w:sz w:val="20"/>
        </w:rPr>
      </w:pPr>
      <w:r>
        <w:rPr>
          <w:rFonts w:ascii="Arial;sans-serif" w:hAnsi="Arial;sans-serif"/>
          <w:b/>
          <w:color w:val="000000"/>
          <w:sz w:val="20"/>
        </w:rPr>
        <w:t>Federal Realty Investment Trust Announces Third Quarter 2024 Operating Results</w:t>
      </w:r>
    </w:p>
    <w:p>
      <w:pPr>
        <w:pStyle w:val="TextBody"/>
        <w:bidi w:val="0"/>
        <w:spacing w:lineRule="auto" w:line="417" w:before="0" w:after="160"/>
        <w:jc w:val="left"/>
        <w:rPr/>
      </w:pPr>
      <w:r>
        <w:rPr>
          <w:rFonts w:ascii="Arial;sans-serif" w:hAnsi="Arial;sans-serif"/>
          <w:b w:val="false"/>
          <w:color w:val="000000"/>
          <w:sz w:val="20"/>
        </w:rPr>
        <w:t xml:space="preserve">NORTH BETHESDA, Md. (October 30, 2024) - </w:t>
      </w:r>
      <w:r>
        <w:rPr>
          <w:rFonts w:ascii="Arial;sans-serif" w:hAnsi="Arial;sans-serif"/>
          <w:b w:val="false"/>
          <w:color w:val="000000"/>
          <w:sz w:val="20"/>
          <w:u w:val="single"/>
        </w:rPr>
        <w:t>Federal Realty Investment Trust</w:t>
      </w:r>
      <w:r>
        <w:rPr>
          <w:color w:val="000000"/>
        </w:rPr>
        <w:t xml:space="preserve"> </w:t>
      </w:r>
      <w:r>
        <w:rPr>
          <w:rFonts w:ascii="Arial;sans-serif" w:hAnsi="Arial;sans-serif"/>
          <w:b w:val="false"/>
          <w:color w:val="000000"/>
          <w:sz w:val="20"/>
        </w:rPr>
        <w:t>(NYSE:FRT) today reported operating results for its third quarter ended September 30, 2024. For the three months ended September 30, 2024 and 2023, net income available for common shareholders was $0.70 per diluted share and $0.67 per diluted share, respectively. For the three months ended September 30, 2024 and 2023, operating income was $105.8 million and $100.1 million, respectively.</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Highlights for the third quarter include:</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0"/>
        </w:rPr>
        <w:t>Generated funds from operations available to common shareholders (FFO) per diluted share of $1.71 for the quarter, compared to $1.65 for the third quarter of 2023.</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0"/>
        </w:rPr>
        <w:t xml:space="preserve">Signed 126 leases for 580,977 square feet of comparable retail space at a cash basis rollover growth of 14% and 26% on a straight-line basis. </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0"/>
        </w:rPr>
        <w:t>Generated comparable property operating income (POI) growth of 2.9% for the third quarter, excluding lease termination fees and prior period rents collected.</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0"/>
        </w:rPr>
        <w:t>Reported portfolio occupancy of 94.0% and a leased rate of 95.9% at quarter end, representing an increase of:</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0"/>
        </w:rPr>
        <w:t xml:space="preserve">+90 basis points of occupancy and +60 basis points of leased rate quarter-over-quarter </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0"/>
        </w:rPr>
        <w:t>+170 basis points of occupancy and +190 basis points of leased rate year-over-year</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0"/>
        </w:rPr>
        <w:t>Continued strong small shop leasing, ending the quarter at 93.1% leased, with an increase of +60 basis points quarter-over-quarter and +240 basis points year-over-year.</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0"/>
        </w:rPr>
        <w:t>Acquired Pinole Vista Crossing in Pinole, California, a grocery-anchored shopping center, comprising 216,000 square feet on 19 acres of land, for a purchase price of $60 million.</w:t>
      </w:r>
    </w:p>
    <w:p>
      <w:pPr>
        <w:pStyle w:val="TextBody"/>
        <w:bidi w:val="0"/>
        <w:spacing w:lineRule="auto" w:line="417" w:before="0" w:after="160"/>
        <w:ind w:left="0" w:right="0" w:hanging="360"/>
        <w:jc w:val="left"/>
        <w:rPr/>
      </w:pPr>
      <w:r>
        <w:rPr>
          <w:color w:val="000000"/>
        </w:rPr>
        <w:t>•</w:t>
      </w:r>
      <w:r>
        <w:rPr>
          <w:rFonts w:ascii="Arial;sans-serif" w:hAnsi="Arial;sans-serif"/>
          <w:b w:val="false"/>
          <w:color w:val="000000"/>
          <w:sz w:val="20"/>
        </w:rPr>
        <w:t>Tightened and raised 2024 earnings per diluted share guidance to $3.40 – $3.50 and 2024 FFO per diluted share guidance to $6.76 – $6.86.</w:t>
      </w:r>
    </w:p>
    <w:p>
      <w:pPr>
        <w:pStyle w:val="TextBody"/>
        <w:bidi w:val="0"/>
        <w:spacing w:before="0" w:after="0"/>
        <w:jc w:val="left"/>
        <w:rPr/>
      </w:pPr>
      <w:r>
        <w:rPr/>
      </w:r>
    </w:p>
    <w:p>
      <w:pPr>
        <w:pStyle w:val="TextBody"/>
        <w:bidi w:val="0"/>
        <w:spacing w:lineRule="auto" w:line="417" w:before="0" w:after="160"/>
        <w:jc w:val="left"/>
        <w:rPr>
          <w:color w:val="000000"/>
        </w:rPr>
      </w:pPr>
      <w:r>
        <w:rPr>
          <w:color w:val="000000"/>
        </w:rPr>
        <w:t>“</w:t>
      </w:r>
      <w:r>
        <w:rPr>
          <w:rFonts w:ascii="Arial;sans-serif" w:hAnsi="Arial;sans-serif"/>
          <w:b w:val="false"/>
          <w:color w:val="000000"/>
          <w:sz w:val="20"/>
        </w:rPr>
        <w:t xml:space="preserve">Federal Realty delivered another strong quarter, driven by record FFO, elevated leasing activity, and significant occupancy gains,” said Donald C. Wood, Chief Executive Officer. “The demographics of our properties continue to be </w:t>
      </w:r>
    </w:p>
    <w:p>
      <w:pPr>
        <w:pStyle w:val="TextBody"/>
        <w:bidi w:val="0"/>
        <w:spacing w:before="0" w:after="0"/>
        <w:jc w:val="right"/>
        <w:rPr/>
      </w:pPr>
      <w:r>
        <w:rPr/>
        <w:drawing>
          <wp:inline distT="0" distB="0" distL="0" distR="0">
            <wp:extent cx="895350" cy="3524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8"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our greatest asset. Looking ahead, we are confident that Federal Realty is well-positioned for continued success, thanks to our exposure to affluent and resilient shoppers who frequent our best-in-class properties.”</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Financial Results</w:t>
      </w:r>
    </w:p>
    <w:p>
      <w:pPr>
        <w:pStyle w:val="TextBody"/>
        <w:bidi w:val="0"/>
        <w:spacing w:lineRule="auto" w:line="417" w:before="0" w:after="160"/>
        <w:jc w:val="left"/>
        <w:rPr/>
      </w:pPr>
      <w:r>
        <w:rPr>
          <w:rFonts w:ascii="Arial;sans-serif" w:hAnsi="Arial;sans-serif"/>
          <w:b w:val="false"/>
          <w:i/>
          <w:color w:val="000000"/>
          <w:sz w:val="20"/>
        </w:rPr>
        <w:t>Net Incom</w:t>
      </w:r>
      <w:r>
        <w:rPr>
          <w:rFonts w:ascii="Arial;sans-serif" w:hAnsi="Arial;sans-serif"/>
          <w:b w:val="false"/>
          <w:color w:val="000000"/>
          <w:sz w:val="20"/>
        </w:rPr>
        <w:t>e</w:t>
      </w:r>
    </w:p>
    <w:p>
      <w:pPr>
        <w:pStyle w:val="TextBody"/>
        <w:bidi w:val="0"/>
        <w:spacing w:lineRule="auto" w:line="417" w:before="0" w:after="160"/>
        <w:jc w:val="left"/>
        <w:rPr/>
      </w:pPr>
      <w:r>
        <w:rPr>
          <w:rFonts w:ascii="Arial;sans-serif" w:hAnsi="Arial;sans-serif"/>
          <w:b w:val="false"/>
          <w:color w:val="000000"/>
          <w:sz w:val="18"/>
        </w:rPr>
        <w:t>F</w:t>
      </w:r>
      <w:r>
        <w:rPr>
          <w:rFonts w:ascii="Arial;sans-serif" w:hAnsi="Arial;sans-serif"/>
          <w:b w:val="false"/>
          <w:color w:val="000000"/>
          <w:sz w:val="20"/>
        </w:rPr>
        <w:t xml:space="preserve">or the </w:t>
      </w:r>
      <w:r>
        <w:rPr>
          <w:rFonts w:ascii="Arial;sans-serif" w:hAnsi="Arial;sans-serif"/>
          <w:b w:val="false"/>
          <w:color w:val="000000"/>
          <w:sz w:val="18"/>
        </w:rPr>
        <w:t>third</w:t>
      </w:r>
      <w:r>
        <w:rPr>
          <w:color w:val="000000"/>
        </w:rPr>
        <w:t xml:space="preserve"> </w:t>
      </w:r>
      <w:r>
        <w:rPr>
          <w:rFonts w:ascii="Arial;sans-serif" w:hAnsi="Arial;sans-serif"/>
          <w:b w:val="false"/>
          <w:color w:val="000000"/>
          <w:sz w:val="20"/>
        </w:rPr>
        <w:t xml:space="preserve">quarter 2024, net income available for common shareholders was $58.9 million and earnings per diluted share was $0.70 versus $55.0 million and $0.67, respectively, for the </w:t>
      </w:r>
      <w:r>
        <w:rPr>
          <w:rFonts w:ascii="Arial;sans-serif" w:hAnsi="Arial;sans-serif"/>
          <w:b w:val="false"/>
          <w:color w:val="000000"/>
          <w:sz w:val="18"/>
        </w:rPr>
        <w:t>third</w:t>
      </w:r>
      <w:r>
        <w:rPr>
          <w:color w:val="000000"/>
        </w:rPr>
        <w:t xml:space="preserve"> </w:t>
      </w:r>
      <w:r>
        <w:rPr>
          <w:rFonts w:ascii="Arial;sans-serif" w:hAnsi="Arial;sans-serif"/>
          <w:b w:val="false"/>
          <w:color w:val="000000"/>
          <w:sz w:val="20"/>
        </w:rPr>
        <w:t>quarter 2023.</w:t>
      </w:r>
    </w:p>
    <w:p>
      <w:pPr>
        <w:pStyle w:val="TextBody"/>
        <w:bidi w:val="0"/>
        <w:spacing w:lineRule="auto" w:line="417" w:before="0" w:after="160"/>
        <w:jc w:val="both"/>
        <w:rPr>
          <w:rFonts w:ascii="Arial;sans-serif" w:hAnsi="Arial;sans-serif"/>
          <w:b w:val="false"/>
          <w:i/>
          <w:color w:val="000000"/>
          <w:sz w:val="20"/>
        </w:rPr>
      </w:pPr>
      <w:r>
        <w:rPr>
          <w:rFonts w:ascii="Arial;sans-serif" w:hAnsi="Arial;sans-serif"/>
          <w:b w:val="false"/>
          <w:i/>
          <w:color w:val="000000"/>
          <w:sz w:val="20"/>
        </w:rPr>
        <w:t>FFO</w:t>
      </w:r>
    </w:p>
    <w:p>
      <w:pPr>
        <w:pStyle w:val="TextBody"/>
        <w:bidi w:val="0"/>
        <w:spacing w:lineRule="auto" w:line="417" w:before="0" w:after="160"/>
        <w:jc w:val="left"/>
        <w:rPr/>
      </w:pPr>
      <w:r>
        <w:rPr>
          <w:rFonts w:ascii="Arial;sans-serif" w:hAnsi="Arial;sans-serif"/>
          <w:b w:val="false"/>
          <w:color w:val="000000"/>
          <w:sz w:val="20"/>
        </w:rPr>
        <w:t xml:space="preserve">For the </w:t>
      </w:r>
      <w:r>
        <w:rPr>
          <w:rFonts w:ascii="Arial;sans-serif" w:hAnsi="Arial;sans-serif"/>
          <w:b w:val="false"/>
          <w:color w:val="000000"/>
          <w:sz w:val="18"/>
        </w:rPr>
        <w:t>third</w:t>
      </w:r>
      <w:r>
        <w:rPr>
          <w:color w:val="000000"/>
        </w:rPr>
        <w:t xml:space="preserve"> </w:t>
      </w:r>
      <w:r>
        <w:rPr>
          <w:rFonts w:ascii="Arial;sans-serif" w:hAnsi="Arial;sans-serif"/>
          <w:b w:val="false"/>
          <w:color w:val="000000"/>
          <w:sz w:val="20"/>
        </w:rPr>
        <w:t xml:space="preserve">quarter 2024, FFO was $144.6 million, or $1.71 per diluted share, compared to $135.3 million, or $1.65 per diluted share for the </w:t>
      </w:r>
      <w:r>
        <w:rPr>
          <w:rFonts w:ascii="Arial;sans-serif" w:hAnsi="Arial;sans-serif"/>
          <w:b w:val="false"/>
          <w:color w:val="000000"/>
          <w:sz w:val="18"/>
        </w:rPr>
        <w:t>third</w:t>
      </w:r>
      <w:r>
        <w:rPr>
          <w:color w:val="000000"/>
        </w:rPr>
        <w:t xml:space="preserve"> </w:t>
      </w:r>
      <w:r>
        <w:rPr>
          <w:rFonts w:ascii="Arial;sans-serif" w:hAnsi="Arial;sans-serif"/>
          <w:b w:val="false"/>
          <w:color w:val="000000"/>
          <w:sz w:val="20"/>
        </w:rPr>
        <w:t>quarter 2023.</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FFO is a non-GAAP supplemental earnings measure which the trust considers meaningful in measuring its operating performance. A reconciliation of FFO to net income is attached to this press release.</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Operational Update</w:t>
      </w:r>
    </w:p>
    <w:p>
      <w:pPr>
        <w:pStyle w:val="TextBody"/>
        <w:bidi w:val="0"/>
        <w:spacing w:lineRule="auto" w:line="417" w:before="0" w:after="160"/>
        <w:jc w:val="left"/>
        <w:rPr>
          <w:rFonts w:ascii="Arial;sans-serif" w:hAnsi="Arial;sans-serif"/>
          <w:b w:val="false"/>
          <w:i/>
          <w:color w:val="000000"/>
          <w:sz w:val="20"/>
        </w:rPr>
      </w:pPr>
      <w:r>
        <w:rPr>
          <w:rFonts w:ascii="Arial;sans-serif" w:hAnsi="Arial;sans-serif"/>
          <w:b w:val="false"/>
          <w:i/>
          <w:color w:val="000000"/>
          <w:sz w:val="20"/>
        </w:rPr>
        <w:t>Occupancy</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As of September 30, 2024, the portfolio was 94.0% occupied, an increase of 90 basis points quarter-over-quarter and 170 basis points year-over-year. The portfolio was 95.9% leased, an increase of 60 basis points quarter-over-quarter and 190 basis points year-over-year.</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 xml:space="preserve">Small shop leased rate was 93.1% as of September 30, 2024, an increase of 60 basis points quarter-over-quarter and 240 basis points year-over-year. </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The anchor tenant leased rate was 97.3%, reflecting an increase of 60 basis points quarter-over-quarter and 150 basis points year-over-year.</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Additionally, residential properties were 97.5% leased as of September 30, 2024.</w:t>
      </w:r>
    </w:p>
    <w:p>
      <w:pPr>
        <w:pStyle w:val="TextBody"/>
        <w:bidi w:val="0"/>
        <w:spacing w:lineRule="auto" w:line="417" w:before="0" w:after="160"/>
        <w:jc w:val="left"/>
        <w:rPr>
          <w:rFonts w:ascii="Arial;sans-serif" w:hAnsi="Arial;sans-serif"/>
          <w:b w:val="false"/>
          <w:i/>
          <w:color w:val="000000"/>
          <w:sz w:val="20"/>
        </w:rPr>
      </w:pPr>
      <w:r>
        <w:rPr>
          <w:rFonts w:ascii="Arial;sans-serif" w:hAnsi="Arial;sans-serif"/>
          <w:b w:val="false"/>
          <w:i/>
          <w:color w:val="000000"/>
          <w:sz w:val="20"/>
        </w:rPr>
        <w:t>Leasing Activity</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During the third quarter 2024, Federal Realty signed 129 leases for 592,527 square feet of retail space. On a comparable space basis (i.e., spaces for which there was a former tenant), Federal Realty signed 126 leases for 580,977 square feet at an average rent of $34.94 per square foot compared to the average contractual rent of $30.51 per square foot for the last year of the prior leases, representing a cash basis rollover growth on those comparable spaces of 14%, 26% on a straight-line basis. Comparable leases represented 98% of total comparable and non-comparable retail leases signed during the third quarter 2024.</w:t>
      </w:r>
    </w:p>
    <w:p>
      <w:pPr>
        <w:pStyle w:val="TextBody"/>
        <w:bidi w:val="0"/>
        <w:spacing w:lineRule="auto" w:line="417" w:before="0" w:after="160"/>
        <w:jc w:val="both"/>
        <w:rPr>
          <w:rFonts w:ascii="Arial;sans-serif" w:hAnsi="Arial;sans-serif"/>
          <w:b w:val="false"/>
          <w:i/>
          <w:color w:val="000000"/>
          <w:sz w:val="20"/>
        </w:rPr>
      </w:pPr>
      <w:r>
        <w:rPr>
          <w:rFonts w:ascii="Arial;sans-serif" w:hAnsi="Arial;sans-serif"/>
          <w:b w:val="false"/>
          <w:i/>
          <w:color w:val="000000"/>
          <w:sz w:val="20"/>
        </w:rPr>
        <w:t>Transaction Activity</w:t>
      </w:r>
    </w:p>
    <w:p>
      <w:pPr>
        <w:pStyle w:val="TextBody"/>
        <w:bidi w:val="0"/>
        <w:spacing w:lineRule="auto" w:line="417" w:before="0" w:after="160"/>
        <w:ind w:left="0" w:right="0" w:hanging="360"/>
        <w:jc w:val="left"/>
        <w:rPr/>
      </w:pPr>
      <w:r>
        <w:rPr>
          <w:color w:val="000000"/>
        </w:rPr>
        <w:t>•</w:t>
      </w:r>
      <w:r>
        <w:rPr>
          <w:rFonts w:ascii="Arial;sans-serif" w:hAnsi="Arial;sans-serif"/>
          <w:b w:val="false"/>
          <w:color w:val="000000"/>
          <w:sz w:val="20"/>
        </w:rPr>
        <w:t xml:space="preserve">July 31, 2024 - Acquired Pinole Vista Crossing, a dominant 216,000-square-foot, 19-acre regional open-air grocery-anchored community center located along I-80 in Pinole, CA, 13 miles north of Federal Realty’s East </w:t>
      </w:r>
    </w:p>
    <w:p>
      <w:pPr>
        <w:pStyle w:val="TextBody"/>
        <w:bidi w:val="0"/>
        <w:spacing w:before="0" w:after="0"/>
        <w:jc w:val="right"/>
        <w:rPr/>
      </w:pPr>
      <w:r>
        <w:rPr/>
        <w:drawing>
          <wp:inline distT="0" distB="0" distL="0" distR="0">
            <wp:extent cx="895350" cy="3524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Bay Bridge Shopping Center, for $60 million, expanding the company’s presence in Northern California’s East Bay sub-market.</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Regular Quarterly Dividends</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Federal Realty announced today that its Board of Trustees declared a regular quarterly cash dividend of $1.10 per common share, resulting in an indicated annual rate of $4.40 per common share. The regular common dividend will be payable on January 15, 2025 to common shareholders of record as of January 2, 2025.</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Federal Realty’s Board of Trustees also declared a quarterly cash dividend on its Class C depositary shares, each representing 1/1000 of a 5.000% Series C Cumulative Preferred Share of Beneficial Interest, of $0.3125 per depositary share. All dividends on the depositary shares will be payable on January 15, 2025 to shareholders of record as of January 2, 2025.</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2024 Guidance</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Federal Realty has updated its 2024 guidance, as summarized in the table below:</w:t>
      </w:r>
    </w:p>
    <w:tbl>
      <w:tblPr>
        <w:tblW w:w="5998" w:type="dxa"/>
        <w:jc w:val="left"/>
        <w:tblInd w:w="0" w:type="dxa"/>
        <w:tblLayout w:type="fixed"/>
        <w:tblCellMar>
          <w:top w:w="28" w:type="dxa"/>
          <w:left w:w="28" w:type="dxa"/>
          <w:bottom w:w="28" w:type="dxa"/>
          <w:right w:w="28" w:type="dxa"/>
        </w:tblCellMar>
      </w:tblPr>
      <w:tblGrid>
        <w:gridCol w:w="1036"/>
        <w:gridCol w:w="912"/>
        <w:gridCol w:w="917"/>
        <w:gridCol w:w="564"/>
        <w:gridCol w:w="564"/>
        <w:gridCol w:w="566"/>
        <w:gridCol w:w="420"/>
        <w:gridCol w:w="420"/>
        <w:gridCol w:w="599"/>
      </w:tblGrid>
      <w:tr>
        <w:trPr/>
        <w:tc>
          <w:tcPr>
            <w:tcW w:w="103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Full Year 2024 Guidance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Revised Guidance</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Prior Guidance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 Earnings per diluted share</w:t>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$3.40 to $3.50</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 to $3.51</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 FFO per diluted share</w:t>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$6.76 to $6.86</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$6.70 to $6.88</w:t>
            </w:r>
          </w:p>
        </w:tc>
      </w:tr>
    </w:tbl>
    <w:p>
      <w:pPr>
        <w:pStyle w:val="TextBody"/>
        <w:bidi w:val="0"/>
        <w:spacing w:before="0" w:after="0"/>
        <w:jc w:val="both"/>
        <w:rPr/>
      </w:pPr>
      <w:r>
        <w:rPr/>
      </w:r>
    </w:p>
    <w:p>
      <w:pPr>
        <w:pStyle w:val="TextBody"/>
        <w:bidi w:val="0"/>
        <w:spacing w:lineRule="auto" w:line="417" w:before="0" w:after="0"/>
        <w:jc w:val="both"/>
        <w:rPr>
          <w:rFonts w:ascii="Arial;sans-serif" w:hAnsi="Arial;sans-serif"/>
          <w:b/>
          <w:color w:val="000000"/>
          <w:sz w:val="20"/>
        </w:rPr>
      </w:pPr>
      <w:r>
        <w:rPr>
          <w:rFonts w:ascii="Arial;sans-serif" w:hAnsi="Arial;sans-serif"/>
          <w:b/>
          <w:color w:val="000000"/>
          <w:sz w:val="20"/>
        </w:rPr>
        <w:t>Conference Call Information</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Federal Realty’s management team will present an in-depth discussion of Federal Realty’s operating performance on its third quarter 2024 earnings conference call, which is scheduled for Wednesday, October 30, 2024 at 5:00 PM ET. To participate, please call 1-844-826-3035 or 1-412-317-5195 five to ten minutes prior to the call start time. The teleconference can also be accessed via a live webcast at www.federalrealty.com in the Investors section. A replay of the webcast will be available on Federal Realty’s website at www.federalrealty.com. A telephonic replay of the conference call will also be available through November 13, 2024 by dialing 1-844-512-2921 or 1-412-317-6671; Passcode: 10192360.</w:t>
      </w:r>
    </w:p>
    <w:p>
      <w:pPr>
        <w:pStyle w:val="TextBody"/>
        <w:bidi w:val="0"/>
        <w:spacing w:lineRule="auto" w:line="417" w:before="0" w:after="0"/>
        <w:jc w:val="both"/>
        <w:rPr>
          <w:rFonts w:ascii="Arial;sans-serif" w:hAnsi="Arial;sans-serif"/>
          <w:b/>
          <w:color w:val="000000"/>
          <w:sz w:val="20"/>
        </w:rPr>
      </w:pPr>
      <w:r>
        <w:rPr>
          <w:rFonts w:ascii="Arial;sans-serif" w:hAnsi="Arial;sans-serif"/>
          <w:b/>
          <w:color w:val="000000"/>
          <w:sz w:val="20"/>
        </w:rPr>
        <w:t>About Federal Realty</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Federal Realty is a recognized leader in the ownership, operation and redevelopment of high-quality retail-based properties located primarily in major coastal markets from Washington, D.C. to Boston as well as Northern and Southern California. Founded in 1962, Federal Realty’s mission is to deliver long-term, sustainable growth through investing in communities where retail demand exceeds supply. Its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102 properties include approximately 3,500 tenants, in 27 million commercial square feet, and approximately 3,100 residential units.</w:t>
      </w:r>
    </w:p>
    <w:p>
      <w:pPr>
        <w:pStyle w:val="TextBody"/>
        <w:bidi w:val="0"/>
        <w:spacing w:before="0" w:after="0"/>
        <w:jc w:val="right"/>
        <w:rPr/>
      </w:pPr>
      <w:r>
        <w:rPr/>
        <w:drawing>
          <wp:inline distT="0" distB="0" distL="0" distR="0">
            <wp:extent cx="895350" cy="35242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Federal Realty has increased its quarterly dividends to its shareholders for 57 consecutive years, the longest record in the REIT industry. Federal Realty is an S&amp;P 500 index member and its shares are traded on the NYSE under the symbol FRT. For additional information about Federal Realty and its properties, visit www.federalrealty.com.</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Safe Harbor Language</w: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12, 2024 and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that our tenants will not pay rent, may vacate early or may file for bankruptcy or that we may be unable to renew leases or re-let space at favorable rents as leases expire or to fill existing vacancy;</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that our growth will be limited if we cannot obtain additional capital, or if the costs of capital we obtain are significantly higher than historical levels;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associated with general economic conditions, including inflation and local economic conditions in our geographic markets;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bidi w:val="0"/>
        <w:spacing w:before="0" w:after="160"/>
        <w:jc w:val="both"/>
        <w:rPr/>
      </w:pPr>
      <w:r>
        <w:rPr/>
      </w:r>
    </w:p>
    <w:p>
      <w:pPr>
        <w:pStyle w:val="TextBody"/>
        <w:bidi w:val="0"/>
        <w:spacing w:lineRule="auto" w:line="276" w:before="0" w:after="0"/>
        <w:jc w:val="left"/>
        <w:rPr>
          <w:rFonts w:ascii="Arial;sans-serif" w:hAnsi="Arial;sans-serif"/>
          <w:b w:val="false"/>
          <w:i/>
          <w:color w:val="000000"/>
          <w:sz w:val="16"/>
        </w:rPr>
      </w:pPr>
      <w:r>
        <w:rPr>
          <w:rFonts w:ascii="Arial;sans-serif" w:hAnsi="Arial;sans-serif"/>
          <w:b w:val="false"/>
          <w:i/>
          <w:color w:val="000000"/>
          <w:sz w:val="16"/>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12, 2024 and subsequent quarterly reports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742"/>
        <w:gridCol w:w="1421"/>
        <w:gridCol w:w="143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42"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Income Statements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839,509 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840,342 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544,351 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TRUST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BASIC AND DILUTED: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83,994 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81,274 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83,180 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81,210 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962"/>
        <w:gridCol w:w="1997"/>
        <w:gridCol w:w="1965"/>
        <w:gridCol w:w="225"/>
        <w:gridCol w:w="1155"/>
        <w:gridCol w:w="116"/>
        <w:gridCol w:w="116"/>
        <w:gridCol w:w="116"/>
        <w:gridCol w:w="116"/>
        <w:gridCol w:w="225"/>
        <w:gridCol w:w="1043"/>
        <w:gridCol w:w="169"/>
      </w:tblGrid>
      <w:tr>
        <w:trPr/>
        <w:tc>
          <w:tcPr>
            <w:tcW w:w="2962"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6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r>
      <w:tr>
        <w:trPr/>
        <w:tc>
          <w:tcPr>
            <w:tcW w:w="6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at cost</w:t>
            </w:r>
          </w:p>
        </w:tc>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(including $1,822,143 and $2,021,622 of consolidated variable interest entities, respectively)</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10,355,292 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9,932,891 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 (including $8,352 and $8,677 of consolidated variable interest entities, respectively)</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524,707 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613,296 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10,879,999 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10,546,187 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 (including $414,128 and $416,663 of consolidated variable interest entities, respectively)</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(3,115,910)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(2,963,519)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 estate</w:t>
            </w:r>
          </w:p>
        </w:tc>
        <w:tc>
          <w:tcPr>
            <w:tcW w:w="13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7,764,089 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7,582,668 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250,825 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notes receivable, net</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201,733 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receivable, net</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 net</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86,993 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 of use assets, net</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263,377 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8,479,218 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8,436,512 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SHAREHOLDERS’ EQUITY</w:t>
            </w:r>
          </w:p>
        </w:tc>
        <w:tc>
          <w:tcPr>
            <w:tcW w:w="14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Mortgages payable, net (including $187,311 and $189,286 of consolidated variable interest entities, respectively)</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516,936 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601,307 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601,945 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net</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3,356,298 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3,480,296 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174,714 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92,634 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deposits payable</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75,870 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and deferred credits</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225,443 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5,112,672 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5,210,990 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183,363 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shares, authorized 15,000,000 shares, $.01 par:</w:t>
            </w:r>
          </w:p>
        </w:tc>
        <w:tc>
          <w:tcPr>
            <w:tcW w:w="1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 Series C Cumulative Redeemable Preferred Shares, (stated at liquidation preference $25,000 per share), 6,000 shares issued and outstanding</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5.417% Series 1 Cumulative Convertible Preferred Shares, (stated at liquidation preference $25 per share), 392,878 shares issued and outstanding</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of beneficial interest, $.01 par, 200,000,000 shares authorized, respectively, 84,952,538 and 82,775,286 shares issued and outstanding, respectively</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4,160,451 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3,959,276 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dividends in excess of net income</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(1,211,833)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(1,160,474)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 of the Trust</w:t>
            </w:r>
          </w:p>
        </w:tc>
        <w:tc>
          <w:tcPr>
            <w:tcW w:w="1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3,111,467 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2,963,509 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3,185,600 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3,042,159 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8,479,218 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8,436,512 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68"/>
        <w:gridCol w:w="1110"/>
        <w:gridCol w:w="1118"/>
        <w:gridCol w:w="125"/>
        <w:gridCol w:w="125"/>
        <w:gridCol w:w="125"/>
        <w:gridCol w:w="242"/>
        <w:gridCol w:w="950"/>
        <w:gridCol w:w="311"/>
        <w:gridCol w:w="109"/>
        <w:gridCol w:w="109"/>
        <w:gridCol w:w="109"/>
        <w:gridCol w:w="211"/>
        <w:gridCol w:w="826"/>
        <w:gridCol w:w="271"/>
        <w:gridCol w:w="109"/>
        <w:gridCol w:w="109"/>
        <w:gridCol w:w="109"/>
        <w:gridCol w:w="211"/>
        <w:gridCol w:w="826"/>
        <w:gridCol w:w="109"/>
        <w:gridCol w:w="109"/>
        <w:gridCol w:w="109"/>
        <w:gridCol w:w="109"/>
        <w:gridCol w:w="211"/>
        <w:gridCol w:w="826"/>
        <w:gridCol w:w="159"/>
      </w:tblGrid>
      <w:tr>
        <w:trPr/>
        <w:tc>
          <w:tcPr>
            <w:tcW w:w="146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Funds From Operations / Other Supplemental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3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557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Funds from Operations available for common shareholders (FFO)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63,461 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real estate assets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76,581 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initial direct costs of leases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146,291 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407,440 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shares (2)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downREIT operating partnership units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unvested shares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FFO</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144,598 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402,408 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diluted (2)(3)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84,714 </w:t>
            </w:r>
          </w:p>
        </w:tc>
        <w:tc>
          <w:tcPr>
            <w:tcW w:w="3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82,004 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83,904 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81,942 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FFO per diluted share (3)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Dividends and Payout Ratios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Regular common dividends declared</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93,442 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payout ratio as a percentage of FFO</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Summary of Capital Expenditures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Non-maintenance capital expenditures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redevelopment and expansions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161,928 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improvements and incentives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55,383 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non-maintenance capital expenditures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217,311 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231,026 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Other Information</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costs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(non-cash)</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Noncontrolling Interests Supplemental Information (4)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 (1)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(1)See Glossary of Terms.</w:t>
      </w:r>
    </w:p>
    <w:p>
      <w:pPr>
        <w:pStyle w:val="TextBody"/>
        <w:bidi w:val="0"/>
        <w:spacing w:lineRule="auto" w:line="288" w:before="60" w:after="283"/>
        <w:ind w:left="0" w:right="0" w:hanging="720"/>
        <w:jc w:val="left"/>
        <w:rPr/>
      </w:pPr>
      <w:r>
        <w:rPr>
          <w:rFonts w:ascii="Times New Roman;sans-serif" w:hAnsi="Times New Roman;sans-serif"/>
          <w:b w:val="false"/>
          <w:color w:val="000000"/>
          <w:sz w:val="19"/>
        </w:rPr>
        <w:t>(2)</w:t>
      </w:r>
      <w:r>
        <w:rPr>
          <w:rFonts w:ascii="Times New Roman;sans-serif" w:hAnsi="Times New Roman;sans-serif"/>
          <w:b w:val="false"/>
          <w:color w:val="000000"/>
          <w:sz w:val="18"/>
        </w:rPr>
        <w:t>For the three and nine</w:t>
      </w:r>
      <w:r>
        <w:rPr>
          <w:color w:val="000000"/>
        </w:rPr>
        <w:t xml:space="preserve"> </w:t>
      </w:r>
      <w:r>
        <w:rPr>
          <w:rFonts w:ascii="Times New Roman;sans-serif" w:hAnsi="Times New Roman;sans-serif"/>
          <w:b w:val="false"/>
          <w:color w:val="000000"/>
          <w:sz w:val="18"/>
        </w:rPr>
        <w:t xml:space="preserve">months ended September 30, 2024 and 2023, dividends on our Series 1 preferred stock were not deducted in the calculation of FFO available to common shareholders, as the related shares were dilutive and are included in "weighted average number of common shares, diluted." </w:t>
      </w:r>
    </w:p>
    <w:p>
      <w:pPr>
        <w:pStyle w:val="TextBody"/>
        <w:bidi w:val="0"/>
        <w:spacing w:lineRule="auto" w:line="288" w:before="60" w:after="283"/>
        <w:ind w:left="0" w:right="0" w:hanging="720"/>
        <w:jc w:val="left"/>
        <w:rPr/>
      </w:pPr>
      <w:r>
        <w:rPr>
          <w:rFonts w:ascii="Times New Roman;sans-serif" w:hAnsi="Times New Roman;sans-serif"/>
          <w:b w:val="false"/>
          <w:color w:val="000000"/>
          <w:sz w:val="19"/>
        </w:rPr>
        <w:t>(3)</w:t>
      </w:r>
      <w:r>
        <w:rPr>
          <w:rFonts w:ascii="Times New Roman;sans-serif" w:hAnsi="Times New Roman;sans-serif"/>
          <w:b w:val="false"/>
          <w:color w:val="000000"/>
          <w:sz w:val="18"/>
        </w:rPr>
        <w:t>The weighted average common shares used to compute FFO per diluted common share includes downREIT operating partnership units that were excluded from the computation of diluted EPS. Conversion of these operating partnership units is dilutive in the computation of FFO per diluted share, but is anti-dilutive for the computation of dilutive EPS for the three and nine</w:t>
      </w:r>
      <w:r>
        <w:rPr>
          <w:color w:val="000000"/>
        </w:rPr>
        <w:t xml:space="preserve"> </w:t>
      </w:r>
      <w:r>
        <w:rPr>
          <w:rFonts w:ascii="Times New Roman;sans-serif" w:hAnsi="Times New Roman;sans-serif"/>
          <w:b w:val="false"/>
          <w:color w:val="000000"/>
          <w:sz w:val="18"/>
        </w:rPr>
        <w:t>months ended September 30, 2024 and 2023.</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(4)Amounts reflect the components of "net income attributable to noncontrolling interests," but excludes "income attributable to downREIT operating partnership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tbl>
      <w:tblPr>
        <w:tblW w:w="8535" w:type="dxa"/>
        <w:jc w:val="center"/>
        <w:tblInd w:w="0" w:type="dxa"/>
        <w:tblLayout w:type="fixed"/>
        <w:tblCellMar>
          <w:top w:w="28" w:type="dxa"/>
          <w:left w:w="28" w:type="dxa"/>
          <w:bottom w:w="28" w:type="dxa"/>
          <w:right w:w="28" w:type="dxa"/>
        </w:tblCellMar>
      </w:tblPr>
      <w:tblGrid>
        <w:gridCol w:w="540"/>
        <w:gridCol w:w="476"/>
        <w:gridCol w:w="476"/>
        <w:gridCol w:w="476"/>
        <w:gridCol w:w="476"/>
        <w:gridCol w:w="48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4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Components of Rental Income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Components of Rental Income (1)</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Minimum rents (2)</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Commercial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586,052 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552,855 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Residential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76,073 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reimbursements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Percentage rents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Collectibility related impacts (4)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rental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303,352 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286,323 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890,172 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839,509 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Notes:</w:t>
      </w:r>
    </w:p>
    <w:p>
      <w:pPr>
        <w:pStyle w:val="TextBody"/>
        <w:bidi w:val="0"/>
        <w:spacing w:lineRule="auto" w:line="288" w:before="60" w:after="283"/>
        <w:ind w:left="0" w:right="0" w:hanging="720"/>
        <w:jc w:val="left"/>
        <w:rPr>
          <w:rFonts w:ascii="Times New Roman;sans-serif" w:hAnsi="Times New Roman;sans-serif"/>
          <w:b w:val="false"/>
          <w:color w:val="000000"/>
          <w:sz w:val="19"/>
        </w:rPr>
      </w:pPr>
      <w:r>
        <w:rPr>
          <w:rFonts w:ascii="Times New Roman;sans-serif" w:hAnsi="Times New Roman;sans-serif"/>
          <w:b w:val="false"/>
          <w:color w:val="000000"/>
          <w:sz w:val="19"/>
        </w:rPr>
        <w:t>(1)All income from tenant leases is reported as a single line item called "rental income." We have provided the above supplemental information with a breakout of the contractual components of the rental income line, however, these breakouts are provided for informational purposes only and should be considered a non-GAAP presentation.</w:t>
      </w:r>
    </w:p>
    <w:p>
      <w:pPr>
        <w:pStyle w:val="TextBody"/>
        <w:bidi w:val="0"/>
        <w:spacing w:lineRule="auto" w:line="288" w:before="60" w:after="283"/>
        <w:ind w:left="0" w:right="0" w:hanging="720"/>
        <w:jc w:val="left"/>
        <w:rPr>
          <w:rFonts w:ascii="Times New Roman;sans-serif" w:hAnsi="Times New Roman;sans-serif"/>
          <w:b w:val="false"/>
          <w:color w:val="000000"/>
          <w:sz w:val="19"/>
        </w:rPr>
      </w:pPr>
      <w:r>
        <w:rPr>
          <w:rFonts w:ascii="Times New Roman;sans-serif" w:hAnsi="Times New Roman;sans-serif"/>
          <w:b w:val="false"/>
          <w:color w:val="000000"/>
          <w:sz w:val="19"/>
        </w:rPr>
        <w:t>(2)Minimum rents include the following:</w:t>
      </w:r>
    </w:p>
    <w:tbl>
      <w:tblPr>
        <w:tblW w:w="7001" w:type="dxa"/>
        <w:jc w:val="center"/>
        <w:tblInd w:w="0" w:type="dxa"/>
        <w:tblLayout w:type="fixed"/>
        <w:tblCellMar>
          <w:top w:w="28" w:type="dxa"/>
          <w:left w:w="28" w:type="dxa"/>
          <w:bottom w:w="28" w:type="dxa"/>
          <w:right w:w="28" w:type="dxa"/>
        </w:tblCellMar>
      </w:tblPr>
      <w:tblGrid>
        <w:gridCol w:w="124"/>
        <w:gridCol w:w="109"/>
        <w:gridCol w:w="109"/>
        <w:gridCol w:w="436"/>
        <w:gridCol w:w="436"/>
        <w:gridCol w:w="436"/>
        <w:gridCol w:w="436"/>
        <w:gridCol w:w="436"/>
        <w:gridCol w:w="444"/>
        <w:gridCol w:w="211"/>
        <w:gridCol w:w="406"/>
        <w:gridCol w:w="109"/>
        <w:gridCol w:w="109"/>
        <w:gridCol w:w="109"/>
        <w:gridCol w:w="109"/>
        <w:gridCol w:w="211"/>
        <w:gridCol w:w="406"/>
        <w:gridCol w:w="109"/>
        <w:gridCol w:w="109"/>
        <w:gridCol w:w="109"/>
        <w:gridCol w:w="109"/>
        <w:gridCol w:w="211"/>
        <w:gridCol w:w="511"/>
        <w:gridCol w:w="109"/>
        <w:gridCol w:w="109"/>
        <w:gridCol w:w="109"/>
        <w:gridCol w:w="109"/>
        <w:gridCol w:w="211"/>
        <w:gridCol w:w="40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Straight-line rents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in-place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9"/>
        </w:rPr>
        <w:t xml:space="preserve">(3)Includes lease termination fees of $1.1 million and $2.4 million for the three months ended September 30, 2024 and 2023, respectively, and $3.1 million and $5.6 million for the </w:t>
      </w:r>
      <w:r>
        <w:rPr>
          <w:rFonts w:ascii="Times New Roman;sans-serif" w:hAnsi="Times New Roman;sans-serif"/>
          <w:b w:val="false"/>
          <w:color w:val="000000"/>
          <w:sz w:val="20"/>
        </w:rPr>
        <w:t>nine</w:t>
      </w:r>
      <w:r>
        <w:rPr>
          <w:color w:val="000000"/>
        </w:rPr>
        <w:t xml:space="preserve"> </w:t>
      </w:r>
      <w:r>
        <w:rPr>
          <w:rFonts w:ascii="Times New Roman;sans-serif" w:hAnsi="Times New Roman;sans-serif"/>
          <w:b w:val="false"/>
          <w:color w:val="000000"/>
          <w:sz w:val="19"/>
        </w:rPr>
        <w:t>months ended September 30, 2024 and 2023, respectively.</w:t>
      </w:r>
    </w:p>
    <w:p>
      <w:pPr>
        <w:pStyle w:val="TextBody"/>
        <w:bidi w:val="0"/>
        <w:spacing w:lineRule="auto" w:line="288" w:before="60" w:after="283"/>
        <w:ind w:left="0" w:right="0" w:hanging="720"/>
        <w:jc w:val="left"/>
        <w:rPr/>
      </w:pPr>
      <w:r>
        <w:rPr>
          <w:rFonts w:ascii="Times New Roman;sans-serif" w:hAnsi="Times New Roman;sans-serif"/>
          <w:b w:val="false"/>
          <w:color w:val="000000"/>
          <w:sz w:val="19"/>
        </w:rPr>
        <w:t xml:space="preserve">(4)For the three months ended September 30, 2024 and 2023, our collectability related impacts include the collection of approximately $0.8 million and $1.1 million, respectively, and $2.5 million and $4.1 million for the </w:t>
      </w:r>
      <w:r>
        <w:rPr>
          <w:rFonts w:ascii="Times New Roman;sans-serif" w:hAnsi="Times New Roman;sans-serif"/>
          <w:b w:val="false"/>
          <w:color w:val="000000"/>
          <w:sz w:val="20"/>
        </w:rPr>
        <w:t>nine</w:t>
      </w:r>
      <w:r>
        <w:rPr>
          <w:color w:val="000000"/>
        </w:rPr>
        <w:t xml:space="preserve"> </w:t>
      </w:r>
      <w:r>
        <w:rPr>
          <w:rFonts w:ascii="Times New Roman;sans-serif" w:hAnsi="Times New Roman;sans-serif"/>
          <w:b w:val="false"/>
          <w:color w:val="000000"/>
          <w:sz w:val="19"/>
        </w:rPr>
        <w:t>months ended September 30, 2024 and 2023, respectively, of prior period rents which were contractually deferred or payments renegotiated specifically related to the COVID-19 pandemic.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490"/>
        <w:gridCol w:w="989"/>
        <w:gridCol w:w="996"/>
        <w:gridCol w:w="375"/>
        <w:gridCol w:w="1309"/>
        <w:gridCol w:w="428"/>
        <w:gridCol w:w="193"/>
        <w:gridCol w:w="193"/>
        <w:gridCol w:w="193"/>
        <w:gridCol w:w="375"/>
        <w:gridCol w:w="1309"/>
        <w:gridCol w:w="428"/>
        <w:gridCol w:w="502"/>
        <w:gridCol w:w="193"/>
        <w:gridCol w:w="193"/>
        <w:gridCol w:w="109"/>
        <w:gridCol w:w="109"/>
        <w:gridCol w:w="109"/>
        <w:gridCol w:w="109"/>
        <w:gridCol w:w="109"/>
        <w:gridCol w:w="109"/>
        <w:gridCol w:w="109"/>
        <w:gridCol w:w="109"/>
        <w:gridCol w:w="167"/>
      </w:tblGrid>
      <w:tr>
        <w:trPr/>
        <w:tc>
          <w:tcPr>
            <w:tcW w:w="149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Federal Realty Investment Trust</w:t>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Comparable Property Information</w:t>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16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Q3 include: Darien Commons, Friendship Center, Huntington Shopping Center, Pike &amp; Rose Phase IV, Santana West, Willow Grove Shopping Center, and all properties acquired, disposed of, or not consolidated from Q3 2023 to Q3 2024. Comparable Property property operating income ("Comparable Property POI") is a non-GAAP measure used by management in evaluating the operating performance of our properties period over period.</w:t>
            </w:r>
          </w:p>
        </w:tc>
        <w:tc>
          <w:tcPr>
            <w:tcW w:w="1039" w:type="dxa"/>
            <w:gridSpan w:val="9"/>
            <w:tcBorders/>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16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7"/>
                <w:u w:val="single"/>
              </w:rPr>
            </w:pPr>
            <w:r>
              <w:rPr>
                <w:rFonts w:ascii="Times New Roman;sans-serif" w:hAnsi="Times New Roman;sans-serif"/>
                <w:b w:val="false"/>
                <w:i/>
                <w:color w:val="000000"/>
                <w:sz w:val="17"/>
                <w:u w:val="single"/>
              </w:rPr>
              <w:t>Reconciliation of GAAP operating income to Comparable Property POI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gridSpan w:val="4"/>
            <w:tcBorders/>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gridSpan w:val="4"/>
            <w:tcBorders/>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2024</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 thousands)</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gridSpan w:val="4"/>
            <w:tcBorders/>
          </w:tcPr>
          <w:p>
            <w:pPr>
              <w:pStyle w:val="TableContents"/>
              <w:bidi w:val="0"/>
              <w:spacing w:before="0" w:after="283"/>
              <w:jc w:val="left"/>
              <w:rPr>
                <w:sz w:val="4"/>
                <w:szCs w:val="4"/>
              </w:rPr>
            </w:pPr>
            <w:r>
              <w:rPr>
                <w:sz w:val="4"/>
                <w:szCs w:val="4"/>
              </w:rPr>
            </w:r>
          </w:p>
        </w:tc>
      </w:tr>
      <w:tr>
        <w:trPr/>
        <w:tc>
          <w:tcPr>
            <w:tcW w:w="3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income</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105,832 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100,084 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Add: </w:t>
            </w:r>
          </w:p>
        </w:tc>
        <w:tc>
          <w:tcPr>
            <w:tcW w:w="2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87,028 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81,731 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General and administrative</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10,822 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13,149 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operating income (POI)</w:t>
            </w:r>
          </w:p>
        </w:tc>
        <w:tc>
          <w:tcPr>
            <w:tcW w:w="1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203,682 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194,964 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Non-comparable POI - acquisitions/dispositions</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(5,388)</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(2,590)</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Non-comparable POI - redevelopment, development &amp; other</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(6,964)</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(4,783)</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Comparable property POI</w:t>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191,330 </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187,591 </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16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7"/>
                <w:u w:val="single"/>
              </w:rPr>
            </w:pPr>
            <w:r>
              <w:rPr>
                <w:rFonts w:ascii="Times New Roman;sans-serif" w:hAnsi="Times New Roman;sans-serif"/>
                <w:b w:val="false"/>
                <w:i/>
                <w:color w:val="000000"/>
                <w:sz w:val="17"/>
                <w:u w:val="single"/>
              </w:rPr>
              <w:t>Additional information regarding the components of Comparable Property POI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gridSpan w:val="4"/>
            <w:tcBorders/>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gridSpan w:val="4"/>
            <w:tcBorders/>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2024</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 thousands)</w:t>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gridSpan w:val="4"/>
            <w:tcBorders/>
          </w:tcPr>
          <w:p>
            <w:pPr>
              <w:pStyle w:val="TableContents"/>
              <w:bidi w:val="0"/>
              <w:spacing w:before="0" w:after="283"/>
              <w:jc w:val="left"/>
              <w:rPr>
                <w:sz w:val="4"/>
                <w:szCs w:val="4"/>
              </w:rPr>
            </w:pPr>
            <w:r>
              <w:rPr>
                <w:sz w:val="4"/>
                <w:szCs w:val="4"/>
              </w:rPr>
            </w:r>
          </w:p>
        </w:tc>
      </w:tr>
      <w:tr>
        <w:trPr/>
        <w:tc>
          <w:tcPr>
            <w:tcW w:w="3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Minimum rents (1)</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213,506 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206,691 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Cost reimbursements</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55,096 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52,898 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13,791 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14,775 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Collectibility related impacts</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263 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365 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property revenue</w:t>
            </w:r>
          </w:p>
        </w:tc>
        <w:tc>
          <w:tcPr>
            <w:tcW w:w="1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282,656 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274,729 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Rental expenses</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(57,379)</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(54,301)</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estate taxes</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(33,947)</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(32,837)</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property expenses</w:t>
            </w:r>
          </w:p>
        </w:tc>
        <w:tc>
          <w:tcPr>
            <w:tcW w:w="1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(91,326)</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(87,138)</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Comparable property POI</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191,330 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187,591 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Less: </w:t>
            </w:r>
          </w:p>
        </w:tc>
        <w:tc>
          <w:tcPr>
            <w:tcW w:w="2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Lease termination fees</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(1,108)</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(2,400)</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Prior period rents collected (2)</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(704)</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(1,064)</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Comparable property POI excluding lease termination fees and prior period rents collected</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189,518 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184,127 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gridSpan w:val="4"/>
            <w:tcBorders/>
          </w:tcPr>
          <w:p>
            <w:pPr>
              <w:pStyle w:val="TableContents"/>
              <w:bidi w:val="0"/>
              <w:spacing w:before="0" w:after="283"/>
              <w:jc w:val="left"/>
              <w:rPr>
                <w:sz w:val="4"/>
                <w:szCs w:val="4"/>
              </w:rPr>
            </w:pPr>
            <w:r>
              <w:rPr>
                <w:sz w:val="4"/>
                <w:szCs w:val="4"/>
              </w:rPr>
            </w:r>
          </w:p>
        </w:tc>
      </w:tr>
      <w:tr>
        <w:trPr/>
        <w:tc>
          <w:tcPr>
            <w:tcW w:w="3475"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16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7"/>
                <w:u w:val="single"/>
              </w:rPr>
            </w:pPr>
            <w:r>
              <w:rPr>
                <w:rFonts w:ascii="Times New Roman;sans-serif" w:hAnsi="Times New Roman;sans-serif"/>
                <w:b w:val="false"/>
                <w:i/>
                <w:color w:val="000000"/>
                <w:sz w:val="17"/>
                <w:u w:val="single"/>
              </w:rPr>
              <w:t>Comparable Property - Summary of Capital Expenditures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gridSpan w:val="4"/>
            <w:tcBorders/>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gridSpan w:val="4"/>
            <w:tcBorders/>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2024</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 thousands)</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gridSpan w:val="4"/>
            <w:tcBorders/>
          </w:tcPr>
          <w:p>
            <w:pPr>
              <w:pStyle w:val="TableContents"/>
              <w:bidi w:val="0"/>
              <w:spacing w:before="0" w:after="283"/>
              <w:jc w:val="left"/>
              <w:rPr>
                <w:sz w:val="4"/>
                <w:szCs w:val="4"/>
              </w:rPr>
            </w:pPr>
            <w:r>
              <w:rPr>
                <w:sz w:val="4"/>
                <w:szCs w:val="4"/>
              </w:rPr>
            </w:r>
          </w:p>
        </w:tc>
      </w:tr>
      <w:tr>
        <w:trPr/>
        <w:tc>
          <w:tcPr>
            <w:tcW w:w="3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Redevelopment and tenant improvements and incentives</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36,474 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31,811 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Maintenance capital expenditures</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5,523 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5,007 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41,997 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36,818 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16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7"/>
                <w:u w:val="single"/>
              </w:rPr>
            </w:pPr>
            <w:r>
              <w:rPr>
                <w:rFonts w:ascii="Times New Roman;sans-serif" w:hAnsi="Times New Roman;sans-serif"/>
                <w:b w:val="false"/>
                <w:i/>
                <w:color w:val="000000"/>
                <w:sz w:val="17"/>
                <w:u w:val="single"/>
              </w:rPr>
              <w:t>Comparable Property - Occupancy Statistics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At September 30,</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gridSpan w:val="4"/>
            <w:tcBorders/>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2024</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GLA - comparable commercial properties</w:t>
            </w:r>
          </w:p>
        </w:tc>
        <w:tc>
          <w:tcPr>
            <w:tcW w:w="1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25,284,000 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25,343,000 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Leased % - comparable commercial properties</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95.8 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94.2 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Occupancy % - comparable commercial properties</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93.8 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92.4 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ans-serif" w:hAnsi="Times New Roman;sans-serif"/>
          <w:b w:val="false"/>
          <w:color w:val="000000"/>
          <w:sz w:val="17"/>
          <w:u w:val="single"/>
        </w:rPr>
      </w:pPr>
      <w:r>
        <w:rPr>
          <w:rFonts w:ascii="Times New Roman;sans-serif" w:hAnsi="Times New Roman;sans-serif"/>
          <w:b w:val="false"/>
          <w:color w:val="000000"/>
          <w:sz w:val="17"/>
          <w:u w:val="single"/>
        </w:rPr>
        <w:t>Notes:</w:t>
      </w:r>
    </w:p>
    <w:p>
      <w:pPr>
        <w:pStyle w:val="TextBody"/>
        <w:bidi w:val="0"/>
        <w:spacing w:lineRule="auto" w:line="288" w:before="0" w:after="0"/>
        <w:ind w:left="0" w:right="0" w:hanging="720"/>
        <w:jc w:val="left"/>
        <w:rPr>
          <w:rFonts w:ascii="Times New Roman;sans-serif" w:hAnsi="Times New Roman;sans-serif"/>
          <w:b w:val="false"/>
          <w:color w:val="000000"/>
          <w:sz w:val="17"/>
        </w:rPr>
      </w:pPr>
      <w:r>
        <w:rPr>
          <w:rFonts w:ascii="Times New Roman;sans-serif" w:hAnsi="Times New Roman;sans-serif"/>
          <w:b w:val="false"/>
          <w:color w:val="000000"/>
          <w:sz w:val="17"/>
        </w:rPr>
        <w:t>(1)For the three months ended September 30, 2024 and 2023, amount includes straight-line rents of $2.8 million and $3.3 million, respectively, and amortization of in-place leases of $3.1 million and $3.3 million, respectively.</w:t>
      </w:r>
    </w:p>
    <w:p>
      <w:pPr>
        <w:pStyle w:val="TextBody"/>
        <w:bidi w:val="0"/>
        <w:spacing w:lineRule="auto" w:line="288" w:before="0" w:after="0"/>
        <w:ind w:left="0" w:right="0" w:hanging="720"/>
        <w:jc w:val="left"/>
        <w:rPr>
          <w:rFonts w:ascii="Times New Roman;sans-serif" w:hAnsi="Times New Roman;sans-serif"/>
          <w:b w:val="false"/>
          <w:color w:val="000000"/>
          <w:sz w:val="17"/>
        </w:rPr>
      </w:pPr>
      <w:r>
        <w:rPr>
          <w:rFonts w:ascii="Times New Roman;sans-serif" w:hAnsi="Times New Roman;sans-serif"/>
          <w:b w:val="false"/>
          <w:color w:val="000000"/>
          <w:sz w:val="17"/>
        </w:rPr>
        <w:t>(2)Amount represents collection of prior period rents which were contractually deferred or payment renegotiated specifically related to the COVID-19 pandemic.</w:t>
      </w:r>
    </w:p>
    <w:p>
      <w:pPr>
        <w:pStyle w:val="TextBody"/>
        <w:bidi w:val="0"/>
        <w:spacing w:lineRule="auto" w:line="288" w:before="0" w:after="0"/>
        <w:ind w:left="0" w:right="0" w:hanging="720"/>
        <w:jc w:val="left"/>
        <w:rPr/>
      </w:pPr>
      <w:r>
        <w:rPr>
          <w:rFonts w:ascii="Times New Roman;sans-serif" w:hAnsi="Times New Roman;sans-serif"/>
          <w:b w:val="false"/>
          <w:color w:val="000000"/>
          <w:sz w:val="17"/>
        </w:rPr>
        <w:t xml:space="preserve">(3)See page </w:t>
      </w:r>
      <w:hyperlink w:anchor="idd49df97a5af423bbea5fa8255b0635e_16">
        <w:r>
          <w:rPr>
            <w:rStyle w:val="InternetLink"/>
            <w:rFonts w:ascii="Times New Roman;sans-serif" w:hAnsi="Times New Roman;sans-serif"/>
            <w:b w:val="false"/>
            <w:strike w:val="false"/>
            <w:dstrike w:val="false"/>
            <w:color w:val="000000"/>
            <w:sz w:val="17"/>
            <w:u w:val="none"/>
            <w:effect w:val="none"/>
          </w:rPr>
          <w:t>9</w:t>
        </w:r>
      </w:hyperlink>
      <w:r>
        <w:rPr>
          <w:rFonts w:ascii="Times New Roman;sans-serif" w:hAnsi="Times New Roman;sans-serif"/>
          <w:b w:val="false"/>
          <w:color w:val="000000"/>
          <w:sz w:val="17"/>
        </w:rPr>
        <w:t xml:space="preserve"> for "Summary of Capital Expenditures" and page </w:t>
      </w:r>
      <w:hyperlink w:anchor="idd49df97a5af423bbea5fa8255b0635e_52">
        <w:r>
          <w:rPr>
            <w:rStyle w:val="InternetLink"/>
            <w:rFonts w:ascii="Times New Roman;sans-serif" w:hAnsi="Times New Roman;sans-serif"/>
            <w:b w:val="false"/>
            <w:strike w:val="false"/>
            <w:dstrike w:val="false"/>
            <w:color w:val="000000"/>
            <w:sz w:val="17"/>
            <w:u w:val="none"/>
            <w:effect w:val="none"/>
          </w:rPr>
          <w:t>25</w:t>
        </w:r>
      </w:hyperlink>
      <w:r>
        <w:rPr>
          <w:rFonts w:ascii="Times New Roman;sans-serif" w:hAnsi="Times New Roman;sans-serif"/>
          <w:b w:val="false"/>
          <w:color w:val="000000"/>
          <w:sz w:val="17"/>
        </w:rPr>
        <w:t xml:space="preserve"> for portfolio occupancy statistics for our entire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6"/>
        <w:gridCol w:w="148"/>
        <w:gridCol w:w="148"/>
        <w:gridCol w:w="1797"/>
        <w:gridCol w:w="1679"/>
        <w:gridCol w:w="1684"/>
        <w:gridCol w:w="137"/>
        <w:gridCol w:w="137"/>
        <w:gridCol w:w="137"/>
        <w:gridCol w:w="266"/>
        <w:gridCol w:w="1365"/>
        <w:gridCol w:w="137"/>
        <w:gridCol w:w="137"/>
        <w:gridCol w:w="137"/>
        <w:gridCol w:w="137"/>
        <w:gridCol w:w="286"/>
        <w:gridCol w:w="1470"/>
        <w:gridCol w:w="217"/>
      </w:tblGrid>
      <w:tr>
        <w:trPr/>
        <w:tc>
          <w:tcPr>
            <w:tcW w:w="18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Market Data, Debt Metrics, and Senior Notes and Debentures Covenants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564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Data</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outstanding and downREIT operating partnership units (1)</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85,575 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82,254 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price per common share</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90.63 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market capitalization including downREIT operating partnership units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9,838,558 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7,454,680 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C preferred shares outstanding</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Liquidation price per Series C preferred share</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C preferred equity market capitalization</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1 preferred shares outstanding (2)</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Liquidation price per Series 1 preferred share</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1 preferred equity market capitalization</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9,825 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market capitalization</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9,998,383 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7,614,505 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4,472,617 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4,450,525 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and cash equivalents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(97,023)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(98,210)</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debt (3)</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4,375,594 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4,352,315 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 capitalization</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14,373,977 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11,966,820 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Leverage and Liquidity Ratios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debt to market capitalization at market price per common share</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482" w:type="dxa"/>
            <w:gridSpan w:val="3"/>
            <w:tcBorders/>
            <w:vAlign w:val="center"/>
          </w:tcPr>
          <w:p>
            <w:pPr>
              <w:pStyle w:val="TableContents"/>
              <w:bidi w:val="0"/>
              <w:spacing w:before="0" w:after="283"/>
              <w:jc w:val="left"/>
              <w:rPr>
                <w:sz w:val="4"/>
                <w:szCs w:val="4"/>
              </w:rPr>
            </w:pPr>
            <w:r>
              <w:rPr>
                <w:sz w:val="4"/>
                <w:szCs w:val="4"/>
              </w:rPr>
            </w:r>
          </w:p>
        </w:tc>
        <w:tc>
          <w:tcPr>
            <w:tcW w:w="516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r>
        <w:trPr/>
        <w:tc>
          <w:tcPr>
            <w:tcW w:w="482" w:type="dxa"/>
            <w:gridSpan w:val="3"/>
            <w:tcBorders/>
            <w:vAlign w:val="center"/>
          </w:tcPr>
          <w:p>
            <w:pPr>
              <w:pStyle w:val="TableContents"/>
              <w:bidi w:val="0"/>
              <w:spacing w:before="0" w:after="283"/>
              <w:jc w:val="left"/>
              <w:rPr>
                <w:sz w:val="4"/>
                <w:szCs w:val="4"/>
              </w:rPr>
            </w:pPr>
            <w:r>
              <w:rPr>
                <w:sz w:val="4"/>
                <w:szCs w:val="4"/>
              </w:rPr>
            </w:r>
          </w:p>
        </w:tc>
        <w:tc>
          <w:tcPr>
            <w:tcW w:w="516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 of EBITDAre to combined fixed charges and preferred share dividends, three months ended (4)(5)</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3.7x</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3.5x</w:t>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Ratio of EBITDAre to combined fixed charges and preferred share dividends, nine months ended (4)(5)</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3.6x</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3.6x</w:t>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Covenants (6)</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Debt Covenant Threshold (7)</w:t>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to Total Assets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&lt; 60%</w:t>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Debt to Total Assets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&lt; 40%</w:t>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Income to Annual Debt Service Charge</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3.7x</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&gt; 1.5x</w:t>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Unencumbered Assets to Unsecured Debt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&gt; 150%</w:t>
            </w:r>
          </w:p>
        </w:tc>
      </w:tr>
      <w:tr>
        <w:trPr/>
        <w:tc>
          <w:tcPr>
            <w:tcW w:w="482" w:type="dxa"/>
            <w:gridSpan w:val="3"/>
            <w:tcBorders/>
            <w:vAlign w:val="center"/>
          </w:tcPr>
          <w:p>
            <w:pPr>
              <w:pStyle w:val="TableContents"/>
              <w:bidi w:val="0"/>
              <w:spacing w:before="0" w:after="283"/>
              <w:jc w:val="left"/>
              <w:rPr>
                <w:sz w:val="4"/>
                <w:szCs w:val="4"/>
              </w:rPr>
            </w:pPr>
            <w:r>
              <w:rPr>
                <w:sz w:val="4"/>
                <w:szCs w:val="4"/>
              </w:rPr>
            </w:r>
          </w:p>
        </w:tc>
        <w:tc>
          <w:tcPr>
            <w:tcW w:w="516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r>
        <w:trPr/>
        <w:tc>
          <w:tcPr>
            <w:tcW w:w="482" w:type="dxa"/>
            <w:gridSpan w:val="3"/>
            <w:tcBorders/>
            <w:vAlign w:val="center"/>
          </w:tcPr>
          <w:p>
            <w:pPr>
              <w:pStyle w:val="TableContents"/>
              <w:bidi w:val="0"/>
              <w:spacing w:before="0" w:after="283"/>
              <w:jc w:val="left"/>
              <w:rPr>
                <w:sz w:val="4"/>
                <w:szCs w:val="4"/>
              </w:rPr>
            </w:pPr>
            <w:r>
              <w:rPr>
                <w:sz w:val="4"/>
                <w:szCs w:val="4"/>
              </w:rPr>
            </w:r>
          </w:p>
        </w:tc>
        <w:tc>
          <w:tcPr>
            <w:tcW w:w="516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r>
        <w:trPr/>
        <w:tc>
          <w:tcPr>
            <w:tcW w:w="482" w:type="dxa"/>
            <w:gridSpan w:val="3"/>
            <w:tcBorders/>
            <w:vAlign w:val="center"/>
          </w:tcPr>
          <w:p>
            <w:pPr>
              <w:pStyle w:val="TableContents"/>
              <w:bidi w:val="0"/>
              <w:spacing w:before="0" w:after="283"/>
              <w:jc w:val="left"/>
              <w:rPr>
                <w:sz w:val="4"/>
                <w:szCs w:val="4"/>
              </w:rPr>
            </w:pPr>
            <w:r>
              <w:rPr>
                <w:sz w:val="4"/>
                <w:szCs w:val="4"/>
              </w:rPr>
            </w:r>
          </w:p>
        </w:tc>
        <w:tc>
          <w:tcPr>
            <w:tcW w:w="516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r>
        <w:trPr/>
        <w:tc>
          <w:tcPr>
            <w:tcW w:w="482" w:type="dxa"/>
            <w:gridSpan w:val="3"/>
            <w:tcBorders/>
            <w:vAlign w:val="center"/>
          </w:tcPr>
          <w:p>
            <w:pPr>
              <w:pStyle w:val="TableContents"/>
              <w:bidi w:val="0"/>
              <w:spacing w:before="0" w:after="283"/>
              <w:jc w:val="left"/>
              <w:rPr>
                <w:sz w:val="4"/>
                <w:szCs w:val="4"/>
              </w:rPr>
            </w:pPr>
            <w:r>
              <w:rPr>
                <w:sz w:val="4"/>
                <w:szCs w:val="4"/>
              </w:rPr>
            </w:r>
          </w:p>
        </w:tc>
        <w:tc>
          <w:tcPr>
            <w:tcW w:w="516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r>
        <w:trPr/>
        <w:tc>
          <w:tcPr>
            <w:tcW w:w="482" w:type="dxa"/>
            <w:gridSpan w:val="3"/>
            <w:tcBorders/>
            <w:vAlign w:val="center"/>
          </w:tcPr>
          <w:p>
            <w:pPr>
              <w:pStyle w:val="TableContents"/>
              <w:bidi w:val="0"/>
              <w:spacing w:before="0" w:after="283"/>
              <w:jc w:val="left"/>
              <w:rPr>
                <w:sz w:val="4"/>
                <w:szCs w:val="4"/>
              </w:rPr>
            </w:pPr>
            <w:r>
              <w:rPr>
                <w:sz w:val="4"/>
                <w:szCs w:val="4"/>
              </w:rPr>
            </w:r>
          </w:p>
        </w:tc>
        <w:tc>
          <w:tcPr>
            <w:tcW w:w="516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(1)Amounts include 622,399 and 635,431 downREIT operating partnership units outstanding at September 30, 2024 and 2023, respectively.</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(2)These shares, issued March 8, 2007, are unregistered.</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(3)Total net debt includes mortgages payable, notes payable, senior notes and debentures, net of premiums/discounts and debt issuance costs and net of cash and cash equivalents from our consolidated balance sheet.</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(4)EBITDAre is reconciled to net income in the Glossary of Terms.</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(5)Fixed charges consist of interest on borrowed funds and finance leases (including capitalized interest), amortization of debt discount/premium and debt costs, and the portion of rent expense representing an interest factor.</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(6)The reference period for calculating these covenants is the most recent twelve months ended September 30, 2024.</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(7)For a detailed description of the senior unsecured notes covenants and definitions of the terms, please refer to our filings with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62"/>
        <w:gridCol w:w="230"/>
        <w:gridCol w:w="230"/>
        <w:gridCol w:w="686"/>
        <w:gridCol w:w="655"/>
        <w:gridCol w:w="580"/>
        <w:gridCol w:w="447"/>
        <w:gridCol w:w="447"/>
        <w:gridCol w:w="448"/>
        <w:gridCol w:w="109"/>
        <w:gridCol w:w="109"/>
        <w:gridCol w:w="109"/>
        <w:gridCol w:w="407"/>
        <w:gridCol w:w="396"/>
        <w:gridCol w:w="398"/>
        <w:gridCol w:w="109"/>
        <w:gridCol w:w="109"/>
        <w:gridCol w:w="109"/>
        <w:gridCol w:w="196"/>
        <w:gridCol w:w="871"/>
        <w:gridCol w:w="109"/>
        <w:gridCol w:w="109"/>
        <w:gridCol w:w="109"/>
        <w:gridCol w:w="109"/>
        <w:gridCol w:w="164"/>
        <w:gridCol w:w="155"/>
        <w:gridCol w:w="151"/>
        <w:gridCol w:w="109"/>
        <w:gridCol w:w="109"/>
        <w:gridCol w:w="109"/>
        <w:gridCol w:w="328"/>
        <w:gridCol w:w="318"/>
        <w:gridCol w:w="318"/>
        <w:gridCol w:w="318"/>
        <w:gridCol w:w="318"/>
        <w:gridCol w:w="465"/>
      </w:tblGrid>
      <w:tr>
        <w:trPr/>
        <w:tc>
          <w:tcPr>
            <w:tcW w:w="2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Summary of Outstanding Debt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2024</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2"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 2024</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Stated maturity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Stated 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effective rate (6)</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Mortgages payable (1)</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Secured fixed rate</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Azalea</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Bethesda Row</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12/28/2025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5.03%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Bell Gardens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Plaza El Segundo</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Grove at Shrewsbury (East)</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Brook 35</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7/1/2029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Hoboken (24 Buildings)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12/15/2029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3.67%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 Hoboken (14 Buildings)</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Various through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3.91% to 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Chelsea</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1/15/2031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mortgages payable, net</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4.50%</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 payable</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(4)</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SOFR + 0.85%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 (4)(5)</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SOFR + 0.775%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Various </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Various through 2059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Various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notes payable, net</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6.02%</w:t>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w:t>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Senior notes and debentures</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Unsecured fixed rate</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1.25% notes</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7.48% debentures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3.25% notes</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7/15/2027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6.82% medium term notes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5.375% notes</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3.25% exchangeable notes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1/15/2029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3.20% notes</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6/15/2029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3.50% notes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6/1/2030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4.50% notes</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12/1/2044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3.625% notes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8/1/2046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3,379,200 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senior notes and debentures,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3,356,298 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3.78%</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4,472,617 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fixed rate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3,873,083 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3.87%</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variable rate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6.02%</w:t>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w:t>
            </w:r>
          </w:p>
        </w:tc>
      </w:tr>
      <w:tr>
        <w:trPr/>
        <w:tc>
          <w:tcPr>
            <w:tcW w:w="39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4,472,617 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4.16%</w:t>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w:t>
            </w:r>
          </w:p>
        </w:tc>
      </w:tr>
    </w:tbl>
    <w:p>
      <w:pPr>
        <w:pStyle w:val="TextBody"/>
        <w:bidi w:val="0"/>
        <w:spacing w:lineRule="auto" w:line="288" w:before="60" w:after="283"/>
        <w:jc w:val="left"/>
        <w:rPr>
          <w:rFonts w:ascii="Times New Roman;sans-serif" w:hAnsi="Times New Roman;sans-serif"/>
          <w:b w:val="false"/>
          <w:color w:val="000000"/>
          <w:sz w:val="17"/>
          <w:u w:val="single"/>
        </w:rPr>
      </w:pPr>
      <w:r>
        <w:rPr>
          <w:rFonts w:ascii="Times New Roman;sans-serif" w:hAnsi="Times New Roman;sans-serif"/>
          <w:b w:val="false"/>
          <w:color w:val="000000"/>
          <w:sz w:val="17"/>
          <w:u w:val="single"/>
        </w:rPr>
        <w:t>Notes:</w:t>
      </w:r>
    </w:p>
    <w:p>
      <w:pPr>
        <w:pStyle w:val="TextBody"/>
        <w:bidi w:val="0"/>
        <w:spacing w:lineRule="auto" w:line="288" w:before="60" w:after="283"/>
        <w:ind w:left="0" w:right="0" w:hanging="720"/>
        <w:jc w:val="left"/>
        <w:rPr>
          <w:rFonts w:ascii="Times New Roman;sans-serif" w:hAnsi="Times New Roman;sans-serif"/>
          <w:b w:val="false"/>
          <w:color w:val="000000"/>
          <w:sz w:val="17"/>
        </w:rPr>
      </w:pPr>
      <w:r>
        <w:rPr>
          <w:rFonts w:ascii="Times New Roman;sans-serif" w:hAnsi="Times New Roman;sans-serif"/>
          <w:b w:val="false"/>
          <w:color w:val="000000"/>
          <w:sz w:val="17"/>
        </w:rPr>
        <w:t>(1)Mortgages payable does not include our share of debt on our unconsolidated real estate partnerships. At September 30, 2024, our share of unconsolidated debt was approximately $62.1 million. At September 30, 2024, our noncontrolling interests' share of mortgages payable was $15.2 million.</w:t>
      </w:r>
    </w:p>
    <w:p>
      <w:pPr>
        <w:pStyle w:val="TextBody"/>
        <w:bidi w:val="0"/>
        <w:spacing w:lineRule="auto" w:line="288" w:before="60" w:after="283"/>
        <w:ind w:left="0" w:right="0" w:hanging="720"/>
        <w:jc w:val="left"/>
        <w:rPr>
          <w:rFonts w:ascii="Times New Roman;sans-serif" w:hAnsi="Times New Roman;sans-serif"/>
          <w:b w:val="false"/>
          <w:color w:val="000000"/>
          <w:sz w:val="17"/>
        </w:rPr>
      </w:pPr>
      <w:r>
        <w:rPr>
          <w:rFonts w:ascii="Times New Roman;sans-serif" w:hAnsi="Times New Roman;sans-serif"/>
          <w:b w:val="false"/>
          <w:color w:val="000000"/>
          <w:sz w:val="17"/>
        </w:rPr>
        <w:t>(2)We have two one-year extensions, at our option to extend the maturity date to December 28, 2027.</w:t>
      </w:r>
    </w:p>
    <w:p>
      <w:pPr>
        <w:pStyle w:val="TextBody"/>
        <w:bidi w:val="0"/>
        <w:spacing w:lineRule="auto" w:line="288" w:before="60" w:after="283"/>
        <w:ind w:left="0" w:right="0" w:hanging="720"/>
        <w:jc w:val="left"/>
        <w:rPr>
          <w:rFonts w:ascii="Times New Roman;sans-serif" w:hAnsi="Times New Roman;sans-serif"/>
          <w:b w:val="false"/>
          <w:color w:val="000000"/>
          <w:sz w:val="17"/>
        </w:rPr>
      </w:pPr>
      <w:r>
        <w:rPr>
          <w:rFonts w:ascii="Times New Roman;sans-serif" w:hAnsi="Times New Roman;sans-serif"/>
          <w:b w:val="false"/>
          <w:color w:val="000000"/>
          <w:sz w:val="17"/>
        </w:rPr>
        <w:t>(3)The mortgage loans have interest rate swap agreements that effectively fix the interest rate through the initial maturity date.</w:t>
      </w:r>
    </w:p>
    <w:p>
      <w:pPr>
        <w:pStyle w:val="TextBody"/>
        <w:bidi w:val="0"/>
        <w:spacing w:lineRule="auto" w:line="288" w:before="60" w:after="283"/>
        <w:ind w:left="0" w:right="0" w:hanging="720"/>
        <w:jc w:val="left"/>
        <w:rPr>
          <w:rFonts w:ascii="Times New Roman;sans-serif" w:hAnsi="Times New Roman;sans-serif"/>
          <w:b w:val="false"/>
          <w:color w:val="000000"/>
          <w:sz w:val="17"/>
        </w:rPr>
      </w:pPr>
      <w:r>
        <w:rPr>
          <w:rFonts w:ascii="Times New Roman;sans-serif" w:hAnsi="Times New Roman;sans-serif"/>
          <w:b w:val="false"/>
          <w:color w:val="000000"/>
          <w:sz w:val="17"/>
        </w:rPr>
        <w:t>(4)Our revolving credit facility SOFR loans bear interest at Daily Simple SOFR or Term SOFR, and our term loan bears interest at Term SOFR as defined in the respective credit agreements, plus 0.10%, plus a spread, based on our current credit rating.</w:t>
      </w:r>
    </w:p>
    <w:p>
      <w:pPr>
        <w:pStyle w:val="TextBody"/>
        <w:bidi w:val="0"/>
        <w:spacing w:lineRule="auto" w:line="288" w:before="60" w:after="283"/>
        <w:ind w:left="0" w:right="0" w:hanging="720"/>
        <w:jc w:val="left"/>
        <w:rPr>
          <w:rFonts w:ascii="Times New Roman;sans-serif" w:hAnsi="Times New Roman;sans-serif"/>
          <w:b w:val="false"/>
          <w:color w:val="000000"/>
          <w:sz w:val="17"/>
        </w:rPr>
      </w:pPr>
      <w:r>
        <w:rPr>
          <w:rFonts w:ascii="Times New Roman;sans-serif" w:hAnsi="Times New Roman;sans-serif"/>
          <w:b w:val="false"/>
          <w:color w:val="000000"/>
          <w:sz w:val="17"/>
        </w:rPr>
        <w:t>(5)The maximum amount drawn under our $1.25 billion revolving credit facility during the three and nine months ended September 30, 2024 was $152.7 million and $202.7 million, respectively. The weighted average interest rate on borrowings under our credit facility, before amortization of debt fees, was 6.2% for both the three and nine months ended September 30, 2024.</w:t>
      </w:r>
    </w:p>
    <w:p>
      <w:pPr>
        <w:pStyle w:val="TextBody"/>
        <w:bidi w:val="0"/>
        <w:spacing w:lineRule="auto" w:line="288" w:before="60" w:after="283"/>
        <w:ind w:left="0" w:right="0" w:hanging="720"/>
        <w:jc w:val="left"/>
        <w:rPr>
          <w:rFonts w:ascii="Times New Roman;sans-serif" w:hAnsi="Times New Roman;sans-serif"/>
          <w:b w:val="false"/>
          <w:color w:val="000000"/>
          <w:sz w:val="17"/>
        </w:rPr>
      </w:pPr>
      <w:r>
        <w:rPr>
          <w:rFonts w:ascii="Times New Roman;sans-serif" w:hAnsi="Times New Roman;sans-serif"/>
          <w:b w:val="false"/>
          <w:color w:val="000000"/>
          <w:sz w:val="17"/>
        </w:rPr>
        <w:t>(6)The weighted average effective interest rate includes the amortization of any debt issuance costs and discounts and premiums, if applicable, except as described in Note 7.</w:t>
      </w:r>
    </w:p>
    <w:p>
      <w:pPr>
        <w:pStyle w:val="TextBody"/>
        <w:bidi w:val="0"/>
        <w:spacing w:lineRule="auto" w:line="288" w:before="60" w:after="283"/>
        <w:ind w:left="0" w:right="0" w:hanging="720"/>
        <w:jc w:val="left"/>
        <w:rPr>
          <w:rFonts w:ascii="Times New Roman;sans-serif" w:hAnsi="Times New Roman;sans-serif"/>
          <w:b w:val="false"/>
          <w:color w:val="000000"/>
          <w:sz w:val="17"/>
        </w:rPr>
      </w:pPr>
      <w:r>
        <w:rPr>
          <w:rFonts w:ascii="Times New Roman;sans-serif" w:hAnsi="Times New Roman;sans-serif"/>
          <w:b w:val="false"/>
          <w:color w:val="000000"/>
          <w:sz w:val="17"/>
        </w:rPr>
        <w:t>(7)The weighted average effective interest rate excludes $0.9 million in quarterly financing fees and quarterly debt fee amortization on our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40"/>
        <w:gridCol w:w="300"/>
        <w:gridCol w:w="306"/>
        <w:gridCol w:w="319"/>
        <w:gridCol w:w="1092"/>
        <w:gridCol w:w="166"/>
        <w:gridCol w:w="109"/>
        <w:gridCol w:w="109"/>
        <w:gridCol w:w="109"/>
        <w:gridCol w:w="211"/>
        <w:gridCol w:w="976"/>
        <w:gridCol w:w="109"/>
        <w:gridCol w:w="109"/>
        <w:gridCol w:w="109"/>
        <w:gridCol w:w="109"/>
        <w:gridCol w:w="211"/>
        <w:gridCol w:w="976"/>
        <w:gridCol w:w="109"/>
        <w:gridCol w:w="109"/>
        <w:gridCol w:w="109"/>
        <w:gridCol w:w="109"/>
        <w:gridCol w:w="445"/>
        <w:gridCol w:w="334"/>
        <w:gridCol w:w="835"/>
        <w:gridCol w:w="109"/>
        <w:gridCol w:w="109"/>
        <w:gridCol w:w="109"/>
        <w:gridCol w:w="109"/>
        <w:gridCol w:w="109"/>
        <w:gridCol w:w="361"/>
        <w:gridCol w:w="346"/>
        <w:gridCol w:w="866"/>
        <w:gridCol w:w="109"/>
        <w:gridCol w:w="109"/>
        <w:gridCol w:w="159"/>
      </w:tblGrid>
      <w:tr>
        <w:trPr/>
        <w:tc>
          <w:tcPr>
            <w:tcW w:w="3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255" w:type="dxa"/>
            <w:gridSpan w:val="2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1950" w:type="dxa"/>
            <w:gridSpan w:val="6"/>
            <w:tcBorders/>
          </w:tcPr>
          <w:p>
            <w:pPr>
              <w:pStyle w:val="TableContents"/>
              <w:bidi w:val="0"/>
              <w:spacing w:before="0" w:after="283"/>
              <w:jc w:val="left"/>
              <w:rPr>
                <w:sz w:val="4"/>
                <w:szCs w:val="4"/>
              </w:rPr>
            </w:pPr>
            <w:r>
              <w:rPr>
                <w:sz w:val="4"/>
                <w:szCs w:val="4"/>
              </w:rPr>
            </w:r>
          </w:p>
        </w:tc>
      </w:tr>
      <w:tr>
        <w:trPr/>
        <w:tc>
          <w:tcPr>
            <w:tcW w:w="8255" w:type="dxa"/>
            <w:gridSpan w:val="2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Summary of Debt Maturities</w:t>
            </w:r>
          </w:p>
        </w:tc>
        <w:tc>
          <w:tcPr>
            <w:tcW w:w="1950" w:type="dxa"/>
            <w:gridSpan w:val="6"/>
            <w:tcBorders/>
          </w:tcPr>
          <w:p>
            <w:pPr>
              <w:pStyle w:val="TableContents"/>
              <w:bidi w:val="0"/>
              <w:spacing w:before="0" w:after="283"/>
              <w:jc w:val="left"/>
              <w:rPr>
                <w:sz w:val="4"/>
                <w:szCs w:val="4"/>
              </w:rPr>
            </w:pPr>
            <w:r>
              <w:rPr>
                <w:sz w:val="4"/>
                <w:szCs w:val="4"/>
              </w:rPr>
            </w:r>
          </w:p>
        </w:tc>
      </w:tr>
      <w:tr>
        <w:trPr/>
        <w:tc>
          <w:tcPr>
            <w:tcW w:w="8255" w:type="dxa"/>
            <w:gridSpan w:val="2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1950" w:type="dxa"/>
            <w:gridSpan w:val="6"/>
            <w:tcBorders/>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w:t>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Scheduled Amortization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of Debt Maturing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Rate (5)</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2033</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4,481,535 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4,497,667 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7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p>
      <w:pPr>
        <w:pStyle w:val="TextBody"/>
        <w:bidi w:val="0"/>
        <w:spacing w:lineRule="auto" w:line="288" w:before="40" w:after="100"/>
        <w:jc w:val="left"/>
        <w:rPr>
          <w:rFonts w:ascii="Times New Roman;sans-serif" w:hAnsi="Times New Roman;sans-serif"/>
          <w:b w:val="false"/>
          <w:color w:val="000000"/>
          <w:sz w:val="18"/>
        </w:rPr>
      </w:pPr>
      <w:r>
        <w:rPr>
          <w:rFonts w:ascii="Times New Roman;sans-serif" w:hAnsi="Times New Roman;sans-serif"/>
          <w:b w:val="false"/>
          <w:color w:val="000000"/>
          <w:sz w:val="18"/>
        </w:rPr>
        <w:t>The above table assumes all extension options are exercised.</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(1)Our $600.0 million term loan matures on April 16, 2025, plus one one-year extension at our option to April 16, 2026. </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(2)Our $200.0 million mortgage loan secured by Bethesda Row matures on December 28, 2025 plus two one-year extensions, at our option to December 28, 2027.</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(3)Our $1.25 billion revolving credit facility matures on April 5, 2027, plus two six-month extensions at our option to April 5, 2028. As of September 30, 2024, there was no balance outstanding under this credit facility.</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(4)The total debt maturities differ from the total reported on the consolidated balance sheet due to the debt issuance costs and unamortized net premium/discount on certain mortgage loans, notes payable, and senior notes as of September 30, 2024. The weighted average remaining term on our mortgages payable, notes payable, and senior notes and debentures is approximately 6 years.</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(5)The weighted average rate reflects the weighted average interest rate on debt maturing in the respective year. </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(6)The weighted average rate excludes $0.9 million in quarterly financing fees and quarterly debt fee amortization on our $1.25 billion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675"/>
        <w:gridCol w:w="262"/>
        <w:gridCol w:w="262"/>
        <w:gridCol w:w="636"/>
        <w:gridCol w:w="243"/>
        <w:gridCol w:w="247"/>
        <w:gridCol w:w="1437"/>
        <w:gridCol w:w="1257"/>
        <w:gridCol w:w="1272"/>
        <w:gridCol w:w="212"/>
        <w:gridCol w:w="212"/>
        <w:gridCol w:w="473"/>
        <w:gridCol w:w="300"/>
        <w:gridCol w:w="300"/>
        <w:gridCol w:w="301"/>
        <w:gridCol w:w="339"/>
        <w:gridCol w:w="195"/>
        <w:gridCol w:w="178"/>
        <w:gridCol w:w="533"/>
        <w:gridCol w:w="353"/>
        <w:gridCol w:w="355"/>
        <w:gridCol w:w="163"/>
      </w:tblGrid>
      <w:tr>
        <w:trPr/>
        <w:tc>
          <w:tcPr>
            <w:tcW w:w="67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3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9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Summary of Redevelopment and Expansion Opportunities</w:t>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04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The following redevelopment opportunities are actively being worked on by the Trust. (1)</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966"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966"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9006" w:type="dxa"/>
            <w:gridSpan w:val="19"/>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966"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966"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966"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404" w:type="dxa"/>
            <w:gridSpan w:val="4"/>
            <w:tcBorders/>
          </w:tcPr>
          <w:p>
            <w:pPr>
              <w:pStyle w:val="TableContents"/>
              <w:bidi w:val="0"/>
              <w:spacing w:before="0" w:after="283"/>
              <w:jc w:val="left"/>
              <w:rPr>
                <w:sz w:val="4"/>
                <w:szCs w:val="4"/>
              </w:rPr>
            </w:pPr>
            <w:r>
              <w:rPr>
                <w:sz w:val="4"/>
                <w:szCs w:val="4"/>
              </w:rPr>
            </w:r>
          </w:p>
        </w:tc>
      </w:tr>
      <w:tr>
        <w:trPr/>
        <w:tc>
          <w:tcPr>
            <w:tcW w:w="629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966"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966"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Property</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Location</w:t>
            </w:r>
          </w:p>
        </w:tc>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Opportunity</w:t>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Projected ROI (2)</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Projected Cost (1)</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to Date</w:t>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Projected 2024 POI Delivered (2)</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(as a % of Total)</w:t>
            </w:r>
          </w:p>
        </w:tc>
        <w:tc>
          <w:tcPr>
            <w:tcW w:w="163" w:type="dxa"/>
            <w:tcBorders/>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966"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Santana West (3)</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 Jose, CA</w:t>
            </w:r>
          </w:p>
        </w:tc>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369,000 square foot office building. 193,000 square feet of office space leased.</w:t>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- 6%</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$325 - $335</w:t>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w:t>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Pike &amp; Rose - 915 Meeting Street (3)</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North Bethesda, MD</w:t>
            </w:r>
          </w:p>
        </w:tc>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266,000 square foot office building with 10,000 square feet of retail space. 204,000 square feet of office and 10,000 square feet of retail space leased.</w:t>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$180 - $190</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w:t>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 - 55%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Darien Commons</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Darien, CT</w:t>
            </w:r>
          </w:p>
        </w:tc>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Demolition of a 45,000 square foot anchor space to construct 75,000 square feet of new retail space, 122 rental apartments, and 720 parking spaces</w:t>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 $120</w:t>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w:t>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85% - 95%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 Cynwyd</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 Cynwyd, PA</w:t>
            </w:r>
          </w:p>
        </w:tc>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Demolition of two level department store building to construct a new six story building with 217 residential units, 16,000 square feet of retail and a two-story parking structure with 234 parking stalls</w:t>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 $95</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Huntington</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Huntington, NY</w:t>
            </w:r>
          </w:p>
        </w:tc>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Demolition of the main two level building consisting of 161,000 square feet of anchor and small shop space to construct 102,000 square feet of new ground-level anchor and small shop retail space</w:t>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 $85</w:t>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65% - 75%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966"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404" w:type="dxa"/>
            <w:gridSpan w:val="4"/>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Property</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Location</w:t>
            </w:r>
          </w:p>
        </w:tc>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Opportunity</w:t>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Projected ROI (4)</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Projected Cost (1)</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to Date</w:t>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Anticipated Stabilization (5)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2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Lawrence Park</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Broomall, PA</w:t>
            </w:r>
          </w:p>
        </w:tc>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Full shopping center redevelopment to include expansion of Main Line Health into vacant lower level space, creation of 17,800 square feet of small shop space converted from vacated anchor space, a new 2,000 square foot bank pad building, and a façade renovation for the entire center</w:t>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Stabilized</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Willow Grove</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Willow Grove, PA</w:t>
            </w:r>
          </w:p>
        </w:tc>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new 17,000 square foot multi-tenant pad building</w:t>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Santana Row</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 Jose, CA</w:t>
            </w:r>
          </w:p>
        </w:tc>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Installation and implementation of paid parking system</w:t>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Pike 7 Plaza</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Vienna, VA</w:t>
            </w:r>
          </w:p>
        </w:tc>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new 3,200 square foot pad building pre-leased to a restaurant tenant</w:t>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Stabilized</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Chelsea Commons</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Chelsea, MA</w:t>
            </w:r>
          </w:p>
        </w:tc>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new 2,500 square foot pre-leased pad building with drive-thru</w:t>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966"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966"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966"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966"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404" w:type="dxa"/>
            <w:gridSpan w:val="4"/>
            <w:tcBorders/>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25"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Active Property Improvement Projects (6)</w:t>
            </w:r>
          </w:p>
        </w:tc>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Ongoing improvements at 9 properties to better position those properties to capture a disproportionate amount of retail demand</w:t>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- 13%</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Notes:</w:t>
      </w:r>
    </w:p>
    <w:p>
      <w:pPr>
        <w:pStyle w:val="TextBody"/>
        <w:bidi w:val="0"/>
        <w:spacing w:lineRule="auto" w:line="288" w:before="0" w:after="0"/>
        <w:ind w:left="0" w:right="0" w:hanging="288"/>
        <w:jc w:val="left"/>
        <w:rPr>
          <w:rFonts w:ascii="Times New Roman;sans-serif" w:hAnsi="Times New Roman;sans-serif"/>
          <w:b w:val="false"/>
          <w:color w:val="000000"/>
          <w:sz w:val="15"/>
        </w:rPr>
      </w:pPr>
      <w:r>
        <w:rPr>
          <w:rFonts w:ascii="Times New Roman;sans-serif" w:hAnsi="Times New Roman;sans-serif"/>
          <w:b w:val="false"/>
          <w:color w:val="000000"/>
          <w:sz w:val="15"/>
        </w:rPr>
        <w:t>(1)There is no guarantee that the Trust will ultimately complete any or all of these opportunities, that the ROI or Projected Costs will be the amounts shown or that stabilization will occur as anticipated. The projected returns on investment (ROI) and Projected Cost are management's best estimate based on current information and may change over time. Anticipated total cost, and projected ROI, and projected POI delivered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pStyle w:val="TextBody"/>
        <w:bidi w:val="0"/>
        <w:spacing w:lineRule="auto" w:line="288" w:before="0" w:after="0"/>
        <w:ind w:left="0" w:right="0" w:hanging="288"/>
        <w:jc w:val="left"/>
        <w:rPr>
          <w:rFonts w:ascii="Times New Roman;sans-serif" w:hAnsi="Times New Roman;sans-serif"/>
          <w:b w:val="false"/>
          <w:color w:val="000000"/>
          <w:sz w:val="15"/>
        </w:rPr>
      </w:pPr>
      <w:r>
        <w:rPr>
          <w:rFonts w:ascii="Times New Roman;sans-serif" w:hAnsi="Times New Roman;sans-serif"/>
          <w:b w:val="false"/>
          <w:color w:val="000000"/>
          <w:sz w:val="15"/>
        </w:rPr>
        <w:t>(2)Projected ROI for mixed-use redevelopment/expansion projects reflects the unleveraged Property Operating Income (POI) generated by the project and is calculated as POI divided by cost. Projected POI delivered includes straight line rent.</w:t>
      </w:r>
    </w:p>
    <w:p>
      <w:pPr>
        <w:pStyle w:val="TextBody"/>
        <w:bidi w:val="0"/>
        <w:spacing w:lineRule="auto" w:line="288" w:before="0" w:after="0"/>
        <w:ind w:left="0" w:right="0" w:hanging="288"/>
        <w:jc w:val="left"/>
        <w:rPr>
          <w:rFonts w:ascii="Times New Roman;sans-serif" w:hAnsi="Times New Roman;sans-serif"/>
          <w:b w:val="false"/>
          <w:color w:val="000000"/>
          <w:sz w:val="15"/>
        </w:rPr>
      </w:pPr>
      <w:r>
        <w:rPr>
          <w:rFonts w:ascii="Times New Roman;sans-serif" w:hAnsi="Times New Roman;sans-serif"/>
          <w:b w:val="false"/>
          <w:color w:val="000000"/>
          <w:sz w:val="15"/>
        </w:rPr>
        <w:t>(3)Projected costs for Pike &amp; Rose include an allocation of infrastructure costs for the entire project. Santana West includes an allocation of infrastructure for the Santana West site.</w:t>
      </w:r>
    </w:p>
    <w:p>
      <w:pPr>
        <w:pStyle w:val="TextBody"/>
        <w:bidi w:val="0"/>
        <w:spacing w:lineRule="auto" w:line="288" w:before="0" w:after="0"/>
        <w:ind w:left="0" w:right="0" w:hanging="288"/>
        <w:jc w:val="left"/>
        <w:rPr>
          <w:rFonts w:ascii="Times New Roman;sans-serif" w:hAnsi="Times New Roman;sans-serif"/>
          <w:b w:val="false"/>
          <w:color w:val="000000"/>
          <w:sz w:val="15"/>
        </w:rPr>
      </w:pPr>
      <w:r>
        <w:rPr>
          <w:rFonts w:ascii="Times New Roman;sans-serif" w:hAnsi="Times New Roman;sans-serif"/>
          <w:b w:val="false"/>
          <w:color w:val="000000"/>
          <w:sz w:val="15"/>
        </w:rPr>
        <w:t>(4)Projected ROI for redevelopment projects generally reflects only the deal specific cash, unleveraged incremental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generally does not include peripheral impacts, such as the impact on future lease rollovers at the property or the impact on the long-term value of the property but may for certain property improvement projects.</w:t>
      </w:r>
    </w:p>
    <w:p>
      <w:pPr>
        <w:pStyle w:val="TextBody"/>
        <w:bidi w:val="0"/>
        <w:spacing w:lineRule="auto" w:line="288" w:before="0" w:after="0"/>
        <w:ind w:left="0" w:right="0" w:hanging="288"/>
        <w:jc w:val="left"/>
        <w:rPr>
          <w:rFonts w:ascii="Times New Roman;sans-serif" w:hAnsi="Times New Roman;sans-serif"/>
          <w:b w:val="false"/>
          <w:color w:val="000000"/>
          <w:sz w:val="15"/>
        </w:rPr>
      </w:pPr>
      <w:r>
        <w:rPr>
          <w:rFonts w:ascii="Times New Roman;sans-serif" w:hAnsi="Times New Roman;sans-serif"/>
          <w:b w:val="false"/>
          <w:color w:val="000000"/>
          <w:sz w:val="15"/>
        </w:rPr>
        <w:t>(5)Stabilization is generally the year in which 90% physical occupancy of the redeveloped space is achieved. Economic stabilization may occur at a later point in time.</w:t>
      </w:r>
    </w:p>
    <w:p>
      <w:pPr>
        <w:pStyle w:val="TextBody"/>
        <w:bidi w:val="0"/>
        <w:spacing w:lineRule="auto" w:line="288" w:before="0" w:after="0"/>
        <w:ind w:left="0" w:right="0" w:hanging="288"/>
        <w:jc w:val="left"/>
        <w:rPr>
          <w:rFonts w:ascii="Times New Roman;sans-serif" w:hAnsi="Times New Roman;sans-serif"/>
          <w:b w:val="false"/>
          <w:color w:val="000000"/>
          <w:sz w:val="15"/>
        </w:rPr>
      </w:pPr>
      <w:r>
        <w:rPr>
          <w:rFonts w:ascii="Times New Roman;sans-serif" w:hAnsi="Times New Roman;sans-serif"/>
          <w:b w:val="false"/>
          <w:color w:val="000000"/>
          <w:sz w:val="15"/>
        </w:rPr>
        <w:t>(6)Property improvement projects generally consist of façade renovations, site improvements, landscaping, improved outdoor amenity spaces, and other upgrades to improve the overall look and environment of the property. These projects improve overall tenant and customer experiences, improve market rents, drive leasing demand, and/or provide outdoor spaces critical to meeting the needs of the current environment. Returns on these projects are typically seen over one to five years, however, some projects could extend beyond that. Projected ROI range reflects management's best estimate of the long term expected return on cost of these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43"/>
        <w:gridCol w:w="438"/>
        <w:gridCol w:w="438"/>
        <w:gridCol w:w="438"/>
        <w:gridCol w:w="438"/>
        <w:gridCol w:w="438"/>
        <w:gridCol w:w="1341"/>
        <w:gridCol w:w="438"/>
        <w:gridCol w:w="438"/>
        <w:gridCol w:w="1093"/>
        <w:gridCol w:w="438"/>
        <w:gridCol w:w="438"/>
        <w:gridCol w:w="1067"/>
        <w:gridCol w:w="438"/>
        <w:gridCol w:w="438"/>
        <w:gridCol w:w="509"/>
        <w:gridCol w:w="219"/>
        <w:gridCol w:w="315"/>
      </w:tblGrid>
      <w:tr>
        <w:trPr/>
        <w:tc>
          <w:tcPr>
            <w:tcW w:w="84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916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Federal Realty Investment Trust</w:t>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Future Redevelopment and Expansion Opportunities</w:t>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September 30, 2024</w:t>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9"/>
              </w:rPr>
            </w:pPr>
            <w:r>
              <w:rPr>
                <w:rFonts w:ascii="Times New Roman;sans-serif" w:hAnsi="Times New Roman;sans-serif"/>
                <w:b/>
                <w:i/>
                <w:color w:val="000000"/>
                <w:sz w:val="19"/>
              </w:rPr>
              <w:t>We have identified the following potential opportunities to create future shareholder value. Executing these opportunities could be subject to government approvals, tenant consents, market conditions, etc. Work on many of these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5"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Redevelopment Opportunities</w:t>
            </w:r>
          </w:p>
        </w:tc>
      </w:tr>
      <w:tr>
        <w:trPr/>
        <w:tc>
          <w:tcPr>
            <w:tcW w:w="3033"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Property</w:t>
            </w:r>
          </w:p>
        </w:tc>
        <w:tc>
          <w:tcPr>
            <w:tcW w:w="2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Location</w:t>
            </w:r>
          </w:p>
        </w:tc>
        <w:tc>
          <w:tcPr>
            <w:tcW w:w="19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Expansion/Conversion (4)</w:t>
            </w:r>
          </w:p>
        </w:tc>
        <w:tc>
          <w:tcPr>
            <w:tcW w:w="19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Residential (5)</w:t>
            </w:r>
          </w:p>
        </w:tc>
        <w:tc>
          <w:tcPr>
            <w:tcW w:w="10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Mixed Use - Long Term</w:t>
            </w:r>
          </w:p>
        </w:tc>
      </w:tr>
      <w:tr>
        <w:trPr/>
        <w:tc>
          <w:tcPr>
            <w:tcW w:w="303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Assembly Row (1)</w:t>
            </w:r>
          </w:p>
        </w:tc>
        <w:tc>
          <w:tcPr>
            <w:tcW w:w="2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Somerville, MA</w:t>
            </w:r>
          </w:p>
        </w:tc>
        <w:tc>
          <w:tcPr>
            <w:tcW w:w="19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9"/>
              </w:rPr>
            </w:pPr>
            <w:r>
              <w:rPr>
                <w:rFonts w:ascii="Wingdings;sans-serif" w:hAnsi="Wingdings;sans-serif"/>
                <w:b/>
                <w:color w:val="000000"/>
                <w:sz w:val="19"/>
              </w:rPr>
              <w:t>ü</w:t>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Andorra</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Philadelphia, PA</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 Cynwyd</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 Cynwyd, PA</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Barracks Road</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Charlottesville, VA</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Bethesda Row</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Bethesda, MD</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Camelback Colonnade</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Phoenix, AZ</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Chelsea Commons</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Chelsea, MA</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Dedham Plaza</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Dedham, MA</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Escondido Promenade</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Escondido, CA</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Fairfax Junction</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Fairfax, VA</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Federal Plaza</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Rockville, MD</w:t>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Fresh Meadows</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Queens, NY</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Friendship Center</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Washington, DC</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Grossmont Center</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La Mesa, CA</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Hoboken</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Hoboken, NJ</w:t>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Huntington</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Huntington, NY</w:t>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Huntington Square</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East Northport, NY</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Mercer on One</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Lawrenceville, NJ</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Pike &amp; Rose (2)</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North Bethesda, MD</w:t>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Pike 7 Plaza</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Vienna, VA</w:t>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Providence Place (formerly Pan Am)</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Fairfax, VA</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Riverpoint Center</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Chicago, IL</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Santana Row (3)</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San Jose, CA</w:t>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r>
      <w:tr>
        <w:trPr/>
        <w:tc>
          <w:tcPr>
            <w:tcW w:w="171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Shops at Pembroke Gardens</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Pembroke Pines, FL</w:t>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AVENUE at White Marsh</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White Marsh, MD</w:t>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Village at Shirlington</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Arlington, VA</w:t>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Virginia Gateway</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Gainesville, VA</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Willow Grove</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Willow Grove, PA</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Willow Lawn</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Richmond, VA</w:t>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Notes: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(1)Remaining entitlements at Assembly Row include approximately 1.5 million square feet of commercial-use buildings and 326 residential units.</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(2)Remaining entitlements at Pike &amp; Rose include approximately 530,000 square feet of commercial-use buildings and 741 residential units.</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(3)Remaining entitlements at Santana Row include approximately 321,000 square feet of commercial space and 395 residential units, as well as approximately 604,000 square feet of commercial space across from Santana Row.</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(4)Property expansion/conversion includes opportunities at successful retail properties to convert previously underutilized land into new GLA, to convert other existing uses into more productive uses for the property, and/or to add both single tenant and multi-tenant stand alone pad buildings.</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(5)Residential includes opportunities to add residential units to existing retail and mixed-use properties.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2"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2"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2024 Transactions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2"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40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Property Acquisitions</w:t>
      </w:r>
    </w:p>
    <w:tbl>
      <w:tblPr>
        <w:tblW w:w="10205" w:type="dxa"/>
        <w:jc w:val="left"/>
        <w:tblInd w:w="0" w:type="dxa"/>
        <w:tblLayout w:type="fixed"/>
        <w:tblCellMar>
          <w:top w:w="28" w:type="dxa"/>
          <w:left w:w="28" w:type="dxa"/>
          <w:bottom w:w="28" w:type="dxa"/>
          <w:right w:w="28" w:type="dxa"/>
        </w:tblCellMar>
      </w:tblPr>
      <w:tblGrid>
        <w:gridCol w:w="296"/>
        <w:gridCol w:w="260"/>
        <w:gridCol w:w="262"/>
        <w:gridCol w:w="109"/>
        <w:gridCol w:w="109"/>
        <w:gridCol w:w="109"/>
        <w:gridCol w:w="414"/>
        <w:gridCol w:w="414"/>
        <w:gridCol w:w="416"/>
        <w:gridCol w:w="109"/>
        <w:gridCol w:w="109"/>
        <w:gridCol w:w="109"/>
        <w:gridCol w:w="424"/>
        <w:gridCol w:w="424"/>
        <w:gridCol w:w="429"/>
        <w:gridCol w:w="109"/>
        <w:gridCol w:w="109"/>
        <w:gridCol w:w="109"/>
        <w:gridCol w:w="417"/>
        <w:gridCol w:w="370"/>
        <w:gridCol w:w="324"/>
        <w:gridCol w:w="109"/>
        <w:gridCol w:w="109"/>
        <w:gridCol w:w="109"/>
        <w:gridCol w:w="240"/>
        <w:gridCol w:w="681"/>
        <w:gridCol w:w="133"/>
        <w:gridCol w:w="109"/>
        <w:gridCol w:w="109"/>
        <w:gridCol w:w="109"/>
        <w:gridCol w:w="944"/>
        <w:gridCol w:w="907"/>
        <w:gridCol w:w="1215"/>
      </w:tblGrid>
      <w:tr>
        <w:trPr/>
        <w:tc>
          <w:tcPr>
            <w:tcW w:w="2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City/State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Purchase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Tenants</w:t>
            </w:r>
          </w:p>
        </w:tc>
      </w:tr>
      <w:tr>
        <w:trPr/>
        <w:tc>
          <w:tcPr>
            <w:tcW w:w="8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Virginia Gateway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Gainesville,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664,000 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Giant Food / HomeGoods / Total Wine &amp; More / Best Buy / Ulta</w:t>
            </w:r>
          </w:p>
        </w:tc>
      </w:tr>
      <w:tr>
        <w:trPr/>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July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Pinole Vista Crossing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Pinole,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216,000 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FoodMaxx / TJ Maxx / Nordstrom Rack / HomeGoods / Ulta</w:t>
            </w:r>
          </w:p>
        </w:tc>
      </w:tr>
    </w:tbl>
    <w:p>
      <w:pPr>
        <w:pStyle w:val="TextBody"/>
        <w:bidi w:val="0"/>
        <w:spacing w:lineRule="auto" w:line="288" w:before="400" w:after="283"/>
        <w:ind w:left="0" w:right="0" w:hanging="270"/>
        <w:jc w:val="left"/>
        <w:rPr>
          <w:rFonts w:ascii="Times New Roman;sans-serif" w:hAnsi="Times New Roman;sans-serif"/>
          <w:b/>
          <w:color w:val="000000"/>
          <w:sz w:val="18"/>
          <w:u w:val="single"/>
        </w:rPr>
      </w:pPr>
      <w:r>
        <w:rPr>
          <w:rFonts w:ascii="Times New Roman;sans-serif" w:hAnsi="Times New Roman;sans-serif"/>
          <w:b/>
          <w:color w:val="000000"/>
          <w:sz w:val="18"/>
          <w:u w:val="single"/>
        </w:rPr>
        <w:t>Other Investment Transaction</w:t>
      </w:r>
    </w:p>
    <w:p>
      <w:pPr>
        <w:pStyle w:val="TextBody"/>
        <w:bidi w:val="0"/>
        <w:spacing w:lineRule="auto" w:line="288" w:before="1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 April 1, 2024, we acquired the approximately 10% noncontrolling interest in the partnership that owns our CocoWalk property for $12.4 million, bringing our ownership to 100%.</w:t>
      </w:r>
    </w:p>
    <w:p>
      <w:pPr>
        <w:pStyle w:val="TextBody"/>
        <w:bidi w:val="0"/>
        <w:spacing w:lineRule="auto" w:line="288" w:before="40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Property Disposition</w:t>
      </w:r>
    </w:p>
    <w:tbl>
      <w:tblPr>
        <w:tblW w:w="7392" w:type="dxa"/>
        <w:jc w:val="left"/>
        <w:tblInd w:w="0" w:type="dxa"/>
        <w:tblLayout w:type="fixed"/>
        <w:tblCellMar>
          <w:top w:w="28" w:type="dxa"/>
          <w:left w:w="28" w:type="dxa"/>
          <w:bottom w:w="28" w:type="dxa"/>
          <w:right w:w="28" w:type="dxa"/>
        </w:tblCellMar>
      </w:tblPr>
      <w:tblGrid>
        <w:gridCol w:w="374"/>
        <w:gridCol w:w="329"/>
        <w:gridCol w:w="331"/>
        <w:gridCol w:w="109"/>
        <w:gridCol w:w="109"/>
        <w:gridCol w:w="109"/>
        <w:gridCol w:w="592"/>
        <w:gridCol w:w="592"/>
        <w:gridCol w:w="600"/>
        <w:gridCol w:w="109"/>
        <w:gridCol w:w="109"/>
        <w:gridCol w:w="109"/>
        <w:gridCol w:w="623"/>
        <w:gridCol w:w="623"/>
        <w:gridCol w:w="628"/>
        <w:gridCol w:w="109"/>
        <w:gridCol w:w="109"/>
        <w:gridCol w:w="109"/>
        <w:gridCol w:w="232"/>
        <w:gridCol w:w="660"/>
        <w:gridCol w:w="128"/>
        <w:gridCol w:w="109"/>
        <w:gridCol w:w="109"/>
        <w:gridCol w:w="109"/>
        <w:gridCol w:w="109"/>
        <w:gridCol w:w="109"/>
        <w:gridCol w:w="154"/>
      </w:tblGrid>
      <w:tr>
        <w:trP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City/State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Sales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 Street Promenade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Santa Monica,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Financing Transactions</w:t>
      </w:r>
    </w:p>
    <w:p>
      <w:pPr>
        <w:pStyle w:val="TextBody"/>
        <w:bidi w:val="0"/>
        <w:spacing w:lineRule="auto" w:line="288" w:before="180" w:after="283"/>
        <w:jc w:val="left"/>
        <w:rPr>
          <w:rFonts w:ascii="Times New Roman;sans-serif" w:hAnsi="Times New Roman;sans-serif"/>
          <w:b/>
          <w:color w:val="000000"/>
          <w:sz w:val="18"/>
        </w:rPr>
      </w:pPr>
      <w:r>
        <w:rPr>
          <w:rFonts w:ascii="Times New Roman;sans-serif" w:hAnsi="Times New Roman;sans-serif"/>
          <w:b/>
          <w:color w:val="000000"/>
          <w:sz w:val="18"/>
        </w:rPr>
        <w:t>Issuance of Common Shares</w:t>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During the nine months ended September 30, 2024, we sold 1,996,759 common shares for gross proceeds of $218.3 million. We also entered into forward sales contracts for 709,925 common shares under our ATM equity program at a weighted average gross offering price of $115.91.</w:t>
      </w:r>
    </w:p>
    <w:p>
      <w:pPr>
        <w:pStyle w:val="TextBody"/>
        <w:bidi w:val="0"/>
        <w:spacing w:lineRule="auto" w:line="288" w:before="240" w:after="283"/>
        <w:jc w:val="left"/>
        <w:rPr>
          <w:rFonts w:ascii="Times New Roman;sans-serif" w:hAnsi="Times New Roman;sans-serif"/>
          <w:b/>
          <w:color w:val="000000"/>
          <w:sz w:val="18"/>
        </w:rPr>
      </w:pPr>
      <w:r>
        <w:rPr>
          <w:rFonts w:ascii="Times New Roman;sans-serif" w:hAnsi="Times New Roman;sans-serif"/>
          <w:b/>
          <w:color w:val="000000"/>
          <w:sz w:val="18"/>
        </w:rPr>
        <w:t>Issuance of Debt</w:t>
      </w:r>
    </w:p>
    <w:tbl>
      <w:tblPr>
        <w:tblW w:w="10205" w:type="dxa"/>
        <w:jc w:val="left"/>
        <w:tblInd w:w="0" w:type="dxa"/>
        <w:tblLayout w:type="fixed"/>
        <w:tblCellMar>
          <w:top w:w="28" w:type="dxa"/>
          <w:left w:w="28" w:type="dxa"/>
          <w:bottom w:w="28" w:type="dxa"/>
          <w:right w:w="28" w:type="dxa"/>
        </w:tblCellMar>
      </w:tblPr>
      <w:tblGrid>
        <w:gridCol w:w="484"/>
        <w:gridCol w:w="424"/>
        <w:gridCol w:w="427"/>
        <w:gridCol w:w="109"/>
        <w:gridCol w:w="109"/>
        <w:gridCol w:w="109"/>
        <w:gridCol w:w="915"/>
        <w:gridCol w:w="915"/>
        <w:gridCol w:w="935"/>
        <w:gridCol w:w="109"/>
        <w:gridCol w:w="109"/>
        <w:gridCol w:w="109"/>
        <w:gridCol w:w="334"/>
        <w:gridCol w:w="949"/>
        <w:gridCol w:w="186"/>
        <w:gridCol w:w="109"/>
        <w:gridCol w:w="109"/>
        <w:gridCol w:w="109"/>
        <w:gridCol w:w="376"/>
        <w:gridCol w:w="372"/>
        <w:gridCol w:w="880"/>
        <w:gridCol w:w="109"/>
        <w:gridCol w:w="109"/>
        <w:gridCol w:w="109"/>
        <w:gridCol w:w="439"/>
        <w:gridCol w:w="439"/>
        <w:gridCol w:w="441"/>
        <w:gridCol w:w="109"/>
        <w:gridCol w:w="109"/>
        <w:gridCol w:w="163"/>
      </w:tblGrid>
      <w:tr>
        <w:trPr/>
        <w:tc>
          <w:tcPr>
            <w:tcW w:w="4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3.25% Exchangeable Senior Notes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January 15, 2029</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(1) See our Form 8-K filing on January 11, 2024 and Note 4 of our September 30, 2024 Form 10-Q for additional information on this transaction.</w:t>
      </w:r>
    </w:p>
    <w:p>
      <w:pPr>
        <w:pStyle w:val="TextBody"/>
        <w:bidi w:val="0"/>
        <w:spacing w:lineRule="auto" w:line="288" w:before="240" w:after="283"/>
        <w:jc w:val="left"/>
        <w:rPr>
          <w:rFonts w:ascii="Times New Roman;sans-serif" w:hAnsi="Times New Roman;sans-serif"/>
          <w:b/>
          <w:color w:val="000000"/>
          <w:sz w:val="18"/>
        </w:rPr>
      </w:pPr>
      <w:r>
        <w:rPr>
          <w:rFonts w:ascii="Times New Roman;sans-serif" w:hAnsi="Times New Roman;sans-serif"/>
          <w:b/>
          <w:color w:val="000000"/>
          <w:sz w:val="18"/>
        </w:rPr>
        <w:t>Repayment of Debt</w:t>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senior unsecured note was repaid at maturity:</w:t>
      </w:r>
    </w:p>
    <w:tbl>
      <w:tblPr>
        <w:tblW w:w="5313" w:type="dxa"/>
        <w:jc w:val="left"/>
        <w:tblInd w:w="0" w:type="dxa"/>
        <w:tblLayout w:type="fixed"/>
        <w:tblCellMar>
          <w:top w:w="28" w:type="dxa"/>
          <w:left w:w="28" w:type="dxa"/>
          <w:bottom w:w="28" w:type="dxa"/>
          <w:right w:w="28" w:type="dxa"/>
        </w:tblCellMar>
      </w:tblPr>
      <w:tblGrid>
        <w:gridCol w:w="510"/>
        <w:gridCol w:w="448"/>
        <w:gridCol w:w="451"/>
        <w:gridCol w:w="109"/>
        <w:gridCol w:w="109"/>
        <w:gridCol w:w="109"/>
        <w:gridCol w:w="526"/>
        <w:gridCol w:w="526"/>
        <w:gridCol w:w="537"/>
        <w:gridCol w:w="109"/>
        <w:gridCol w:w="109"/>
        <w:gridCol w:w="109"/>
        <w:gridCol w:w="293"/>
        <w:gridCol w:w="833"/>
        <w:gridCol w:w="163"/>
        <w:gridCol w:w="109"/>
        <w:gridCol w:w="109"/>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Payoff Amount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3.95% Senior Notes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tbl>
      <w:tblPr>
        <w:tblW w:w="11491" w:type="dxa"/>
        <w:jc w:val="center"/>
        <w:tblInd w:w="0" w:type="dxa"/>
        <w:tblLayout w:type="fixed"/>
        <w:tblCellMar>
          <w:top w:w="28" w:type="dxa"/>
          <w:left w:w="28" w:type="dxa"/>
          <w:bottom w:w="28" w:type="dxa"/>
          <w:right w:w="28" w:type="dxa"/>
        </w:tblCellMar>
      </w:tblPr>
      <w:tblGrid>
        <w:gridCol w:w="364"/>
        <w:gridCol w:w="319"/>
        <w:gridCol w:w="278"/>
        <w:gridCol w:w="109"/>
        <w:gridCol w:w="109"/>
        <w:gridCol w:w="109"/>
        <w:gridCol w:w="709"/>
        <w:gridCol w:w="709"/>
        <w:gridCol w:w="713"/>
        <w:gridCol w:w="109"/>
        <w:gridCol w:w="181"/>
        <w:gridCol w:w="541"/>
        <w:gridCol w:w="109"/>
        <w:gridCol w:w="109"/>
        <w:gridCol w:w="143"/>
        <w:gridCol w:w="143"/>
        <w:gridCol w:w="109"/>
        <w:gridCol w:w="109"/>
        <w:gridCol w:w="109"/>
        <w:gridCol w:w="109"/>
        <w:gridCol w:w="308"/>
        <w:gridCol w:w="308"/>
        <w:gridCol w:w="131"/>
        <w:gridCol w:w="109"/>
        <w:gridCol w:w="109"/>
        <w:gridCol w:w="109"/>
        <w:gridCol w:w="186"/>
        <w:gridCol w:w="175"/>
        <w:gridCol w:w="341"/>
        <w:gridCol w:w="109"/>
        <w:gridCol w:w="109"/>
        <w:gridCol w:w="109"/>
        <w:gridCol w:w="109"/>
        <w:gridCol w:w="109"/>
        <w:gridCol w:w="109"/>
        <w:gridCol w:w="260"/>
        <w:gridCol w:w="260"/>
        <w:gridCol w:w="261"/>
        <w:gridCol w:w="396"/>
        <w:gridCol w:w="220"/>
        <w:gridCol w:w="221"/>
        <w:gridCol w:w="109"/>
        <w:gridCol w:w="109"/>
        <w:gridCol w:w="109"/>
        <w:gridCol w:w="335"/>
        <w:gridCol w:w="200"/>
        <w:gridCol w:w="201"/>
        <w:gridCol w:w="449"/>
        <w:gridCol w:w="391"/>
        <w:gridCol w:w="196"/>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20"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090" w:type="dxa"/>
            <w:gridSpan w:val="13"/>
            <w:tcBorders/>
          </w:tcPr>
          <w:p>
            <w:pPr>
              <w:pStyle w:val="TableContents"/>
              <w:bidi w:val="0"/>
              <w:spacing w:before="0" w:after="283"/>
              <w:jc w:val="left"/>
              <w:rPr>
                <w:sz w:val="4"/>
                <w:szCs w:val="4"/>
              </w:rPr>
            </w:pPr>
            <w:r>
              <w:rPr>
                <w:sz w:val="4"/>
                <w:szCs w:val="4"/>
              </w:rPr>
            </w:r>
          </w:p>
        </w:tc>
      </w:tr>
      <w:tr>
        <w:trPr/>
        <w:tc>
          <w:tcPr>
            <w:tcW w:w="7620"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Status Report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090" w:type="dxa"/>
            <w:gridSpan w:val="13"/>
            <w:tcBorders/>
          </w:tcPr>
          <w:p>
            <w:pPr>
              <w:pStyle w:val="TableContents"/>
              <w:bidi w:val="0"/>
              <w:spacing w:before="0" w:after="283"/>
              <w:jc w:val="left"/>
              <w:rPr>
                <w:sz w:val="4"/>
                <w:szCs w:val="4"/>
              </w:rPr>
            </w:pPr>
            <w:r>
              <w:rPr>
                <w:sz w:val="4"/>
                <w:szCs w:val="4"/>
              </w:rPr>
            </w:r>
          </w:p>
        </w:tc>
      </w:tr>
      <w:tr>
        <w:trPr/>
        <w:tc>
          <w:tcPr>
            <w:tcW w:w="7620"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090" w:type="dxa"/>
            <w:gridSpan w:val="13"/>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Real Estate at Cost</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Acreage</w:t>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GLA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Leased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Units</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Grocery Anchor (2)</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Washington Metropolitan Area</w:t>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Barcroft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Harris Teeter</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Bethesda Row</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180</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Apple / Equinox / Anthropologie / Nike Live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Birch &amp; Broad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Staples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Chesterbrook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Safeway</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Starbucks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Congressional Plaza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194</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Fresh Market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Ulta / Barnes &amp; Noble / Container Store / Buy Buy Baby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Courthouse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Fairfax Junction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Aldi</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Federal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Micro Center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Friendship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Maggiano's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Gaithersburg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Ross Dress for Less / Ashley Furniture HomeStore / 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Graham Park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Idylwood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Whole Foods</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Kingstowne Towne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 / Safeway</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HomeGoods / Five Below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Laurel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L.A. Fitness / HomeGoods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Montrose Crossing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 / Target (S)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Home Depot Design Center / Old Navy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Mount Vernon/South Valley/7770 Richmond Hwy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Shoppers Food Warehouse</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Home Depot / Old Navy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Old Keene Mill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Walgreens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Pike &amp; Rose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882,874 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765</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Porsche / Uniqlo / REI / H&amp;M / L.L Bean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Pike 7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Lidl</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DSW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Plaza del Mercado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Aldi</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L.A.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Providence Place (formerly Pan 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Safeway</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Micro Center / CVS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Quince Orchard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Aldi</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HomeGoods / L.A. Fitness / Staples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Tower Shopping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 Mart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Wine &amp; More / Talbots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Twinbrooke Shopping Centre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Safeway</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Walgreens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tbl>
      <w:tblPr>
        <w:tblW w:w="11437" w:type="dxa"/>
        <w:jc w:val="center"/>
        <w:tblInd w:w="0" w:type="dxa"/>
        <w:tblLayout w:type="fixed"/>
        <w:tblCellMar>
          <w:top w:w="28" w:type="dxa"/>
          <w:left w:w="28" w:type="dxa"/>
          <w:bottom w:w="28" w:type="dxa"/>
          <w:right w:w="28" w:type="dxa"/>
        </w:tblCellMar>
      </w:tblPr>
      <w:tblGrid>
        <w:gridCol w:w="369"/>
        <w:gridCol w:w="220"/>
        <w:gridCol w:w="207"/>
        <w:gridCol w:w="109"/>
        <w:gridCol w:w="109"/>
        <w:gridCol w:w="109"/>
        <w:gridCol w:w="709"/>
        <w:gridCol w:w="709"/>
        <w:gridCol w:w="713"/>
        <w:gridCol w:w="109"/>
        <w:gridCol w:w="409"/>
        <w:gridCol w:w="312"/>
        <w:gridCol w:w="161"/>
        <w:gridCol w:w="109"/>
        <w:gridCol w:w="180"/>
        <w:gridCol w:w="181"/>
        <w:gridCol w:w="109"/>
        <w:gridCol w:w="109"/>
        <w:gridCol w:w="109"/>
        <w:gridCol w:w="109"/>
        <w:gridCol w:w="359"/>
        <w:gridCol w:w="362"/>
        <w:gridCol w:w="131"/>
        <w:gridCol w:w="109"/>
        <w:gridCol w:w="109"/>
        <w:gridCol w:w="109"/>
        <w:gridCol w:w="186"/>
        <w:gridCol w:w="175"/>
        <w:gridCol w:w="341"/>
        <w:gridCol w:w="109"/>
        <w:gridCol w:w="109"/>
        <w:gridCol w:w="109"/>
        <w:gridCol w:w="109"/>
        <w:gridCol w:w="109"/>
        <w:gridCol w:w="109"/>
        <w:gridCol w:w="260"/>
        <w:gridCol w:w="260"/>
        <w:gridCol w:w="261"/>
        <w:gridCol w:w="321"/>
        <w:gridCol w:w="220"/>
        <w:gridCol w:w="221"/>
        <w:gridCol w:w="109"/>
        <w:gridCol w:w="109"/>
        <w:gridCol w:w="109"/>
        <w:gridCol w:w="365"/>
        <w:gridCol w:w="200"/>
        <w:gridCol w:w="201"/>
        <w:gridCol w:w="570"/>
        <w:gridCol w:w="195"/>
        <w:gridCol w:w="196"/>
        <w:gridCol w:w="154"/>
      </w:tblGrid>
      <w:tr>
        <w:trPr/>
        <w:tc>
          <w:tcPr>
            <w:tcW w:w="36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86"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970" w:type="dxa"/>
            <w:gridSpan w:val="13"/>
            <w:tcBorders/>
          </w:tcPr>
          <w:p>
            <w:pPr>
              <w:pStyle w:val="TableContents"/>
              <w:bidi w:val="0"/>
              <w:spacing w:before="0" w:after="283"/>
              <w:jc w:val="left"/>
              <w:rPr>
                <w:sz w:val="4"/>
                <w:szCs w:val="4"/>
              </w:rPr>
            </w:pPr>
            <w:r>
              <w:rPr>
                <w:sz w:val="4"/>
                <w:szCs w:val="4"/>
              </w:rPr>
            </w:r>
          </w:p>
        </w:tc>
      </w:tr>
      <w:tr>
        <w:trPr/>
        <w:tc>
          <w:tcPr>
            <w:tcW w:w="7686"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Status Report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970" w:type="dxa"/>
            <w:gridSpan w:val="13"/>
            <w:tcBorders/>
          </w:tcPr>
          <w:p>
            <w:pPr>
              <w:pStyle w:val="TableContents"/>
              <w:bidi w:val="0"/>
              <w:spacing w:before="0" w:after="283"/>
              <w:jc w:val="left"/>
              <w:rPr>
                <w:sz w:val="4"/>
                <w:szCs w:val="4"/>
              </w:rPr>
            </w:pPr>
            <w:r>
              <w:rPr>
                <w:sz w:val="4"/>
                <w:szCs w:val="4"/>
              </w:rPr>
            </w:r>
          </w:p>
        </w:tc>
      </w:tr>
      <w:tr>
        <w:trPr/>
        <w:tc>
          <w:tcPr>
            <w:tcW w:w="7686"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970" w:type="dxa"/>
            <w:gridSpan w:val="13"/>
            <w:tcBorders/>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Real Estate at Cost</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Acreage</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GLA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Leased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Units</w:t>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Grocery Anchor (2)</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Tyson's Station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Village at Shirlington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75,602 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Harris Teeter</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AMC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Virginia Gateway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208,403 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 / Target (S) / BJ's Wholesale Club (S)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HomeGoods / Total Wine &amp; More / Best Buy / Ulta / Lowes (S)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Westpost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118,838 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Harris Teeter / Target</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Ulta / Walgreens / DSW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Wildwood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28,959 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Balducci's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Washington Metropolitan Area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2,886,436 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7,102,000 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California</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Azalea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109,590 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226,000 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Walmart (S)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Ross Dress for Less / Ulta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Bell Gardens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119,238 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Food 4 Less / El Super</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Ross Dress for Less / Bob's Discount Furniture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Colorado Blvd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Banana Republic / True Food Kitchen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Crow Canyon Commons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92,935 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Sprouts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Wine &amp; More / Alamo Ace Hardware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East Bay Bridge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178,929 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199,000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Pak-N-Save / Target</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 Depot / Nordstrom Rack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Escondido Promenade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Diego-Carlsbad,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135,244 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 (S)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Dick’s Sporting Goods / Ross Dress for Less / Bob's Discount Furniture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Fourth Street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27,799 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CB2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Freedom Plaza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44,138 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Smart &amp; Final</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Nike / Blink Fitness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Grossmont Center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Diego-Carlsbad,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176,924 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294,000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 / Walmart</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Barnes &amp; Noble / Macy's / 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Hastings Ranch Plaza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25,793 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HomeGoods / 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Hollywood Blvd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62,085 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L.A. Fitness / 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Old Town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44,499 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Anthropologie / Sephora / Arhaus Furniture / Teleferic Barcelona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Olivo at Mission Hills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82,908 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24 Hour Fitness / Ross Dress for Less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Pinole Vista Crossing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58,505 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FoodMaxx</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Nordstrom Rack / HomeGoods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Plaza Del Sol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Superior Grocers (S)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Plaza El Segundo / The Point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311,918 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502,000 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Whole Foods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Nordstrom Rack / HomeGoods / Dick's Sporting Goods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Antonio Center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52,248 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141,000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 / Walmart</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24 Hour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Santana Row</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1,349,624 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662</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Crate &amp; Barrel / Container Store / Best Buy / Sephora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Sylmar Towne Center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48,159 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Food 4 Less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Westgate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159,593 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 / TBA</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Nordstrom Rack / Nike Factory / TJ Maxx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California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3,112,049 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6,391,000 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NY Metro/New Jersey</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Brick Plaza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108,060 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AMC / HomeGoods / Ulta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Brook 35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 (5)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53,139 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Banana Republic / Gap</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Darien Commons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Bridgeport-Stamford-Norwalk, CT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151,852 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124</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Equinox / Walgreens / Multiple Restaurants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tbl>
      <w:tblPr>
        <w:tblW w:w="11715" w:type="dxa"/>
        <w:jc w:val="center"/>
        <w:tblInd w:w="0" w:type="dxa"/>
        <w:tblLayout w:type="fixed"/>
        <w:tblCellMar>
          <w:top w:w="28" w:type="dxa"/>
          <w:left w:w="28" w:type="dxa"/>
          <w:bottom w:w="28" w:type="dxa"/>
          <w:right w:w="28" w:type="dxa"/>
        </w:tblCellMar>
      </w:tblPr>
      <w:tblGrid>
        <w:gridCol w:w="364"/>
        <w:gridCol w:w="300"/>
        <w:gridCol w:w="207"/>
        <w:gridCol w:w="110"/>
        <w:gridCol w:w="110"/>
        <w:gridCol w:w="111"/>
        <w:gridCol w:w="817"/>
        <w:gridCol w:w="817"/>
        <w:gridCol w:w="497"/>
        <w:gridCol w:w="109"/>
        <w:gridCol w:w="409"/>
        <w:gridCol w:w="312"/>
        <w:gridCol w:w="161"/>
        <w:gridCol w:w="109"/>
        <w:gridCol w:w="180"/>
        <w:gridCol w:w="181"/>
        <w:gridCol w:w="109"/>
        <w:gridCol w:w="109"/>
        <w:gridCol w:w="109"/>
        <w:gridCol w:w="109"/>
        <w:gridCol w:w="360"/>
        <w:gridCol w:w="361"/>
        <w:gridCol w:w="131"/>
        <w:gridCol w:w="109"/>
        <w:gridCol w:w="109"/>
        <w:gridCol w:w="109"/>
        <w:gridCol w:w="186"/>
        <w:gridCol w:w="175"/>
        <w:gridCol w:w="341"/>
        <w:gridCol w:w="109"/>
        <w:gridCol w:w="109"/>
        <w:gridCol w:w="109"/>
        <w:gridCol w:w="109"/>
        <w:gridCol w:w="109"/>
        <w:gridCol w:w="109"/>
        <w:gridCol w:w="260"/>
        <w:gridCol w:w="260"/>
        <w:gridCol w:w="261"/>
        <w:gridCol w:w="220"/>
        <w:gridCol w:w="220"/>
        <w:gridCol w:w="221"/>
        <w:gridCol w:w="109"/>
        <w:gridCol w:w="109"/>
        <w:gridCol w:w="109"/>
        <w:gridCol w:w="410"/>
        <w:gridCol w:w="200"/>
        <w:gridCol w:w="201"/>
        <w:gridCol w:w="825"/>
        <w:gridCol w:w="195"/>
        <w:gridCol w:w="196"/>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65"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169" w:type="dxa"/>
            <w:gridSpan w:val="13"/>
            <w:tcBorders/>
          </w:tcPr>
          <w:p>
            <w:pPr>
              <w:pStyle w:val="TableContents"/>
              <w:bidi w:val="0"/>
              <w:spacing w:before="0" w:after="283"/>
              <w:jc w:val="left"/>
              <w:rPr>
                <w:sz w:val="4"/>
                <w:szCs w:val="4"/>
              </w:rPr>
            </w:pPr>
            <w:r>
              <w:rPr>
                <w:sz w:val="4"/>
                <w:szCs w:val="4"/>
              </w:rPr>
            </w:r>
          </w:p>
        </w:tc>
      </w:tr>
      <w:tr>
        <w:trPr/>
        <w:tc>
          <w:tcPr>
            <w:tcW w:w="7765"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Status Report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169" w:type="dxa"/>
            <w:gridSpan w:val="13"/>
            <w:tcBorders/>
          </w:tcPr>
          <w:p>
            <w:pPr>
              <w:pStyle w:val="TableContents"/>
              <w:bidi w:val="0"/>
              <w:spacing w:before="0" w:after="283"/>
              <w:jc w:val="left"/>
              <w:rPr>
                <w:sz w:val="4"/>
                <w:szCs w:val="4"/>
              </w:rPr>
            </w:pPr>
            <w:r>
              <w:rPr>
                <w:sz w:val="4"/>
                <w:szCs w:val="4"/>
              </w:rPr>
            </w:r>
          </w:p>
        </w:tc>
      </w:tr>
      <w:tr>
        <w:trPr/>
        <w:tc>
          <w:tcPr>
            <w:tcW w:w="7765"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169" w:type="dxa"/>
            <w:gridSpan w:val="13"/>
            <w:tcBorders/>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Name</w:t>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Real Estate at Cost</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Acreage</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GLA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Leased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Units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Grocery Anchor (2)</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Fresh Meadows</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96,885 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Lidl / Island of Gold</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AMC / Kohl's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Georgetowne Shopping Center</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86,644 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Foodway</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Five Below / IHOP</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Greenlawn Plaza</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34,073 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Greenlawn Farms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Greenwich Avenue</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Bridgeport-Stamford-Norwalk, CT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23,748 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Saks Fifth Avenue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Hauppauge</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40,975 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Shop Rite</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Hoboken</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4"/>
              </w:rPr>
              <w:t xml:space="preserve">(3) (6) </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229,283 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129</w:t>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Nike Live / CVS / New York Sports Club / Sephora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Huntington</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111,316 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Whole Foods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Petsmart / Michaels / REI / Ulta / Container Store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Huntington Square</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52,198 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TBA / Stop &amp; Shop (S)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At Home / AMC</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Melville Mall</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105,172 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Uncle Giuseppe's Marketplace</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Dick's Sporting Goods / Macy's Backstage / Public Lands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Mercer on One</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Trenton, NJ</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121,639 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Shop Rite</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Nike / Ross Dress for Less / Nordstrom Rack / REI / Tesla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Grove at Shrewsbury</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 (5)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135,283 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Lululemon / Anthropologie / Pottery Barn / Williams-Sonoma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Troy Hills</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40,138 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NY Metro/New Jersey</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1,390,405 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3,267,000 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u w:val="single"/>
              </w:rPr>
            </w:pPr>
            <w:r>
              <w:rPr>
                <w:rFonts w:ascii="Times New Roman;sans-serif" w:hAnsi="Times New Roman;sans-serif"/>
                <w:b/>
                <w:color w:val="000000"/>
                <w:sz w:val="14"/>
                <w:u w:val="single"/>
              </w:rPr>
              <w:t>New England</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Assembly Row / Assembly Square Marketplace</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1,134,883 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947</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AMC / Nike / Bob's Discount Furniture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Campus Plaza</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31,990 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Roche Bros.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Burlington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Chelsea Commons</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40,534 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 Depot / Planet Fitness / CVS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Dedham Plaza</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52,438 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Star Market</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Linden Square</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158,801 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Roche Bros.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North Dartmouth</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Providence-Warwick, RI-MA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Stop &amp; Shop</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Queen Anne Plaza</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19,760 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Big Y Foods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HomeGoods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New England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1,447,775 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2,249,000 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Philadelphia Metropolitan Area</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Andorra</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34,757 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252,000 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TBA</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Kohl's / L.A. Fitness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 Cynwyd</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79,160 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87</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Acme Markets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Michaels / L.A.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Ellisburg</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39,584 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Whole Foods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Five Below / RH Outlet / Buy Buy Baby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Flourtown</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Movie Tavern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Langhorne Square</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24,676 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Redner's Warehouse Markets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Lawrence Park</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67,180 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Acme Markets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HomeGoods / Barnes &amp; Noble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Northeast</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35,928 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Lidl (S)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Ulta / Skechers / Crunch Fitness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tbl>
      <w:tblPr>
        <w:tblW w:w="12836" w:type="dxa"/>
        <w:jc w:val="center"/>
        <w:tblInd w:w="0" w:type="dxa"/>
        <w:tblLayout w:type="fixed"/>
        <w:tblCellMar>
          <w:top w:w="28" w:type="dxa"/>
          <w:left w:w="28" w:type="dxa"/>
          <w:bottom w:w="28" w:type="dxa"/>
          <w:right w:w="28" w:type="dxa"/>
        </w:tblCellMar>
      </w:tblPr>
      <w:tblGrid>
        <w:gridCol w:w="364"/>
        <w:gridCol w:w="270"/>
        <w:gridCol w:w="207"/>
        <w:gridCol w:w="109"/>
        <w:gridCol w:w="109"/>
        <w:gridCol w:w="109"/>
        <w:gridCol w:w="709"/>
        <w:gridCol w:w="709"/>
        <w:gridCol w:w="713"/>
        <w:gridCol w:w="616"/>
        <w:gridCol w:w="109"/>
        <w:gridCol w:w="409"/>
        <w:gridCol w:w="207"/>
        <w:gridCol w:w="161"/>
        <w:gridCol w:w="361"/>
        <w:gridCol w:w="109"/>
        <w:gridCol w:w="180"/>
        <w:gridCol w:w="181"/>
        <w:gridCol w:w="109"/>
        <w:gridCol w:w="360"/>
        <w:gridCol w:w="361"/>
        <w:gridCol w:w="109"/>
        <w:gridCol w:w="359"/>
        <w:gridCol w:w="362"/>
        <w:gridCol w:w="131"/>
        <w:gridCol w:w="143"/>
        <w:gridCol w:w="143"/>
        <w:gridCol w:w="211"/>
        <w:gridCol w:w="186"/>
        <w:gridCol w:w="175"/>
        <w:gridCol w:w="341"/>
        <w:gridCol w:w="109"/>
        <w:gridCol w:w="109"/>
        <w:gridCol w:w="109"/>
        <w:gridCol w:w="109"/>
        <w:gridCol w:w="109"/>
        <w:gridCol w:w="109"/>
        <w:gridCol w:w="260"/>
        <w:gridCol w:w="260"/>
        <w:gridCol w:w="261"/>
        <w:gridCol w:w="220"/>
        <w:gridCol w:w="220"/>
        <w:gridCol w:w="221"/>
        <w:gridCol w:w="109"/>
        <w:gridCol w:w="109"/>
        <w:gridCol w:w="109"/>
        <w:gridCol w:w="275"/>
        <w:gridCol w:w="200"/>
        <w:gridCol w:w="201"/>
        <w:gridCol w:w="570"/>
        <w:gridCol w:w="195"/>
        <w:gridCol w:w="196"/>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76" w:type="dxa"/>
            <w:gridSpan w:val="3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779" w:type="dxa"/>
            <w:gridSpan w:val="13"/>
            <w:tcBorders/>
          </w:tcPr>
          <w:p>
            <w:pPr>
              <w:pStyle w:val="TableContents"/>
              <w:bidi w:val="0"/>
              <w:spacing w:before="0" w:after="283"/>
              <w:jc w:val="left"/>
              <w:rPr>
                <w:sz w:val="4"/>
                <w:szCs w:val="4"/>
              </w:rPr>
            </w:pPr>
            <w:r>
              <w:rPr>
                <w:sz w:val="4"/>
                <w:szCs w:val="4"/>
              </w:rPr>
            </w:r>
          </w:p>
        </w:tc>
      </w:tr>
      <w:tr>
        <w:trPr/>
        <w:tc>
          <w:tcPr>
            <w:tcW w:w="9276" w:type="dxa"/>
            <w:gridSpan w:val="3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Status Report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779" w:type="dxa"/>
            <w:gridSpan w:val="13"/>
            <w:tcBorders/>
          </w:tcPr>
          <w:p>
            <w:pPr>
              <w:pStyle w:val="TableContents"/>
              <w:bidi w:val="0"/>
              <w:spacing w:before="0" w:after="283"/>
              <w:jc w:val="left"/>
              <w:rPr>
                <w:sz w:val="4"/>
                <w:szCs w:val="4"/>
              </w:rPr>
            </w:pPr>
            <w:r>
              <w:rPr>
                <w:sz w:val="4"/>
                <w:szCs w:val="4"/>
              </w:rPr>
            </w:r>
          </w:p>
        </w:tc>
      </w:tr>
      <w:tr>
        <w:trPr/>
        <w:tc>
          <w:tcPr>
            <w:tcW w:w="9276" w:type="dxa"/>
            <w:gridSpan w:val="3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779" w:type="dxa"/>
            <w:gridSpan w:val="13"/>
            <w:tcBorders/>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MSA Description</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Real Estate at Cost</w:t>
            </w:r>
          </w:p>
        </w:tc>
        <w:tc>
          <w:tcPr>
            <w:tcW w:w="470" w:type="dxa"/>
            <w:gridSpan w:val="2"/>
            <w:tcBorders/>
            <w:vAlign w:val="center"/>
          </w:tcPr>
          <w:p>
            <w:pPr>
              <w:pStyle w:val="TableContents"/>
              <w:bidi w:val="0"/>
              <w:spacing w:before="0" w:after="283"/>
              <w:jc w:val="left"/>
              <w:rPr>
                <w:sz w:val="4"/>
                <w:szCs w:val="4"/>
              </w:rPr>
            </w:pPr>
            <w:r>
              <w:rPr>
                <w:sz w:val="4"/>
                <w:szCs w:val="4"/>
              </w:rPr>
            </w:r>
          </w:p>
        </w:tc>
        <w:tc>
          <w:tcPr>
            <w:tcW w:w="13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Acreage</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GLA (1)</w:t>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Leased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Units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Grocery Anchor (2)</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(in thousands)</w:t>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Willow Grove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53,331 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TBA</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Wynnewood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45,067 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Old Navy / DSW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Philadelphia Metropolitan Area</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399,754 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1,963,000 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49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South 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CocoWalk</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Miami-Fort Lauderdale-West Palm Beach, FL</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205,506 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Cinepolis Theaters / Youfit Health Club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Del Mar Village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Miami-Fort Lauderdale-West Palm Beach, FL</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76,082 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Winn Dixie</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L.A.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Shops at Pembroke Gardens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Miami-Fort Lauderdale-West Palm Beach, FL</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185,394 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Nike Factory / Old Navy / DSW / Barnes &amp; Noble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Tower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Miami-Fort Lauderdale-West Palm Beach, FL</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106,242 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 / Costco (S)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Ross Dress For Less / Best Buy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South Florida</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573,224 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1,286,000 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Baltimore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Governor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35,771 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16,500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Aldi</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Dick's Sporting Goods / Ross Dress for Less / Petco / Bob's Discount Furniture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Perring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43,521</w:t>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 Depot / Dick's Sporting Goods / Micro Center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AVENUE at White Marsh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136,552 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AMC / Ulta / Old Navy / Nike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Shoppes at Nottingham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White Marsh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White Marsh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27,939 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Baltimore</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290,397 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1,124,000 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Chicago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Crossroads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Chicago-Naperville-Elgin, IL-IN-WI</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37,801 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 Fitness / Ulta / Binny's / Ferguson's Bath, Kitchen &amp; Lighting Gallery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Finley Square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Chicago-Naperville-Elgin, IL-IN-WI</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40,401 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Michaels / Five Below / Portillo's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Garden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Chicago-Naperville-Elgin, IL-IN-WI</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Mariano's Fresh Market</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Walgreens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Riverpoint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Chicago-Naperville-Elgin, IL-IN-WI</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122,680 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Jewel Osco</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Old Navy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Chicago</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217,745 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776,000 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Barracks Road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Charlottesville, VA</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76,020 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Harris Teeter / Kroger</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Anthropologie / Old Navy / Ulta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Bristol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Hartford-West Hartford-East Hartford, CT</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37,213 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Stop &amp; Shop</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Camelback Colonnade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Phoenix-Mesa-Chandler, AZ</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181,496 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Fry's Food &amp; Drug</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Nordstrom Last Chance / Best Buy / Floor &amp; Décor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Gratiot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Detroit-Warren-Dearborn, MI</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20,147 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Kroger</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Best Buy / DSW</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tbl>
      <w:tblPr>
        <w:tblW w:w="10782" w:type="dxa"/>
        <w:jc w:val="center"/>
        <w:tblInd w:w="0" w:type="dxa"/>
        <w:tblLayout w:type="fixed"/>
        <w:tblCellMar>
          <w:top w:w="28" w:type="dxa"/>
          <w:left w:w="28" w:type="dxa"/>
          <w:bottom w:w="28" w:type="dxa"/>
          <w:right w:w="28" w:type="dxa"/>
        </w:tblCellMar>
      </w:tblPr>
      <w:tblGrid>
        <w:gridCol w:w="249"/>
        <w:gridCol w:w="205"/>
        <w:gridCol w:w="207"/>
        <w:gridCol w:w="109"/>
        <w:gridCol w:w="109"/>
        <w:gridCol w:w="109"/>
        <w:gridCol w:w="509"/>
        <w:gridCol w:w="509"/>
        <w:gridCol w:w="513"/>
        <w:gridCol w:w="109"/>
        <w:gridCol w:w="181"/>
        <w:gridCol w:w="826"/>
        <w:gridCol w:w="109"/>
        <w:gridCol w:w="109"/>
        <w:gridCol w:w="247"/>
        <w:gridCol w:w="249"/>
        <w:gridCol w:w="109"/>
        <w:gridCol w:w="109"/>
        <w:gridCol w:w="109"/>
        <w:gridCol w:w="109"/>
        <w:gridCol w:w="412"/>
        <w:gridCol w:w="414"/>
        <w:gridCol w:w="131"/>
        <w:gridCol w:w="109"/>
        <w:gridCol w:w="109"/>
        <w:gridCol w:w="109"/>
        <w:gridCol w:w="197"/>
        <w:gridCol w:w="164"/>
        <w:gridCol w:w="363"/>
        <w:gridCol w:w="109"/>
        <w:gridCol w:w="109"/>
        <w:gridCol w:w="109"/>
        <w:gridCol w:w="109"/>
        <w:gridCol w:w="109"/>
        <w:gridCol w:w="109"/>
        <w:gridCol w:w="260"/>
        <w:gridCol w:w="260"/>
        <w:gridCol w:w="261"/>
        <w:gridCol w:w="220"/>
        <w:gridCol w:w="220"/>
        <w:gridCol w:w="221"/>
        <w:gridCol w:w="109"/>
        <w:gridCol w:w="109"/>
        <w:gridCol w:w="109"/>
        <w:gridCol w:w="200"/>
        <w:gridCol w:w="200"/>
        <w:gridCol w:w="201"/>
        <w:gridCol w:w="420"/>
        <w:gridCol w:w="195"/>
        <w:gridCol w:w="196"/>
        <w:gridCol w:w="154"/>
      </w:tblGrid>
      <w:tr>
        <w:trPr/>
        <w:tc>
          <w:tcPr>
            <w:tcW w:w="24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7"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554" w:type="dxa"/>
            <w:gridSpan w:val="13"/>
            <w:tcBorders/>
          </w:tcPr>
          <w:p>
            <w:pPr>
              <w:pStyle w:val="TableContents"/>
              <w:bidi w:val="0"/>
              <w:spacing w:before="0" w:after="283"/>
              <w:jc w:val="left"/>
              <w:rPr>
                <w:sz w:val="4"/>
                <w:szCs w:val="4"/>
              </w:rPr>
            </w:pPr>
            <w:r>
              <w:rPr>
                <w:sz w:val="4"/>
                <w:szCs w:val="4"/>
              </w:rPr>
            </w:r>
          </w:p>
        </w:tc>
      </w:tr>
      <w:tr>
        <w:trPr/>
        <w:tc>
          <w:tcPr>
            <w:tcW w:w="7447"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Status Report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554" w:type="dxa"/>
            <w:gridSpan w:val="13"/>
            <w:tcBorders/>
          </w:tcPr>
          <w:p>
            <w:pPr>
              <w:pStyle w:val="TableContents"/>
              <w:bidi w:val="0"/>
              <w:spacing w:before="0" w:after="283"/>
              <w:jc w:val="left"/>
              <w:rPr>
                <w:sz w:val="4"/>
                <w:szCs w:val="4"/>
              </w:rPr>
            </w:pPr>
            <w:r>
              <w:rPr>
                <w:sz w:val="4"/>
                <w:szCs w:val="4"/>
              </w:rPr>
            </w:r>
          </w:p>
        </w:tc>
      </w:tr>
      <w:tr>
        <w:trPr/>
        <w:tc>
          <w:tcPr>
            <w:tcW w:w="7447"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554" w:type="dxa"/>
            <w:gridSpan w:val="13"/>
            <w:tcBorders/>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Real Estate at Cost</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Acreage</w:t>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GLA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Leased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Units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Grocery Anchor (2)</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Hilton Village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(3)(4)</w:t>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Phoenix-Mesa-Chandler, AZ</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Houston's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Lancaster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Lancaster, PA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AutoZone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29th Place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Charlottesville, VA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HomeGoods / DSW / Staples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Willow Lawn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Richmond, VA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462,000 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Kroger</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Old Navy / Ross Dress for Less / Gold's Gym / Dick's Sporting Goods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Other</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562,214 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2,668,000 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Grand Total</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10,879,999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2,167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26,826,000</w:t>
            </w: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96</w:t>
            </w:r>
            <w:r>
              <w:rPr>
                <w:color w:val="000000"/>
              </w:rPr>
              <w:t> </w:t>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3,104</w:t>
            </w:r>
          </w:p>
        </w:tc>
        <w:tc>
          <w:tcPr>
            <w:tcW w:w="66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93"/>
        <w:gridCol w:w="169"/>
        <w:gridCol w:w="171"/>
        <w:gridCol w:w="2832"/>
        <w:gridCol w:w="2832"/>
        <w:gridCol w:w="4008"/>
      </w:tblGrid>
      <w:tr>
        <w:trPr/>
        <w:tc>
          <w:tcPr>
            <w:tcW w:w="1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c>
          <w:tcPr>
            <w:tcW w:w="4008" w:type="dxa"/>
            <w:tcBorders/>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Notes:</w:t>
            </w:r>
          </w:p>
        </w:tc>
        <w:tc>
          <w:tcPr>
            <w:tcW w:w="9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Represents the GLA and the percentage leased of the commercial portion of the property. Some of our properties include office space which is included in this square footage. Excludes newly created redevelopment square footage not yet in service, as well as residential and hotel square footage.</w:t>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TBA indicates that a lease is signed.</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The Trust has a controlling financial interest in this property.</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All or a portion of this property is owned pursuant to a ground lease.</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All or a portion of the property is owned in a "downREIT" partnership, of which a wholly owned subsidiary of the Trust is the sole general partner, with third party partners holding operating partnership units.</w:t>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This property includes 40 buildings primarily along Washington Street and 14th Street in Hoboken, New Jersey.</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This property includes CocoWalk and four buildings in Coconut Grove.</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Grocer is a shadow anchor located adjacent to the property, but is not part of the owned property.</w:t>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tbl>
      <w:tblPr>
        <w:tblW w:w="14299" w:type="dxa"/>
        <w:jc w:val="center"/>
        <w:tblInd w:w="0" w:type="dxa"/>
        <w:tblLayout w:type="fixed"/>
        <w:tblCellMar>
          <w:top w:w="28" w:type="dxa"/>
          <w:left w:w="28" w:type="dxa"/>
          <w:bottom w:w="28" w:type="dxa"/>
          <w:right w:w="28" w:type="dxa"/>
        </w:tblCellMar>
      </w:tblPr>
      <w:tblGrid>
        <w:gridCol w:w="233"/>
        <w:gridCol w:w="205"/>
        <w:gridCol w:w="208"/>
        <w:gridCol w:w="109"/>
        <w:gridCol w:w="109"/>
        <w:gridCol w:w="109"/>
        <w:gridCol w:w="241"/>
        <w:gridCol w:w="180"/>
        <w:gridCol w:w="181"/>
        <w:gridCol w:w="109"/>
        <w:gridCol w:w="109"/>
        <w:gridCol w:w="109"/>
        <w:gridCol w:w="243"/>
        <w:gridCol w:w="178"/>
        <w:gridCol w:w="395"/>
        <w:gridCol w:w="109"/>
        <w:gridCol w:w="109"/>
        <w:gridCol w:w="109"/>
        <w:gridCol w:w="435"/>
        <w:gridCol w:w="436"/>
        <w:gridCol w:w="146"/>
        <w:gridCol w:w="109"/>
        <w:gridCol w:w="109"/>
        <w:gridCol w:w="109"/>
        <w:gridCol w:w="196"/>
        <w:gridCol w:w="556"/>
        <w:gridCol w:w="109"/>
        <w:gridCol w:w="109"/>
        <w:gridCol w:w="109"/>
        <w:gridCol w:w="109"/>
        <w:gridCol w:w="196"/>
        <w:gridCol w:w="556"/>
        <w:gridCol w:w="241"/>
        <w:gridCol w:w="109"/>
        <w:gridCol w:w="109"/>
        <w:gridCol w:w="109"/>
        <w:gridCol w:w="196"/>
        <w:gridCol w:w="871"/>
        <w:gridCol w:w="109"/>
        <w:gridCol w:w="109"/>
        <w:gridCol w:w="109"/>
        <w:gridCol w:w="109"/>
        <w:gridCol w:w="167"/>
        <w:gridCol w:w="167"/>
        <w:gridCol w:w="372"/>
        <w:gridCol w:w="109"/>
        <w:gridCol w:w="109"/>
        <w:gridCol w:w="109"/>
        <w:gridCol w:w="196"/>
        <w:gridCol w:w="556"/>
        <w:gridCol w:w="241"/>
        <w:gridCol w:w="109"/>
        <w:gridCol w:w="109"/>
        <w:gridCol w:w="109"/>
        <w:gridCol w:w="200"/>
        <w:gridCol w:w="200"/>
        <w:gridCol w:w="201"/>
        <w:gridCol w:w="109"/>
        <w:gridCol w:w="109"/>
        <w:gridCol w:w="109"/>
        <w:gridCol w:w="196"/>
        <w:gridCol w:w="961"/>
        <w:gridCol w:w="109"/>
        <w:gridCol w:w="327"/>
        <w:gridCol w:w="198"/>
        <w:gridCol w:w="562"/>
        <w:gridCol w:w="111"/>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14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4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Retail Leasing Summary (1)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4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45" w:type="dxa"/>
            <w:gridSpan w:val="6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4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Total Lease Summary - Comparable (2)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Leases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of Comparable Leases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GLA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Contractual Rent (3) Per Sq. Ft. (PSF)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Prior Rent (4) PSF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2"/>
              </w:rPr>
              <w:t>Annual Increase in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Cash Basis % Increase Over Prior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Straight-lined Basis % Increase Over Prior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Lease Term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3rd Quarter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580,977 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2,570,061 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15,265,974 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2nd Quarter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594,361 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2,039,521 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15,045,191 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1st Quarter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566,865 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15,902,708 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4th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393,761 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1,811,782 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13,762,615 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2,135,964 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8,172,195 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59,976,488 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4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New Lease Summary - Comparable (2)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of Comparable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GLA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Contractual Rent (3)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Prior Rent (4)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Annual Increase in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Cash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Straight-lined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Lease Term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3rd Quarter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229,736 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1,493,915 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15,140,988 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2nd Quarter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313,365 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14,209,970 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1st Quarter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222,415 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1,438,272 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14,313,788 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4th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234,729 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12,989,353 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1,000,245 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5,352,473 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56,654,099 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4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Renewal Lease Summary - Comparable (2) (7)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of Comparable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GLA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Contractual Rent (3)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Prior Rent (4)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Annual Increase in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Cash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Straight-lined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Lease Term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3rd Quarter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351,241 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2nd Quarter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280,996 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1st Quarter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344,450 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1,588,920 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4th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159,032 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773,262 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1,135,719 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2,819,722 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3,322,389 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4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Total Lease Summary - Comparable and Non-comparable (2) (8)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of Comparable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GLA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Contractual Rent (3)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Lease Term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3rd Quarter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592,527 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15,952,885 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2nd Quarter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600,669 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15,045,191 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1st Quarter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587,329 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16,427,528 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4th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398,378 </w:t>
            </w:r>
          </w:p>
        </w:tc>
        <w:tc>
          <w:tcPr>
            <w:tcW w:w="37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14,057,750 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2,178,903 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61,483,354 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4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Total Lease Summary - Comparable, Non-comparable, and Option Exercises (2) (8) (9)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Leases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GLA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Contractual Rent (3) PSF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Lease Term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3rd Quarter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813,665 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15,952,885 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2nd Quarter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805,880 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15,045,191 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1st Quarter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831,076 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16,427,528 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4th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696,428 </w:t>
            </w:r>
          </w:p>
        </w:tc>
        <w:tc>
          <w:tcPr>
            <w:tcW w:w="37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14,057,750 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3,147,049 </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61,483,354 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89"/>
        <w:gridCol w:w="165"/>
        <w:gridCol w:w="167"/>
        <w:gridCol w:w="2906"/>
        <w:gridCol w:w="2805"/>
        <w:gridCol w:w="3973"/>
      </w:tblGrid>
      <w:tr>
        <w:trPr/>
        <w:tc>
          <w:tcPr>
            <w:tcW w:w="18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3973"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Notes:</w:t>
            </w:r>
          </w:p>
        </w:tc>
        <w:tc>
          <w:tcPr>
            <w:tcW w:w="9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Information reflects activity in retail spaces only for consolidated properties; office and residential spaces are not included. See Glossary of Terms for further discussion of information included above.</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Comparable leases represent those leases signed on spaces for which there was a former tenant. Contractual option exercises are not included unless they are fair market value options. </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Contractual rent represents annual rent under the new lease.</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Prior rent represents contractual rent, including percentage rent considered part of base rent, from the prior tenant in the final 12 months of the term.</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is determined on the basis of contractual rent for the lease.</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See Glossary of Terms.</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Renewal leases represent expiring leases rolling over with the same tenant in the same location. All other leases are categorized as new.</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Number of Leases Signed, GLA Signed, Contractual Rent Per Sq. Ft. and Weighted Average Lease Term columns include information for leases signed at Phase III of Assembly Row and Phase IV of Pike &amp; Rose. The Tenant Improvements &amp; Incentives and Tenant Improvements &amp; Incentives Per Sq. Ft. columns do not include the tenant improvements and incentives on leases signed for those projects; these amounts for leases signed are included in the projected costs for the respective projects.</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 exercises reflect a fixed rate contractual option under the lease agreement that was exercised during the period reflected.</w:t>
            </w:r>
          </w:p>
        </w:tc>
      </w:tr>
      <w:tr>
        <w:trPr/>
        <w:tc>
          <w:tcPr>
            <w:tcW w:w="521" w:type="dxa"/>
            <w:gridSpan w:val="3"/>
            <w:tcBorders/>
            <w:vAlign w:val="center"/>
          </w:tcPr>
          <w:p>
            <w:pPr>
              <w:pStyle w:val="TableContents"/>
              <w:bidi w:val="0"/>
              <w:spacing w:before="0" w:after="283"/>
              <w:jc w:val="left"/>
              <w:rPr>
                <w:sz w:val="4"/>
                <w:szCs w:val="4"/>
              </w:rPr>
            </w:pPr>
            <w:r>
              <w:rPr>
                <w:sz w:val="4"/>
                <w:szCs w:val="4"/>
              </w:rPr>
            </w:r>
          </w:p>
        </w:tc>
        <w:tc>
          <w:tcPr>
            <w:tcW w:w="9684" w:type="dxa"/>
            <w:gridSpan w:val="3"/>
            <w:tcBorders/>
            <w:vAlign w:val="center"/>
          </w:tcPr>
          <w:p>
            <w:pPr>
              <w:pStyle w:val="TableContents"/>
              <w:bidi w:val="0"/>
              <w:spacing w:before="0" w:after="283"/>
              <w:jc w:val="left"/>
              <w:rPr>
                <w:sz w:val="4"/>
                <w:szCs w:val="4"/>
              </w:rPr>
            </w:pPr>
            <w:r>
              <w:rPr>
                <w:sz w:val="4"/>
                <w:szCs w:val="4"/>
              </w:rPr>
            </w:r>
          </w:p>
        </w:tc>
      </w:tr>
      <w:tr>
        <w:trPr/>
        <w:tc>
          <w:tcPr>
            <w:tcW w:w="521" w:type="dxa"/>
            <w:gridSpan w:val="3"/>
            <w:tcBorders/>
            <w:vAlign w:val="center"/>
          </w:tcPr>
          <w:p>
            <w:pPr>
              <w:pStyle w:val="TableContents"/>
              <w:bidi w:val="0"/>
              <w:spacing w:before="0" w:after="283"/>
              <w:jc w:val="left"/>
              <w:rPr>
                <w:sz w:val="4"/>
                <w:szCs w:val="4"/>
              </w:rPr>
            </w:pPr>
            <w:r>
              <w:rPr>
                <w:sz w:val="4"/>
                <w:szCs w:val="4"/>
              </w:rPr>
            </w:r>
          </w:p>
        </w:tc>
        <w:tc>
          <w:tcPr>
            <w:tcW w:w="968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472"/>
        <w:gridCol w:w="247"/>
        <w:gridCol w:w="212"/>
        <w:gridCol w:w="479"/>
        <w:gridCol w:w="482"/>
        <w:gridCol w:w="267"/>
        <w:gridCol w:w="246"/>
        <w:gridCol w:w="178"/>
        <w:gridCol w:w="263"/>
        <w:gridCol w:w="365"/>
        <w:gridCol w:w="290"/>
        <w:gridCol w:w="291"/>
        <w:gridCol w:w="109"/>
        <w:gridCol w:w="109"/>
        <w:gridCol w:w="109"/>
        <w:gridCol w:w="435"/>
        <w:gridCol w:w="436"/>
        <w:gridCol w:w="267"/>
        <w:gridCol w:w="299"/>
        <w:gridCol w:w="127"/>
        <w:gridCol w:w="266"/>
        <w:gridCol w:w="365"/>
        <w:gridCol w:w="290"/>
        <w:gridCol w:w="291"/>
        <w:gridCol w:w="109"/>
        <w:gridCol w:w="109"/>
        <w:gridCol w:w="109"/>
        <w:gridCol w:w="559"/>
        <w:gridCol w:w="402"/>
        <w:gridCol w:w="268"/>
        <w:gridCol w:w="273"/>
        <w:gridCol w:w="150"/>
        <w:gridCol w:w="292"/>
        <w:gridCol w:w="384"/>
        <w:gridCol w:w="268"/>
        <w:gridCol w:w="387"/>
      </w:tblGrid>
      <w:tr>
        <w:trPr/>
        <w:tc>
          <w:tcPr>
            <w:tcW w:w="47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 Expirations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Assumes no exercise of lease options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Anchor Tenants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Small Shop Tenants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Expiring SF</w:t>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of Anchor SF</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Expiring SF</w:t>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of Small Shop SF</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Expiring SF (4)</w:t>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of Total SF</w:t>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$19.71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$31.79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468,000 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$25.43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$26.94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2026</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2,582,000 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$30.83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2027</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2,205,000 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$33.80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2028</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1,774,000 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2,832,000 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$31.75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2029</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2,350,000 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3,519,000 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$32.59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2030</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$30.90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$34.70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$33.63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2033</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$32.34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Thereafter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2,716,000 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3,375,000 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$30.93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 (3)</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16,823,000 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$23.79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8,401,000 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$47.45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25,224,000 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$31.67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Assumes all lease options are exercised</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Anchor Tenants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Small Shop Tenants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Expiring SF</w:t>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of Anchor SF</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Expiring SF</w:t>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of Small Shop SF</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Expiring SF (4)</w:t>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of Total SF</w:t>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$19.71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$31.79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468,000 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$25.43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$29.55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2026</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$31.58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2027</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$35.87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2028</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$34.83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2029</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$37.63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2030</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$38.31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$35.51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2033</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$41.57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Thereafter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12,221,000 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3,220,000 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15,441,000 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$29.37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 (3)</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16,823,000 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$23.79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8,401,000 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$47.45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25,224,000 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$31.67 </w:t>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08"/>
        <w:gridCol w:w="183"/>
        <w:gridCol w:w="184"/>
        <w:gridCol w:w="2815"/>
        <w:gridCol w:w="2815"/>
        <w:gridCol w:w="4000"/>
      </w:tblGrid>
      <w:tr>
        <w:trPr/>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4000" w:type="dxa"/>
            <w:tcBorders/>
            <w:vAlign w:val="center"/>
          </w:tcPr>
          <w:p>
            <w:pPr>
              <w:pStyle w:val="TableContents"/>
              <w:bidi w:val="0"/>
              <w:spacing w:before="0" w:after="283"/>
              <w:jc w:val="left"/>
              <w:rPr>
                <w:sz w:val="4"/>
                <w:szCs w:val="4"/>
              </w:rPr>
            </w:pPr>
            <w:r>
              <w:rPr>
                <w:sz w:val="4"/>
                <w:szCs w:val="4"/>
              </w:rPr>
            </w:r>
          </w:p>
        </w:tc>
      </w:tr>
      <w:tr>
        <w:trPr/>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tc>
        <w:tc>
          <w:tcPr>
            <w:tcW w:w="9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9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Anchor is defined as a commercial tenant leasing 10,000 square feet or more.</w:t>
            </w:r>
          </w:p>
        </w:tc>
      </w:tr>
      <w:tr>
        <w:trPr/>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9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Minimum Rent reflects in-place contractual (defined as rents on a cash-basis without taking the impacts of rent abatements into account) rent as of September 30, 2024.</w:t>
            </w:r>
          </w:p>
        </w:tc>
      </w:tr>
      <w:tr>
        <w:trPr/>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9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Represents occupied square footage of the commercial portion of our portfolio as of September 30, 2024.</w:t>
            </w:r>
          </w:p>
        </w:tc>
      </w:tr>
      <w:tr>
        <w:trPr/>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9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Individual items may not add up to total due to rounding.</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tbl>
      <w:tblPr>
        <w:tblW w:w="7928" w:type="dxa"/>
        <w:jc w:val="left"/>
        <w:tblInd w:w="0" w:type="dxa"/>
        <w:tblLayout w:type="fixed"/>
        <w:tblCellMar>
          <w:top w:w="28" w:type="dxa"/>
          <w:left w:w="28" w:type="dxa"/>
          <w:bottom w:w="28" w:type="dxa"/>
          <w:right w:w="28" w:type="dxa"/>
        </w:tblCellMar>
      </w:tblPr>
      <w:tblGrid>
        <w:gridCol w:w="1038"/>
        <w:gridCol w:w="910"/>
        <w:gridCol w:w="916"/>
        <w:gridCol w:w="369"/>
        <w:gridCol w:w="369"/>
        <w:gridCol w:w="867"/>
        <w:gridCol w:w="109"/>
        <w:gridCol w:w="109"/>
        <w:gridCol w:w="109"/>
        <w:gridCol w:w="264"/>
        <w:gridCol w:w="264"/>
        <w:gridCol w:w="627"/>
        <w:gridCol w:w="109"/>
        <w:gridCol w:w="109"/>
        <w:gridCol w:w="109"/>
        <w:gridCol w:w="345"/>
        <w:gridCol w:w="345"/>
        <w:gridCol w:w="960"/>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Portfolio Leased Statistics</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Properties</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Overall Portfolio (1)(2)</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Leasable Area (GLA)</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26,826,000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26,681,000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26,093,000</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95.9 </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94.0 </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Occupied %</w:t>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94.0 </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92.3 </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 - anchor tenants</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97.3 </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95.8 </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 - small shop tenants</w:t>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93.1 </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90.7 </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Active commercial tenant leases</w:t>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3,285</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Comparable Properties (1)</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GLA </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25,284,000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25,343,000</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95.8 </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94.2 </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Occupied %</w:t>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93.8 </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92.4 </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Residential Properties</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Overall Portfolio (1)(2)</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units</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3,104</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97.5 </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97.8 </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Comparable Properties (1)</w:t>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units</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2,980</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97.4 </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97.8 </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tbl>
      <w:tblPr>
        <w:tblW w:w="6780" w:type="dxa"/>
        <w:jc w:val="left"/>
        <w:tblInd w:w="0" w:type="dxa"/>
        <w:tblLayout w:type="fixed"/>
        <w:tblCellMar>
          <w:top w:w="28" w:type="dxa"/>
          <w:left w:w="28" w:type="dxa"/>
          <w:bottom w:w="28" w:type="dxa"/>
          <w:right w:w="28" w:type="dxa"/>
        </w:tblCellMar>
      </w:tblPr>
      <w:tblGrid>
        <w:gridCol w:w="212"/>
        <w:gridCol w:w="186"/>
        <w:gridCol w:w="187"/>
        <w:gridCol w:w="1813"/>
        <w:gridCol w:w="1813"/>
        <w:gridCol w:w="2569"/>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tc>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See Glossary of terms.</w:t>
            </w:r>
          </w:p>
        </w:tc>
      </w:tr>
      <w:tr>
        <w:trPr/>
        <w:tc>
          <w:tcPr>
            <w:tcW w:w="585" w:type="dxa"/>
            <w:gridSpan w:val="3"/>
            <w:tcBorders/>
            <w:vAlign w:val="center"/>
          </w:tcPr>
          <w:p>
            <w:pPr>
              <w:pStyle w:val="TableContents"/>
              <w:bidi w:val="0"/>
              <w:spacing w:before="0" w:after="283"/>
              <w:jc w:val="left"/>
              <w:rPr>
                <w:sz w:val="4"/>
                <w:szCs w:val="4"/>
              </w:rPr>
            </w:pPr>
            <w:r>
              <w:rPr>
                <w:sz w:val="4"/>
                <w:szCs w:val="4"/>
              </w:rPr>
            </w:r>
          </w:p>
        </w:tc>
        <w:tc>
          <w:tcPr>
            <w:tcW w:w="6195" w:type="dxa"/>
            <w:gridSpan w:val="3"/>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Excludes redevelopment square footage and residential units not yet placed in service.</w:t>
            </w:r>
          </w:p>
        </w:tc>
      </w:tr>
      <w:tr>
        <w:trPr/>
        <w:tc>
          <w:tcPr>
            <w:tcW w:w="585" w:type="dxa"/>
            <w:gridSpan w:val="3"/>
            <w:tcBorders/>
            <w:vAlign w:val="center"/>
          </w:tcPr>
          <w:p>
            <w:pPr>
              <w:pStyle w:val="TableContents"/>
              <w:bidi w:val="0"/>
              <w:spacing w:before="0" w:after="283"/>
              <w:jc w:val="left"/>
              <w:rPr>
                <w:sz w:val="4"/>
                <w:szCs w:val="4"/>
              </w:rPr>
            </w:pPr>
            <w:r>
              <w:rPr>
                <w:sz w:val="4"/>
                <w:szCs w:val="4"/>
              </w:rPr>
            </w:r>
          </w:p>
        </w:tc>
        <w:tc>
          <w:tcPr>
            <w:tcW w:w="619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5"/>
        <w:gridCol w:w="162"/>
        <w:gridCol w:w="164"/>
        <w:gridCol w:w="109"/>
        <w:gridCol w:w="109"/>
        <w:gridCol w:w="109"/>
        <w:gridCol w:w="784"/>
        <w:gridCol w:w="673"/>
        <w:gridCol w:w="568"/>
        <w:gridCol w:w="300"/>
        <w:gridCol w:w="300"/>
        <w:gridCol w:w="302"/>
        <w:gridCol w:w="204"/>
        <w:gridCol w:w="1095"/>
        <w:gridCol w:w="113"/>
        <w:gridCol w:w="424"/>
        <w:gridCol w:w="312"/>
        <w:gridCol w:w="737"/>
        <w:gridCol w:w="479"/>
        <w:gridCol w:w="482"/>
        <w:gridCol w:w="230"/>
        <w:gridCol w:w="374"/>
        <w:gridCol w:w="262"/>
        <w:gridCol w:w="620"/>
        <w:gridCol w:w="320"/>
        <w:gridCol w:w="320"/>
        <w:gridCol w:w="468"/>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Summary of Top 25 Tenants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Rank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Tenant Name</w:t>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Credit Ratings </w:t>
              <w:br/>
              <w:t>(S&amp;P/Moody's) (1)</w:t>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Annualized Base Rent</w:t>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Percentage of Total Annualized Base Rent (3)</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Tenant GLA</w:t>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Percentage of Total GLA (3)</w:t>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Number of Locations Leased</w:t>
            </w:r>
          </w:p>
        </w:tc>
      </w:tr>
      <w:tr>
        <w:trPr/>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TJX Companies, The</w:t>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 A2</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24,761,000 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Ahold Delhaize</w:t>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Baa1</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17,326,000 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NetApp, Inc.</w:t>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Baa2</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15,212,000 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Cisco Systems, Inc.</w:t>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AA- / A1</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14,964,000 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0.90 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Gap, Inc., The</w:t>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 / Ba3</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11,228,000 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CVS Corporation</w:t>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Baa2</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10,996,000 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0.92 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 Fitness International LLC</w:t>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 / B2</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9,374,000 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Albertsons Companies Inc. (Acme, Balducci's, Safeway)</w:t>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 / Ba1</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8,495,000 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0.93 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Ross Stores, Inc.</w:t>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A2</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7,856,000 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0.86 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Home Depot, Inc.</w:t>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 A2</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7,587,000 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0.83 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Entertainment Inc.</w:t>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CCC+ / Caa2</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0.80 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0.95 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Kroger Co., The</w:t>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Baa1</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7,172,000 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0.79 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PUMA North America, Inc.</w:t>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NR / NR</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7,135,000 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0.78 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0.52 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KnitWell Group (Ann Taylor, Chico's, Loft, Talbots, White House Black Market, Soma)</w:t>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NR / NR</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7,049,000 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0.77 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Dick's Sporting Goods, Inc.</w:t>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Baa2</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6,856,000 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0.75 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Ulta Beauty, Inc.</w:t>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NR / NR</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6,476,000 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0.71 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0.65 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Bank of America, N.A.</w:t>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 A1</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6,406,000 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0.70 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Target Corporation</w:t>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 A2</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6,375,000 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0.70 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Whole Foods Market, Inc.</w:t>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AA- / A1</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5,947,000 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0.65 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0.63 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Bob's Discount Furniture, LLC</w:t>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 / B2</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5,905,000 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0.65 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0.67 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Michaels Stores, Inc.</w:t>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 / B3</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5,807,000 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0.64 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Choice Hotels International, Inc.</w:t>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Baa3</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5,607,000 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0.62 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0.37 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JPMorgan Chase Bank</w:t>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 A1</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5,573,000 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0.61 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0.29 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Starbucks Corporation</w:t>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Baa1</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5,291,000 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0.26 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Hudson's Bay Company (Saks)</w:t>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NR / NR</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5,155,000 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0.57 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0.34 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Totals - Top 25 Tenants</w:t>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221,793,000 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24.37 </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8,616,000 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28.99 </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(5):</w:t>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909,950,000 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29,716,000 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Ratings are as of September 30, 2024. Subsequent rating changes have not been reflected.</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See Glossary of Terms.</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Individual items may not add up to total due to rounding.</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Excludes redevelopment square footage not yet placed in service.</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Totals reflect both the commercial and residential portions of our properties.</w:t>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7342" w:type="dxa"/>
            <w:gridSpan w:val="18"/>
            <w:tcBorders/>
          </w:tcPr>
          <w:p>
            <w:pPr>
              <w:pStyle w:val="TableContents"/>
              <w:bidi w:val="0"/>
              <w:spacing w:before="0" w:after="283"/>
              <w:jc w:val="left"/>
              <w:rPr>
                <w:sz w:val="4"/>
                <w:szCs w:val="4"/>
              </w:rPr>
            </w:pPr>
            <w:r>
              <w:rPr>
                <w:sz w:val="4"/>
                <w:szCs w:val="4"/>
              </w:rPr>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7342" w:type="dxa"/>
            <w:gridSpan w:val="18"/>
            <w:tcBorders/>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tbl>
      <w:tblPr>
        <w:tblW w:w="365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365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FFO Guidance</w:t>
            </w:r>
          </w:p>
        </w:tc>
      </w:tr>
      <w:tr>
        <w:trPr/>
        <w:tc>
          <w:tcPr>
            <w:tcW w:w="365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2024</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range of estimated earnings per diluted share to estimated FFO per diluted share for the full year 2024.</w:t>
      </w:r>
    </w:p>
    <w:p>
      <w:pPr>
        <w:pStyle w:val="TextBody"/>
        <w:bidi w:val="0"/>
        <w:spacing w:before="0" w:after="0"/>
        <w:jc w:val="left"/>
        <w:rPr/>
      </w:pPr>
      <w:r>
        <w:rPr/>
      </w:r>
    </w:p>
    <w:p>
      <w:pPr>
        <w:pStyle w:val="TextBody"/>
        <w:bidi w:val="0"/>
        <w:spacing w:before="0" w:after="0"/>
        <w:jc w:val="left"/>
        <w:rPr/>
      </w:pPr>
      <w:r>
        <w:rPr/>
      </w:r>
    </w:p>
    <w:tbl>
      <w:tblPr>
        <w:tblW w:w="8996" w:type="dxa"/>
        <w:jc w:val="left"/>
        <w:tblInd w:w="0" w:type="dxa"/>
        <w:tblLayout w:type="fixed"/>
        <w:tblCellMar>
          <w:top w:w="28" w:type="dxa"/>
          <w:left w:w="28" w:type="dxa"/>
          <w:bottom w:w="28" w:type="dxa"/>
          <w:right w:w="28" w:type="dxa"/>
        </w:tblCellMar>
      </w:tblPr>
      <w:tblGrid>
        <w:gridCol w:w="2224"/>
        <w:gridCol w:w="1950"/>
        <w:gridCol w:w="1960"/>
        <w:gridCol w:w="297"/>
        <w:gridCol w:w="720"/>
        <w:gridCol w:w="153"/>
        <w:gridCol w:w="153"/>
        <w:gridCol w:w="153"/>
        <w:gridCol w:w="153"/>
        <w:gridCol w:w="297"/>
        <w:gridCol w:w="720"/>
        <w:gridCol w:w="216"/>
      </w:tblGrid>
      <w:tr>
        <w:trPr/>
        <w:tc>
          <w:tcPr>
            <w:tcW w:w="2224"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Full Year 2024 Guidance Range</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Low</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High</w:t>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net income available to common shareholders, per diluted share</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gain on sale of real estate, net</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depreciation and amortization</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FFO per diluted share</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Glossary of Terms. Individual items may not add up to total due to rounding.</w:t>
      </w:r>
    </w:p>
    <w:p>
      <w:pPr>
        <w:pStyle w:val="TextBody"/>
        <w:bidi w:val="0"/>
        <w:spacing w:before="0" w:after="0"/>
        <w:jc w:val="left"/>
        <w:rPr/>
      </w:pPr>
      <w:r>
        <w:rPr/>
      </w:r>
    </w:p>
    <w:p>
      <w:pPr>
        <w:pStyle w:val="TextBody"/>
        <w:bidi w:val="0"/>
        <w:spacing w:before="0" w:after="0"/>
        <w:jc w:val="left"/>
        <w:rPr/>
      </w:pPr>
      <w:r>
        <w:rPr/>
      </w:r>
    </w:p>
    <w:tbl>
      <w:tblPr>
        <w:tblW w:w="8819" w:type="dxa"/>
        <w:jc w:val="left"/>
        <w:tblInd w:w="0" w:type="dxa"/>
        <w:tblLayout w:type="fixed"/>
        <w:tblCellMar>
          <w:top w:w="28" w:type="dxa"/>
          <w:left w:w="28" w:type="dxa"/>
          <w:bottom w:w="28" w:type="dxa"/>
          <w:right w:w="28" w:type="dxa"/>
        </w:tblCellMar>
      </w:tblPr>
      <w:tblGrid>
        <w:gridCol w:w="2550"/>
        <w:gridCol w:w="2237"/>
        <w:gridCol w:w="2248"/>
        <w:gridCol w:w="521"/>
        <w:gridCol w:w="521"/>
        <w:gridCol w:w="742"/>
      </w:tblGrid>
      <w:tr>
        <w:trPr/>
        <w:tc>
          <w:tcPr>
            <w:tcW w:w="2550"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Guidance Assumptions (1):</w:t>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properties growth</w:t>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 - 3.25%</w:t>
            </w:r>
          </w:p>
        </w:tc>
      </w:tr>
      <w:tr>
        <w:trPr/>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properties growth excluding prior period rents and lease termination fees</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- 4%</w:t>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period rents (2)</w:t>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million</w:t>
            </w:r>
          </w:p>
        </w:tc>
      </w:tr>
      <w:tr>
        <w:trPr/>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termination fees</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 $5 million</w:t>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redevelopment/expansion POI (3)</w:t>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 $12 million</w:t>
            </w:r>
          </w:p>
        </w:tc>
      </w:tr>
      <w:tr>
        <w:trPr/>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$48 - $51 million</w:t>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Development/redevelopment capital</w:t>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$125 - $150 million</w:t>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$19 - $21 million</w:t>
            </w:r>
          </w:p>
        </w:tc>
      </w:tr>
    </w:tbl>
    <w:p>
      <w:pPr>
        <w:pStyle w:val="TextBody"/>
        <w:bidi w:val="0"/>
        <w:spacing w:lineRule="auto" w:line="288" w:before="1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(1)Does not assume the impact of potential acquisitions or dispositions which have not closed as of October 31, 2024.</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(2)Reflects amounts which were contractually deferred or payments renegotiated specifically related to the COVID-19 pandemic.</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(3)Includes the expected additional POI to be recognized in 2024 compared to the amount recognized in 2023 from all of the redevelopments listed on page 15. Does not include any additional POI from "Active Property Improvement Projects."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140"/>
        <w:jc w:val="center"/>
        <w:rPr>
          <w:rFonts w:ascii="Times New Roman;sans-serif" w:hAnsi="Times New Roman;sans-serif"/>
          <w:b/>
          <w:color w:val="000000"/>
          <w:sz w:val="20"/>
        </w:rPr>
      </w:pPr>
      <w:r>
        <w:rPr>
          <w:rFonts w:ascii="Times New Roman;sans-serif" w:hAnsi="Times New Roman;sans-serif"/>
          <w:b/>
          <w:color w:val="000000"/>
          <w:sz w:val="20"/>
        </w:rPr>
        <w:t>Glossary of Terms</w:t>
      </w:r>
    </w:p>
    <w:p>
      <w:pPr>
        <w:pStyle w:val="TextBody"/>
        <w:bidi w:val="0"/>
        <w:spacing w:lineRule="auto" w:line="288" w:before="0" w:after="0"/>
        <w:jc w:val="left"/>
        <w:rPr/>
      </w:pPr>
      <w:r>
        <w:rPr>
          <w:rFonts w:ascii="Times New Roman;sans-serif" w:hAnsi="Times New Roman;sans-serif"/>
          <w:b/>
          <w:color w:val="000000"/>
          <w:sz w:val="18"/>
        </w:rPr>
        <w:t>EBITDA for Real Estate ("EBITDAre"):</w:t>
      </w:r>
      <w:r>
        <w:rPr>
          <w:color w:val="000000"/>
        </w:rPr>
        <w:t xml:space="preserve"> </w:t>
      </w:r>
      <w:r>
        <w:rPr>
          <w:rFonts w:ascii="Times New Roman;sans-serif" w:hAnsi="Times New Roman;sans-serif"/>
          <w:b w:val="false"/>
          <w:color w:val="000000"/>
          <w:sz w:val="18"/>
        </w:rPr>
        <w:t>EBITDAre is a non-GAAP measure that the National Association of Real Estate Investment Trusts ("NAREIT") defines as: net income computed in accordance with GAAP plus net interest expense, income tax expense, depreciation and amortization, gain or loss on sale of real estate, impairments of real estate and change in control of interest,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and nine months ended September 30, 2024 and 2023 is as follows:</w:t>
      </w:r>
    </w:p>
    <w:tbl>
      <w:tblPr>
        <w:tblW w:w="9412" w:type="dxa"/>
        <w:jc w:val="center"/>
        <w:tblInd w:w="0" w:type="dxa"/>
        <w:tblLayout w:type="fixed"/>
        <w:tblCellMar>
          <w:top w:w="28" w:type="dxa"/>
          <w:left w:w="28" w:type="dxa"/>
          <w:bottom w:w="28" w:type="dxa"/>
          <w:right w:w="28" w:type="dxa"/>
        </w:tblCellMar>
      </w:tblPr>
      <w:tblGrid>
        <w:gridCol w:w="1448"/>
        <w:gridCol w:w="1276"/>
        <w:gridCol w:w="1280"/>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54"/>
      </w:tblGrid>
      <w:tr>
        <w:trPr/>
        <w:tc>
          <w:tcPr>
            <w:tcW w:w="144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provision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of EBITDAre of unconsolidated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EBITDAre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195,634 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185,520 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574,114 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547,813 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100" w:after="283"/>
        <w:jc w:val="left"/>
        <w:rPr/>
      </w:pPr>
      <w:r>
        <w:rPr>
          <w:rFonts w:ascii="Times New Roman;sans-serif" w:hAnsi="Times New Roman;sans-serif"/>
          <w:b/>
          <w:color w:val="000000"/>
          <w:sz w:val="18"/>
        </w:rPr>
        <w:t>Funds From Operations (FFO):</w:t>
      </w:r>
      <w:r>
        <w:rPr>
          <w:color w:val="000000"/>
        </w:rPr>
        <w:t xml:space="preserve"> </w:t>
      </w:r>
      <w:r>
        <w:rPr>
          <w:rFonts w:ascii="Times New Roman;sans-serif" w:hAnsi="Times New Roman;sans-serif"/>
          <w:b w:val="false"/>
          <w:color w:val="000000"/>
          <w:sz w:val="18"/>
        </w:rPr>
        <w:t xml:space="preserve">FFO is a supplemental measure of real estate companies' operating performances. NAREIT defines FFO as follows: net income, computed in accordance with GAAP plus real estate related depreciation and amortization,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 </w:t>
      </w:r>
    </w:p>
    <w:p>
      <w:pPr>
        <w:pStyle w:val="TextBody"/>
        <w:bidi w:val="0"/>
        <w:spacing w:lineRule="auto" w:line="288" w:before="140" w:after="283"/>
        <w:jc w:val="left"/>
        <w:rPr/>
      </w:pPr>
      <w:r>
        <w:rPr>
          <w:rFonts w:ascii="Times New Roman;sans-serif" w:hAnsi="Times New Roman;sans-serif"/>
          <w:b/>
          <w:color w:val="000000"/>
          <w:sz w:val="18"/>
        </w:rPr>
        <w:t xml:space="preserve">Property Operating Income: </w:t>
      </w:r>
      <w:r>
        <w:rPr>
          <w:rFonts w:ascii="Times New Roman;sans-serif" w:hAnsi="Times New Roman;sans-serif"/>
          <w:b w:val="false"/>
          <w:color w:val="000000"/>
          <w:sz w:val="18"/>
        </w:rPr>
        <w:t>Rental income and mortgage interest income, less rental expenses and real estate taxes.</w:t>
      </w:r>
    </w:p>
    <w:p>
      <w:pPr>
        <w:pStyle w:val="TextBody"/>
        <w:bidi w:val="0"/>
        <w:spacing w:lineRule="auto" w:line="288" w:before="140" w:after="283"/>
        <w:jc w:val="left"/>
        <w:rPr/>
      </w:pPr>
      <w:r>
        <w:rPr>
          <w:rFonts w:ascii="Times New Roman;sans-serif" w:hAnsi="Times New Roman;sans-serif"/>
          <w:b/>
          <w:color w:val="000000"/>
          <w:sz w:val="18"/>
        </w:rPr>
        <w:t>Overall Portfolio:</w:t>
      </w:r>
      <w:r>
        <w:rPr>
          <w:color w:val="000000"/>
        </w:rPr>
        <w:t xml:space="preserve"> </w:t>
      </w:r>
      <w:r>
        <w:rPr>
          <w:rFonts w:ascii="Times New Roman;sans-serif" w:hAnsi="Times New Roman;sans-serif"/>
          <w:b w:val="false"/>
          <w:color w:val="000000"/>
          <w:sz w:val="18"/>
        </w:rPr>
        <w:t>Includes all operating properties owned in reporting period.</w:t>
      </w:r>
    </w:p>
    <w:p>
      <w:pPr>
        <w:pStyle w:val="TextBody"/>
        <w:bidi w:val="0"/>
        <w:spacing w:lineRule="auto" w:line="288" w:before="140" w:after="283"/>
        <w:jc w:val="left"/>
        <w:rPr/>
      </w:pPr>
      <w:r>
        <w:rPr>
          <w:rFonts w:ascii="Times New Roman;sans-serif" w:hAnsi="Times New Roman;sans-serif"/>
          <w:b/>
          <w:color w:val="000000"/>
          <w:sz w:val="18"/>
        </w:rPr>
        <w:t xml:space="preserve">Comparable Properties: </w:t>
      </w:r>
      <w:r>
        <w:rPr>
          <w:rFonts w:ascii="Times New Roman;sans-serif" w:hAnsi="Times New Roman;sans-serif"/>
          <w:b w:val="false"/>
          <w:color w:val="000000"/>
          <w:sz w:val="18"/>
        </w:rPr>
        <w:t xml:space="preserve">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Comparable property growth statistics are calculated on a GAAP basis. </w:t>
      </w:r>
    </w:p>
    <w:p>
      <w:pPr>
        <w:pStyle w:val="TextBody"/>
        <w:bidi w:val="0"/>
        <w:spacing w:lineRule="auto" w:line="288" w:before="140" w:after="283"/>
        <w:jc w:val="left"/>
        <w:rPr/>
      </w:pPr>
      <w:r>
        <w:rPr>
          <w:rFonts w:ascii="Times New Roman;sans-serif" w:hAnsi="Times New Roman;sans-serif"/>
          <w:b/>
          <w:color w:val="000000"/>
          <w:sz w:val="18"/>
        </w:rPr>
        <w:t xml:space="preserve">Annualized Base Rent (ABR): </w:t>
      </w:r>
      <w:r>
        <w:rPr>
          <w:rFonts w:ascii="Times New Roman;sans-serif" w:hAnsi="Times New Roman;sans-serif"/>
          <w:b w:val="false"/>
          <w:color w:val="000000"/>
          <w:sz w:val="18"/>
        </w:rPr>
        <w:t xml:space="preserve">Represents aggregate, annualized in-place contractual (defined as rents billed on a cash basis without taking the impact of rent abatements into account) minimum rent for all occupied spaces as of the reporting period. </w:t>
      </w:r>
    </w:p>
    <w:p>
      <w:pPr>
        <w:pStyle w:val="TextBody"/>
        <w:bidi w:val="0"/>
        <w:spacing w:lineRule="auto" w:line="288" w:before="140" w:after="283"/>
        <w:jc w:val="left"/>
        <w:rPr/>
      </w:pPr>
      <w:r>
        <w:rPr>
          <w:rFonts w:ascii="Times New Roman;sans-serif" w:hAnsi="Times New Roman;sans-serif"/>
          <w:b/>
          <w:color w:val="000000"/>
          <w:sz w:val="18"/>
        </w:rPr>
        <w:t xml:space="preserve">Retail Leasing Summary - Lease Rollover Calculation: </w:t>
      </w:r>
      <w:r>
        <w:rPr>
          <w:rFonts w:ascii="Times New Roman;sans-serif" w:hAnsi="Times New Roman;sans-serif"/>
          <w:b w:val="false"/>
          <w:color w:val="000000"/>
          <w:sz w:val="18"/>
        </w:rPr>
        <w:t>The rental increases associated with comparable spaces generally include all leases signed for retail space in arms-length transactions reflecting market leverage between landlords and tenants during the period, excluding leases at properties sold during the quarter or under contract to be sold. The comparison between the rent for expiring leases and new leases is determined by including contractual rent on the expiring lease, including percentage rent considered to be part of base rent, and the comparable annual rent and in some instances, projections of percentage rent, to be paid on the new lease. In atypical circumstances, management may exercise judgement as to how to most effectively reflect the comparability of rents reported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w:t>
      </w:r>
    </w:p>
    <w:p>
      <w:pPr>
        <w:pStyle w:val="TextBody"/>
        <w:bidi w:val="0"/>
        <w:spacing w:lineRule="auto" w:line="288" w:before="140" w:after="283"/>
        <w:jc w:val="left"/>
        <w:rPr/>
      </w:pPr>
      <w:r>
        <w:rPr>
          <w:rFonts w:ascii="Times New Roman;sans-serif" w:hAnsi="Times New Roman;sans-serif"/>
          <w:b/>
          <w:color w:val="000000"/>
          <w:sz w:val="18"/>
        </w:rPr>
        <w:t xml:space="preserve">Tenant Improvements and Incentives: </w:t>
      </w:r>
      <w:r>
        <w:rPr>
          <w:rFonts w:ascii="Times New Roman;sans-serif" w:hAnsi="Times New Roman;sans-serif"/>
          <w:b w:val="false"/>
          <w:color w:val="000000"/>
          <w:sz w:val="18"/>
        </w:rPr>
        <w:t>Represents the total dollars committed for the improvement (fit-out) of a space as it relates to a specific lease. Incentives include amounts paid to tenants as an inducement to sign a lease that do not represent building improvements.</w:t>
      </w:r>
    </w:p>
    <w:p>
      <w:pPr>
        <w:pStyle w:val="TextBody"/>
        <w:bidi w:val="0"/>
        <w:spacing w:lineRule="auto" w:line="288" w:before="140" w:after="283"/>
        <w:jc w:val="left"/>
        <w:rPr/>
      </w:pPr>
      <w:r>
        <w:rPr>
          <w:rFonts w:ascii="Times New Roman;sans-serif" w:hAnsi="Times New Roman;sans-serif"/>
          <w:b/>
          <w:color w:val="000000"/>
          <w:sz w:val="18"/>
        </w:rPr>
        <w:t>General:</w:t>
      </w:r>
      <w:r>
        <w:rPr>
          <w:color w:val="000000"/>
        </w:rPr>
        <w:t xml:space="preserve"> </w:t>
      </w:r>
      <w:r>
        <w:rPr>
          <w:rFonts w:ascii="Times New Roman;sans-serif" w:hAnsi="Times New Roman;sans-serif"/>
          <w:b w:val="false"/>
          <w:color w:val="000000"/>
          <w:sz w:val="18"/>
        </w:rPr>
        <w:t xml:space="preserve">Property related statistics are the for the consolidated property portfolio except where noted. </w:t>
      </w:r>
    </w:p>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13101</Words>
  <Characters>70831</Characters>
  <CharactersWithSpaces>81553</CharactersWithSpaces>
  <Paragraphs>4118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