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SECURITIES AND EXCHANGE COMMISSION</w:t>
      </w: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659"/>
        <w:spacing w:after="0"/>
        <w:rPr>
          <w:sz w:val="20"/>
          <w:szCs w:val="20"/>
          <w:color w:val="auto"/>
        </w:rPr>
      </w:pPr>
      <w:r>
        <w:rPr>
          <w:rFonts w:ascii="Arial" w:cs="Arial" w:eastAsia="Arial" w:hAnsi="Arial"/>
          <w:sz w:val="24"/>
          <w:szCs w:val="24"/>
          <w:b w:val="1"/>
          <w:bCs w:val="1"/>
          <w:color w:val="auto"/>
        </w:rPr>
        <w:t>CURRENT REPORT</w:t>
      </w:r>
    </w:p>
    <w:p>
      <w:pPr>
        <w:spacing w:after="0" w:line="170" w:lineRule="exact"/>
        <w:rPr>
          <w:sz w:val="24"/>
          <w:szCs w:val="24"/>
          <w:color w:val="auto"/>
        </w:rPr>
      </w:pPr>
    </w:p>
    <w:p>
      <w:pPr>
        <w:jc w:val="center"/>
        <w:ind w:right="-659"/>
        <w:spacing w:after="0"/>
        <w:rPr>
          <w:sz w:val="20"/>
          <w:szCs w:val="20"/>
          <w:color w:val="auto"/>
        </w:rPr>
      </w:pPr>
      <w:r>
        <w:rPr>
          <w:rFonts w:ascii="Arial" w:cs="Arial" w:eastAsia="Arial" w:hAnsi="Arial"/>
          <w:sz w:val="21"/>
          <w:szCs w:val="21"/>
          <w:b w:val="1"/>
          <w:bCs w:val="1"/>
          <w:color w:val="auto"/>
        </w:rPr>
        <w:t>Pursuant to Section 13 or 15(d) of the Securities Exchange Act of 1934</w:t>
      </w:r>
    </w:p>
    <w:p>
      <w:pPr>
        <w:spacing w:after="0" w:line="205" w:lineRule="exact"/>
        <w:rPr>
          <w:sz w:val="24"/>
          <w:szCs w:val="24"/>
          <w:color w:val="auto"/>
        </w:rPr>
      </w:pPr>
    </w:p>
    <w:p>
      <w:pPr>
        <w:ind w:left="2800"/>
        <w:spacing w:after="0"/>
        <w:rPr>
          <w:sz w:val="20"/>
          <w:szCs w:val="20"/>
          <w:color w:val="auto"/>
        </w:rPr>
      </w:pPr>
      <w:r>
        <w:rPr>
          <w:rFonts w:ascii="Arial" w:cs="Arial" w:eastAsia="Arial" w:hAnsi="Arial"/>
          <w:sz w:val="22"/>
          <w:szCs w:val="22"/>
          <w:b w:val="1"/>
          <w:bCs w:val="1"/>
          <w:color w:val="auto"/>
        </w:rPr>
        <w:t>Date of Report (Date of earliest event reported) March 31,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659"/>
        <w:spacing w:after="0"/>
        <w:rPr>
          <w:sz w:val="20"/>
          <w:szCs w:val="20"/>
          <w:color w:val="auto"/>
        </w:rPr>
      </w:pPr>
      <w:r>
        <w:rPr>
          <w:rFonts w:ascii="Arial" w:cs="Arial" w:eastAsia="Arial" w:hAnsi="Arial"/>
          <w:sz w:val="43"/>
          <w:szCs w:val="43"/>
          <w:b w:val="1"/>
          <w:bCs w:val="1"/>
          <w:color w:val="auto"/>
        </w:rPr>
        <w:t>Federal Realty Investment Trust</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760"/>
          </w:cols>
          <w:pgMar w:left="240" w:top="301" w:right="899" w:bottom="1440" w:gutter="0" w:footer="0" w:header="0"/>
        </w:sectPr>
      </w:pPr>
    </w:p>
    <w:p>
      <w:pPr>
        <w:spacing w:after="0" w:line="200" w:lineRule="exact"/>
        <w:rPr>
          <w:sz w:val="24"/>
          <w:szCs w:val="24"/>
          <w:color w:val="auto"/>
        </w:rPr>
      </w:pPr>
    </w:p>
    <w:p>
      <w:pPr>
        <w:spacing w:after="0" w:line="329"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jc w:val="center"/>
        <w:ind w:right="2320"/>
        <w:spacing w:after="0"/>
        <w:rPr>
          <w:sz w:val="20"/>
          <w:szCs w:val="20"/>
          <w:color w:val="auto"/>
        </w:rPr>
      </w:pPr>
      <w:r>
        <w:rPr>
          <w:rFonts w:ascii="Arial" w:cs="Arial" w:eastAsia="Arial" w:hAnsi="Arial"/>
          <w:sz w:val="16"/>
          <w:szCs w:val="16"/>
          <w:b w:val="1"/>
          <w:bCs w:val="1"/>
          <w:color w:val="auto"/>
        </w:rPr>
        <w:t>1-07533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52-0782497</w:t>
      </w:r>
    </w:p>
    <w:p>
      <w:pPr>
        <w:spacing w:after="0" w:line="46" w:lineRule="exact"/>
        <w:rPr>
          <w:sz w:val="24"/>
          <w:szCs w:val="24"/>
          <w:color w:val="auto"/>
        </w:rPr>
      </w:pPr>
    </w:p>
    <w:p>
      <w:pPr>
        <w:sectPr>
          <w:pgSz w:w="11900" w:h="16838" w:orient="portrait"/>
          <w:cols w:equalWidth="0" w:num="3">
            <w:col w:w="4820" w:space="720"/>
            <w:col w:w="2920" w:space="720"/>
            <w:col w:w="1580"/>
          </w:cols>
          <w:pgMar w:left="240" w:top="301" w:right="899" w:bottom="1440" w:gutter="0" w:footer="0" w:header="0"/>
          <w:type w:val="continuous"/>
        </w:sectPr>
      </w:pPr>
    </w:p>
    <w:p>
      <w:pPr>
        <w:spacing w:after="0" w:line="9" w:lineRule="exact"/>
        <w:rPr>
          <w:sz w:val="24"/>
          <w:szCs w:val="24"/>
          <w:color w:val="auto"/>
        </w:rPr>
      </w:pPr>
    </w:p>
    <w:p>
      <w:pPr>
        <w:jc w:val="center"/>
        <w:ind w:right="8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8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640"/>
        <w:spacing w:after="0"/>
        <w:rPr>
          <w:sz w:val="20"/>
          <w:szCs w:val="20"/>
          <w:color w:val="auto"/>
        </w:rPr>
      </w:pPr>
      <w:r>
        <w:rPr>
          <w:rFonts w:ascii="Arial" w:cs="Arial" w:eastAsia="Arial" w:hAnsi="Arial"/>
          <w:sz w:val="14"/>
          <w:szCs w:val="14"/>
          <w:b w:val="1"/>
          <w:bCs w:val="1"/>
          <w:color w:val="auto"/>
        </w:rPr>
        <w:t>(IRS Employer</w:t>
      </w:r>
    </w:p>
    <w:p>
      <w:pPr>
        <w:jc w:val="center"/>
        <w:ind w:right="640"/>
        <w:spacing w:after="0"/>
        <w:rPr>
          <w:sz w:val="20"/>
          <w:szCs w:val="20"/>
          <w:color w:val="auto"/>
        </w:rPr>
      </w:pPr>
      <w:r>
        <w:rPr>
          <w:rFonts w:ascii="Arial" w:cs="Arial" w:eastAsia="Arial" w:hAnsi="Arial"/>
          <w:sz w:val="12"/>
          <w:szCs w:val="12"/>
          <w:b w:val="1"/>
          <w:bCs w:val="1"/>
          <w:color w:val="auto"/>
        </w:rPr>
        <w:t>Identification No.)</w:t>
      </w:r>
    </w:p>
    <w:p>
      <w:pPr>
        <w:spacing w:after="0" w:line="211" w:lineRule="exact"/>
        <w:rPr>
          <w:sz w:val="24"/>
          <w:szCs w:val="24"/>
          <w:color w:val="auto"/>
        </w:rPr>
      </w:pPr>
    </w:p>
    <w:p>
      <w:pPr>
        <w:sectPr>
          <w:pgSz w:w="11900" w:h="16838" w:orient="portrait"/>
          <w:cols w:equalWidth="0" w:num="3">
            <w:col w:w="4740" w:space="720"/>
            <w:col w:w="2880" w:space="720"/>
            <w:col w:w="1700"/>
          </w:cols>
          <w:pgMar w:left="240" w:top="301" w:right="899" w:bottom="1440" w:gutter="0" w:footer="0" w:header="0"/>
          <w:type w:val="continuous"/>
        </w:sectPr>
      </w:pPr>
    </w:p>
    <w:p>
      <w:pPr>
        <w:ind w:left="1080"/>
        <w:spacing w:after="0"/>
        <w:rPr>
          <w:sz w:val="20"/>
          <w:szCs w:val="20"/>
          <w:color w:val="auto"/>
        </w:rPr>
      </w:pPr>
      <w:r>
        <w:rPr>
          <w:rFonts w:ascii="Arial" w:cs="Arial" w:eastAsia="Arial" w:hAnsi="Arial"/>
          <w:sz w:val="15"/>
          <w:szCs w:val="15"/>
          <w:b w:val="1"/>
          <w:bCs w:val="1"/>
          <w:color w:val="auto"/>
        </w:rPr>
        <w:t>1626 East Jefferson Street, Rockville, Maryland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20852-4041</w:t>
      </w:r>
    </w:p>
    <w:p>
      <w:pPr>
        <w:spacing w:after="0" w:line="56" w:lineRule="exact"/>
        <w:rPr>
          <w:sz w:val="24"/>
          <w:szCs w:val="24"/>
          <w:color w:val="auto"/>
        </w:rPr>
      </w:pPr>
    </w:p>
    <w:p>
      <w:pPr>
        <w:sectPr>
          <w:pgSz w:w="11900" w:h="16838" w:orient="portrait"/>
          <w:cols w:equalWidth="0" w:num="2">
            <w:col w:w="7540" w:space="720"/>
            <w:col w:w="2500"/>
          </w:cols>
          <w:pgMar w:left="240" w:top="301" w:right="899" w:bottom="1440" w:gutter="0" w:footer="0" w:header="0"/>
          <w:type w:val="continuous"/>
        </w:sectPr>
      </w:pPr>
    </w:p>
    <w:p>
      <w:pPr>
        <w:ind w:left="174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7660" w:space="720"/>
            <w:col w:w="2380"/>
          </w:cols>
          <w:pgMar w:left="240" w:top="301" w:right="899" w:bottom="1440" w:gutter="0" w:footer="0" w:header="0"/>
          <w:type w:val="continuous"/>
        </w:sectPr>
      </w:pPr>
    </w:p>
    <w:p>
      <w:pPr>
        <w:ind w:left="3260"/>
        <w:spacing w:after="0"/>
        <w:rPr>
          <w:sz w:val="20"/>
          <w:szCs w:val="20"/>
          <w:color w:val="auto"/>
        </w:rPr>
      </w:pPr>
      <w:r>
        <w:rPr>
          <w:rFonts w:ascii="Arial" w:cs="Arial" w:eastAsia="Arial" w:hAnsi="Arial"/>
          <w:sz w:val="18"/>
          <w:szCs w:val="18"/>
          <w:b w:val="1"/>
          <w:bCs w:val="1"/>
          <w:color w:val="auto"/>
        </w:rPr>
        <w:t>Registrant’s telephone number including area code: 301/998-8100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240" w:top="301" w:right="89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9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following information is being furnished under Item 12-Results of Operations and Financial Condition. This information, including the exhibits attached hereto, shall not be deemed “filed” for any purpose, including for the purposes of Section 18 of the Securities Exchange Act of 1934, as amended (the “Exchange Act”), or otherwise subject to the liabilities of that Section. The information in this Current Report on Form 8-K shall not be deemed incorporated by reference into any filing under the Securities Act of 1933, as amended, or under the Exchange Act, regardless of any general incorporation language in such filing.</w:t>
      </w:r>
    </w:p>
    <w:p>
      <w:pPr>
        <w:spacing w:after="0" w:line="143"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On May 4, 2010, Federal Realty Investment Trust issued supplemental data pertaining to its operations, as well as a press release, to report its financial results for the quarter ended March 31, 2010. The supplemental data and press release are furnished as Exhibit 99.1 hereto.</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12"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Supplemental information at March 31, 2010 (including press release dated May 4, 2010)</w:t>
      </w: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FEDERAL REALTY INVESTMENT TRUST</w:t>
      </w:r>
    </w:p>
    <w:p>
      <w:pPr>
        <w:spacing w:after="0" w:line="231" w:lineRule="exact"/>
        <w:rPr>
          <w:sz w:val="20"/>
          <w:szCs w:val="20"/>
          <w:color w:val="auto"/>
        </w:rPr>
      </w:pPr>
    </w:p>
    <w:p>
      <w:pPr>
        <w:spacing w:after="0"/>
        <w:tabs>
          <w:tab w:leader="none" w:pos="6260" w:val="left"/>
        </w:tabs>
        <w:rPr>
          <w:sz w:val="20"/>
          <w:szCs w:val="20"/>
          <w:color w:val="auto"/>
        </w:rPr>
      </w:pPr>
      <w:r>
        <w:rPr>
          <w:rFonts w:ascii="Arial" w:cs="Arial" w:eastAsia="Arial" w:hAnsi="Arial"/>
          <w:sz w:val="18"/>
          <w:szCs w:val="18"/>
          <w:color w:val="auto"/>
        </w:rPr>
        <w:t>Date: May 4, 2010</w:t>
      </w:r>
      <w:r>
        <w:rPr>
          <w:sz w:val="20"/>
          <w:szCs w:val="20"/>
          <w:color w:val="auto"/>
        </w:rPr>
        <w:tab/>
      </w:r>
      <w:r>
        <w:rPr>
          <w:rFonts w:ascii="Arial" w:cs="Arial" w:eastAsia="Arial" w:hAnsi="Arial"/>
          <w:sz w:val="16"/>
          <w:szCs w:val="16"/>
          <w:color w:val="auto"/>
        </w:rPr>
        <w:t>/s/ Andrew P. Blocher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Andrew P. Blocher</w:t>
      </w:r>
    </w:p>
    <w:p>
      <w:pPr>
        <w:spacing w:after="0" w:line="1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Senior Vice President, Chief Financial Officer and Treasurer</w:t>
      </w:r>
    </w:p>
    <w:p>
      <w:pPr>
        <w:sectPr>
          <w:pgSz w:w="11900" w:h="16838" w:orient="portrait"/>
          <w:cols w:equalWidth="0" w:num="1">
            <w:col w:w="11400"/>
          </w:cols>
          <w:pgMar w:left="240" w:top="274"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2"/>
              </w:rPr>
              <w:t>Exh No.</w:t>
            </w:r>
          </w:p>
        </w:tc>
        <w:tc>
          <w:tcPr>
            <w:tcW w:w="440" w:type="dxa"/>
            <w:vAlign w:val="bottom"/>
          </w:tcPr>
          <w:p>
            <w:pPr>
              <w:spacing w:after="0"/>
              <w:rPr>
                <w:sz w:val="15"/>
                <w:szCs w:val="15"/>
                <w:color w:val="auto"/>
              </w:rPr>
            </w:pPr>
          </w:p>
        </w:tc>
        <w:tc>
          <w:tcPr>
            <w:tcW w:w="105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Exhibit</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99.1</w:t>
            </w:r>
          </w:p>
        </w:tc>
        <w:tc>
          <w:tcPr>
            <w:tcW w:w="440" w:type="dxa"/>
            <w:vAlign w:val="bottom"/>
          </w:tcPr>
          <w:p>
            <w:pPr>
              <w:spacing w:after="0"/>
              <w:rPr>
                <w:sz w:val="18"/>
                <w:szCs w:val="18"/>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Supplemental Information at March 31, 2010</w:t>
            </w:r>
          </w:p>
        </w:tc>
      </w:tr>
    </w:tbl>
    <w:p>
      <w:pPr>
        <w:sectPr>
          <w:pgSz w:w="11900" w:h="16838" w:orient="portrait"/>
          <w:cols w:equalWidth="0" w:num="1">
            <w:col w:w="11420"/>
          </w:cols>
          <w:pgMar w:left="240" w:top="280"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FEDERAL REALTY INVESTMENT TRUST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SUPPLEMENTAL INFORMATION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31, 2010</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4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6680" w:type="dxa"/>
            <w:vAlign w:val="bottom"/>
          </w:tcPr>
          <w:p>
            <w:pPr>
              <w:jc w:val="right"/>
              <w:ind w:right="4672"/>
              <w:spacing w:after="0"/>
              <w:rPr>
                <w:sz w:val="20"/>
                <w:szCs w:val="20"/>
                <w:color w:val="auto"/>
              </w:rPr>
            </w:pPr>
            <w:r>
              <w:rPr>
                <w:rFonts w:ascii="Arial" w:cs="Arial" w:eastAsia="Arial" w:hAnsi="Arial"/>
                <w:sz w:val="18"/>
                <w:szCs w:val="18"/>
                <w:b w:val="1"/>
                <w:bCs w:val="1"/>
                <w:color w:val="auto"/>
                <w:w w:val="97"/>
              </w:rPr>
              <w:t>TABLE OF CONTENTS</w:t>
            </w:r>
          </w:p>
        </w:tc>
      </w:tr>
      <w:tr>
        <w:trPr>
          <w:trHeight w:val="419"/>
        </w:trPr>
        <w:tc>
          <w:tcPr>
            <w:tcW w:w="240" w:type="dxa"/>
            <w:vAlign w:val="bottom"/>
          </w:tcPr>
          <w:p>
            <w:pPr>
              <w:jc w:val="right"/>
              <w:ind w:right="12"/>
              <w:spacing w:after="0"/>
              <w:rPr>
                <w:sz w:val="20"/>
                <w:szCs w:val="20"/>
                <w:color w:val="auto"/>
              </w:rPr>
            </w:pPr>
            <w:r>
              <w:rPr>
                <w:rFonts w:ascii="Arial" w:cs="Arial" w:eastAsia="Arial" w:hAnsi="Arial"/>
                <w:sz w:val="18"/>
                <w:szCs w:val="18"/>
                <w:color w:val="auto"/>
                <w:w w:val="79"/>
              </w:rPr>
              <w:t>1.</w:t>
            </w:r>
          </w:p>
        </w:tc>
        <w:tc>
          <w:tcPr>
            <w:tcW w:w="4500" w:type="dxa"/>
            <w:vAlign w:val="bottom"/>
          </w:tcPr>
          <w:p>
            <w:pPr>
              <w:ind w:left="100"/>
              <w:spacing w:after="0"/>
              <w:rPr>
                <w:sz w:val="20"/>
                <w:szCs w:val="20"/>
                <w:color w:val="auto"/>
              </w:rPr>
            </w:pPr>
            <w:r>
              <w:rPr>
                <w:rFonts w:ascii="Arial" w:cs="Arial" w:eastAsia="Arial" w:hAnsi="Arial"/>
                <w:sz w:val="18"/>
                <w:szCs w:val="18"/>
                <w:color w:val="auto"/>
              </w:rPr>
              <w:t>First Quarter 2010 Earnings Press Release</w:t>
            </w:r>
          </w:p>
        </w:tc>
        <w:tc>
          <w:tcPr>
            <w:tcW w:w="66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18"/>
        </w:trPr>
        <w:tc>
          <w:tcPr>
            <w:tcW w:w="240" w:type="dxa"/>
            <w:vAlign w:val="bottom"/>
          </w:tcPr>
          <w:p>
            <w:pPr>
              <w:jc w:val="right"/>
              <w:ind w:right="12"/>
              <w:spacing w:after="0"/>
              <w:rPr>
                <w:sz w:val="20"/>
                <w:szCs w:val="20"/>
                <w:color w:val="auto"/>
              </w:rPr>
            </w:pPr>
            <w:r>
              <w:rPr>
                <w:rFonts w:ascii="Arial" w:cs="Arial" w:eastAsia="Arial" w:hAnsi="Arial"/>
                <w:sz w:val="18"/>
                <w:szCs w:val="18"/>
                <w:color w:val="auto"/>
                <w:w w:val="79"/>
              </w:rPr>
              <w:t>2.</w:t>
            </w:r>
          </w:p>
        </w:tc>
        <w:tc>
          <w:tcPr>
            <w:tcW w:w="4500" w:type="dxa"/>
            <w:vAlign w:val="bottom"/>
          </w:tcPr>
          <w:p>
            <w:pPr>
              <w:ind w:left="100"/>
              <w:spacing w:after="0"/>
              <w:rPr>
                <w:sz w:val="20"/>
                <w:szCs w:val="20"/>
                <w:color w:val="auto"/>
              </w:rPr>
            </w:pPr>
            <w:r>
              <w:rPr>
                <w:rFonts w:ascii="Arial" w:cs="Arial" w:eastAsia="Arial" w:hAnsi="Arial"/>
                <w:sz w:val="18"/>
                <w:szCs w:val="18"/>
                <w:color w:val="auto"/>
              </w:rPr>
              <w:t>Financial Highlights</w:t>
            </w:r>
          </w:p>
        </w:tc>
        <w:tc>
          <w:tcPr>
            <w:tcW w:w="6680" w:type="dxa"/>
            <w:vAlign w:val="bottom"/>
          </w:tcPr>
          <w:p>
            <w:pPr>
              <w:spacing w:after="0"/>
              <w:rPr>
                <w:sz w:val="24"/>
                <w:szCs w:val="24"/>
                <w:color w:val="auto"/>
              </w:rPr>
            </w:pPr>
          </w:p>
        </w:tc>
      </w:tr>
      <w:tr>
        <w:trPr>
          <w:trHeight w:val="216"/>
        </w:trPr>
        <w:tc>
          <w:tcPr>
            <w:tcW w:w="240" w:type="dxa"/>
            <w:vAlign w:val="bottom"/>
          </w:tcPr>
          <w:p>
            <w:pPr>
              <w:spacing w:after="0"/>
              <w:rPr>
                <w:sz w:val="18"/>
                <w:szCs w:val="18"/>
                <w:color w:val="auto"/>
              </w:rPr>
            </w:pPr>
          </w:p>
        </w:tc>
        <w:tc>
          <w:tcPr>
            <w:tcW w:w="4500" w:type="dxa"/>
            <w:vAlign w:val="bottom"/>
          </w:tcPr>
          <w:p>
            <w:pPr>
              <w:ind w:left="260"/>
              <w:spacing w:after="0"/>
              <w:rPr>
                <w:sz w:val="20"/>
                <w:szCs w:val="20"/>
                <w:color w:val="auto"/>
              </w:rPr>
            </w:pPr>
            <w:r>
              <w:rPr>
                <w:rFonts w:ascii="Arial" w:cs="Arial" w:eastAsia="Arial" w:hAnsi="Arial"/>
                <w:sz w:val="18"/>
                <w:szCs w:val="18"/>
                <w:color w:val="auto"/>
              </w:rPr>
              <w:t>Summarized Income Statements</w:t>
            </w:r>
          </w:p>
        </w:tc>
        <w:tc>
          <w:tcPr>
            <w:tcW w:w="66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240" w:type="dxa"/>
            <w:vAlign w:val="bottom"/>
          </w:tcPr>
          <w:p>
            <w:pPr>
              <w:spacing w:after="0"/>
              <w:rPr>
                <w:sz w:val="18"/>
                <w:szCs w:val="18"/>
                <w:color w:val="auto"/>
              </w:rPr>
            </w:pPr>
          </w:p>
        </w:tc>
        <w:tc>
          <w:tcPr>
            <w:tcW w:w="4500" w:type="dxa"/>
            <w:vAlign w:val="bottom"/>
          </w:tcPr>
          <w:p>
            <w:pPr>
              <w:ind w:left="260"/>
              <w:spacing w:after="0"/>
              <w:rPr>
                <w:sz w:val="20"/>
                <w:szCs w:val="20"/>
                <w:color w:val="auto"/>
              </w:rPr>
            </w:pPr>
            <w:r>
              <w:rPr>
                <w:rFonts w:ascii="Arial" w:cs="Arial" w:eastAsia="Arial" w:hAnsi="Arial"/>
                <w:sz w:val="18"/>
                <w:szCs w:val="18"/>
                <w:color w:val="auto"/>
              </w:rPr>
              <w:t>Summarized Balance Sheets</w:t>
            </w:r>
          </w:p>
        </w:tc>
        <w:tc>
          <w:tcPr>
            <w:tcW w:w="66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240" w:type="dxa"/>
            <w:vAlign w:val="bottom"/>
          </w:tcPr>
          <w:p>
            <w:pPr>
              <w:spacing w:after="0"/>
              <w:rPr>
                <w:sz w:val="18"/>
                <w:szCs w:val="18"/>
                <w:color w:val="auto"/>
              </w:rPr>
            </w:pPr>
          </w:p>
        </w:tc>
        <w:tc>
          <w:tcPr>
            <w:tcW w:w="4500" w:type="dxa"/>
            <w:vAlign w:val="bottom"/>
          </w:tcPr>
          <w:p>
            <w:pPr>
              <w:ind w:left="260"/>
              <w:spacing w:after="0"/>
              <w:rPr>
                <w:sz w:val="20"/>
                <w:szCs w:val="20"/>
                <w:color w:val="auto"/>
              </w:rPr>
            </w:pPr>
            <w:r>
              <w:rPr>
                <w:rFonts w:ascii="Arial" w:cs="Arial" w:eastAsia="Arial" w:hAnsi="Arial"/>
                <w:sz w:val="18"/>
                <w:szCs w:val="18"/>
                <w:color w:val="auto"/>
                <w:w w:val="89"/>
              </w:rPr>
              <w:t>Funds From Operations / Summary of Capital Expenditures</w:t>
            </w:r>
          </w:p>
        </w:tc>
        <w:tc>
          <w:tcPr>
            <w:tcW w:w="66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240" w:type="dxa"/>
            <w:vAlign w:val="bottom"/>
          </w:tcPr>
          <w:p>
            <w:pPr>
              <w:spacing w:after="0"/>
              <w:rPr>
                <w:sz w:val="18"/>
                <w:szCs w:val="18"/>
                <w:color w:val="auto"/>
              </w:rPr>
            </w:pPr>
          </w:p>
        </w:tc>
        <w:tc>
          <w:tcPr>
            <w:tcW w:w="4500" w:type="dxa"/>
            <w:vAlign w:val="bottom"/>
          </w:tcPr>
          <w:p>
            <w:pPr>
              <w:ind w:left="260"/>
              <w:spacing w:after="0"/>
              <w:rPr>
                <w:sz w:val="20"/>
                <w:szCs w:val="20"/>
                <w:color w:val="auto"/>
              </w:rPr>
            </w:pPr>
            <w:r>
              <w:rPr>
                <w:rFonts w:ascii="Arial" w:cs="Arial" w:eastAsia="Arial" w:hAnsi="Arial"/>
                <w:sz w:val="18"/>
                <w:szCs w:val="18"/>
                <w:color w:val="auto"/>
              </w:rPr>
              <w:t>Market Data</w:t>
            </w:r>
          </w:p>
        </w:tc>
        <w:tc>
          <w:tcPr>
            <w:tcW w:w="66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2"/>
        </w:trPr>
        <w:tc>
          <w:tcPr>
            <w:tcW w:w="240" w:type="dxa"/>
            <w:vAlign w:val="bottom"/>
          </w:tcPr>
          <w:p>
            <w:pPr>
              <w:spacing w:after="0"/>
              <w:rPr>
                <w:sz w:val="19"/>
                <w:szCs w:val="19"/>
                <w:color w:val="auto"/>
              </w:rPr>
            </w:pPr>
          </w:p>
        </w:tc>
        <w:tc>
          <w:tcPr>
            <w:tcW w:w="4500" w:type="dxa"/>
            <w:vAlign w:val="bottom"/>
          </w:tcPr>
          <w:p>
            <w:pPr>
              <w:ind w:left="260"/>
              <w:spacing w:after="0"/>
              <w:rPr>
                <w:sz w:val="20"/>
                <w:szCs w:val="20"/>
                <w:color w:val="auto"/>
              </w:rPr>
            </w:pPr>
            <w:r>
              <w:rPr>
                <w:rFonts w:ascii="Arial" w:cs="Arial" w:eastAsia="Arial" w:hAnsi="Arial"/>
                <w:sz w:val="18"/>
                <w:szCs w:val="18"/>
                <w:color w:val="auto"/>
              </w:rPr>
              <w:t>Components of Rental Income</w:t>
            </w:r>
          </w:p>
        </w:tc>
        <w:tc>
          <w:tcPr>
            <w:tcW w:w="6680" w:type="dxa"/>
            <w:vAlign w:val="bottom"/>
          </w:tcPr>
          <w:p>
            <w:pPr>
              <w:jc w:val="right"/>
              <w:spacing w:after="0"/>
              <w:rPr>
                <w:sz w:val="20"/>
                <w:szCs w:val="20"/>
                <w:color w:val="auto"/>
              </w:rPr>
            </w:pPr>
            <w:r>
              <w:rPr>
                <w:rFonts w:ascii="Arial" w:cs="Arial" w:eastAsia="Arial" w:hAnsi="Arial"/>
                <w:sz w:val="18"/>
                <w:szCs w:val="18"/>
                <w:color w:val="auto"/>
              </w:rPr>
              <w:t>11</w:t>
            </w:r>
          </w:p>
        </w:tc>
      </w:tr>
    </w:tbl>
    <w:p>
      <w:pPr>
        <w:spacing w:after="0" w:line="102"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Summary of Debt</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0" w:type="dxa"/>
            <w:vAlign w:val="bottom"/>
          </w:tcPr>
          <w:p>
            <w:pPr>
              <w:spacing w:after="0"/>
              <w:rPr>
                <w:sz w:val="18"/>
                <w:szCs w:val="18"/>
                <w:color w:val="auto"/>
              </w:rPr>
            </w:pPr>
          </w:p>
        </w:tc>
        <w:tc>
          <w:tcPr>
            <w:tcW w:w="7760" w:type="dxa"/>
            <w:vAlign w:val="bottom"/>
          </w:tcPr>
          <w:p>
            <w:pPr>
              <w:ind w:left="220"/>
              <w:spacing w:after="0"/>
              <w:rPr>
                <w:sz w:val="20"/>
                <w:szCs w:val="20"/>
                <w:color w:val="auto"/>
              </w:rPr>
            </w:pPr>
            <w:r>
              <w:rPr>
                <w:rFonts w:ascii="Arial" w:cs="Arial" w:eastAsia="Arial" w:hAnsi="Arial"/>
                <w:sz w:val="18"/>
                <w:szCs w:val="18"/>
                <w:color w:val="auto"/>
              </w:rPr>
              <w:t>Summary of Outstanding Debt and Capital Lease Obligations</w:t>
            </w:r>
          </w:p>
        </w:tc>
        <w:tc>
          <w:tcPr>
            <w:tcW w:w="33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2"/>
        </w:trPr>
        <w:tc>
          <w:tcPr>
            <w:tcW w:w="280" w:type="dxa"/>
            <w:vAlign w:val="bottom"/>
          </w:tcPr>
          <w:p>
            <w:pPr>
              <w:spacing w:after="0"/>
              <w:rPr>
                <w:sz w:val="19"/>
                <w:szCs w:val="19"/>
                <w:color w:val="auto"/>
              </w:rPr>
            </w:pPr>
          </w:p>
        </w:tc>
        <w:tc>
          <w:tcPr>
            <w:tcW w:w="7760" w:type="dxa"/>
            <w:vAlign w:val="bottom"/>
          </w:tcPr>
          <w:p>
            <w:pPr>
              <w:ind w:left="220"/>
              <w:spacing w:after="0"/>
              <w:rPr>
                <w:sz w:val="20"/>
                <w:szCs w:val="20"/>
                <w:color w:val="auto"/>
              </w:rPr>
            </w:pPr>
            <w:r>
              <w:rPr>
                <w:rFonts w:ascii="Arial" w:cs="Arial" w:eastAsia="Arial" w:hAnsi="Arial"/>
                <w:sz w:val="18"/>
                <w:szCs w:val="18"/>
                <w:color w:val="auto"/>
              </w:rPr>
              <w:t>Summary of Debt Maturities</w:t>
            </w:r>
          </w:p>
        </w:tc>
        <w:tc>
          <w:tcPr>
            <w:tcW w:w="33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4.</w:t>
            </w:r>
          </w:p>
        </w:tc>
        <w:tc>
          <w:tcPr>
            <w:tcW w:w="7760" w:type="dxa"/>
            <w:vAlign w:val="bottom"/>
          </w:tcPr>
          <w:p>
            <w:pPr>
              <w:ind w:left="60"/>
              <w:spacing w:after="0"/>
              <w:rPr>
                <w:sz w:val="20"/>
                <w:szCs w:val="20"/>
                <w:color w:val="auto"/>
              </w:rPr>
            </w:pPr>
            <w:r>
              <w:rPr>
                <w:rFonts w:ascii="Arial" w:cs="Arial" w:eastAsia="Arial" w:hAnsi="Arial"/>
                <w:sz w:val="18"/>
                <w:szCs w:val="18"/>
                <w:color w:val="auto"/>
              </w:rPr>
              <w:t>Summary of Redevelopment Opportunities</w:t>
            </w:r>
          </w:p>
        </w:tc>
        <w:tc>
          <w:tcPr>
            <w:tcW w:w="33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5.</w:t>
            </w:r>
          </w:p>
        </w:tc>
        <w:tc>
          <w:tcPr>
            <w:tcW w:w="7760" w:type="dxa"/>
            <w:vAlign w:val="bottom"/>
          </w:tcPr>
          <w:p>
            <w:pPr>
              <w:ind w:left="60"/>
              <w:spacing w:after="0"/>
              <w:rPr>
                <w:sz w:val="20"/>
                <w:szCs w:val="20"/>
                <w:color w:val="auto"/>
              </w:rPr>
            </w:pPr>
            <w:r>
              <w:rPr>
                <w:rFonts w:ascii="Arial" w:cs="Arial" w:eastAsia="Arial" w:hAnsi="Arial"/>
                <w:sz w:val="18"/>
                <w:szCs w:val="18"/>
                <w:color w:val="auto"/>
              </w:rPr>
              <w:t>Real Estate Status Report</w:t>
            </w:r>
          </w:p>
        </w:tc>
        <w:tc>
          <w:tcPr>
            <w:tcW w:w="33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6.</w:t>
            </w:r>
          </w:p>
        </w:tc>
        <w:tc>
          <w:tcPr>
            <w:tcW w:w="7760" w:type="dxa"/>
            <w:vAlign w:val="bottom"/>
          </w:tcPr>
          <w:p>
            <w:pPr>
              <w:ind w:left="60"/>
              <w:spacing w:after="0"/>
              <w:rPr>
                <w:sz w:val="20"/>
                <w:szCs w:val="20"/>
                <w:color w:val="auto"/>
              </w:rPr>
            </w:pPr>
            <w:r>
              <w:rPr>
                <w:rFonts w:ascii="Arial" w:cs="Arial" w:eastAsia="Arial" w:hAnsi="Arial"/>
                <w:sz w:val="18"/>
                <w:szCs w:val="18"/>
                <w:color w:val="auto"/>
              </w:rPr>
              <w:t>Retail Leasing Summary</w:t>
            </w:r>
          </w:p>
        </w:tc>
        <w:tc>
          <w:tcPr>
            <w:tcW w:w="33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7.</w:t>
            </w:r>
          </w:p>
        </w:tc>
        <w:tc>
          <w:tcPr>
            <w:tcW w:w="7760" w:type="dxa"/>
            <w:vAlign w:val="bottom"/>
          </w:tcPr>
          <w:p>
            <w:pPr>
              <w:ind w:left="60"/>
              <w:spacing w:after="0"/>
              <w:rPr>
                <w:sz w:val="20"/>
                <w:szCs w:val="20"/>
                <w:color w:val="auto"/>
              </w:rPr>
            </w:pPr>
            <w:r>
              <w:rPr>
                <w:rFonts w:ascii="Arial" w:cs="Arial" w:eastAsia="Arial" w:hAnsi="Arial"/>
                <w:sz w:val="18"/>
                <w:szCs w:val="18"/>
                <w:color w:val="auto"/>
              </w:rPr>
              <w:t>Lease Expirations</w:t>
            </w:r>
          </w:p>
        </w:tc>
        <w:tc>
          <w:tcPr>
            <w:tcW w:w="33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8.</w:t>
            </w:r>
          </w:p>
        </w:tc>
        <w:tc>
          <w:tcPr>
            <w:tcW w:w="7760" w:type="dxa"/>
            <w:vAlign w:val="bottom"/>
          </w:tcPr>
          <w:p>
            <w:pPr>
              <w:ind w:left="60"/>
              <w:spacing w:after="0"/>
              <w:rPr>
                <w:sz w:val="20"/>
                <w:szCs w:val="20"/>
                <w:color w:val="auto"/>
              </w:rPr>
            </w:pPr>
            <w:r>
              <w:rPr>
                <w:rFonts w:ascii="Arial" w:cs="Arial" w:eastAsia="Arial" w:hAnsi="Arial"/>
                <w:sz w:val="18"/>
                <w:szCs w:val="18"/>
                <w:color w:val="auto"/>
              </w:rPr>
              <w:t>Portfolio Leased Statistics</w:t>
            </w:r>
          </w:p>
        </w:tc>
        <w:tc>
          <w:tcPr>
            <w:tcW w:w="33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9.</w:t>
            </w:r>
          </w:p>
        </w:tc>
        <w:tc>
          <w:tcPr>
            <w:tcW w:w="7760" w:type="dxa"/>
            <w:vAlign w:val="bottom"/>
          </w:tcPr>
          <w:p>
            <w:pPr>
              <w:ind w:left="60"/>
              <w:spacing w:after="0"/>
              <w:rPr>
                <w:sz w:val="20"/>
                <w:szCs w:val="20"/>
                <w:color w:val="auto"/>
              </w:rPr>
            </w:pPr>
            <w:r>
              <w:rPr>
                <w:rFonts w:ascii="Arial" w:cs="Arial" w:eastAsia="Arial" w:hAnsi="Arial"/>
                <w:sz w:val="18"/>
                <w:szCs w:val="18"/>
                <w:color w:val="auto"/>
              </w:rPr>
              <w:t>Summary of Top 25 Tenants</w:t>
            </w:r>
          </w:p>
        </w:tc>
        <w:tc>
          <w:tcPr>
            <w:tcW w:w="33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10.</w:t>
            </w:r>
          </w:p>
        </w:tc>
        <w:tc>
          <w:tcPr>
            <w:tcW w:w="7760" w:type="dxa"/>
            <w:vAlign w:val="bottom"/>
          </w:tcPr>
          <w:p>
            <w:pPr>
              <w:ind w:left="60"/>
              <w:spacing w:after="0"/>
              <w:rPr>
                <w:sz w:val="20"/>
                <w:szCs w:val="20"/>
                <w:color w:val="auto"/>
              </w:rPr>
            </w:pPr>
            <w:r>
              <w:rPr>
                <w:rFonts w:ascii="Arial" w:cs="Arial" w:eastAsia="Arial" w:hAnsi="Arial"/>
                <w:sz w:val="18"/>
                <w:szCs w:val="18"/>
                <w:color w:val="auto"/>
              </w:rPr>
              <w:t>Reconciliation of Net Income to FFO Guidance</w:t>
            </w:r>
          </w:p>
        </w:tc>
        <w:tc>
          <w:tcPr>
            <w:tcW w:w="33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18"/>
        </w:trPr>
        <w:tc>
          <w:tcPr>
            <w:tcW w:w="280" w:type="dxa"/>
            <w:vAlign w:val="bottom"/>
          </w:tcPr>
          <w:p>
            <w:pPr>
              <w:spacing w:after="0"/>
              <w:rPr>
                <w:sz w:val="20"/>
                <w:szCs w:val="20"/>
                <w:color w:val="auto"/>
              </w:rPr>
            </w:pPr>
            <w:r>
              <w:rPr>
                <w:rFonts w:ascii="Arial" w:cs="Arial" w:eastAsia="Arial" w:hAnsi="Arial"/>
                <w:sz w:val="18"/>
                <w:szCs w:val="18"/>
                <w:color w:val="auto"/>
              </w:rPr>
              <w:t>11.</w:t>
            </w:r>
          </w:p>
        </w:tc>
        <w:tc>
          <w:tcPr>
            <w:tcW w:w="7760" w:type="dxa"/>
            <w:vAlign w:val="bottom"/>
          </w:tcPr>
          <w:p>
            <w:pPr>
              <w:ind w:left="60"/>
              <w:spacing w:after="0"/>
              <w:rPr>
                <w:sz w:val="20"/>
                <w:szCs w:val="20"/>
                <w:color w:val="auto"/>
              </w:rPr>
            </w:pPr>
            <w:r>
              <w:rPr>
                <w:rFonts w:ascii="Arial" w:cs="Arial" w:eastAsia="Arial" w:hAnsi="Arial"/>
                <w:sz w:val="18"/>
                <w:szCs w:val="18"/>
                <w:color w:val="auto"/>
              </w:rPr>
              <w:t>Joint Venture Disclosure</w:t>
            </w:r>
          </w:p>
        </w:tc>
        <w:tc>
          <w:tcPr>
            <w:tcW w:w="3380" w:type="dxa"/>
            <w:vAlign w:val="bottom"/>
          </w:tcPr>
          <w:p>
            <w:pPr>
              <w:spacing w:after="0"/>
              <w:rPr>
                <w:sz w:val="24"/>
                <w:szCs w:val="24"/>
                <w:color w:val="auto"/>
              </w:rPr>
            </w:pPr>
          </w:p>
        </w:tc>
      </w:tr>
      <w:tr>
        <w:trPr>
          <w:trHeight w:val="216"/>
        </w:trPr>
        <w:tc>
          <w:tcPr>
            <w:tcW w:w="280" w:type="dxa"/>
            <w:vAlign w:val="bottom"/>
          </w:tcPr>
          <w:p>
            <w:pPr>
              <w:spacing w:after="0"/>
              <w:rPr>
                <w:sz w:val="18"/>
                <w:szCs w:val="18"/>
                <w:color w:val="auto"/>
              </w:rPr>
            </w:pPr>
          </w:p>
        </w:tc>
        <w:tc>
          <w:tcPr>
            <w:tcW w:w="7760" w:type="dxa"/>
            <w:vAlign w:val="bottom"/>
          </w:tcPr>
          <w:p>
            <w:pPr>
              <w:ind w:left="220"/>
              <w:spacing w:after="0"/>
              <w:rPr>
                <w:sz w:val="20"/>
                <w:szCs w:val="20"/>
                <w:color w:val="auto"/>
              </w:rPr>
            </w:pPr>
            <w:r>
              <w:rPr>
                <w:rFonts w:ascii="Arial" w:cs="Arial" w:eastAsia="Arial" w:hAnsi="Arial"/>
                <w:sz w:val="18"/>
                <w:szCs w:val="18"/>
                <w:color w:val="auto"/>
              </w:rPr>
              <w:t>Summarized Income Statements and Balance Sheets</w:t>
            </w:r>
          </w:p>
        </w:tc>
        <w:tc>
          <w:tcPr>
            <w:tcW w:w="33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280" w:type="dxa"/>
            <w:vAlign w:val="bottom"/>
          </w:tcPr>
          <w:p>
            <w:pPr>
              <w:spacing w:after="0"/>
              <w:rPr>
                <w:sz w:val="18"/>
                <w:szCs w:val="18"/>
                <w:color w:val="auto"/>
              </w:rPr>
            </w:pPr>
          </w:p>
        </w:tc>
        <w:tc>
          <w:tcPr>
            <w:tcW w:w="7760" w:type="dxa"/>
            <w:vAlign w:val="bottom"/>
          </w:tcPr>
          <w:p>
            <w:pPr>
              <w:ind w:left="220"/>
              <w:spacing w:after="0"/>
              <w:rPr>
                <w:sz w:val="20"/>
                <w:szCs w:val="20"/>
                <w:color w:val="auto"/>
              </w:rPr>
            </w:pPr>
            <w:r>
              <w:rPr>
                <w:rFonts w:ascii="Arial" w:cs="Arial" w:eastAsia="Arial" w:hAnsi="Arial"/>
                <w:sz w:val="18"/>
                <w:szCs w:val="18"/>
                <w:color w:val="auto"/>
              </w:rPr>
              <w:t>Summary of Outstanding Debt and Debt Maturities</w:t>
            </w:r>
          </w:p>
        </w:tc>
        <w:tc>
          <w:tcPr>
            <w:tcW w:w="33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22"/>
        </w:trPr>
        <w:tc>
          <w:tcPr>
            <w:tcW w:w="280" w:type="dxa"/>
            <w:vAlign w:val="bottom"/>
          </w:tcPr>
          <w:p>
            <w:pPr>
              <w:spacing w:after="0"/>
              <w:rPr>
                <w:sz w:val="19"/>
                <w:szCs w:val="19"/>
                <w:color w:val="auto"/>
              </w:rPr>
            </w:pPr>
          </w:p>
        </w:tc>
        <w:tc>
          <w:tcPr>
            <w:tcW w:w="7760" w:type="dxa"/>
            <w:vAlign w:val="bottom"/>
          </w:tcPr>
          <w:p>
            <w:pPr>
              <w:ind w:left="220"/>
              <w:spacing w:after="0"/>
              <w:rPr>
                <w:sz w:val="20"/>
                <w:szCs w:val="20"/>
                <w:color w:val="auto"/>
              </w:rPr>
            </w:pPr>
            <w:r>
              <w:rPr>
                <w:rFonts w:ascii="Arial" w:cs="Arial" w:eastAsia="Arial" w:hAnsi="Arial"/>
                <w:sz w:val="18"/>
                <w:szCs w:val="18"/>
                <w:color w:val="auto"/>
              </w:rPr>
              <w:t>Real Estate Status Report</w:t>
            </w:r>
          </w:p>
        </w:tc>
        <w:tc>
          <w:tcPr>
            <w:tcW w:w="33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12.</w:t>
            </w:r>
          </w:p>
        </w:tc>
        <w:tc>
          <w:tcPr>
            <w:tcW w:w="7760" w:type="dxa"/>
            <w:vAlign w:val="bottom"/>
          </w:tcPr>
          <w:p>
            <w:pPr>
              <w:ind w:left="60"/>
              <w:spacing w:after="0"/>
              <w:rPr>
                <w:sz w:val="20"/>
                <w:szCs w:val="20"/>
                <w:color w:val="auto"/>
              </w:rPr>
            </w:pPr>
            <w:r>
              <w:rPr>
                <w:rFonts w:ascii="Arial" w:cs="Arial" w:eastAsia="Arial" w:hAnsi="Arial"/>
                <w:sz w:val="18"/>
                <w:szCs w:val="18"/>
                <w:color w:val="auto"/>
              </w:rPr>
              <w:t>Glossary of Terms</w:t>
            </w:r>
          </w:p>
        </w:tc>
        <w:tc>
          <w:tcPr>
            <w:tcW w:w="3380" w:type="dxa"/>
            <w:vAlign w:val="bottom"/>
          </w:tcPr>
          <w:p>
            <w:pPr>
              <w:jc w:val="right"/>
              <w:spacing w:after="0"/>
              <w:rPr>
                <w:sz w:val="20"/>
                <w:szCs w:val="20"/>
                <w:color w:val="auto"/>
              </w:rPr>
            </w:pPr>
            <w:r>
              <w:rPr>
                <w:rFonts w:ascii="Arial" w:cs="Arial" w:eastAsia="Arial" w:hAnsi="Arial"/>
                <w:sz w:val="18"/>
                <w:szCs w:val="18"/>
                <w:color w:val="auto"/>
              </w:rPr>
              <w:t>25</w:t>
            </w:r>
          </w:p>
        </w:tc>
      </w:tr>
    </w:tbl>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1626 East Jefferson Street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Rockville, Maryland 20852-4041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301/998-8100</w:t>
      </w:r>
    </w:p>
    <w:p>
      <w:pPr>
        <w:sectPr>
          <w:pgSz w:w="11900" w:h="16838" w:orient="portrait"/>
          <w:cols w:equalWidth="0" w:num="1">
            <w:col w:w="11420"/>
          </w:cols>
          <w:pgMar w:left="240" w:top="125"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Safe Harbor Language</w:t>
      </w:r>
    </w:p>
    <w:p>
      <w:pPr>
        <w:spacing w:after="0" w:line="9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i w:val="1"/>
          <w:iCs w:val="1"/>
          <w:color w:val="auto"/>
        </w:rPr>
        <w:t>Certain matters discussed within this Supplemental Information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17, 2010, and include the following:</w:t>
      </w:r>
    </w:p>
    <w:p>
      <w:pPr>
        <w:spacing w:after="0" w:line="62" w:lineRule="exact"/>
        <w:rPr>
          <w:sz w:val="20"/>
          <w:szCs w:val="20"/>
          <w:color w:val="auto"/>
        </w:rPr>
      </w:pPr>
    </w:p>
    <w:p>
      <w:pPr>
        <w:ind w:left="900" w:right="420" w:hanging="325"/>
        <w:spacing w:after="0" w:line="268" w:lineRule="auto"/>
        <w:tabs>
          <w:tab w:leader="none" w:pos="9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risks that our tenants will not pay rent, may vacate early or may file for bankruptcy or that we may be unable to renew leases or re-let space at favorable rents as leases expire;</w:t>
      </w:r>
    </w:p>
    <w:p>
      <w:pPr>
        <w:spacing w:after="0" w:line="50" w:lineRule="exact"/>
        <w:rPr>
          <w:rFonts w:ascii="Arial" w:cs="Arial" w:eastAsia="Arial" w:hAnsi="Arial"/>
          <w:sz w:val="18"/>
          <w:szCs w:val="18"/>
          <w:i w:val="1"/>
          <w:iCs w:val="1"/>
          <w:color w:val="auto"/>
        </w:rPr>
      </w:pPr>
    </w:p>
    <w:p>
      <w:pPr>
        <w:ind w:left="900" w:right="300" w:hanging="325"/>
        <w:spacing w:after="0" w:line="259" w:lineRule="auto"/>
        <w:tabs>
          <w:tab w:leader="none" w:pos="9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spacing w:after="0" w:line="59" w:lineRule="exact"/>
        <w:rPr>
          <w:rFonts w:ascii="Arial" w:cs="Arial" w:eastAsia="Arial" w:hAnsi="Arial"/>
          <w:sz w:val="18"/>
          <w:szCs w:val="18"/>
          <w:i w:val="1"/>
          <w:iCs w:val="1"/>
          <w:color w:val="auto"/>
        </w:rPr>
      </w:pPr>
    </w:p>
    <w:p>
      <w:pPr>
        <w:ind w:left="900" w:right="140" w:hanging="325"/>
        <w:spacing w:after="0" w:line="268" w:lineRule="auto"/>
        <w:tabs>
          <w:tab w:leader="none" w:pos="9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risks that the number of properties we acquire for our own account, and therefore the amount of capital we invest in acquisitions, may be impacted by our real estate partnership;</w:t>
      </w:r>
    </w:p>
    <w:p>
      <w:pPr>
        <w:spacing w:after="0" w:line="50" w:lineRule="exact"/>
        <w:rPr>
          <w:rFonts w:ascii="Arial" w:cs="Arial" w:eastAsia="Arial" w:hAnsi="Arial"/>
          <w:sz w:val="18"/>
          <w:szCs w:val="18"/>
          <w:i w:val="1"/>
          <w:iCs w:val="1"/>
          <w:color w:val="auto"/>
        </w:rPr>
      </w:pPr>
    </w:p>
    <w:p>
      <w:pPr>
        <w:ind w:left="900" w:hanging="325"/>
        <w:spacing w:after="0" w:line="298" w:lineRule="auto"/>
        <w:tabs>
          <w:tab w:leader="none" w:pos="90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environmental issues may develop at our properties and result in unanticipated costs, and, because real estate is illiquid, that we may not be able to sell properties when appropriate;</w:t>
      </w:r>
    </w:p>
    <w:p>
      <w:pPr>
        <w:spacing w:after="0" w:line="31" w:lineRule="exact"/>
        <w:rPr>
          <w:rFonts w:ascii="Arial" w:cs="Arial" w:eastAsia="Arial" w:hAnsi="Arial"/>
          <w:sz w:val="16"/>
          <w:szCs w:val="16"/>
          <w:i w:val="1"/>
          <w:iCs w:val="1"/>
          <w:color w:val="auto"/>
        </w:rPr>
      </w:pPr>
    </w:p>
    <w:p>
      <w:pPr>
        <w:ind w:left="900" w:hanging="325"/>
        <w:spacing w:after="0"/>
        <w:tabs>
          <w:tab w:leader="none" w:pos="9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risks that our growth will be limited if we cannot obtain additional capital;</w:t>
      </w:r>
    </w:p>
    <w:p>
      <w:pPr>
        <w:spacing w:after="0" w:line="90" w:lineRule="exact"/>
        <w:rPr>
          <w:rFonts w:ascii="Arial" w:cs="Arial" w:eastAsia="Arial" w:hAnsi="Arial"/>
          <w:sz w:val="18"/>
          <w:szCs w:val="18"/>
          <w:i w:val="1"/>
          <w:iCs w:val="1"/>
          <w:color w:val="auto"/>
        </w:rPr>
      </w:pPr>
    </w:p>
    <w:p>
      <w:pPr>
        <w:ind w:left="900" w:hanging="325"/>
        <w:spacing w:after="0" w:line="259" w:lineRule="auto"/>
        <w:tabs>
          <w:tab w:leader="none" w:pos="9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59" w:lineRule="exact"/>
        <w:rPr>
          <w:rFonts w:ascii="Arial" w:cs="Arial" w:eastAsia="Arial" w:hAnsi="Arial"/>
          <w:sz w:val="18"/>
          <w:szCs w:val="18"/>
          <w:i w:val="1"/>
          <w:iCs w:val="1"/>
          <w:color w:val="auto"/>
        </w:rPr>
      </w:pPr>
    </w:p>
    <w:p>
      <w:pPr>
        <w:ind w:left="900" w:right="20" w:hanging="325"/>
        <w:spacing w:after="0" w:line="259" w:lineRule="auto"/>
        <w:tabs>
          <w:tab w:leader="none" w:pos="9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4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i w:val="1"/>
          <w:iCs w:val="1"/>
          <w:color w:val="auto"/>
        </w:rPr>
        <w:t>Given these uncertainties, readers are cautioned not to place undue reliance on any forward-looking statements that we make, including those in this Supplemental Information. Except as required by law, we make no promise to update any of the forward-looking statements as a result of new information, future events, or otherwise. You should review the risks contained in our Annual Report on Form 10-K, filed with the Securities and Exchange Commission on February 17, 2010.</w:t>
      </w:r>
    </w:p>
    <w:p>
      <w:pPr>
        <w:sectPr>
          <w:pgSz w:w="11900" w:h="16838" w:orient="portrait"/>
          <w:cols w:equalWidth="0" w:num="1">
            <w:col w:w="11360"/>
          </w:cols>
          <w:pgMar w:left="240" w:top="274" w:right="29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1372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1372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60" w:type="dxa"/>
            <w:vAlign w:val="bottom"/>
            <w:gridSpan w:val="2"/>
          </w:tcPr>
          <w:p>
            <w:pPr>
              <w:spacing w:after="0"/>
              <w:rPr>
                <w:sz w:val="20"/>
                <w:szCs w:val="20"/>
                <w:color w:val="auto"/>
              </w:rPr>
            </w:pPr>
            <w:r>
              <w:rPr>
                <w:rFonts w:ascii="Arial" w:cs="Arial" w:eastAsia="Arial" w:hAnsi="Arial"/>
                <w:sz w:val="18"/>
                <w:szCs w:val="18"/>
                <w:b w:val="1"/>
                <w:bCs w:val="1"/>
                <w:color w:val="auto"/>
              </w:rPr>
              <w:t>FOR IMMEDIATE RELEASE</w:t>
            </w:r>
          </w:p>
        </w:tc>
        <w:tc>
          <w:tcPr>
            <w:tcW w:w="5360" w:type="dxa"/>
            <w:vAlign w:val="bottom"/>
          </w:tcPr>
          <w:p>
            <w:pPr>
              <w:spacing w:after="0"/>
              <w:rPr>
                <w:sz w:val="19"/>
                <w:szCs w:val="19"/>
                <w:color w:val="auto"/>
              </w:rPr>
            </w:pPr>
          </w:p>
        </w:tc>
      </w:tr>
      <w:tr>
        <w:trPr>
          <w:trHeight w:val="286"/>
        </w:trPr>
        <w:tc>
          <w:tcPr>
            <w:tcW w:w="5460" w:type="dxa"/>
            <w:vAlign w:val="bottom"/>
            <w:gridSpan w:val="2"/>
          </w:tcPr>
          <w:p>
            <w:pPr>
              <w:spacing w:after="0"/>
              <w:rPr>
                <w:sz w:val="20"/>
                <w:szCs w:val="20"/>
                <w:color w:val="auto"/>
              </w:rPr>
            </w:pPr>
            <w:r>
              <w:rPr>
                <w:rFonts w:ascii="Arial" w:cs="Arial" w:eastAsia="Arial" w:hAnsi="Arial"/>
                <w:sz w:val="18"/>
                <w:szCs w:val="18"/>
                <w:i w:val="1"/>
                <w:iCs w:val="1"/>
                <w:color w:val="auto"/>
              </w:rPr>
              <w:t>Investor and Media Inquiries</w:t>
            </w:r>
          </w:p>
        </w:tc>
        <w:tc>
          <w:tcPr>
            <w:tcW w:w="5360" w:type="dxa"/>
            <w:vAlign w:val="bottom"/>
          </w:tcPr>
          <w:p>
            <w:pPr>
              <w:spacing w:after="0"/>
              <w:rPr>
                <w:sz w:val="24"/>
                <w:szCs w:val="24"/>
                <w:color w:val="auto"/>
              </w:rPr>
            </w:pPr>
          </w:p>
        </w:tc>
      </w:tr>
      <w:tr>
        <w:trPr>
          <w:trHeight w:val="228"/>
        </w:trPr>
        <w:tc>
          <w:tcPr>
            <w:tcW w:w="20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Gina Birdsall</w:t>
            </w:r>
          </w:p>
        </w:tc>
        <w:tc>
          <w:tcPr>
            <w:tcW w:w="3400" w:type="dxa"/>
            <w:vAlign w:val="bottom"/>
          </w:tcPr>
          <w:p>
            <w:pPr>
              <w:spacing w:after="0"/>
              <w:rPr>
                <w:sz w:val="19"/>
                <w:szCs w:val="19"/>
                <w:color w:val="auto"/>
              </w:rPr>
            </w:pPr>
          </w:p>
        </w:tc>
        <w:tc>
          <w:tcPr>
            <w:tcW w:w="5360" w:type="dxa"/>
            <w:vAlign w:val="bottom"/>
          </w:tcPr>
          <w:p>
            <w:pPr>
              <w:ind w:left="3120"/>
              <w:spacing w:after="0"/>
              <w:rPr>
                <w:sz w:val="20"/>
                <w:szCs w:val="20"/>
                <w:color w:val="auto"/>
              </w:rPr>
            </w:pPr>
            <w:r>
              <w:rPr>
                <w:rFonts w:ascii="Arial" w:cs="Arial" w:eastAsia="Arial" w:hAnsi="Arial"/>
                <w:sz w:val="18"/>
                <w:szCs w:val="18"/>
                <w:color w:val="auto"/>
              </w:rPr>
              <w:t>Janelle Stevenson</w:t>
            </w: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Investor Relations</w:t>
            </w:r>
          </w:p>
        </w:tc>
        <w:tc>
          <w:tcPr>
            <w:tcW w:w="5360" w:type="dxa"/>
            <w:vAlign w:val="bottom"/>
          </w:tcPr>
          <w:p>
            <w:pPr>
              <w:ind w:left="3120"/>
              <w:spacing w:after="0"/>
              <w:rPr>
                <w:sz w:val="20"/>
                <w:szCs w:val="20"/>
                <w:color w:val="auto"/>
              </w:rPr>
            </w:pPr>
            <w:r>
              <w:rPr>
                <w:rFonts w:ascii="Arial" w:cs="Arial" w:eastAsia="Arial" w:hAnsi="Arial"/>
                <w:sz w:val="18"/>
                <w:szCs w:val="18"/>
                <w:color w:val="auto"/>
              </w:rPr>
              <w:t>Corporate Communications</w:t>
            </w: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301/998-8265</w:t>
            </w:r>
          </w:p>
        </w:tc>
        <w:tc>
          <w:tcPr>
            <w:tcW w:w="3400" w:type="dxa"/>
            <w:vAlign w:val="bottom"/>
          </w:tcPr>
          <w:p>
            <w:pPr>
              <w:spacing w:after="0"/>
              <w:rPr>
                <w:sz w:val="18"/>
                <w:szCs w:val="18"/>
                <w:color w:val="auto"/>
              </w:rPr>
            </w:pPr>
          </w:p>
        </w:tc>
        <w:tc>
          <w:tcPr>
            <w:tcW w:w="5360" w:type="dxa"/>
            <w:vAlign w:val="bottom"/>
          </w:tcPr>
          <w:p>
            <w:pPr>
              <w:ind w:left="3120"/>
              <w:spacing w:after="0"/>
              <w:rPr>
                <w:sz w:val="20"/>
                <w:szCs w:val="20"/>
                <w:color w:val="auto"/>
              </w:rPr>
            </w:pPr>
            <w:r>
              <w:rPr>
                <w:rFonts w:ascii="Arial" w:cs="Arial" w:eastAsia="Arial" w:hAnsi="Arial"/>
                <w:sz w:val="18"/>
                <w:szCs w:val="18"/>
                <w:color w:val="auto"/>
              </w:rPr>
              <w:t>301/998-8185</w:t>
            </w:r>
          </w:p>
        </w:tc>
      </w:tr>
      <w:tr>
        <w:trPr>
          <w:trHeight w:val="222"/>
        </w:trPr>
        <w:tc>
          <w:tcPr>
            <w:tcW w:w="5460" w:type="dxa"/>
            <w:vAlign w:val="bottom"/>
            <w:gridSpan w:val="2"/>
          </w:tcPr>
          <w:p>
            <w:pPr>
              <w:spacing w:after="0"/>
              <w:rPr>
                <w:sz w:val="20"/>
                <w:szCs w:val="20"/>
                <w:color w:val="auto"/>
              </w:rPr>
            </w:pPr>
            <w:r>
              <w:rPr>
                <w:rFonts w:ascii="Arial" w:cs="Arial" w:eastAsia="Arial" w:hAnsi="Arial"/>
                <w:sz w:val="18"/>
                <w:szCs w:val="18"/>
                <w:i w:val="1"/>
                <w:iCs w:val="1"/>
                <w:color w:val="auto"/>
              </w:rPr>
              <w:t>gbirdsall@federalrealty.com</w:t>
            </w:r>
          </w:p>
        </w:tc>
        <w:tc>
          <w:tcPr>
            <w:tcW w:w="5360" w:type="dxa"/>
            <w:vAlign w:val="bottom"/>
          </w:tcPr>
          <w:p>
            <w:pPr>
              <w:ind w:left="3120"/>
              <w:spacing w:after="0"/>
              <w:rPr>
                <w:sz w:val="20"/>
                <w:szCs w:val="20"/>
                <w:color w:val="auto"/>
              </w:rPr>
            </w:pPr>
            <w:r>
              <w:rPr>
                <w:rFonts w:ascii="Arial" w:cs="Arial" w:eastAsia="Arial" w:hAnsi="Arial"/>
                <w:sz w:val="18"/>
                <w:szCs w:val="18"/>
                <w:i w:val="1"/>
                <w:iCs w:val="1"/>
                <w:color w:val="auto"/>
                <w:w w:val="86"/>
              </w:rPr>
              <w:t>jmstevenson@federalrealty.com</w:t>
            </w:r>
          </w:p>
        </w:tc>
      </w:tr>
    </w:tbl>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REALTY INVESTMENT TRUST ANNOUNCES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2010 OPERATING RESULTS</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ROCKVILLE, Md. (May 4, 2010) – Federal Realty Investment Trust (NYSE:FRT) today reported operating results for its first quarter ended March 31, 2010.</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Results</w:t>
      </w:r>
    </w:p>
    <w:p>
      <w:pPr>
        <w:spacing w:after="0" w:line="9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For first quarter 2010, Federal Realty generated funds from operations available for common shareholders (FFO) of $57.8 million, or $0.94 per diluted share, and net income available for common shareholders of $29.1 million, or earnings per diluted share of $0.47. This compares to FFO of $37.8 million, or $0.64 per share, and net income available to common shareholders of $10.3 million, or earnings per diluted share of $0.17, for the quarter ended March 31, 2009. First quarter 2009 results included a provision for litigation of $20.6 million, or $0.35 per diluted share, related to a lawsuit involving a property adjacent to Santana Row. Excluding this litigation provision, FFO for first quarter 2009 was $58.3 million, or $0.99 per diluted share, and net income available for common shareholders was $31.0 million, or $0.52 per diluted share.</w:t>
      </w:r>
    </w:p>
    <w:p>
      <w:pPr>
        <w:spacing w:after="0" w:line="14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FFO is a non-GAAP supplemental earnings measure which the Trust considers meaningful in measuring its operating performance. A reconciliation of FFO to net income is attached to this press release.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Portfolio Results</w:t>
      </w:r>
    </w:p>
    <w:p>
      <w:pPr>
        <w:spacing w:after="0" w:line="96" w:lineRule="exact"/>
        <w:rPr>
          <w:sz w:val="20"/>
          <w:szCs w:val="20"/>
          <w:color w:val="auto"/>
        </w:rPr>
      </w:pPr>
    </w:p>
    <w:p>
      <w:pPr>
        <w:ind w:right="140"/>
        <w:spacing w:after="0" w:line="323" w:lineRule="auto"/>
        <w:rPr>
          <w:sz w:val="20"/>
          <w:szCs w:val="20"/>
          <w:color w:val="auto"/>
        </w:rPr>
      </w:pPr>
      <w:r>
        <w:rPr>
          <w:rFonts w:ascii="Arial" w:cs="Arial" w:eastAsia="Arial" w:hAnsi="Arial"/>
          <w:sz w:val="15"/>
          <w:szCs w:val="15"/>
          <w:color w:val="auto"/>
        </w:rPr>
        <w:t>In first quarter 2010, same-center property operating income, excluding redevelopment and expansion properties, increased 2.9% over first quarter 2009. Including redevelopments and expansions, same-center property operating income increased 5.7% compared to first quarter 2009. The same-center results including redevelopments and expansions include $2.3 million of income resulting from the acceleration of the unamortized portion of a lease termination fee relating to our Flourtown Shopping Center in Pennsylvania. When the lease termination fee is excluded, same-center property operating income increased 3.1%.</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44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FEDERAL REALTY INVESTMENT TRUST ANNOUNCES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FIRST QUARTER 2010 OPERATING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4,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51"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The overall portfolio was 94.1% leased as of March 31, 2010, compared to 94.5% on December 31, 2009 and 94.2% on March 31, 2009. Federal Realty’s same-center portfolio was 94.6% leased as of March 31, 2010, compared to 94.6% on December 31, 2009 and 94.5% on March 31, 2009.</w:t>
      </w:r>
    </w:p>
    <w:p>
      <w:pPr>
        <w:spacing w:after="0" w:line="8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During first quarter 2010, the Trust signed 72 leases for 318,000 square feet of retail space. On a comparable space basis (</w:t>
      </w:r>
      <w:r>
        <w:rPr>
          <w:rFonts w:ascii="Arial" w:cs="Arial" w:eastAsia="Arial" w:hAnsi="Arial"/>
          <w:sz w:val="16"/>
          <w:szCs w:val="16"/>
          <w:i w:val="1"/>
          <w:iCs w:val="1"/>
          <w:color w:val="auto"/>
        </w:rPr>
        <w:t>i.e.</w:t>
      </w:r>
      <w:r>
        <w:rPr>
          <w:rFonts w:ascii="Arial" w:cs="Arial" w:eastAsia="Arial" w:hAnsi="Arial"/>
          <w:sz w:val="16"/>
          <w:szCs w:val="16"/>
          <w:color w:val="auto"/>
        </w:rPr>
        <w:t>, spaces for which there was a former tenant), the Trust leased 308,000 square feet at an average cash-basis contractual rent increase per square foot (</w:t>
      </w:r>
      <w:r>
        <w:rPr>
          <w:rFonts w:ascii="Arial" w:cs="Arial" w:eastAsia="Arial" w:hAnsi="Arial"/>
          <w:sz w:val="16"/>
          <w:szCs w:val="16"/>
          <w:i w:val="1"/>
          <w:iCs w:val="1"/>
          <w:color w:val="auto"/>
        </w:rPr>
        <w:t>i.e.</w:t>
      </w:r>
      <w:r>
        <w:rPr>
          <w:rFonts w:ascii="Arial" w:cs="Arial" w:eastAsia="Arial" w:hAnsi="Arial"/>
          <w:sz w:val="16"/>
          <w:szCs w:val="16"/>
          <w:color w:val="auto"/>
        </w:rPr>
        <w:t>, excluding the impact of straight-line rents) of 16%. The average contractual rent on this comparable space for the first year of the new lease is $29.19 per square foot compared to the average contractual rent of $25.11 per square foot for the last year of the prior lease. The previous average contractual rent is calculated by including both the minimum rent and any percentage rent actually paid during the last year of the lease term for the re-leased space. On a GAAP basis (</w:t>
      </w:r>
      <w:r>
        <w:rPr>
          <w:rFonts w:ascii="Arial" w:cs="Arial" w:eastAsia="Arial" w:hAnsi="Arial"/>
          <w:sz w:val="16"/>
          <w:szCs w:val="16"/>
          <w:i w:val="1"/>
          <w:iCs w:val="1"/>
          <w:color w:val="auto"/>
        </w:rPr>
        <w:t>i.e.</w:t>
      </w:r>
      <w:r>
        <w:rPr>
          <w:rFonts w:ascii="Arial" w:cs="Arial" w:eastAsia="Arial" w:hAnsi="Arial"/>
          <w:sz w:val="16"/>
          <w:szCs w:val="16"/>
          <w:color w:val="auto"/>
        </w:rPr>
        <w:t>, including the impact of straight-line rents), rent increases per square foot for comparable retail space averaged 27% for first quarter 2010. As of March 31, 2010, Federal Realty’s average contractual, cash basis minimum rent for retail and commercial space in its portfolio was $22.38 per square foot.</w:t>
      </w:r>
    </w:p>
    <w:p>
      <w:pPr>
        <w:spacing w:after="0" w:line="11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“I’m very proud of our first quarter performance despite an economic recovery that still has a long way to go at the consumer level,” commented Donald C. Wood, president and chief executive officer of the Trust. “There really is no substitute for great quality real estate when it comes to a tenant’s decision to renew or expand, and our first quarter leasing results continue to validate that premise.”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Regular Quarterly Dividends</w:t>
      </w:r>
    </w:p>
    <w:p>
      <w:pPr>
        <w:spacing w:after="0" w:line="9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Federal Realty also announced today that its Board of Trustees left the regular dividend rate on its common shares unchanged, declaring a regular quarterly cash dividend of $0.66 per share on its common shares, resulting in an indicated annual rate of $2.64 per share. The regular common dividend will be payable on July 15, 2010 to common shareholders of record on June 24, 2010.</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Guidance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raised 2010 guidance for FFO per diluted share to a range of $3.82 to $3.89 and earnings per diluted share is $1.92 to $1.99.</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 Information</w:t>
      </w:r>
    </w:p>
    <w:p>
      <w:pPr>
        <w:spacing w:after="0" w:line="9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Federal Realty’s management team will present an in-depth discussion of the Trust’s operating performance on its first quarter 2010 earnings conference call, which is scheduled for May 5, 2010, at 11 a.m. Eastern Daylight Time. To participate, please call (866) 314-5050 five to ten minutes prior to the call start time and use the passcode FRT EARNINGS (required). Federal Realty will also provide an online webcast on the Company’s web site, www.federalrealty.com, which will remain available for 30 days following the call. A telephone recording of the call will also be available through June 4, 2010, by dialing (888) 286-8010 and using the passcode 59661908.</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FEDERAL REALTY INVESTMENT TRUST ANNOUNCES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FIRST QUARTER 2010 OPERATING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4,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Federal Realty</w:t>
      </w:r>
    </w:p>
    <w:p>
      <w:pPr>
        <w:spacing w:after="0" w:line="96" w:lineRule="exact"/>
        <w:rPr>
          <w:sz w:val="20"/>
          <w:szCs w:val="20"/>
          <w:color w:val="auto"/>
        </w:rPr>
      </w:pPr>
    </w:p>
    <w:p>
      <w:pPr>
        <w:ind w:right="260"/>
        <w:spacing w:after="0" w:line="284" w:lineRule="auto"/>
        <w:rPr>
          <w:sz w:val="20"/>
          <w:szCs w:val="20"/>
          <w:color w:val="auto"/>
        </w:rPr>
      </w:pPr>
      <w:r>
        <w:rPr>
          <w:rFonts w:ascii="Arial" w:cs="Arial" w:eastAsia="Arial" w:hAnsi="Arial"/>
          <w:sz w:val="16"/>
          <w:szCs w:val="16"/>
          <w:color w:val="auto"/>
        </w:rPr>
        <w:t>Federal Realty Investment Trust is an equity real estate investment trust specializing in the ownership, management, development, and redevelopment of high quality retail assets. Federal Realty’s portfolio (excluding joint venture properties) contains approximately 18.2 million square feet located primarily in strategically selected metropolitan markets in the Northeast, Mid-Atlantic, and California. In addition, the Trust has an ownership interest in approximately</w:t>
      </w:r>
    </w:p>
    <w:p>
      <w:pPr>
        <w:spacing w:after="0" w:line="1"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1.0 million square feet of retail space through a joint venture in which the Trust has a 30% interest. Our operating portfolio (excluding joint venture properties) was 94.1% leased to national, regional, and local retailers as of March 31, 2010, with no single tenant accounting for more than approximately 2.6% of annualized base rent. Federal Realty has paid quarterly dividends to its shareholders continuously since its founding in 1962, and has increased its dividend rate for 42 consecutive years, the longest record in the REIT industry. Federal Realty is an S&amp;P MidCap 400 company and its shares are traded on the NYSE under the symbol FRT.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Safe Harbor Language</w:t>
      </w:r>
    </w:p>
    <w:p>
      <w:pPr>
        <w:spacing w:after="0" w:line="9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i w:val="1"/>
          <w:iCs w:val="1"/>
          <w:color w:val="auto"/>
        </w:rPr>
        <w:t>Certain matters discussed within this press release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17, 2010, and include the following:</w:t>
      </w:r>
    </w:p>
    <w:p>
      <w:pPr>
        <w:spacing w:after="0" w:line="62" w:lineRule="exact"/>
        <w:rPr>
          <w:sz w:val="20"/>
          <w:szCs w:val="20"/>
          <w:color w:val="auto"/>
        </w:rPr>
      </w:pPr>
    </w:p>
    <w:p>
      <w:pPr>
        <w:ind w:left="900" w:right="420" w:hanging="325"/>
        <w:spacing w:after="0" w:line="268" w:lineRule="auto"/>
        <w:tabs>
          <w:tab w:leader="none" w:pos="90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risks that our tenants will not pay rent, may vacate early or may file for bankruptcy or that we may be unable to renew leases or re-let space at favorable rents as leases expire;</w:t>
      </w:r>
    </w:p>
    <w:p>
      <w:pPr>
        <w:spacing w:after="0" w:line="50" w:lineRule="exact"/>
        <w:rPr>
          <w:rFonts w:ascii="Arial" w:cs="Arial" w:eastAsia="Arial" w:hAnsi="Arial"/>
          <w:sz w:val="18"/>
          <w:szCs w:val="18"/>
          <w:i w:val="1"/>
          <w:iCs w:val="1"/>
          <w:color w:val="auto"/>
        </w:rPr>
      </w:pPr>
    </w:p>
    <w:p>
      <w:pPr>
        <w:ind w:left="900" w:right="300" w:hanging="325"/>
        <w:spacing w:after="0" w:line="259" w:lineRule="auto"/>
        <w:tabs>
          <w:tab w:leader="none" w:pos="90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spacing w:after="0" w:line="59" w:lineRule="exact"/>
        <w:rPr>
          <w:rFonts w:ascii="Arial" w:cs="Arial" w:eastAsia="Arial" w:hAnsi="Arial"/>
          <w:sz w:val="18"/>
          <w:szCs w:val="18"/>
          <w:i w:val="1"/>
          <w:iCs w:val="1"/>
          <w:color w:val="auto"/>
        </w:rPr>
      </w:pPr>
    </w:p>
    <w:p>
      <w:pPr>
        <w:ind w:left="900" w:right="140" w:hanging="325"/>
        <w:spacing w:after="0" w:line="268" w:lineRule="auto"/>
        <w:tabs>
          <w:tab w:leader="none" w:pos="90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risks that the number of properties we acquire for our own account, and therefore the amount of capital we invest in acquisitions, may be impacted by our real estate partnership;</w:t>
      </w:r>
    </w:p>
    <w:p>
      <w:pPr>
        <w:spacing w:after="0" w:line="50" w:lineRule="exact"/>
        <w:rPr>
          <w:rFonts w:ascii="Arial" w:cs="Arial" w:eastAsia="Arial" w:hAnsi="Arial"/>
          <w:sz w:val="18"/>
          <w:szCs w:val="18"/>
          <w:i w:val="1"/>
          <w:iCs w:val="1"/>
          <w:color w:val="auto"/>
        </w:rPr>
      </w:pPr>
    </w:p>
    <w:p>
      <w:pPr>
        <w:ind w:left="900" w:hanging="325"/>
        <w:spacing w:after="0" w:line="298" w:lineRule="auto"/>
        <w:tabs>
          <w:tab w:leader="none" w:pos="90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environmental issues may develop at our properties and result in unanticipated costs, and, because real estate is illiquid, that we may not be able to sell properties when appropriate;</w:t>
      </w:r>
    </w:p>
    <w:p>
      <w:pPr>
        <w:spacing w:after="0" w:line="31" w:lineRule="exact"/>
        <w:rPr>
          <w:rFonts w:ascii="Arial" w:cs="Arial" w:eastAsia="Arial" w:hAnsi="Arial"/>
          <w:sz w:val="16"/>
          <w:szCs w:val="16"/>
          <w:i w:val="1"/>
          <w:iCs w:val="1"/>
          <w:color w:val="auto"/>
        </w:rPr>
      </w:pPr>
    </w:p>
    <w:p>
      <w:pPr>
        <w:ind w:left="900" w:hanging="325"/>
        <w:spacing w:after="0"/>
        <w:tabs>
          <w:tab w:leader="none" w:pos="90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risks that our growth will be limited if we cannot obtain additional capital;</w:t>
      </w:r>
    </w:p>
    <w:p>
      <w:pPr>
        <w:spacing w:after="0" w:line="90" w:lineRule="exact"/>
        <w:rPr>
          <w:rFonts w:ascii="Arial" w:cs="Arial" w:eastAsia="Arial" w:hAnsi="Arial"/>
          <w:sz w:val="18"/>
          <w:szCs w:val="18"/>
          <w:i w:val="1"/>
          <w:iCs w:val="1"/>
          <w:color w:val="auto"/>
        </w:rPr>
      </w:pPr>
    </w:p>
    <w:p>
      <w:pPr>
        <w:ind w:left="900" w:hanging="325"/>
        <w:spacing w:after="0" w:line="259" w:lineRule="auto"/>
        <w:tabs>
          <w:tab w:leader="none" w:pos="90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59" w:lineRule="exact"/>
        <w:rPr>
          <w:rFonts w:ascii="Arial" w:cs="Arial" w:eastAsia="Arial" w:hAnsi="Arial"/>
          <w:sz w:val="18"/>
          <w:szCs w:val="18"/>
          <w:i w:val="1"/>
          <w:iCs w:val="1"/>
          <w:color w:val="auto"/>
        </w:rPr>
      </w:pPr>
    </w:p>
    <w:p>
      <w:pPr>
        <w:ind w:left="900" w:right="20" w:hanging="325"/>
        <w:spacing w:after="0" w:line="259" w:lineRule="auto"/>
        <w:tabs>
          <w:tab w:leader="none" w:pos="90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40" w:lineRule="exact"/>
        <w:rPr>
          <w:sz w:val="20"/>
          <w:szCs w:val="20"/>
          <w:color w:val="auto"/>
        </w:rPr>
      </w:pPr>
    </w:p>
    <w:p>
      <w:pPr>
        <w:ind w:right="480"/>
        <w:spacing w:after="0" w:line="332" w:lineRule="auto"/>
        <w:rPr>
          <w:sz w:val="20"/>
          <w:szCs w:val="20"/>
          <w:color w:val="auto"/>
        </w:rPr>
      </w:pPr>
      <w:r>
        <w:rPr>
          <w:rFonts w:ascii="Arial" w:cs="Arial" w:eastAsia="Arial" w:hAnsi="Arial"/>
          <w:sz w:val="16"/>
          <w:szCs w:val="16"/>
          <w:i w:val="1"/>
          <w:iCs w:val="1"/>
          <w:color w:val="auto"/>
        </w:rPr>
        <w:t>Given these uncertainties, readers are cautioned not to place undue reliance on any forward-looking statements that we make, including those in this press release. Except as may be required by law, we make no promise to update any of the forward-looking statements as a result of</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280" w:right="29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FEDERAL REALTY INVESTMENT TRUST ANNOUNCES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FIRST QUARTER 2010 OPERATING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4,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51" w:lineRule="exact"/>
        <w:rPr>
          <w:sz w:val="20"/>
          <w:szCs w:val="20"/>
          <w:color w:val="auto"/>
        </w:rPr>
      </w:pPr>
    </w:p>
    <w:p>
      <w:pPr>
        <w:spacing w:after="0" w:line="268" w:lineRule="auto"/>
        <w:rPr>
          <w:sz w:val="20"/>
          <w:szCs w:val="20"/>
          <w:color w:val="auto"/>
        </w:rPr>
      </w:pPr>
      <w:r>
        <w:rPr>
          <w:rFonts w:ascii="Arial" w:cs="Arial" w:eastAsia="Arial" w:hAnsi="Arial"/>
          <w:sz w:val="18"/>
          <w:szCs w:val="18"/>
          <w:i w:val="1"/>
          <w:iCs w:val="1"/>
          <w:color w:val="auto"/>
        </w:rPr>
        <w:t>new information, future events or otherwise. You should carefully review the risks and risk factors included in our Annual Report on Form 10-K filed February 17, 2010.</w:t>
      </w:r>
    </w:p>
    <w:p>
      <w:pPr>
        <w:spacing w:after="0" w:line="11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480"/>
          </w:cols>
          <w:pgMar w:left="240" w:top="280" w:right="117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Summarized Income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6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85"/>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center"/>
              <w:ind w:left="414"/>
              <w:spacing w:after="0"/>
              <w:rPr>
                <w:sz w:val="20"/>
                <w:szCs w:val="20"/>
                <w:color w:val="auto"/>
              </w:rPr>
            </w:pPr>
            <w:r>
              <w:rPr>
                <w:rFonts w:ascii="Arial" w:cs="Arial" w:eastAsia="Arial" w:hAnsi="Arial"/>
                <w:sz w:val="14"/>
                <w:szCs w:val="14"/>
                <w:b w:val="1"/>
                <w:bCs w:val="1"/>
                <w:color w:val="auto"/>
                <w:w w:val="92"/>
              </w:rPr>
              <w:t>March 31,</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2010</w:t>
            </w:r>
          </w:p>
        </w:tc>
        <w:tc>
          <w:tcPr>
            <w:tcW w:w="3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00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94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9"/>
              </w:rPr>
              <w:t>(in thousands,</w:t>
            </w:r>
          </w:p>
        </w:tc>
        <w:tc>
          <w:tcPr>
            <w:tcW w:w="3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76"/>
              </w:rPr>
              <w:t>except</w:t>
            </w:r>
          </w:p>
        </w:tc>
        <w:tc>
          <w:tcPr>
            <w:tcW w:w="9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7"/>
              </w:rPr>
              <w:t>per share data)</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3"/>
          </w:tcPr>
          <w:p>
            <w:pPr>
              <w:jc w:val="center"/>
              <w:ind w:left="414"/>
              <w:spacing w:after="0"/>
              <w:rPr>
                <w:sz w:val="20"/>
                <w:szCs w:val="20"/>
                <w:color w:val="auto"/>
              </w:rPr>
            </w:pPr>
            <w:r>
              <w:rPr>
                <w:rFonts w:ascii="Arial" w:cs="Arial" w:eastAsia="Arial" w:hAnsi="Arial"/>
                <w:sz w:val="14"/>
                <w:szCs w:val="14"/>
                <w:b w:val="1"/>
                <w:bCs w:val="1"/>
                <w:color w:val="auto"/>
                <w:w w:val="89"/>
              </w:rPr>
              <w:t>(unaudited)</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Rental income</w:t>
            </w:r>
          </w:p>
        </w:tc>
        <w:tc>
          <w:tcPr>
            <w:tcW w:w="4240" w:type="dxa"/>
            <w:vAlign w:val="bottom"/>
            <w:gridSpan w:val="2"/>
          </w:tcPr>
          <w:p>
            <w:pPr>
              <w:jc w:val="right"/>
              <w:ind w:right="39"/>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131,492</w:t>
            </w:r>
          </w:p>
        </w:tc>
        <w:tc>
          <w:tcPr>
            <w:tcW w:w="360" w:type="dxa"/>
            <w:vAlign w:val="bottom"/>
          </w:tcPr>
          <w:p>
            <w:pPr>
              <w:spacing w:after="0"/>
              <w:rPr>
                <w:sz w:val="18"/>
                <w:szCs w:val="18"/>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127,206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property income</w:t>
            </w:r>
          </w:p>
        </w:tc>
        <w:tc>
          <w:tcPr>
            <w:tcW w:w="4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5,912</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Mortgage interest income</w:t>
            </w:r>
          </w:p>
        </w:tc>
        <w:tc>
          <w:tcPr>
            <w:tcW w:w="40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1,066</w:t>
            </w:r>
          </w:p>
        </w:tc>
        <w:tc>
          <w:tcPr>
            <w:tcW w:w="3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w:t>
            </w:r>
          </w:p>
        </w:tc>
        <w:tc>
          <w:tcPr>
            <w:tcW w:w="4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138,470</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131,076</w:t>
            </w:r>
          </w:p>
        </w:tc>
        <w:tc>
          <w:tcPr>
            <w:tcW w:w="0" w:type="dxa"/>
            <w:vAlign w:val="bottom"/>
          </w:tcPr>
          <w:p>
            <w:pPr>
              <w:spacing w:after="0"/>
              <w:rPr>
                <w:sz w:val="1"/>
                <w:szCs w:val="1"/>
                <w:color w:val="auto"/>
              </w:rPr>
            </w:pPr>
          </w:p>
        </w:tc>
      </w:tr>
      <w:tr>
        <w:trPr>
          <w:trHeight w:val="222"/>
        </w:trPr>
        <w:tc>
          <w:tcPr>
            <w:tcW w:w="502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40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Rental expenses</w:t>
            </w:r>
          </w:p>
        </w:tc>
        <w:tc>
          <w:tcPr>
            <w:tcW w:w="4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30,003</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Real estate taxes</w:t>
            </w:r>
          </w:p>
        </w:tc>
        <w:tc>
          <w:tcPr>
            <w:tcW w:w="4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15,104</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13,832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4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5,375</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Litigation provision</w:t>
            </w:r>
          </w:p>
        </w:tc>
        <w:tc>
          <w:tcPr>
            <w:tcW w:w="4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114</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20,632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40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28,932</w:t>
            </w:r>
          </w:p>
        </w:tc>
        <w:tc>
          <w:tcPr>
            <w:tcW w:w="3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0" w:type="dxa"/>
            <w:vAlign w:val="bottom"/>
          </w:tcPr>
          <w:p>
            <w:pPr>
              <w:ind w:left="860"/>
              <w:spacing w:after="0"/>
              <w:rPr>
                <w:sz w:val="20"/>
                <w:szCs w:val="20"/>
                <w:color w:val="auto"/>
              </w:rPr>
            </w:pPr>
            <w:r>
              <w:rPr>
                <w:rFonts w:ascii="Arial" w:cs="Arial" w:eastAsia="Arial" w:hAnsi="Arial"/>
                <w:sz w:val="18"/>
                <w:szCs w:val="18"/>
                <w:color w:val="auto"/>
              </w:rPr>
              <w:t>Total operating expenses</w:t>
            </w:r>
          </w:p>
        </w:tc>
        <w:tc>
          <w:tcPr>
            <w:tcW w:w="40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79,528</w:t>
            </w:r>
          </w:p>
        </w:tc>
        <w:tc>
          <w:tcPr>
            <w:tcW w:w="3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96,898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4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58,942</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Other interest income</w:t>
            </w:r>
          </w:p>
        </w:tc>
        <w:tc>
          <w:tcPr>
            <w:tcW w:w="4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182</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4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(25,962)</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Early extinguishment of debt</w:t>
            </w:r>
          </w:p>
        </w:tc>
        <w:tc>
          <w:tcPr>
            <w:tcW w:w="4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232"/>
              <w:spacing w:after="0"/>
              <w:rPr>
                <w:sz w:val="20"/>
                <w:szCs w:val="20"/>
                <w:color w:val="auto"/>
              </w:rPr>
            </w:pPr>
            <w:r>
              <w:rPr>
                <w:rFonts w:ascii="Arial" w:cs="Arial" w:eastAsia="Arial" w:hAnsi="Arial"/>
                <w:sz w:val="18"/>
                <w:szCs w:val="18"/>
                <w:color w:val="auto"/>
              </w:rPr>
              <w:t>(2,801)</w:t>
            </w:r>
          </w:p>
        </w:tc>
        <w:tc>
          <w:tcPr>
            <w:tcW w:w="2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from real estate partnership</w:t>
            </w:r>
          </w:p>
        </w:tc>
        <w:tc>
          <w:tcPr>
            <w:tcW w:w="40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3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02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4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30,554</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10,901</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000" w:type="dxa"/>
            <w:vAlign w:val="bottom"/>
          </w:tcPr>
          <w:p>
            <w:pPr>
              <w:spacing w:after="0"/>
              <w:rPr>
                <w:sz w:val="9"/>
                <w:szCs w:val="9"/>
                <w:color w:val="auto"/>
              </w:rPr>
            </w:pPr>
          </w:p>
        </w:tc>
        <w:tc>
          <w:tcPr>
            <w:tcW w:w="4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4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Income from discontinued operations</w:t>
            </w:r>
          </w:p>
        </w:tc>
        <w:tc>
          <w:tcPr>
            <w:tcW w:w="4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37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on sale of real estate from discontinued operations</w:t>
            </w:r>
          </w:p>
        </w:tc>
        <w:tc>
          <w:tcPr>
            <w:tcW w:w="40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0" w:type="dxa"/>
            <w:vAlign w:val="bottom"/>
          </w:tcPr>
          <w:p>
            <w:pPr>
              <w:ind w:left="860"/>
              <w:spacing w:after="0"/>
              <w:rPr>
                <w:sz w:val="20"/>
                <w:szCs w:val="20"/>
                <w:color w:val="auto"/>
              </w:rPr>
            </w:pPr>
            <w:r>
              <w:rPr>
                <w:rFonts w:ascii="Arial" w:cs="Arial" w:eastAsia="Arial" w:hAnsi="Arial"/>
                <w:sz w:val="18"/>
                <w:szCs w:val="18"/>
                <w:color w:val="auto"/>
              </w:rPr>
              <w:t>Results from discontinued operations</w:t>
            </w:r>
          </w:p>
        </w:tc>
        <w:tc>
          <w:tcPr>
            <w:tcW w:w="40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30,554</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Net income attributable to noncontrolling interests</w:t>
            </w:r>
          </w:p>
        </w:tc>
        <w:tc>
          <w:tcPr>
            <w:tcW w:w="4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232"/>
              <w:spacing w:after="0"/>
              <w:rPr>
                <w:sz w:val="20"/>
                <w:szCs w:val="20"/>
                <w:color w:val="auto"/>
              </w:rPr>
            </w:pPr>
            <w:r>
              <w:rPr>
                <w:rFonts w:ascii="Arial" w:cs="Arial" w:eastAsia="Arial" w:hAnsi="Arial"/>
                <w:sz w:val="18"/>
                <w:szCs w:val="18"/>
                <w:color w:val="auto"/>
              </w:rPr>
              <w:t>(1,334)</w:t>
            </w:r>
          </w:p>
        </w:tc>
        <w:tc>
          <w:tcPr>
            <w:tcW w:w="26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the Trust</w:t>
            </w:r>
          </w:p>
        </w:tc>
        <w:tc>
          <w:tcPr>
            <w:tcW w:w="40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29,220</w:t>
            </w:r>
          </w:p>
        </w:tc>
        <w:tc>
          <w:tcPr>
            <w:tcW w:w="3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Dividends on preferred shares</w:t>
            </w:r>
          </w:p>
        </w:tc>
        <w:tc>
          <w:tcPr>
            <w:tcW w:w="4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gridSpan w:val="2"/>
          </w:tcPr>
          <w:p>
            <w:pPr>
              <w:jc w:val="right"/>
              <w:ind w:right="232"/>
              <w:spacing w:after="0"/>
              <w:rPr>
                <w:sz w:val="20"/>
                <w:szCs w:val="20"/>
                <w:color w:val="auto"/>
              </w:rPr>
            </w:pPr>
            <w:r>
              <w:rPr>
                <w:rFonts w:ascii="Arial" w:cs="Arial" w:eastAsia="Arial" w:hAnsi="Arial"/>
                <w:sz w:val="18"/>
                <w:szCs w:val="18"/>
                <w:color w:val="auto"/>
              </w:rPr>
              <w:t>(135)</w:t>
            </w:r>
          </w:p>
        </w:tc>
        <w:tc>
          <w:tcPr>
            <w:tcW w:w="260" w:type="dxa"/>
            <w:vAlign w:val="bottom"/>
          </w:tcPr>
          <w:p>
            <w:pPr>
              <w:spacing w:after="0"/>
              <w:rPr>
                <w:sz w:val="24"/>
                <w:szCs w:val="2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for common shareholders</w:t>
            </w:r>
          </w:p>
        </w:tc>
        <w:tc>
          <w:tcPr>
            <w:tcW w:w="402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29,085</w:t>
            </w:r>
          </w:p>
        </w:tc>
        <w:tc>
          <w:tcPr>
            <w:tcW w:w="360" w:type="dxa"/>
            <w:vAlign w:val="bottom"/>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gridSpan w:val="2"/>
            <w:vMerge w:val="restart"/>
          </w:tcPr>
          <w:p>
            <w:pPr>
              <w:spacing w:after="0"/>
              <w:rPr>
                <w:sz w:val="20"/>
                <w:szCs w:val="20"/>
                <w:color w:val="auto"/>
              </w:rPr>
            </w:pPr>
            <w:r>
              <w:rPr>
                <w:rFonts w:ascii="Arial" w:cs="Arial" w:eastAsia="Arial" w:hAnsi="Arial"/>
                <w:sz w:val="18"/>
                <w:szCs w:val="18"/>
                <w:color w:val="auto"/>
              </w:rPr>
              <w:t>EARNINGS PER COMMON SHARE, BASIC</w:t>
            </w:r>
          </w:p>
        </w:tc>
        <w:tc>
          <w:tcPr>
            <w:tcW w:w="4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20" w:type="dxa"/>
            <w:vAlign w:val="bottom"/>
            <w:gridSpan w:val="2"/>
            <w:vMerge w:val="continue"/>
          </w:tcPr>
          <w:p>
            <w:pPr>
              <w:spacing w:after="0"/>
              <w:rPr>
                <w:sz w:val="18"/>
                <w:szCs w:val="18"/>
                <w:color w:val="auto"/>
              </w:rPr>
            </w:pPr>
          </w:p>
        </w:tc>
        <w:tc>
          <w:tcPr>
            <w:tcW w:w="4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Continuing operations</w:t>
            </w:r>
          </w:p>
        </w:tc>
        <w:tc>
          <w:tcPr>
            <w:tcW w:w="4240" w:type="dxa"/>
            <w:vAlign w:val="bottom"/>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Discontinued operations</w:t>
            </w:r>
          </w:p>
        </w:tc>
        <w:tc>
          <w:tcPr>
            <w:tcW w:w="40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3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vMerge w:val="restart"/>
          </w:tcPr>
          <w:p>
            <w:pPr>
              <w:ind w:left="420"/>
              <w:spacing w:after="0"/>
              <w:rPr>
                <w:sz w:val="20"/>
                <w:szCs w:val="20"/>
                <w:color w:val="auto"/>
              </w:rPr>
            </w:pPr>
            <w:r>
              <w:rPr>
                <w:rFonts w:ascii="Arial" w:cs="Arial" w:eastAsia="Arial" w:hAnsi="Arial"/>
                <w:sz w:val="18"/>
                <w:szCs w:val="18"/>
                <w:color w:val="auto"/>
              </w:rPr>
              <w:t>Weighted average number of common shares, basic</w:t>
            </w:r>
          </w:p>
        </w:tc>
        <w:tc>
          <w:tcPr>
            <w:tcW w:w="4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000" w:type="dxa"/>
            <w:vAlign w:val="bottom"/>
            <w:vMerge w:val="continue"/>
          </w:tcPr>
          <w:p>
            <w:pPr>
              <w:spacing w:after="0"/>
              <w:rPr>
                <w:sz w:val="18"/>
                <w:szCs w:val="18"/>
                <w:color w:val="auto"/>
              </w:rPr>
            </w:pPr>
          </w:p>
        </w:tc>
        <w:tc>
          <w:tcPr>
            <w:tcW w:w="4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61,089</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58,841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 DILUTED</w:t>
            </w:r>
          </w:p>
        </w:tc>
        <w:tc>
          <w:tcPr>
            <w:tcW w:w="4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Continuing operations</w:t>
            </w:r>
          </w:p>
        </w:tc>
        <w:tc>
          <w:tcPr>
            <w:tcW w:w="4240" w:type="dxa"/>
            <w:vAlign w:val="bottom"/>
            <w:gridSpan w:val="2"/>
          </w:tcPr>
          <w:p>
            <w:pPr>
              <w:jc w:val="right"/>
              <w:ind w:right="39"/>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0.47</w:t>
            </w:r>
          </w:p>
        </w:tc>
        <w:tc>
          <w:tcPr>
            <w:tcW w:w="360" w:type="dxa"/>
            <w:vAlign w:val="bottom"/>
          </w:tcPr>
          <w:p>
            <w:pPr>
              <w:spacing w:after="0"/>
              <w:rPr>
                <w:sz w:val="18"/>
                <w:szCs w:val="18"/>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Discontinued operations</w:t>
            </w:r>
          </w:p>
        </w:tc>
        <w:tc>
          <w:tcPr>
            <w:tcW w:w="40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4240" w:type="dxa"/>
            <w:vAlign w:val="bottom"/>
            <w:gridSpan w:val="2"/>
          </w:tcPr>
          <w:p>
            <w:pPr>
              <w:jc w:val="right"/>
              <w:ind w:right="39"/>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0.47</w:t>
            </w:r>
          </w:p>
        </w:tc>
        <w:tc>
          <w:tcPr>
            <w:tcW w:w="360" w:type="dxa"/>
            <w:vAlign w:val="bottom"/>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Weighted average number of common shares, diluted</w:t>
            </w:r>
          </w:p>
        </w:tc>
        <w:tc>
          <w:tcPr>
            <w:tcW w:w="4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61,220</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58,960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4020" w:type="dxa"/>
            <w:vAlign w:val="bottom"/>
            <w:vMerge w:val="restart"/>
          </w:tcPr>
          <w:p>
            <w:pPr>
              <w:jc w:val="right"/>
              <w:ind w:right="3192"/>
              <w:spacing w:after="0"/>
              <w:rPr>
                <w:sz w:val="20"/>
                <w:szCs w:val="20"/>
                <w:color w:val="auto"/>
              </w:rPr>
            </w:pPr>
            <w:r>
              <w:rPr>
                <w:rFonts w:ascii="Arial" w:cs="Arial" w:eastAsia="Arial" w:hAnsi="Arial"/>
                <w:sz w:val="18"/>
                <w:szCs w:val="18"/>
                <w:color w:val="auto"/>
              </w:rPr>
              <w:t>7</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40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Summarized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372"/>
              <w:spacing w:after="0"/>
              <w:rPr>
                <w:sz w:val="20"/>
                <w:szCs w:val="20"/>
                <w:color w:val="auto"/>
              </w:rPr>
            </w:pPr>
            <w:r>
              <w:rPr>
                <w:rFonts w:ascii="Arial" w:cs="Arial" w:eastAsia="Arial" w:hAnsi="Arial"/>
                <w:sz w:val="14"/>
                <w:szCs w:val="14"/>
                <w:b w:val="1"/>
                <w:bCs w:val="1"/>
                <w:color w:val="auto"/>
                <w:w w:val="89"/>
              </w:rPr>
              <w:t>March 31,</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3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ind w:right="15"/>
              <w:spacing w:after="0" w:line="129" w:lineRule="exact"/>
              <w:rPr>
                <w:sz w:val="20"/>
                <w:szCs w:val="20"/>
                <w:color w:val="auto"/>
              </w:rPr>
            </w:pPr>
            <w:r>
              <w:rPr>
                <w:rFonts w:ascii="Arial" w:cs="Arial" w:eastAsia="Arial" w:hAnsi="Arial"/>
                <w:sz w:val="14"/>
                <w:szCs w:val="14"/>
                <w:b w:val="1"/>
                <w:bCs w:val="1"/>
                <w:color w:val="auto"/>
              </w:rPr>
              <w:t>(in</w:t>
            </w:r>
          </w:p>
        </w:tc>
        <w:tc>
          <w:tcPr>
            <w:tcW w:w="1120" w:type="dxa"/>
            <w:vAlign w:val="bottom"/>
            <w:gridSpan w:val="3"/>
          </w:tcPr>
          <w:p>
            <w:pPr>
              <w:jc w:val="right"/>
              <w:ind w:right="473"/>
              <w:spacing w:after="0" w:line="129" w:lineRule="exact"/>
              <w:rPr>
                <w:sz w:val="20"/>
                <w:szCs w:val="20"/>
                <w:color w:val="auto"/>
              </w:rPr>
            </w:pPr>
            <w:r>
              <w:rPr>
                <w:rFonts w:ascii="Arial" w:cs="Arial" w:eastAsia="Arial" w:hAnsi="Arial"/>
                <w:sz w:val="14"/>
                <w:szCs w:val="14"/>
                <w:b w:val="1"/>
                <w:bCs w:val="1"/>
                <w:color w:val="auto"/>
                <w:w w:val="71"/>
              </w:rPr>
              <w:t>thousands)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38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(unaudited)</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400" w:type="dxa"/>
            <w:vAlign w:val="bottom"/>
            <w:gridSpan w:val="2"/>
          </w:tcPr>
          <w:p>
            <w:pPr>
              <w:spacing w:after="0"/>
              <w:rPr>
                <w:sz w:val="20"/>
                <w:szCs w:val="20"/>
                <w:color w:val="auto"/>
              </w:rPr>
            </w:pPr>
            <w:r>
              <w:rPr>
                <w:rFonts w:ascii="Arial" w:cs="Arial" w:eastAsia="Arial" w:hAnsi="Arial"/>
                <w:sz w:val="18"/>
                <w:szCs w:val="18"/>
                <w:color w:val="auto"/>
              </w:rPr>
              <w:t>Real estate, at cost</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(including $86,554 and $68,643 of consolidated variable interest entities, respectively)</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w w:val="87"/>
              </w:rPr>
              <w:t>3,650,711</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3,626,476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Construction-in-progress</w:t>
            </w: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138,170</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132,758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w w:val="87"/>
              </w:rPr>
              <w:t>3,788,881</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3,759,234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w w:val="94"/>
              </w:rPr>
              <w:t>Less accumulated depreciation and amortization (including $3,289 and $3,053 of consolidated variable interest entities,</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9380" w:type="dxa"/>
            <w:vAlign w:val="bottom"/>
          </w:tcPr>
          <w:p>
            <w:pPr>
              <w:ind w:left="640"/>
              <w:spacing w:after="0"/>
              <w:rPr>
                <w:sz w:val="20"/>
                <w:szCs w:val="20"/>
                <w:color w:val="auto"/>
              </w:rPr>
            </w:pPr>
            <w:r>
              <w:rPr>
                <w:rFonts w:ascii="Arial" w:cs="Arial" w:eastAsia="Arial" w:hAnsi="Arial"/>
                <w:sz w:val="18"/>
                <w:szCs w:val="18"/>
                <w:color w:val="auto"/>
              </w:rPr>
              <w:t>respectively)</w:t>
            </w:r>
          </w:p>
        </w:tc>
        <w:tc>
          <w:tcPr>
            <w:tcW w:w="80" w:type="dxa"/>
            <w:vAlign w:val="bottom"/>
          </w:tcPr>
          <w:p>
            <w:pPr>
              <w:spacing w:after="0"/>
              <w:rPr>
                <w:sz w:val="20"/>
                <w:szCs w:val="20"/>
                <w:color w:val="auto"/>
              </w:rPr>
            </w:pPr>
          </w:p>
        </w:tc>
        <w:tc>
          <w:tcPr>
            <w:tcW w:w="1040" w:type="dxa"/>
            <w:vAlign w:val="bottom"/>
            <w:gridSpan w:val="2"/>
          </w:tcPr>
          <w:p>
            <w:pPr>
              <w:jc w:val="right"/>
              <w:ind w:right="212"/>
              <w:spacing w:after="0"/>
              <w:rPr>
                <w:sz w:val="20"/>
                <w:szCs w:val="20"/>
                <w:color w:val="auto"/>
              </w:rPr>
            </w:pPr>
            <w:r>
              <w:rPr>
                <w:rFonts w:ascii="Arial" w:cs="Arial" w:eastAsia="Arial" w:hAnsi="Arial"/>
                <w:sz w:val="18"/>
                <w:szCs w:val="18"/>
                <w:color w:val="auto"/>
                <w:w w:val="95"/>
              </w:rPr>
              <w:t>(963,173)</w:t>
            </w:r>
          </w:p>
        </w:tc>
        <w:tc>
          <w:tcPr>
            <w:tcW w:w="8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(938,087)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Net real estate</w:t>
            </w: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2,825,708</w:t>
            </w: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2,821,147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40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80" w:type="dxa"/>
            <w:vAlign w:val="bottom"/>
          </w:tcPr>
          <w:p>
            <w:pPr>
              <w:spacing w:after="0"/>
              <w:rPr>
                <w:sz w:val="24"/>
                <w:szCs w:val="24"/>
                <w:color w:val="auto"/>
              </w:rPr>
            </w:pPr>
          </w:p>
        </w:tc>
        <w:tc>
          <w:tcPr>
            <w:tcW w:w="1040" w:type="dxa"/>
            <w:vAlign w:val="bottom"/>
            <w:gridSpan w:val="2"/>
          </w:tcPr>
          <w:p>
            <w:pPr>
              <w:jc w:val="right"/>
              <w:ind w:right="252"/>
              <w:spacing w:after="0"/>
              <w:rPr>
                <w:sz w:val="20"/>
                <w:szCs w:val="20"/>
                <w:color w:val="auto"/>
              </w:rPr>
            </w:pPr>
            <w:r>
              <w:rPr>
                <w:rFonts w:ascii="Arial" w:cs="Arial" w:eastAsia="Arial" w:hAnsi="Arial"/>
                <w:sz w:val="18"/>
                <w:szCs w:val="18"/>
                <w:color w:val="auto"/>
              </w:rPr>
              <w:t>22,594</w:t>
            </w:r>
          </w:p>
        </w:tc>
        <w:tc>
          <w:tcPr>
            <w:tcW w:w="8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135,389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Accounts and notes receivable, net</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70,953</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Mortgage notes receivable, net</w:t>
            </w:r>
          </w:p>
        </w:tc>
        <w:tc>
          <w:tcPr>
            <w:tcW w:w="80" w:type="dxa"/>
            <w:vAlign w:val="bottom"/>
          </w:tcPr>
          <w:p>
            <w:pPr>
              <w:spacing w:after="0"/>
              <w:rPr>
                <w:sz w:val="18"/>
                <w:szCs w:val="18"/>
                <w:color w:val="auto"/>
              </w:rPr>
            </w:pPr>
          </w:p>
        </w:tc>
        <w:tc>
          <w:tcPr>
            <w:tcW w:w="1040" w:type="dxa"/>
            <w:vAlign w:val="bottom"/>
            <w:gridSpan w:val="2"/>
          </w:tcPr>
          <w:p>
            <w:pPr>
              <w:jc w:val="right"/>
              <w:ind w:right="252"/>
              <w:spacing w:after="0"/>
              <w:rPr>
                <w:sz w:val="20"/>
                <w:szCs w:val="20"/>
                <w:color w:val="auto"/>
              </w:rPr>
            </w:pPr>
            <w:r>
              <w:rPr>
                <w:rFonts w:ascii="Arial" w:cs="Arial" w:eastAsia="Arial" w:hAnsi="Arial"/>
                <w:sz w:val="18"/>
                <w:szCs w:val="18"/>
                <w:color w:val="auto"/>
              </w:rPr>
              <w:t>41,762</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48,336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Investment in real estate partnership</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35,453</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99,874</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109,613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104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w w:val="87"/>
              </w:rPr>
              <w:t>3,096,344</w:t>
            </w: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3,222,309</w:t>
            </w:r>
          </w:p>
        </w:tc>
        <w:tc>
          <w:tcPr>
            <w:tcW w:w="0" w:type="dxa"/>
            <w:vAlign w:val="bottom"/>
          </w:tcPr>
          <w:p>
            <w:pPr>
              <w:spacing w:after="0"/>
              <w:rPr>
                <w:sz w:val="1"/>
                <w:szCs w:val="1"/>
                <w:color w:val="auto"/>
              </w:rPr>
            </w:pPr>
          </w:p>
        </w:tc>
      </w:tr>
      <w:tr>
        <w:trPr>
          <w:trHeight w:val="20"/>
        </w:trPr>
        <w:tc>
          <w:tcPr>
            <w:tcW w:w="9400" w:type="dxa"/>
            <w:vAlign w:val="bottom"/>
            <w:gridSpan w:val="2"/>
            <w:vMerge w:val="restart"/>
          </w:tcPr>
          <w:p>
            <w:pPr>
              <w:spacing w:after="0"/>
              <w:rPr>
                <w:sz w:val="20"/>
                <w:szCs w:val="20"/>
                <w:color w:val="auto"/>
              </w:rPr>
            </w:pPr>
            <w:r>
              <w:rPr>
                <w:rFonts w:ascii="Arial" w:cs="Arial" w:eastAsia="Arial" w:hAnsi="Arial"/>
                <w:sz w:val="18"/>
                <w:szCs w:val="18"/>
                <w:color w:val="auto"/>
              </w:rPr>
              <w:t>LIABILITIES AND SHAREHOLDERS’ EQUITY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4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3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w w:val="92"/>
              </w:rPr>
              <w:t>Mortgages payable and capital lease obligations (including $23,262 and $23,417 of consolidated variable interest entities,</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80" w:type="dxa"/>
            <w:vAlign w:val="bottom"/>
          </w:tcPr>
          <w:p>
            <w:pPr>
              <w:ind w:left="640"/>
              <w:spacing w:after="0"/>
              <w:rPr>
                <w:sz w:val="20"/>
                <w:szCs w:val="20"/>
                <w:color w:val="auto"/>
              </w:rPr>
            </w:pPr>
            <w:r>
              <w:rPr>
                <w:rFonts w:ascii="Arial" w:cs="Arial" w:eastAsia="Arial" w:hAnsi="Arial"/>
                <w:sz w:val="18"/>
                <w:szCs w:val="18"/>
                <w:color w:val="auto"/>
              </w:rPr>
              <w:t>respectively)</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52"/>
              <w:spacing w:after="0"/>
              <w:rPr>
                <w:sz w:val="20"/>
                <w:szCs w:val="20"/>
                <w:color w:val="auto"/>
              </w:rPr>
            </w:pPr>
            <w:r>
              <w:rPr>
                <w:rFonts w:ascii="Arial" w:cs="Arial" w:eastAsia="Arial" w:hAnsi="Arial"/>
                <w:sz w:val="18"/>
                <w:szCs w:val="18"/>
                <w:color w:val="auto"/>
              </w:rPr>
              <w:t>599,087</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601,884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Notes payable</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11,694</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Senior notes and debentures</w:t>
            </w:r>
          </w:p>
        </w:tc>
        <w:tc>
          <w:tcPr>
            <w:tcW w:w="80" w:type="dxa"/>
            <w:vAlign w:val="bottom"/>
          </w:tcPr>
          <w:p>
            <w:pPr>
              <w:spacing w:after="0"/>
              <w:rPr>
                <w:sz w:val="18"/>
                <w:szCs w:val="18"/>
                <w:color w:val="auto"/>
              </w:rPr>
            </w:pPr>
          </w:p>
        </w:tc>
        <w:tc>
          <w:tcPr>
            <w:tcW w:w="1040" w:type="dxa"/>
            <w:vAlign w:val="bottom"/>
            <w:gridSpan w:val="2"/>
          </w:tcPr>
          <w:p>
            <w:pPr>
              <w:jc w:val="right"/>
              <w:ind w:right="252"/>
              <w:spacing w:after="0"/>
              <w:rPr>
                <w:sz w:val="20"/>
                <w:szCs w:val="20"/>
                <w:color w:val="auto"/>
              </w:rPr>
            </w:pPr>
            <w:r>
              <w:rPr>
                <w:rFonts w:ascii="Arial" w:cs="Arial" w:eastAsia="Arial" w:hAnsi="Arial"/>
                <w:sz w:val="18"/>
                <w:szCs w:val="18"/>
                <w:color w:val="auto"/>
                <w:w w:val="87"/>
              </w:rPr>
              <w:t>1,079,906</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930,219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 and other liabilities</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205,096</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219,398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40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80" w:type="dxa"/>
            <w:vAlign w:val="bottom"/>
          </w:tcPr>
          <w:p>
            <w:pPr>
              <w:spacing w:after="0"/>
              <w:rPr>
                <w:sz w:val="19"/>
                <w:szCs w:val="19"/>
                <w:color w:val="auto"/>
              </w:rPr>
            </w:pPr>
          </w:p>
        </w:tc>
        <w:tc>
          <w:tcPr>
            <w:tcW w:w="1040" w:type="dxa"/>
            <w:vAlign w:val="bottom"/>
            <w:gridSpan w:val="2"/>
          </w:tcPr>
          <w:p>
            <w:pPr>
              <w:jc w:val="right"/>
              <w:ind w:right="252"/>
              <w:spacing w:after="0"/>
              <w:rPr>
                <w:sz w:val="20"/>
                <w:szCs w:val="20"/>
                <w:color w:val="auto"/>
              </w:rPr>
            </w:pPr>
            <w:r>
              <w:rPr>
                <w:rFonts w:ascii="Arial" w:cs="Arial" w:eastAsia="Arial" w:hAnsi="Arial"/>
                <w:sz w:val="18"/>
                <w:szCs w:val="18"/>
                <w:color w:val="auto"/>
                <w:w w:val="87"/>
              </w:rPr>
              <w:t>1,895,783</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2,013,246</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3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Preferred shares</w:t>
            </w:r>
          </w:p>
        </w:tc>
        <w:tc>
          <w:tcPr>
            <w:tcW w:w="80" w:type="dxa"/>
            <w:vAlign w:val="bottom"/>
          </w:tcPr>
          <w:p>
            <w:pPr>
              <w:spacing w:after="0"/>
              <w:rPr>
                <w:sz w:val="18"/>
                <w:szCs w:val="18"/>
                <w:color w:val="auto"/>
              </w:rPr>
            </w:pPr>
          </w:p>
        </w:tc>
        <w:tc>
          <w:tcPr>
            <w:tcW w:w="1040" w:type="dxa"/>
            <w:vAlign w:val="bottom"/>
            <w:gridSpan w:val="2"/>
          </w:tcPr>
          <w:p>
            <w:pPr>
              <w:jc w:val="right"/>
              <w:ind w:right="252"/>
              <w:spacing w:after="0"/>
              <w:rPr>
                <w:sz w:val="20"/>
                <w:szCs w:val="20"/>
                <w:color w:val="auto"/>
              </w:rPr>
            </w:pPr>
            <w:r>
              <w:rPr>
                <w:rFonts w:ascii="Arial" w:cs="Arial" w:eastAsia="Arial" w:hAnsi="Arial"/>
                <w:sz w:val="18"/>
                <w:szCs w:val="18"/>
                <w:color w:val="auto"/>
              </w:rPr>
              <w:t>9,997</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shares and other shareholders’ equity</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1,159,139</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1,167,340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400" w:type="dxa"/>
            <w:vAlign w:val="bottom"/>
            <w:gridSpan w:val="2"/>
          </w:tcPr>
          <w:p>
            <w:pPr>
              <w:spacing w:after="0"/>
              <w:rPr>
                <w:sz w:val="20"/>
                <w:szCs w:val="20"/>
                <w:color w:val="auto"/>
              </w:rPr>
            </w:pPr>
            <w:r>
              <w:rPr>
                <w:rFonts w:ascii="Arial" w:cs="Arial" w:eastAsia="Arial" w:hAnsi="Arial"/>
                <w:sz w:val="18"/>
                <w:szCs w:val="18"/>
                <w:color w:val="auto"/>
              </w:rPr>
              <w:t>Total shareholders’ equity of the Trust</w:t>
            </w:r>
          </w:p>
        </w:tc>
        <w:tc>
          <w:tcPr>
            <w:tcW w:w="80" w:type="dxa"/>
            <w:vAlign w:val="bottom"/>
          </w:tcPr>
          <w:p>
            <w:pPr>
              <w:spacing w:after="0"/>
              <w:rPr>
                <w:sz w:val="19"/>
                <w:szCs w:val="19"/>
                <w:color w:val="auto"/>
              </w:rPr>
            </w:pPr>
          </w:p>
        </w:tc>
        <w:tc>
          <w:tcPr>
            <w:tcW w:w="1040" w:type="dxa"/>
            <w:vAlign w:val="bottom"/>
            <w:gridSpan w:val="2"/>
          </w:tcPr>
          <w:p>
            <w:pPr>
              <w:jc w:val="right"/>
              <w:ind w:right="252"/>
              <w:spacing w:after="0"/>
              <w:rPr>
                <w:sz w:val="20"/>
                <w:szCs w:val="20"/>
                <w:color w:val="auto"/>
              </w:rPr>
            </w:pPr>
            <w:r>
              <w:rPr>
                <w:rFonts w:ascii="Arial" w:cs="Arial" w:eastAsia="Arial" w:hAnsi="Arial"/>
                <w:sz w:val="18"/>
                <w:szCs w:val="18"/>
                <w:color w:val="auto"/>
                <w:w w:val="87"/>
              </w:rPr>
              <w:t>1,169,136</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1,177,337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Noncontrolling interests</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31,425</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00" w:type="dxa"/>
            <w:vAlign w:val="bottom"/>
            <w:gridSpan w:val="2"/>
          </w:tcPr>
          <w:p>
            <w:pPr>
              <w:spacing w:after="0"/>
              <w:rPr>
                <w:sz w:val="20"/>
                <w:szCs w:val="20"/>
                <w:color w:val="auto"/>
              </w:rPr>
            </w:pPr>
            <w:r>
              <w:rPr>
                <w:rFonts w:ascii="Arial" w:cs="Arial" w:eastAsia="Arial" w:hAnsi="Arial"/>
                <w:sz w:val="18"/>
                <w:szCs w:val="18"/>
                <w:color w:val="auto"/>
              </w:rPr>
              <w:t>Total shareholders’ equity</w:t>
            </w: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1,200,561</w:t>
            </w:r>
          </w:p>
        </w:tc>
        <w:tc>
          <w:tcPr>
            <w:tcW w:w="3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1,209,063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104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w w:val="87"/>
              </w:rPr>
              <w:t>3,096,344</w:t>
            </w: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3,222,309</w:t>
            </w:r>
          </w:p>
        </w:tc>
        <w:tc>
          <w:tcPr>
            <w:tcW w:w="0" w:type="dxa"/>
            <w:vAlign w:val="bottom"/>
          </w:tcPr>
          <w:p>
            <w:pPr>
              <w:spacing w:after="0"/>
              <w:rPr>
                <w:sz w:val="1"/>
                <w:szCs w:val="1"/>
                <w:color w:val="auto"/>
              </w:rPr>
            </w:pPr>
          </w:p>
        </w:tc>
      </w:tr>
      <w:tr>
        <w:trPr>
          <w:trHeight w:val="20"/>
        </w:trPr>
        <w:tc>
          <w:tcPr>
            <w:tcW w:w="9400" w:type="dxa"/>
            <w:vAlign w:val="bottom"/>
            <w:gridSpan w:val="2"/>
            <w:vMerge w:val="restart"/>
          </w:tcPr>
          <w:p>
            <w:pPr>
              <w:ind w:left="5680"/>
              <w:spacing w:after="0"/>
              <w:rPr>
                <w:sz w:val="20"/>
                <w:szCs w:val="20"/>
                <w:color w:val="auto"/>
              </w:rPr>
            </w:pPr>
            <w:r>
              <w:rPr>
                <w:rFonts w:ascii="Arial" w:cs="Arial" w:eastAsia="Arial" w:hAnsi="Arial"/>
                <w:sz w:val="18"/>
                <w:szCs w:val="18"/>
                <w:color w:val="auto"/>
              </w:rPr>
              <w:t>8</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940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Funds From Operations / Summary of Capital Expenditures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6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2010</w:t>
            </w:r>
          </w:p>
        </w:tc>
        <w:tc>
          <w:tcPr>
            <w:tcW w:w="98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760" w:type="dxa"/>
            <w:vAlign w:val="bottom"/>
            <w:gridSpan w:val="5"/>
          </w:tcPr>
          <w:p>
            <w:pPr>
              <w:jc w:val="right"/>
              <w:ind w:right="520"/>
              <w:spacing w:after="0" w:line="142" w:lineRule="exact"/>
              <w:rPr>
                <w:sz w:val="20"/>
                <w:szCs w:val="20"/>
                <w:color w:val="auto"/>
              </w:rPr>
            </w:pPr>
            <w:r>
              <w:rPr>
                <w:rFonts w:ascii="Arial" w:cs="Arial" w:eastAsia="Arial" w:hAnsi="Arial"/>
                <w:sz w:val="14"/>
                <w:szCs w:val="14"/>
                <w:b w:val="1"/>
                <w:bCs w:val="1"/>
                <w:color w:val="auto"/>
                <w:w w:val="89"/>
              </w:rPr>
              <w:t>(in thousands, except per share data)</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2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rPr>
              <w:t>Funds from Operations available for common shareholders (FFO) (1)</w:t>
            </w:r>
          </w:p>
        </w:tc>
        <w:tc>
          <w:tcPr>
            <w:tcW w:w="1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Net income (2)</w:t>
            </w:r>
          </w:p>
        </w:tc>
        <w:tc>
          <w:tcPr>
            <w:tcW w:w="216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660" w:type="dxa"/>
            <w:vAlign w:val="bottom"/>
            <w:tcBorders>
              <w:top w:val="single" w:sz="8" w:color="CCEEFF"/>
            </w:tcBorders>
            <w:gridSpan w:val="2"/>
          </w:tcPr>
          <w:p>
            <w:pPr>
              <w:jc w:val="right"/>
              <w:ind w:right="980"/>
              <w:spacing w:after="0"/>
              <w:rPr>
                <w:sz w:val="20"/>
                <w:szCs w:val="20"/>
                <w:color w:val="auto"/>
              </w:rPr>
            </w:pPr>
            <w:r>
              <w:rPr>
                <w:rFonts w:ascii="Arial" w:cs="Arial" w:eastAsia="Arial" w:hAnsi="Arial"/>
                <w:sz w:val="18"/>
                <w:szCs w:val="18"/>
                <w:color w:val="auto"/>
              </w:rPr>
              <w:t>30,554</w:t>
            </w:r>
          </w:p>
        </w:tc>
        <w:tc>
          <w:tcPr>
            <w:tcW w:w="200" w:type="dxa"/>
            <w:vAlign w:val="bottom"/>
            <w:tcBorders>
              <w:top w:val="single" w:sz="8" w:color="CCEEFF"/>
            </w:tcBorders>
          </w:tcPr>
          <w:p>
            <w:pPr>
              <w:jc w:val="right"/>
              <w:ind w:right="43"/>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CCEEFF"/>
            </w:tcBorders>
            <w:gridSpan w:val="2"/>
          </w:tcPr>
          <w:p>
            <w:pPr>
              <w:jc w:val="right"/>
              <w:ind w:right="200"/>
              <w:spacing w:after="0"/>
              <w:rPr>
                <w:sz w:val="20"/>
                <w:szCs w:val="20"/>
                <w:color w:val="auto"/>
              </w:rPr>
            </w:pPr>
            <w:r>
              <w:rPr>
                <w:rFonts w:ascii="Arial" w:cs="Arial" w:eastAsia="Arial" w:hAnsi="Arial"/>
                <w:sz w:val="18"/>
                <w:szCs w:val="18"/>
                <w:color w:val="auto"/>
              </w:rPr>
              <w:t>11,873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(1,334)</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5"/>
          </w:tcPr>
          <w:p>
            <w:pPr>
              <w:spacing w:after="0"/>
              <w:rPr>
                <w:sz w:val="20"/>
                <w:szCs w:val="20"/>
                <w:color w:val="auto"/>
              </w:rPr>
            </w:pPr>
            <w:r>
              <w:rPr>
                <w:rFonts w:ascii="Arial" w:cs="Arial" w:eastAsia="Arial" w:hAnsi="Arial"/>
                <w:sz w:val="18"/>
                <w:szCs w:val="18"/>
                <w:color w:val="auto"/>
              </w:rPr>
              <w:t>Gain on sale of real estate</w:t>
            </w: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2"/>
          </w:tcPr>
          <w:p>
            <w:pPr>
              <w:jc w:val="right"/>
              <w:ind w:right="10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Depreciation and amortization of real estate assets</w:t>
            </w: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26,087</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5"/>
          </w:tcPr>
          <w:p>
            <w:pPr>
              <w:spacing w:after="0"/>
              <w:rPr>
                <w:sz w:val="20"/>
                <w:szCs w:val="20"/>
                <w:color w:val="auto"/>
              </w:rPr>
            </w:pPr>
            <w:r>
              <w:rPr>
                <w:rFonts w:ascii="Arial" w:cs="Arial" w:eastAsia="Arial" w:hAnsi="Arial"/>
                <w:sz w:val="18"/>
                <w:szCs w:val="18"/>
                <w:color w:val="auto"/>
              </w:rPr>
              <w:t>Amortization of initial direct costs of leases</w:t>
            </w: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2"/>
          </w:tcPr>
          <w:p>
            <w:pPr>
              <w:jc w:val="right"/>
              <w:ind w:right="980"/>
              <w:spacing w:after="0"/>
              <w:rPr>
                <w:sz w:val="20"/>
                <w:szCs w:val="20"/>
                <w:color w:val="auto"/>
              </w:rPr>
            </w:pPr>
            <w:r>
              <w:rPr>
                <w:rFonts w:ascii="Arial" w:cs="Arial" w:eastAsia="Arial" w:hAnsi="Arial"/>
                <w:sz w:val="18"/>
                <w:szCs w:val="18"/>
                <w:color w:val="auto"/>
              </w:rPr>
              <w:t>2,236</w:t>
            </w: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Depreciation of joint venture real estate assets</w:t>
            </w: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351</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gridSpan w:val="5"/>
            <w:vMerge w:val="restart"/>
          </w:tcPr>
          <w:p>
            <w:pPr>
              <w:ind w:left="420"/>
              <w:spacing w:after="0"/>
              <w:rPr>
                <w:sz w:val="20"/>
                <w:szCs w:val="20"/>
                <w:color w:val="auto"/>
              </w:rPr>
            </w:pPr>
            <w:r>
              <w:rPr>
                <w:rFonts w:ascii="Arial" w:cs="Arial" w:eastAsia="Arial" w:hAnsi="Arial"/>
                <w:sz w:val="18"/>
                <w:szCs w:val="18"/>
                <w:color w:val="auto"/>
              </w:rPr>
              <w:t>Funds from operations</w:t>
            </w:r>
          </w:p>
        </w:tc>
        <w:tc>
          <w:tcPr>
            <w:tcW w:w="1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7020" w:type="dxa"/>
            <w:vAlign w:val="bottom"/>
            <w:gridSpan w:val="5"/>
            <w:vMerge w:val="continue"/>
          </w:tcPr>
          <w:p>
            <w:pPr>
              <w:spacing w:after="0"/>
              <w:rPr>
                <w:sz w:val="19"/>
                <w:szCs w:val="19"/>
                <w:color w:val="auto"/>
              </w:rPr>
            </w:pPr>
          </w:p>
        </w:tc>
        <w:tc>
          <w:tcPr>
            <w:tcW w:w="1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gridSpan w:val="2"/>
          </w:tcPr>
          <w:p>
            <w:pPr>
              <w:jc w:val="right"/>
              <w:ind w:right="980"/>
              <w:spacing w:after="0"/>
              <w:rPr>
                <w:sz w:val="20"/>
                <w:szCs w:val="20"/>
                <w:color w:val="auto"/>
              </w:rPr>
            </w:pPr>
            <w:r>
              <w:rPr>
                <w:rFonts w:ascii="Arial" w:cs="Arial" w:eastAsia="Arial" w:hAnsi="Arial"/>
                <w:sz w:val="18"/>
                <w:szCs w:val="18"/>
                <w:color w:val="auto"/>
              </w:rPr>
              <w:t>57,894</w:t>
            </w:r>
          </w:p>
        </w:tc>
        <w:tc>
          <w:tcPr>
            <w:tcW w:w="20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38,026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0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Dividends on preferred shares</w:t>
            </w: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(135)</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5"/>
          </w:tcPr>
          <w:p>
            <w:pPr>
              <w:spacing w:after="0"/>
              <w:rPr>
                <w:sz w:val="20"/>
                <w:szCs w:val="20"/>
                <w:color w:val="auto"/>
              </w:rPr>
            </w:pPr>
            <w:r>
              <w:rPr>
                <w:rFonts w:ascii="Arial" w:cs="Arial" w:eastAsia="Arial" w:hAnsi="Arial"/>
                <w:sz w:val="18"/>
                <w:szCs w:val="18"/>
                <w:color w:val="auto"/>
              </w:rPr>
              <w:t>Income attributable to operating partnership units</w:t>
            </w: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2"/>
          </w:tcPr>
          <w:p>
            <w:pPr>
              <w:jc w:val="right"/>
              <w:ind w:right="980"/>
              <w:spacing w:after="0"/>
              <w:rPr>
                <w:sz w:val="20"/>
                <w:szCs w:val="20"/>
                <w:color w:val="auto"/>
              </w:rPr>
            </w:pPr>
            <w:r>
              <w:rPr>
                <w:rFonts w:ascii="Arial" w:cs="Arial" w:eastAsia="Arial" w:hAnsi="Arial"/>
                <w:sz w:val="18"/>
                <w:szCs w:val="18"/>
                <w:color w:val="auto"/>
              </w:rPr>
              <w:t>245</w:t>
            </w:r>
          </w:p>
        </w:tc>
        <w:tc>
          <w:tcPr>
            <w:tcW w:w="2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Income attributable to unvested shares</w:t>
            </w: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(192)</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gridSpan w:val="5"/>
            <w:vMerge w:val="restart"/>
          </w:tcPr>
          <w:p>
            <w:pPr>
              <w:ind w:left="420"/>
              <w:spacing w:after="0"/>
              <w:rPr>
                <w:sz w:val="20"/>
                <w:szCs w:val="20"/>
                <w:color w:val="auto"/>
              </w:rPr>
            </w:pPr>
            <w:r>
              <w:rPr>
                <w:rFonts w:ascii="Arial" w:cs="Arial" w:eastAsia="Arial" w:hAnsi="Arial"/>
                <w:sz w:val="18"/>
                <w:szCs w:val="18"/>
                <w:color w:val="auto"/>
              </w:rPr>
              <w:t>FFO</w:t>
            </w:r>
          </w:p>
        </w:tc>
        <w:tc>
          <w:tcPr>
            <w:tcW w:w="1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020" w:type="dxa"/>
            <w:vAlign w:val="bottom"/>
            <w:gridSpan w:val="5"/>
            <w:vMerge w:val="continue"/>
          </w:tcPr>
          <w:p>
            <w:pPr>
              <w:spacing w:after="0"/>
              <w:rPr>
                <w:sz w:val="19"/>
                <w:szCs w:val="19"/>
                <w:color w:val="auto"/>
              </w:rPr>
            </w:pPr>
          </w:p>
        </w:tc>
        <w:tc>
          <w:tcPr>
            <w:tcW w:w="1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gridSpan w:val="2"/>
          </w:tcPr>
          <w:p>
            <w:pPr>
              <w:jc w:val="right"/>
              <w:ind w:right="980"/>
              <w:spacing w:after="0"/>
              <w:rPr>
                <w:sz w:val="20"/>
                <w:szCs w:val="20"/>
                <w:color w:val="auto"/>
              </w:rPr>
            </w:pPr>
            <w:r>
              <w:rPr>
                <w:rFonts w:ascii="Arial" w:cs="Arial" w:eastAsia="Arial" w:hAnsi="Arial"/>
                <w:sz w:val="18"/>
                <w:szCs w:val="18"/>
                <w:color w:val="auto"/>
              </w:rPr>
              <w:t>57,812</w:t>
            </w:r>
          </w:p>
        </w:tc>
        <w:tc>
          <w:tcPr>
            <w:tcW w:w="20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37,761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2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Litigation provision, net of allocation to unvested shares</w:t>
            </w: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114</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20,565</w:t>
            </w:r>
          </w:p>
        </w:tc>
        <w:tc>
          <w:tcPr>
            <w:tcW w:w="0" w:type="dxa"/>
            <w:vAlign w:val="bottom"/>
          </w:tcPr>
          <w:p>
            <w:pPr>
              <w:spacing w:after="0"/>
              <w:rPr>
                <w:sz w:val="1"/>
                <w:szCs w:val="1"/>
                <w:color w:val="auto"/>
              </w:rPr>
            </w:pPr>
          </w:p>
        </w:tc>
      </w:tr>
      <w:tr>
        <w:trPr>
          <w:trHeight w:val="20"/>
        </w:trPr>
        <w:tc>
          <w:tcPr>
            <w:tcW w:w="7040" w:type="dxa"/>
            <w:vAlign w:val="bottom"/>
            <w:gridSpan w:val="6"/>
            <w:vMerge w:val="restart"/>
          </w:tcPr>
          <w:p>
            <w:pPr>
              <w:spacing w:after="0"/>
              <w:rPr>
                <w:sz w:val="20"/>
                <w:szCs w:val="20"/>
                <w:color w:val="auto"/>
              </w:rPr>
            </w:pPr>
            <w:r>
              <w:rPr>
                <w:rFonts w:ascii="Arial" w:cs="Arial" w:eastAsia="Arial" w:hAnsi="Arial"/>
                <w:sz w:val="18"/>
                <w:szCs w:val="18"/>
                <w:color w:val="auto"/>
              </w:rPr>
              <w:t>FFO excluding litigation provision</w:t>
            </w:r>
          </w:p>
        </w:tc>
        <w:tc>
          <w:tcPr>
            <w:tcW w:w="1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040" w:type="dxa"/>
            <w:vAlign w:val="bottom"/>
            <w:gridSpan w:val="6"/>
            <w:vMerge w:val="continue"/>
          </w:tcPr>
          <w:p>
            <w:pPr>
              <w:spacing w:after="0"/>
              <w:rPr>
                <w:sz w:val="19"/>
                <w:szCs w:val="19"/>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980"/>
              <w:spacing w:after="0"/>
              <w:rPr>
                <w:sz w:val="20"/>
                <w:szCs w:val="20"/>
                <w:color w:val="auto"/>
              </w:rPr>
            </w:pPr>
            <w:r>
              <w:rPr>
                <w:rFonts w:ascii="Arial" w:cs="Arial" w:eastAsia="Arial" w:hAnsi="Arial"/>
                <w:sz w:val="18"/>
                <w:szCs w:val="18"/>
                <w:color w:val="auto"/>
              </w:rPr>
              <w:t>57,926</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58,326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0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FFO per diluted share</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0.94</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20" w:type="dxa"/>
            <w:vAlign w:val="bottom"/>
            <w:gridSpan w:val="5"/>
          </w:tcPr>
          <w:p>
            <w:pPr>
              <w:spacing w:after="0"/>
              <w:rPr>
                <w:sz w:val="20"/>
                <w:szCs w:val="20"/>
                <w:color w:val="auto"/>
              </w:rPr>
            </w:pPr>
            <w:r>
              <w:rPr>
                <w:rFonts w:ascii="Arial" w:cs="Arial" w:eastAsia="Arial" w:hAnsi="Arial"/>
                <w:sz w:val="18"/>
                <w:szCs w:val="18"/>
                <w:color w:val="auto"/>
              </w:rPr>
              <w:t>Litigation provision per diluted share</w:t>
            </w:r>
          </w:p>
        </w:tc>
        <w:tc>
          <w:tcPr>
            <w:tcW w:w="14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FFO per diluted share excluding litigation provision</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0.94</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gridSpan w:val="5"/>
            <w:vMerge w:val="restart"/>
          </w:tcPr>
          <w:p>
            <w:pPr>
              <w:ind w:left="860"/>
              <w:spacing w:after="0"/>
              <w:rPr>
                <w:sz w:val="20"/>
                <w:szCs w:val="20"/>
                <w:color w:val="auto"/>
              </w:rPr>
            </w:pPr>
            <w:r>
              <w:rPr>
                <w:rFonts w:ascii="Arial" w:cs="Arial" w:eastAsia="Arial" w:hAnsi="Arial"/>
                <w:sz w:val="18"/>
                <w:szCs w:val="18"/>
                <w:color w:val="auto"/>
              </w:rPr>
              <w:t>Weighted average number of common shares, diluted</w:t>
            </w:r>
          </w:p>
        </w:tc>
        <w:tc>
          <w:tcPr>
            <w:tcW w:w="1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020" w:type="dxa"/>
            <w:vAlign w:val="bottom"/>
            <w:gridSpan w:val="5"/>
            <w:vMerge w:val="continue"/>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2"/>
          </w:tcPr>
          <w:p>
            <w:pPr>
              <w:jc w:val="right"/>
              <w:ind w:right="980"/>
              <w:spacing w:after="0"/>
              <w:rPr>
                <w:sz w:val="20"/>
                <w:szCs w:val="20"/>
                <w:color w:val="auto"/>
              </w:rPr>
            </w:pPr>
            <w:r>
              <w:rPr>
                <w:rFonts w:ascii="Arial" w:cs="Arial" w:eastAsia="Arial" w:hAnsi="Arial"/>
                <w:sz w:val="18"/>
                <w:szCs w:val="18"/>
                <w:color w:val="auto"/>
              </w:rPr>
              <w:t>61,591</w:t>
            </w: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58,960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7020" w:type="dxa"/>
            <w:vAlign w:val="bottom"/>
            <w:gridSpan w:val="5"/>
            <w:shd w:val="clear" w:color="auto" w:fill="CCEEFF"/>
          </w:tcPr>
          <w:p>
            <w:pPr>
              <w:spacing w:after="0" w:line="170" w:lineRule="exact"/>
              <w:rPr>
                <w:sz w:val="20"/>
                <w:szCs w:val="20"/>
                <w:color w:val="auto"/>
              </w:rPr>
            </w:pPr>
            <w:r>
              <w:rPr>
                <w:rFonts w:ascii="Arial" w:cs="Arial" w:eastAsia="Arial" w:hAnsi="Arial"/>
                <w:sz w:val="18"/>
                <w:szCs w:val="18"/>
                <w:color w:val="auto"/>
              </w:rPr>
              <w:t>Summary of Capital Expenditures</w:t>
            </w:r>
          </w:p>
        </w:tc>
        <w:tc>
          <w:tcPr>
            <w:tcW w:w="14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Borders>
              <w:top w:val="single" w:sz="8" w:color="auto"/>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248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gridSpan w:val="5"/>
          </w:tcPr>
          <w:p>
            <w:pPr>
              <w:spacing w:after="0"/>
              <w:rPr>
                <w:sz w:val="20"/>
                <w:szCs w:val="20"/>
                <w:color w:val="auto"/>
              </w:rPr>
            </w:pPr>
            <w:r>
              <w:rPr>
                <w:rFonts w:ascii="Arial" w:cs="Arial" w:eastAsia="Arial" w:hAnsi="Arial"/>
                <w:sz w:val="18"/>
                <w:szCs w:val="18"/>
                <w:color w:val="auto"/>
              </w:rPr>
              <w:t>Non-maintenance capital expenditures</w:t>
            </w: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5"/>
            <w:shd w:val="clear" w:color="auto" w:fill="CCEEFF"/>
          </w:tcPr>
          <w:p>
            <w:pPr>
              <w:ind w:left="860"/>
              <w:spacing w:after="0"/>
              <w:rPr>
                <w:sz w:val="20"/>
                <w:szCs w:val="20"/>
                <w:color w:val="auto"/>
              </w:rPr>
            </w:pPr>
            <w:r>
              <w:rPr>
                <w:rFonts w:ascii="Arial" w:cs="Arial" w:eastAsia="Arial" w:hAnsi="Arial"/>
                <w:sz w:val="18"/>
                <w:szCs w:val="18"/>
                <w:color w:val="auto"/>
              </w:rPr>
              <w:t>Redevelopment and expansions</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9,392</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5"/>
          </w:tcPr>
          <w:p>
            <w:pPr>
              <w:ind w:left="860"/>
              <w:spacing w:after="0"/>
              <w:rPr>
                <w:sz w:val="20"/>
                <w:szCs w:val="20"/>
                <w:color w:val="auto"/>
              </w:rPr>
            </w:pPr>
            <w:r>
              <w:rPr>
                <w:rFonts w:ascii="Arial" w:cs="Arial" w:eastAsia="Arial" w:hAnsi="Arial"/>
                <w:sz w:val="18"/>
                <w:szCs w:val="18"/>
                <w:color w:val="auto"/>
              </w:rPr>
              <w:t>Tenant improvements and incentives</w:t>
            </w: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2"/>
          </w:tcPr>
          <w:p>
            <w:pPr>
              <w:jc w:val="right"/>
              <w:ind w:right="980"/>
              <w:spacing w:after="0"/>
              <w:rPr>
                <w:sz w:val="20"/>
                <w:szCs w:val="20"/>
                <w:color w:val="auto"/>
              </w:rPr>
            </w:pPr>
            <w:r>
              <w:rPr>
                <w:rFonts w:ascii="Arial" w:cs="Arial" w:eastAsia="Arial" w:hAnsi="Arial"/>
                <w:sz w:val="18"/>
                <w:szCs w:val="18"/>
                <w:color w:val="auto"/>
              </w:rPr>
              <w:t>2,388</w:t>
            </w: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3,767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Total non-maintenance capital expenditures</w:t>
            </w: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11,780</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5"/>
          </w:tcPr>
          <w:p>
            <w:pPr>
              <w:ind w:left="420"/>
              <w:spacing w:after="0"/>
              <w:rPr>
                <w:sz w:val="20"/>
                <w:szCs w:val="20"/>
                <w:color w:val="auto"/>
              </w:rPr>
            </w:pPr>
            <w:r>
              <w:rPr>
                <w:rFonts w:ascii="Arial" w:cs="Arial" w:eastAsia="Arial" w:hAnsi="Arial"/>
                <w:sz w:val="18"/>
                <w:szCs w:val="18"/>
                <w:color w:val="auto"/>
              </w:rPr>
              <w:t>Maintenance capital expenditures</w:t>
            </w: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2"/>
          </w:tcPr>
          <w:p>
            <w:pPr>
              <w:jc w:val="right"/>
              <w:ind w:right="980"/>
              <w:spacing w:after="0"/>
              <w:rPr>
                <w:sz w:val="20"/>
                <w:szCs w:val="20"/>
                <w:color w:val="auto"/>
              </w:rPr>
            </w:pPr>
            <w:r>
              <w:rPr>
                <w:rFonts w:ascii="Arial" w:cs="Arial" w:eastAsia="Arial" w:hAnsi="Arial"/>
                <w:sz w:val="18"/>
                <w:szCs w:val="18"/>
                <w:color w:val="auto"/>
              </w:rPr>
              <w:t>1,246</w:t>
            </w: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1,320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Total capital expenditures</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13,026</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25,914</w:t>
            </w:r>
          </w:p>
        </w:tc>
        <w:tc>
          <w:tcPr>
            <w:tcW w:w="0" w:type="dxa"/>
            <w:vAlign w:val="bottom"/>
          </w:tcPr>
          <w:p>
            <w:pPr>
              <w:spacing w:after="0"/>
              <w:rPr>
                <w:sz w:val="1"/>
                <w:szCs w:val="1"/>
                <w:color w:val="auto"/>
              </w:rPr>
            </w:pPr>
          </w:p>
        </w:tc>
      </w:tr>
      <w:tr>
        <w:trPr>
          <w:trHeight w:val="20"/>
        </w:trPr>
        <w:tc>
          <w:tcPr>
            <w:tcW w:w="7040" w:type="dxa"/>
            <w:vAlign w:val="bottom"/>
            <w:gridSpan w:val="6"/>
            <w:vMerge w:val="restart"/>
          </w:tcPr>
          <w:p>
            <w:pPr>
              <w:spacing w:after="0"/>
              <w:rPr>
                <w:sz w:val="20"/>
                <w:szCs w:val="20"/>
                <w:color w:val="auto"/>
              </w:rPr>
            </w:pPr>
            <w:r>
              <w:rPr>
                <w:rFonts w:ascii="Arial" w:cs="Arial" w:eastAsia="Arial" w:hAnsi="Arial"/>
                <w:sz w:val="18"/>
                <w:szCs w:val="18"/>
                <w:color w:val="auto"/>
              </w:rPr>
              <w:t>Dividends and Payout Ratios</w:t>
            </w:r>
          </w:p>
        </w:tc>
        <w:tc>
          <w:tcPr>
            <w:tcW w:w="1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040" w:type="dxa"/>
            <w:vAlign w:val="bottom"/>
            <w:gridSpan w:val="6"/>
            <w:vMerge w:val="continue"/>
          </w:tcPr>
          <w:p>
            <w:pPr>
              <w:spacing w:after="0"/>
              <w:rPr>
                <w:sz w:val="14"/>
                <w:szCs w:val="14"/>
                <w:color w:val="auto"/>
              </w:rPr>
            </w:pPr>
          </w:p>
        </w:tc>
        <w:tc>
          <w:tcPr>
            <w:tcW w:w="1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Borders>
              <w:top w:val="single" w:sz="8" w:color="auto"/>
            </w:tcBorders>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Regular common dividends declared</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40,479</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38,404</w:t>
            </w:r>
          </w:p>
        </w:tc>
        <w:tc>
          <w:tcPr>
            <w:tcW w:w="0" w:type="dxa"/>
            <w:vAlign w:val="bottom"/>
          </w:tcPr>
          <w:p>
            <w:pPr>
              <w:spacing w:after="0"/>
              <w:rPr>
                <w:sz w:val="1"/>
                <w:szCs w:val="1"/>
                <w:color w:val="auto"/>
              </w:rPr>
            </w:pPr>
          </w:p>
        </w:tc>
      </w:tr>
      <w:tr>
        <w:trPr>
          <w:trHeight w:val="322"/>
        </w:trPr>
        <w:tc>
          <w:tcPr>
            <w:tcW w:w="7040" w:type="dxa"/>
            <w:vAlign w:val="bottom"/>
            <w:gridSpan w:val="6"/>
          </w:tcPr>
          <w:p>
            <w:pPr>
              <w:spacing w:after="0"/>
              <w:rPr>
                <w:sz w:val="20"/>
                <w:szCs w:val="20"/>
                <w:color w:val="auto"/>
              </w:rPr>
            </w:pPr>
            <w:r>
              <w:rPr>
                <w:rFonts w:ascii="Arial" w:cs="Arial" w:eastAsia="Arial" w:hAnsi="Arial"/>
                <w:sz w:val="18"/>
                <w:szCs w:val="18"/>
                <w:color w:val="auto"/>
              </w:rPr>
              <w:t>Dividend payout ratio as a percentage of FFO</w:t>
            </w: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gridSpan w:val="2"/>
          </w:tcPr>
          <w:p>
            <w:pPr>
              <w:jc w:val="right"/>
              <w:ind w:right="840"/>
              <w:spacing w:after="0"/>
              <w:rPr>
                <w:sz w:val="20"/>
                <w:szCs w:val="20"/>
                <w:color w:val="auto"/>
              </w:rPr>
            </w:pPr>
            <w:r>
              <w:rPr>
                <w:rFonts w:ascii="Arial" w:cs="Arial" w:eastAsia="Arial" w:hAnsi="Arial"/>
                <w:sz w:val="18"/>
                <w:szCs w:val="18"/>
                <w:color w:val="auto"/>
              </w:rPr>
              <w:t>70%</w:t>
            </w:r>
          </w:p>
        </w:tc>
        <w:tc>
          <w:tcPr>
            <w:tcW w:w="200" w:type="dxa"/>
            <w:vAlign w:val="bottom"/>
          </w:tcPr>
          <w:p>
            <w:pPr>
              <w:spacing w:after="0"/>
              <w:rPr>
                <w:sz w:val="24"/>
                <w:szCs w:val="2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0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Dividend payout ratio as a percentage of FFO excluding litigation provision (2)</w:t>
            </w: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70%</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9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80" w:type="dxa"/>
            <w:vAlign w:val="bottom"/>
          </w:tcPr>
          <w:p>
            <w:pPr>
              <w:spacing w:after="0"/>
              <w:rPr>
                <w:sz w:val="8"/>
                <w:szCs w:val="8"/>
                <w:color w:val="auto"/>
              </w:rPr>
            </w:pPr>
          </w:p>
        </w:tc>
        <w:tc>
          <w:tcPr>
            <w:tcW w:w="21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15"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See Glossary of Terms.</w:t>
      </w:r>
    </w:p>
    <w:p>
      <w:pPr>
        <w:spacing w:after="0" w:line="9" w:lineRule="exact"/>
        <w:rPr>
          <w:rFonts w:ascii="Arial" w:cs="Arial" w:eastAsia="Arial" w:hAnsi="Arial"/>
          <w:sz w:val="18"/>
          <w:szCs w:val="18"/>
          <w:color w:val="auto"/>
        </w:rPr>
      </w:pPr>
    </w:p>
    <w:p>
      <w:pPr>
        <w:ind w:left="460" w:right="180" w:hanging="452"/>
        <w:spacing w:after="0" w:line="302"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Net income for 2010 includes certain charges related to the litigation and appeal process over a parcel of land adjacent to Santana Row and 2009 net income includes a $20.6 million charge for increasing the accrual for such litigation matter. We believe FFO excluding this litigation provision provides a more meaningful evaluation of operations, and therefore, have included FFO and FFO per share excluding the related charges.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Data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4"/>
                <w:szCs w:val="14"/>
                <w:b w:val="1"/>
                <w:bCs w:val="1"/>
                <w:color w:val="auto"/>
              </w:rPr>
              <w:t>March 31,</w:t>
            </w:r>
          </w:p>
        </w:tc>
        <w:tc>
          <w:tcPr>
            <w:tcW w:w="7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76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2010</w:t>
            </w:r>
          </w:p>
        </w:tc>
        <w:tc>
          <w:tcPr>
            <w:tcW w:w="5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7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1"/>
              </w:rPr>
              <w:t>(in thousands,</w:t>
            </w:r>
          </w:p>
        </w:tc>
        <w:tc>
          <w:tcPr>
            <w:tcW w:w="1480" w:type="dxa"/>
            <w:vAlign w:val="bottom"/>
            <w:gridSpan w:val="3"/>
          </w:tcPr>
          <w:p>
            <w:pPr>
              <w:jc w:val="right"/>
              <w:ind w:right="54"/>
              <w:spacing w:after="0" w:line="142" w:lineRule="exact"/>
              <w:rPr>
                <w:sz w:val="20"/>
                <w:szCs w:val="20"/>
                <w:color w:val="auto"/>
              </w:rPr>
            </w:pPr>
            <w:r>
              <w:rPr>
                <w:rFonts w:ascii="Arial" w:cs="Arial" w:eastAsia="Arial" w:hAnsi="Arial"/>
                <w:sz w:val="14"/>
                <w:szCs w:val="14"/>
                <w:b w:val="1"/>
                <w:bCs w:val="1"/>
                <w:color w:val="auto"/>
                <w:w w:val="88"/>
              </w:rPr>
              <w:t>except per share data)</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 data</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gridSpan w:val="2"/>
          </w:tcPr>
          <w:p>
            <w:pPr>
              <w:ind w:left="440"/>
              <w:spacing w:after="0"/>
              <w:rPr>
                <w:sz w:val="20"/>
                <w:szCs w:val="20"/>
                <w:color w:val="auto"/>
              </w:rPr>
            </w:pPr>
            <w:r>
              <w:rPr>
                <w:rFonts w:ascii="Arial" w:cs="Arial" w:eastAsia="Arial" w:hAnsi="Arial"/>
                <w:sz w:val="18"/>
                <w:szCs w:val="18"/>
                <w:color w:val="auto"/>
              </w:rPr>
              <w:t>Common shares outstanding (1)</w:t>
            </w:r>
          </w:p>
        </w:tc>
        <w:tc>
          <w:tcPr>
            <w:tcW w:w="120" w:type="dxa"/>
            <w:vAlign w:val="bottom"/>
          </w:tcPr>
          <w:p>
            <w:pPr>
              <w:spacing w:after="0"/>
              <w:rPr>
                <w:sz w:val="18"/>
                <w:szCs w:val="18"/>
                <w:color w:val="auto"/>
              </w:rPr>
            </w:pPr>
          </w:p>
        </w:tc>
        <w:tc>
          <w:tcPr>
            <w:tcW w:w="1340" w:type="dxa"/>
            <w:vAlign w:val="bottom"/>
            <w:gridSpan w:val="2"/>
          </w:tcPr>
          <w:p>
            <w:pPr>
              <w:jc w:val="right"/>
              <w:ind w:right="472"/>
              <w:spacing w:after="0"/>
              <w:rPr>
                <w:sz w:val="20"/>
                <w:szCs w:val="20"/>
                <w:color w:val="auto"/>
              </w:rPr>
            </w:pPr>
            <w:r>
              <w:rPr>
                <w:rFonts w:ascii="Arial" w:cs="Arial" w:eastAsia="Arial" w:hAnsi="Arial"/>
                <w:sz w:val="18"/>
                <w:szCs w:val="18"/>
                <w:color w:val="auto"/>
              </w:rPr>
              <w:t>61,341</w:t>
            </w:r>
          </w:p>
        </w:tc>
        <w:tc>
          <w:tcPr>
            <w:tcW w:w="1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59,081</w:t>
            </w: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Market price per common share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72.81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46.00</w:t>
            </w:r>
          </w:p>
        </w:tc>
        <w:tc>
          <w:tcPr>
            <w:tcW w:w="0" w:type="dxa"/>
            <w:vAlign w:val="bottom"/>
          </w:tcPr>
          <w:p>
            <w:pPr>
              <w:spacing w:after="0"/>
              <w:rPr>
                <w:sz w:val="1"/>
                <w:szCs w:val="1"/>
                <w:color w:val="auto"/>
              </w:rPr>
            </w:pPr>
          </w:p>
        </w:tc>
      </w:tr>
      <w:tr>
        <w:trPr>
          <w:trHeight w:val="20"/>
        </w:trPr>
        <w:tc>
          <w:tcPr>
            <w:tcW w:w="8820" w:type="dxa"/>
            <w:vAlign w:val="bottom"/>
            <w:gridSpan w:val="2"/>
            <w:vMerge w:val="restart"/>
          </w:tcPr>
          <w:p>
            <w:pPr>
              <w:ind w:left="880"/>
              <w:spacing w:after="0"/>
              <w:rPr>
                <w:sz w:val="20"/>
                <w:szCs w:val="20"/>
                <w:color w:val="auto"/>
              </w:rPr>
            </w:pPr>
            <w:r>
              <w:rPr>
                <w:rFonts w:ascii="Arial" w:cs="Arial" w:eastAsia="Arial" w:hAnsi="Arial"/>
                <w:sz w:val="18"/>
                <w:szCs w:val="18"/>
                <w:color w:val="auto"/>
              </w:rPr>
              <w:t>Common equity market capitalization</w:t>
            </w: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820" w:type="dxa"/>
            <w:vAlign w:val="bottom"/>
            <w:gridSpan w:val="2"/>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472"/>
              <w:spacing w:after="0"/>
              <w:rPr>
                <w:sz w:val="20"/>
                <w:szCs w:val="20"/>
                <w:color w:val="auto"/>
              </w:rPr>
            </w:pPr>
            <w:r>
              <w:rPr>
                <w:rFonts w:ascii="Arial" w:cs="Arial" w:eastAsia="Arial" w:hAnsi="Arial"/>
                <w:sz w:val="18"/>
                <w:szCs w:val="18"/>
                <w:color w:val="auto"/>
                <w:w w:val="97"/>
              </w:rPr>
              <w:t>4,466,238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2,717,726</w:t>
            </w:r>
          </w:p>
        </w:tc>
        <w:tc>
          <w:tcPr>
            <w:tcW w:w="0" w:type="dxa"/>
            <w:vAlign w:val="bottom"/>
          </w:tcPr>
          <w:p>
            <w:pPr>
              <w:spacing w:after="0"/>
              <w:rPr>
                <w:sz w:val="1"/>
                <w:szCs w:val="1"/>
                <w:color w:val="auto"/>
              </w:rPr>
            </w:pPr>
          </w:p>
        </w:tc>
      </w:tr>
      <w:tr>
        <w:trPr>
          <w:trHeight w:val="28"/>
        </w:trPr>
        <w:tc>
          <w:tcPr>
            <w:tcW w:w="1160" w:type="dxa"/>
            <w:vAlign w:val="bottom"/>
          </w:tcPr>
          <w:p>
            <w:pPr>
              <w:spacing w:after="0"/>
              <w:rPr>
                <w:sz w:val="2"/>
                <w:szCs w:val="2"/>
                <w:color w:val="auto"/>
              </w:rPr>
            </w:pPr>
          </w:p>
        </w:tc>
        <w:tc>
          <w:tcPr>
            <w:tcW w:w="7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Series 1 preferred shares outstanding (2)</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400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8820" w:type="dxa"/>
            <w:vAlign w:val="bottom"/>
            <w:gridSpan w:val="2"/>
          </w:tcPr>
          <w:p>
            <w:pPr>
              <w:ind w:left="440"/>
              <w:spacing w:after="0"/>
              <w:rPr>
                <w:sz w:val="20"/>
                <w:szCs w:val="20"/>
                <w:color w:val="auto"/>
              </w:rPr>
            </w:pPr>
            <w:r>
              <w:rPr>
                <w:rFonts w:ascii="Arial" w:cs="Arial" w:eastAsia="Arial" w:hAnsi="Arial"/>
                <w:sz w:val="18"/>
                <w:szCs w:val="18"/>
                <w:color w:val="auto"/>
              </w:rPr>
              <w:t>Liquidation price per Series 1 preferred share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472"/>
              <w:spacing w:after="0"/>
              <w:rPr>
                <w:sz w:val="20"/>
                <w:szCs w:val="20"/>
                <w:color w:val="auto"/>
              </w:rPr>
            </w:pPr>
            <w:r>
              <w:rPr>
                <w:rFonts w:ascii="Arial" w:cs="Arial" w:eastAsia="Arial" w:hAnsi="Arial"/>
                <w:sz w:val="18"/>
                <w:szCs w:val="18"/>
                <w:color w:val="auto"/>
              </w:rPr>
              <w:t>25.00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7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Series 1 preferred equity market capitalization</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10,000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0"/>
        </w:trPr>
        <w:tc>
          <w:tcPr>
            <w:tcW w:w="8820" w:type="dxa"/>
            <w:vAlign w:val="bottom"/>
            <w:gridSpan w:val="2"/>
            <w:vMerge w:val="restart"/>
          </w:tcPr>
          <w:p>
            <w:pPr>
              <w:ind w:left="440"/>
              <w:spacing w:after="0"/>
              <w:rPr>
                <w:sz w:val="20"/>
                <w:szCs w:val="20"/>
                <w:color w:val="auto"/>
              </w:rPr>
            </w:pPr>
            <w:r>
              <w:rPr>
                <w:rFonts w:ascii="Arial" w:cs="Arial" w:eastAsia="Arial" w:hAnsi="Arial"/>
                <w:sz w:val="18"/>
                <w:szCs w:val="18"/>
                <w:color w:val="auto"/>
              </w:rPr>
              <w:t>Equity market capitalization</w:t>
            </w: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820" w:type="dxa"/>
            <w:vAlign w:val="bottom"/>
            <w:gridSpan w:val="2"/>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472"/>
              <w:spacing w:after="0"/>
              <w:rPr>
                <w:sz w:val="20"/>
                <w:szCs w:val="20"/>
                <w:color w:val="auto"/>
              </w:rPr>
            </w:pPr>
            <w:r>
              <w:rPr>
                <w:rFonts w:ascii="Arial" w:cs="Arial" w:eastAsia="Arial" w:hAnsi="Arial"/>
                <w:sz w:val="18"/>
                <w:szCs w:val="18"/>
                <w:color w:val="auto"/>
                <w:w w:val="97"/>
              </w:rPr>
              <w:t>4,476,238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2,727,726</w:t>
            </w:r>
          </w:p>
        </w:tc>
        <w:tc>
          <w:tcPr>
            <w:tcW w:w="0" w:type="dxa"/>
            <w:vAlign w:val="bottom"/>
          </w:tcPr>
          <w:p>
            <w:pPr>
              <w:spacing w:after="0"/>
              <w:rPr>
                <w:sz w:val="1"/>
                <w:szCs w:val="1"/>
                <w:color w:val="auto"/>
              </w:rPr>
            </w:pPr>
          </w:p>
        </w:tc>
      </w:tr>
      <w:tr>
        <w:trPr>
          <w:trHeight w:val="110"/>
        </w:trPr>
        <w:tc>
          <w:tcPr>
            <w:tcW w:w="1160" w:type="dxa"/>
            <w:vAlign w:val="bottom"/>
          </w:tcPr>
          <w:p>
            <w:pPr>
              <w:spacing w:after="0"/>
              <w:rPr>
                <w:sz w:val="9"/>
                <w:szCs w:val="9"/>
                <w:color w:val="auto"/>
              </w:rPr>
            </w:pPr>
          </w:p>
        </w:tc>
        <w:tc>
          <w:tcPr>
            <w:tcW w:w="7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debt (3)</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w w:val="97"/>
              </w:rPr>
              <w:t>1,690,687</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1,750,619</w:t>
            </w:r>
          </w:p>
        </w:tc>
        <w:tc>
          <w:tcPr>
            <w:tcW w:w="0" w:type="dxa"/>
            <w:vAlign w:val="bottom"/>
          </w:tcPr>
          <w:p>
            <w:pPr>
              <w:spacing w:after="0"/>
              <w:rPr>
                <w:sz w:val="1"/>
                <w:szCs w:val="1"/>
                <w:color w:val="auto"/>
              </w:rPr>
            </w:pPr>
          </w:p>
        </w:tc>
      </w:tr>
      <w:tr>
        <w:trPr>
          <w:trHeight w:val="20"/>
        </w:trPr>
        <w:tc>
          <w:tcPr>
            <w:tcW w:w="882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 market capitalization</w:t>
            </w: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820" w:type="dxa"/>
            <w:vAlign w:val="bottom"/>
            <w:gridSpan w:val="2"/>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472"/>
              <w:spacing w:after="0"/>
              <w:rPr>
                <w:sz w:val="20"/>
                <w:szCs w:val="20"/>
                <w:color w:val="auto"/>
              </w:rPr>
            </w:pPr>
            <w:r>
              <w:rPr>
                <w:rFonts w:ascii="Arial" w:cs="Arial" w:eastAsia="Arial" w:hAnsi="Arial"/>
                <w:sz w:val="18"/>
                <w:szCs w:val="18"/>
                <w:color w:val="auto"/>
                <w:w w:val="97"/>
              </w:rPr>
              <w:t>6,166,925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4,478,345</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debt to market capitalization at then current market price</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27%</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322"/>
        </w:trPr>
        <w:tc>
          <w:tcPr>
            <w:tcW w:w="8820" w:type="dxa"/>
            <w:vAlign w:val="bottom"/>
            <w:gridSpan w:val="2"/>
          </w:tcPr>
          <w:p>
            <w:pPr>
              <w:ind w:left="440"/>
              <w:spacing w:after="0"/>
              <w:rPr>
                <w:sz w:val="20"/>
                <w:szCs w:val="20"/>
                <w:color w:val="auto"/>
              </w:rPr>
            </w:pPr>
            <w:r>
              <w:rPr>
                <w:rFonts w:ascii="Arial" w:cs="Arial" w:eastAsia="Arial" w:hAnsi="Arial"/>
                <w:sz w:val="18"/>
                <w:szCs w:val="18"/>
                <w:color w:val="auto"/>
              </w:rPr>
              <w:t>Total debt to market capitalization at constant common share price of $46.00</w:t>
            </w:r>
          </w:p>
        </w:tc>
        <w:tc>
          <w:tcPr>
            <w:tcW w:w="120" w:type="dxa"/>
            <w:vAlign w:val="bottom"/>
          </w:tcPr>
          <w:p>
            <w:pPr>
              <w:spacing w:after="0"/>
              <w:rPr>
                <w:sz w:val="24"/>
                <w:szCs w:val="24"/>
                <w:color w:val="auto"/>
              </w:rPr>
            </w:pPr>
          </w:p>
        </w:tc>
        <w:tc>
          <w:tcPr>
            <w:tcW w:w="1340" w:type="dxa"/>
            <w:vAlign w:val="bottom"/>
            <w:gridSpan w:val="2"/>
          </w:tcPr>
          <w:p>
            <w:pPr>
              <w:jc w:val="right"/>
              <w:ind w:right="312"/>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24"/>
                <w:szCs w:val="2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10"/>
        </w:trPr>
        <w:tc>
          <w:tcPr>
            <w:tcW w:w="1160" w:type="dxa"/>
            <w:vAlign w:val="bottom"/>
          </w:tcPr>
          <w:p>
            <w:pPr>
              <w:spacing w:after="0"/>
              <w:rPr>
                <w:sz w:val="9"/>
                <w:szCs w:val="9"/>
                <w:color w:val="auto"/>
              </w:rPr>
            </w:pPr>
          </w:p>
        </w:tc>
        <w:tc>
          <w:tcPr>
            <w:tcW w:w="7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Fixed rate debt ratio:</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gridSpan w:val="2"/>
          </w:tcPr>
          <w:p>
            <w:pPr>
              <w:ind w:left="880"/>
              <w:spacing w:after="0"/>
              <w:rPr>
                <w:sz w:val="20"/>
                <w:szCs w:val="20"/>
                <w:color w:val="auto"/>
              </w:rPr>
            </w:pPr>
            <w:r>
              <w:rPr>
                <w:rFonts w:ascii="Arial" w:cs="Arial" w:eastAsia="Arial" w:hAnsi="Arial"/>
                <w:sz w:val="18"/>
                <w:szCs w:val="18"/>
                <w:color w:val="auto"/>
              </w:rPr>
              <w:t>Fixed rate debt and capital lease obligations</w:t>
            </w:r>
          </w:p>
        </w:tc>
        <w:tc>
          <w:tcPr>
            <w:tcW w:w="120" w:type="dxa"/>
            <w:vAlign w:val="bottom"/>
          </w:tcPr>
          <w:p>
            <w:pPr>
              <w:spacing w:after="0"/>
              <w:rPr>
                <w:sz w:val="18"/>
                <w:szCs w:val="18"/>
                <w:color w:val="auto"/>
              </w:rPr>
            </w:pPr>
          </w:p>
        </w:tc>
        <w:tc>
          <w:tcPr>
            <w:tcW w:w="1340" w:type="dxa"/>
            <w:vAlign w:val="bottom"/>
            <w:gridSpan w:val="2"/>
          </w:tcPr>
          <w:p>
            <w:pPr>
              <w:jc w:val="right"/>
              <w:ind w:right="312"/>
              <w:spacing w:after="0"/>
              <w:rPr>
                <w:sz w:val="20"/>
                <w:szCs w:val="20"/>
                <w:color w:val="auto"/>
              </w:rPr>
            </w:pPr>
            <w:r>
              <w:rPr>
                <w:rFonts w:ascii="Arial" w:cs="Arial" w:eastAsia="Arial" w:hAnsi="Arial"/>
                <w:sz w:val="18"/>
                <w:szCs w:val="18"/>
                <w:color w:val="auto"/>
              </w:rPr>
              <w:t>99%</w:t>
            </w:r>
          </w:p>
        </w:tc>
        <w:tc>
          <w:tcPr>
            <w:tcW w:w="1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Variable rate debt</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16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312"/>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1160" w:type="dxa"/>
            <w:vAlign w:val="bottom"/>
            <w:tcBorders>
              <w:bottom w:val="single" w:sz="8" w:color="auto"/>
            </w:tcBorders>
          </w:tcPr>
          <w:p>
            <w:pPr>
              <w:spacing w:after="0"/>
              <w:rPr>
                <w:sz w:val="7"/>
                <w:szCs w:val="7"/>
                <w:color w:val="auto"/>
              </w:rPr>
            </w:pPr>
          </w:p>
        </w:tc>
        <w:tc>
          <w:tcPr>
            <w:tcW w:w="7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15" w:lineRule="exact"/>
        <w:rPr>
          <w:sz w:val="20"/>
          <w:szCs w:val="20"/>
          <w:color w:val="auto"/>
        </w:rPr>
      </w:pPr>
    </w:p>
    <w:p>
      <w:pPr>
        <w:ind w:left="580" w:hanging="572"/>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Amounts do not include 371,260 and 373,260 Operating Partnership Units outstanding at March 31, 2010 and 2009, respectively.</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These shares, issued March 8, 2007, are unregistered.</w:t>
      </w:r>
    </w:p>
    <w:p>
      <w:pPr>
        <w:spacing w:after="0" w:line="9" w:lineRule="exact"/>
        <w:rPr>
          <w:rFonts w:ascii="Arial" w:cs="Arial" w:eastAsia="Arial" w:hAnsi="Arial"/>
          <w:sz w:val="18"/>
          <w:szCs w:val="18"/>
          <w:color w:val="auto"/>
        </w:rPr>
      </w:pPr>
    </w:p>
    <w:p>
      <w:pPr>
        <w:ind w:left="580" w:right="140" w:hanging="572"/>
        <w:spacing w:after="0" w:line="331" w:lineRule="auto"/>
        <w:tabs>
          <w:tab w:leader="none" w:pos="580" w:val="left"/>
        </w:tabs>
        <w:numPr>
          <w:ilvl w:val="0"/>
          <w:numId w:val="7"/>
        </w:numPr>
        <w:rPr>
          <w:rFonts w:ascii="Arial" w:cs="Arial" w:eastAsia="Arial" w:hAnsi="Arial"/>
          <w:sz w:val="15"/>
          <w:szCs w:val="15"/>
          <w:color w:val="auto"/>
        </w:rPr>
      </w:pPr>
      <w:r>
        <w:rPr>
          <w:rFonts w:ascii="Arial" w:cs="Arial" w:eastAsia="Arial" w:hAnsi="Arial"/>
          <w:sz w:val="15"/>
          <w:szCs w:val="15"/>
          <w:color w:val="auto"/>
        </w:rPr>
        <w:t>Total debt includes capital leases, mortgages payable, notes payable, senior notes and debentures, net of premiums and discounts from our consolidated balance sheet. It does not include the $17.3 million and $24.4 million which is the Trust’s 30% share of the total mortgages payable of $57.7 million and $81.3 million at March 31, 2010 and 2009, respectively, of the partnership with a discretionary fund created and advised by ING Clarion Partners.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Rental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5"/>
              </w:rPr>
              <w:t>Three months ended</w:t>
            </w:r>
          </w:p>
        </w:tc>
      </w:t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9"/>
              </w:rPr>
              <w:t>March 31,</w:t>
            </w:r>
          </w:p>
        </w:tc>
      </w:tr>
      <w:tr>
        <w:trPr>
          <w:trHeight w:val="142"/>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2010</w:t>
            </w: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2"/>
                <w:szCs w:val="12"/>
                <w:color w:val="auto"/>
              </w:rPr>
            </w:pPr>
          </w:p>
        </w:tc>
      </w:tr>
      <w:tr>
        <w:trPr>
          <w:trHeight w:val="142"/>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20"/>
              <w:spacing w:after="0" w:line="142" w:lineRule="exact"/>
              <w:rPr>
                <w:sz w:val="20"/>
                <w:szCs w:val="20"/>
                <w:color w:val="auto"/>
              </w:rPr>
            </w:pPr>
            <w:r>
              <w:rPr>
                <w:rFonts w:ascii="Arial" w:cs="Arial" w:eastAsia="Arial" w:hAnsi="Arial"/>
                <w:sz w:val="14"/>
                <w:szCs w:val="14"/>
                <w:b w:val="1"/>
                <w:bCs w:val="1"/>
                <w:color w:val="auto"/>
              </w:rPr>
              <w:t>(in</w:t>
            </w:r>
          </w:p>
        </w:tc>
        <w:tc>
          <w:tcPr>
            <w:tcW w:w="980" w:type="dxa"/>
            <w:vAlign w:val="bottom"/>
            <w:gridSpan w:val="3"/>
          </w:tcPr>
          <w:p>
            <w:pPr>
              <w:jc w:val="right"/>
              <w:ind w:right="335"/>
              <w:spacing w:after="0" w:line="142" w:lineRule="exact"/>
              <w:rPr>
                <w:sz w:val="20"/>
                <w:szCs w:val="20"/>
                <w:color w:val="auto"/>
              </w:rPr>
            </w:pPr>
            <w:r>
              <w:rPr>
                <w:rFonts w:ascii="Arial" w:cs="Arial" w:eastAsia="Arial" w:hAnsi="Arial"/>
                <w:sz w:val="14"/>
                <w:szCs w:val="14"/>
                <w:b w:val="1"/>
                <w:bCs w:val="1"/>
                <w:color w:val="auto"/>
                <w:w w:val="71"/>
              </w:rPr>
              <w:t>thousands)</w:t>
            </w:r>
          </w:p>
        </w:tc>
        <w:tc>
          <w:tcPr>
            <w:tcW w:w="20" w:type="dxa"/>
            <w:vAlign w:val="bottom"/>
          </w:tcPr>
          <w:p>
            <w:pPr>
              <w:spacing w:after="0"/>
              <w:rPr>
                <w:sz w:val="12"/>
                <w:szCs w:val="12"/>
                <w:color w:val="auto"/>
              </w:rPr>
            </w:pPr>
          </w:p>
        </w:tc>
      </w:tr>
      <w:tr>
        <w:trPr>
          <w:trHeight w:val="216"/>
        </w:trPr>
        <w:tc>
          <w:tcPr>
            <w:tcW w:w="46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Minimum rents</w:t>
            </w:r>
          </w:p>
        </w:tc>
        <w:tc>
          <w:tcPr>
            <w:tcW w:w="3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560" w:type="dxa"/>
            <w:vAlign w:val="bottom"/>
            <w:gridSpan w:val="2"/>
          </w:tcPr>
          <w:p>
            <w:pPr>
              <w:ind w:left="440"/>
              <w:spacing w:after="0"/>
              <w:rPr>
                <w:sz w:val="20"/>
                <w:szCs w:val="20"/>
                <w:color w:val="auto"/>
              </w:rPr>
            </w:pPr>
            <w:r>
              <w:rPr>
                <w:rFonts w:ascii="Arial" w:cs="Arial" w:eastAsia="Arial" w:hAnsi="Arial"/>
                <w:sz w:val="18"/>
                <w:szCs w:val="18"/>
                <w:color w:val="auto"/>
              </w:rPr>
              <w:t>Retail and commercial (1)</w:t>
            </w:r>
          </w:p>
        </w:tc>
        <w:tc>
          <w:tcPr>
            <w:tcW w:w="3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93,973</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93,517</w:t>
            </w:r>
          </w:p>
        </w:tc>
        <w:tc>
          <w:tcPr>
            <w:tcW w:w="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Residential (2)</w:t>
            </w:r>
          </w:p>
        </w:tc>
        <w:tc>
          <w:tcPr>
            <w:tcW w:w="3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5,272</w:t>
            </w:r>
          </w:p>
        </w:tc>
        <w:tc>
          <w:tcPr>
            <w:tcW w:w="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Cost reimbursements</w:t>
            </w:r>
          </w:p>
        </w:tc>
        <w:tc>
          <w:tcPr>
            <w:tcW w:w="3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28,933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25,578</w:t>
            </w:r>
          </w:p>
        </w:tc>
        <w:tc>
          <w:tcPr>
            <w:tcW w:w="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Percentage rents</w:t>
            </w:r>
          </w:p>
        </w:tc>
        <w:tc>
          <w:tcPr>
            <w:tcW w:w="3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w:t>
            </w:r>
          </w:p>
        </w:tc>
        <w:tc>
          <w:tcPr>
            <w:tcW w:w="20" w:type="dxa"/>
            <w:vAlign w:val="bottom"/>
          </w:tcPr>
          <w:p>
            <w:pPr>
              <w:spacing w:after="0"/>
              <w:rPr>
                <w:sz w:val="18"/>
                <w:szCs w:val="18"/>
                <w:color w:val="auto"/>
              </w:rPr>
            </w:pPr>
          </w:p>
        </w:tc>
      </w:tr>
      <w:tr>
        <w:trPr>
          <w:trHeight w:val="223"/>
        </w:trPr>
        <w:tc>
          <w:tcPr>
            <w:tcW w:w="460" w:type="dxa"/>
            <w:vAlign w:val="bottom"/>
          </w:tcPr>
          <w:p>
            <w:pPr>
              <w:spacing w:after="0"/>
              <w:rPr>
                <w:sz w:val="19"/>
                <w:szCs w:val="19"/>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Other</w:t>
            </w:r>
          </w:p>
        </w:tc>
        <w:tc>
          <w:tcPr>
            <w:tcW w:w="3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1,832</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1,338</w:t>
            </w:r>
          </w:p>
        </w:tc>
        <w:tc>
          <w:tcPr>
            <w:tcW w:w="20" w:type="dxa"/>
            <w:vAlign w:val="bottom"/>
          </w:tcPr>
          <w:p>
            <w:pPr>
              <w:spacing w:after="0"/>
              <w:rPr>
                <w:sz w:val="19"/>
                <w:szCs w:val="19"/>
                <w:color w:val="auto"/>
              </w:rPr>
            </w:pPr>
          </w:p>
        </w:tc>
      </w:tr>
      <w:tr>
        <w:trPr>
          <w:trHeight w:val="216"/>
        </w:trPr>
        <w:tc>
          <w:tcPr>
            <w:tcW w:w="46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rental income</w:t>
            </w:r>
          </w:p>
        </w:tc>
        <w:tc>
          <w:tcPr>
            <w:tcW w:w="3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131,492</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127,206</w:t>
            </w:r>
          </w:p>
        </w:tc>
        <w:tc>
          <w:tcPr>
            <w:tcW w:w="20" w:type="dxa"/>
            <w:vAlign w:val="bottom"/>
          </w:tcPr>
          <w:p>
            <w:pPr>
              <w:spacing w:after="0"/>
              <w:rPr>
                <w:sz w:val="18"/>
                <w:szCs w:val="18"/>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9"/>
        </w:trPr>
        <w:tc>
          <w:tcPr>
            <w:tcW w:w="46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4860" w:type="dxa"/>
            <w:vAlign w:val="bottom"/>
          </w:tcPr>
          <w:p>
            <w:pPr>
              <w:spacing w:after="0"/>
              <w:rPr>
                <w:sz w:val="7"/>
                <w:szCs w:val="7"/>
                <w:color w:val="auto"/>
              </w:rPr>
            </w:pPr>
          </w:p>
        </w:tc>
        <w:tc>
          <w:tcPr>
            <w:tcW w:w="3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15" w:lineRule="exact"/>
        <w:rPr>
          <w:sz w:val="20"/>
          <w:szCs w:val="20"/>
          <w:color w:val="auto"/>
        </w:rPr>
      </w:pPr>
    </w:p>
    <w:p>
      <w:pPr>
        <w:jc w:val="both"/>
        <w:ind w:left="580" w:hanging="572"/>
        <w:spacing w:after="0" w:line="250" w:lineRule="auto"/>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Minimum rents include $1.1 million and $1.4 million for the three months ended March 31, 2010 and 2009, respectively, to recognize minimum rents on a straight-line basis. In addition, minimum rents include $0.4 million for the three months ended March 31, 2010 and 2009, to recognize income from the amortization of in-place leases.</w:t>
      </w:r>
    </w:p>
    <w:p>
      <w:pPr>
        <w:spacing w:after="0" w:line="1" w:lineRule="exact"/>
        <w:rPr>
          <w:rFonts w:ascii="Arial" w:cs="Arial" w:eastAsia="Arial" w:hAnsi="Arial"/>
          <w:sz w:val="18"/>
          <w:szCs w:val="18"/>
          <w:color w:val="auto"/>
        </w:rPr>
      </w:pPr>
    </w:p>
    <w:p>
      <w:pPr>
        <w:ind w:left="580" w:right="120" w:hanging="572"/>
        <w:spacing w:after="0" w:line="261" w:lineRule="auto"/>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Residential minimum rents consist of the rental amounts for residential units at Rollingwood Apartments, the Crest at Congressional Plaza Apartments, Santana Row, and Bethesda Row.</w:t>
      </w:r>
    </w:p>
    <w:p>
      <w:pPr>
        <w:spacing w:after="0" w:line="1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40"/>
          </w:cols>
          <w:pgMar w:left="240" w:top="274" w:right="319" w:bottom="1440" w:gutter="0" w:footer="0" w:header="0"/>
        </w:sectPr>
      </w:pPr>
    </w:p>
    <w:bookmarkStart w:id="14" w:name="page15"/>
    <w:bookmarkEnd w:id="14"/>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Outstanding Debt and Capital Lease Obligations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4"/>
              </w:rPr>
              <w:t>Stated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Weighted average</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820" w:type="dxa"/>
            <w:vAlign w:val="bottom"/>
            <w:gridSpan w:val="2"/>
          </w:tcPr>
          <w:p>
            <w:pPr>
              <w:jc w:val="right"/>
              <w:ind w:right="880"/>
              <w:spacing w:after="0" w:line="149" w:lineRule="exact"/>
              <w:rPr>
                <w:sz w:val="20"/>
                <w:szCs w:val="20"/>
                <w:color w:val="auto"/>
              </w:rPr>
            </w:pPr>
            <w:r>
              <w:rPr>
                <w:rFonts w:ascii="Arial" w:cs="Arial" w:eastAsia="Arial" w:hAnsi="Arial"/>
                <w:sz w:val="14"/>
                <w:szCs w:val="14"/>
                <w:b w:val="1"/>
                <w:bCs w:val="1"/>
                <w:color w:val="auto"/>
              </w:rPr>
              <w:t>Stated</w:t>
            </w:r>
          </w:p>
        </w:tc>
        <w:tc>
          <w:tcPr>
            <w:tcW w:w="16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5"/>
              </w:rPr>
              <w:t>interest rate as of</w:t>
            </w:r>
          </w:p>
        </w:tc>
        <w:tc>
          <w:tcPr>
            <w:tcW w:w="20" w:type="dxa"/>
            <w:vAlign w:val="bottom"/>
          </w:tcPr>
          <w:p>
            <w:pPr>
              <w:spacing w:after="0"/>
              <w:rPr>
                <w:sz w:val="12"/>
                <w:szCs w:val="12"/>
                <w:color w:val="auto"/>
              </w:rPr>
            </w:pPr>
          </w:p>
        </w:tc>
        <w:tc>
          <w:tcPr>
            <w:tcW w:w="1300" w:type="dxa"/>
            <w:vAlign w:val="bottom"/>
            <w:gridSpan w:val="4"/>
          </w:tcPr>
          <w:p>
            <w:pPr>
              <w:jc w:val="right"/>
              <w:ind w:right="480"/>
              <w:spacing w:after="0" w:line="149" w:lineRule="exact"/>
              <w:rPr>
                <w:sz w:val="20"/>
                <w:szCs w:val="20"/>
                <w:color w:val="auto"/>
              </w:rPr>
            </w:pPr>
            <w:r>
              <w:rPr>
                <w:rFonts w:ascii="Arial" w:cs="Arial" w:eastAsia="Arial" w:hAnsi="Arial"/>
                <w:sz w:val="14"/>
                <w:szCs w:val="14"/>
                <w:b w:val="1"/>
                <w:bCs w:val="1"/>
                <w:color w:val="auto"/>
                <w:w w:val="88"/>
              </w:rPr>
              <w:t>Balance as of</w:t>
            </w: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effective rate at</w:t>
            </w: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8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Maturity date</w:t>
            </w:r>
          </w:p>
        </w:tc>
        <w:tc>
          <w:tcPr>
            <w:tcW w:w="16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March 31, 2010</w:t>
            </w:r>
          </w:p>
        </w:tc>
        <w:tc>
          <w:tcPr>
            <w:tcW w:w="20" w:type="dxa"/>
            <w:vAlign w:val="bottom"/>
          </w:tcPr>
          <w:p>
            <w:pPr>
              <w:spacing w:after="0"/>
              <w:rPr>
                <w:sz w:val="14"/>
                <w:szCs w:val="14"/>
                <w:color w:val="auto"/>
              </w:rPr>
            </w:pPr>
          </w:p>
        </w:tc>
        <w:tc>
          <w:tcPr>
            <w:tcW w:w="1300" w:type="dxa"/>
            <w:vAlign w:val="bottom"/>
            <w:gridSpan w:val="4"/>
          </w:tcPr>
          <w:p>
            <w:pPr>
              <w:spacing w:after="0"/>
              <w:rPr>
                <w:sz w:val="20"/>
                <w:szCs w:val="20"/>
                <w:color w:val="auto"/>
              </w:rPr>
            </w:pPr>
            <w:r>
              <w:rPr>
                <w:rFonts w:ascii="Arial" w:cs="Arial" w:eastAsia="Arial" w:hAnsi="Arial"/>
                <w:sz w:val="14"/>
                <w:szCs w:val="14"/>
                <w:b w:val="1"/>
                <w:bCs w:val="1"/>
                <w:color w:val="auto"/>
              </w:rPr>
              <w:t>March 31, 2010</w:t>
            </w: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March 31, 2010 (g)</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52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2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rPr>
              <w:t>Mortgage loans (a)</w:t>
            </w:r>
          </w:p>
        </w:tc>
        <w:tc>
          <w:tcPr>
            <w:tcW w:w="15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5"/>
          </w:tcPr>
          <w:p>
            <w:pPr>
              <w:ind w:left="420"/>
              <w:spacing w:after="0"/>
              <w:rPr>
                <w:sz w:val="20"/>
                <w:szCs w:val="20"/>
                <w:color w:val="auto"/>
              </w:rPr>
            </w:pPr>
            <w:r>
              <w:rPr>
                <w:rFonts w:ascii="Arial" w:cs="Arial" w:eastAsia="Arial" w:hAnsi="Arial"/>
                <w:sz w:val="18"/>
                <w:szCs w:val="18"/>
                <w:i w:val="1"/>
                <w:iCs w:val="1"/>
                <w:color w:val="auto"/>
              </w:rPr>
              <w:t>Secured fixed rate</w:t>
            </w:r>
          </w:p>
        </w:tc>
        <w:tc>
          <w:tcPr>
            <w:tcW w:w="1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Federal Plaza</w:t>
            </w:r>
          </w:p>
        </w:tc>
        <w:tc>
          <w:tcPr>
            <w:tcW w:w="1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06/01/11</w:t>
            </w: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6.75%</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32,373</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5"/>
          </w:tcPr>
          <w:p>
            <w:pPr>
              <w:ind w:left="420"/>
              <w:spacing w:after="0"/>
              <w:rPr>
                <w:sz w:val="20"/>
                <w:szCs w:val="20"/>
                <w:color w:val="auto"/>
              </w:rPr>
            </w:pPr>
            <w:r>
              <w:rPr>
                <w:rFonts w:ascii="Arial" w:cs="Arial" w:eastAsia="Arial" w:hAnsi="Arial"/>
                <w:sz w:val="18"/>
                <w:szCs w:val="18"/>
                <w:color w:val="auto"/>
              </w:rPr>
              <w:t>Tysons Station</w:t>
            </w:r>
          </w:p>
        </w:tc>
        <w:tc>
          <w:tcPr>
            <w:tcW w:w="1820" w:type="dxa"/>
            <w:vAlign w:val="bottom"/>
            <w:gridSpan w:val="2"/>
          </w:tcPr>
          <w:p>
            <w:pPr>
              <w:jc w:val="right"/>
              <w:ind w:right="300"/>
              <w:spacing w:after="0"/>
              <w:rPr>
                <w:sz w:val="20"/>
                <w:szCs w:val="20"/>
                <w:color w:val="auto"/>
              </w:rPr>
            </w:pPr>
            <w:r>
              <w:rPr>
                <w:rFonts w:ascii="Arial" w:cs="Arial" w:eastAsia="Arial" w:hAnsi="Arial"/>
                <w:sz w:val="18"/>
                <w:szCs w:val="18"/>
                <w:color w:val="auto"/>
              </w:rPr>
              <w:t>09/01/11</w:t>
            </w: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7.40%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5,853</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Courtyard Shops</w:t>
            </w:r>
          </w:p>
        </w:tc>
        <w:tc>
          <w:tcPr>
            <w:tcW w:w="1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07/01/12</w:t>
            </w: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6.87%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7,462</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5"/>
          </w:tcPr>
          <w:p>
            <w:pPr>
              <w:ind w:left="420"/>
              <w:spacing w:after="0"/>
              <w:rPr>
                <w:sz w:val="20"/>
                <w:szCs w:val="20"/>
                <w:color w:val="auto"/>
              </w:rPr>
            </w:pPr>
            <w:r>
              <w:rPr>
                <w:rFonts w:ascii="Arial" w:cs="Arial" w:eastAsia="Arial" w:hAnsi="Arial"/>
                <w:sz w:val="18"/>
                <w:szCs w:val="18"/>
                <w:color w:val="auto"/>
              </w:rPr>
              <w:t>Bethesda Row</w:t>
            </w:r>
          </w:p>
        </w:tc>
        <w:tc>
          <w:tcPr>
            <w:tcW w:w="1820" w:type="dxa"/>
            <w:vAlign w:val="bottom"/>
            <w:gridSpan w:val="2"/>
          </w:tcPr>
          <w:p>
            <w:pPr>
              <w:jc w:val="right"/>
              <w:ind w:right="300"/>
              <w:spacing w:after="0"/>
              <w:rPr>
                <w:sz w:val="20"/>
                <w:szCs w:val="20"/>
                <w:color w:val="auto"/>
              </w:rPr>
            </w:pPr>
            <w:r>
              <w:rPr>
                <w:rFonts w:ascii="Arial" w:cs="Arial" w:eastAsia="Arial" w:hAnsi="Arial"/>
                <w:sz w:val="18"/>
                <w:szCs w:val="18"/>
                <w:color w:val="auto"/>
              </w:rPr>
              <w:t>01/01/13</w:t>
            </w: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5.37%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19,995</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Bethesda Row</w:t>
            </w:r>
          </w:p>
        </w:tc>
        <w:tc>
          <w:tcPr>
            <w:tcW w:w="1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02/01/13</w:t>
            </w: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4,269</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5"/>
          </w:tcPr>
          <w:p>
            <w:pPr>
              <w:ind w:left="420"/>
              <w:spacing w:after="0"/>
              <w:rPr>
                <w:sz w:val="20"/>
                <w:szCs w:val="20"/>
                <w:color w:val="auto"/>
              </w:rPr>
            </w:pPr>
            <w:r>
              <w:rPr>
                <w:rFonts w:ascii="Arial" w:cs="Arial" w:eastAsia="Arial" w:hAnsi="Arial"/>
                <w:sz w:val="18"/>
                <w:szCs w:val="18"/>
                <w:color w:val="auto"/>
              </w:rPr>
              <w:t>White Marsh Plaza (b)</w:t>
            </w:r>
          </w:p>
        </w:tc>
        <w:tc>
          <w:tcPr>
            <w:tcW w:w="1820" w:type="dxa"/>
            <w:vAlign w:val="bottom"/>
            <w:gridSpan w:val="2"/>
          </w:tcPr>
          <w:p>
            <w:pPr>
              <w:jc w:val="right"/>
              <w:ind w:right="300"/>
              <w:spacing w:after="0"/>
              <w:rPr>
                <w:sz w:val="20"/>
                <w:szCs w:val="20"/>
                <w:color w:val="auto"/>
              </w:rPr>
            </w:pPr>
            <w:r>
              <w:rPr>
                <w:rFonts w:ascii="Arial" w:cs="Arial" w:eastAsia="Arial" w:hAnsi="Arial"/>
                <w:sz w:val="18"/>
                <w:szCs w:val="18"/>
                <w:color w:val="auto"/>
              </w:rPr>
              <w:t>04/01/13</w:t>
            </w: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6.04%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9,791</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Crow Canyon</w:t>
            </w:r>
          </w:p>
        </w:tc>
        <w:tc>
          <w:tcPr>
            <w:tcW w:w="1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08/11/13</w:t>
            </w: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5.40%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20,709</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5"/>
          </w:tcPr>
          <w:p>
            <w:pPr>
              <w:ind w:left="420"/>
              <w:spacing w:after="0"/>
              <w:rPr>
                <w:sz w:val="20"/>
                <w:szCs w:val="20"/>
                <w:color w:val="auto"/>
              </w:rPr>
            </w:pPr>
            <w:r>
              <w:rPr>
                <w:rFonts w:ascii="Arial" w:cs="Arial" w:eastAsia="Arial" w:hAnsi="Arial"/>
                <w:sz w:val="18"/>
                <w:szCs w:val="18"/>
                <w:color w:val="auto"/>
              </w:rPr>
              <w:t>Idylwood Plaza</w:t>
            </w:r>
          </w:p>
        </w:tc>
        <w:tc>
          <w:tcPr>
            <w:tcW w:w="1820" w:type="dxa"/>
            <w:vAlign w:val="bottom"/>
            <w:gridSpan w:val="2"/>
          </w:tcPr>
          <w:p>
            <w:pPr>
              <w:jc w:val="right"/>
              <w:ind w:right="300"/>
              <w:spacing w:after="0"/>
              <w:rPr>
                <w:sz w:val="20"/>
                <w:szCs w:val="20"/>
                <w:color w:val="auto"/>
              </w:rPr>
            </w:pPr>
            <w:r>
              <w:rPr>
                <w:rFonts w:ascii="Arial" w:cs="Arial" w:eastAsia="Arial" w:hAnsi="Arial"/>
                <w:sz w:val="18"/>
                <w:szCs w:val="18"/>
                <w:color w:val="auto"/>
              </w:rPr>
              <w:t>06/05/14</w:t>
            </w: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7.50%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16,732</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Leesburg Plaza</w:t>
            </w:r>
          </w:p>
        </w:tc>
        <w:tc>
          <w:tcPr>
            <w:tcW w:w="1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06/05/14</w:t>
            </w: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7.50%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29,114</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5"/>
          </w:tcPr>
          <w:p>
            <w:pPr>
              <w:ind w:left="420"/>
              <w:spacing w:after="0"/>
              <w:rPr>
                <w:sz w:val="20"/>
                <w:szCs w:val="20"/>
                <w:color w:val="auto"/>
              </w:rPr>
            </w:pPr>
            <w:r>
              <w:rPr>
                <w:rFonts w:ascii="Arial" w:cs="Arial" w:eastAsia="Arial" w:hAnsi="Arial"/>
                <w:sz w:val="18"/>
                <w:szCs w:val="18"/>
                <w:color w:val="auto"/>
              </w:rPr>
              <w:t>Loehmann’s Plaza</w:t>
            </w:r>
          </w:p>
        </w:tc>
        <w:tc>
          <w:tcPr>
            <w:tcW w:w="1820" w:type="dxa"/>
            <w:vAlign w:val="bottom"/>
            <w:gridSpan w:val="2"/>
          </w:tcPr>
          <w:p>
            <w:pPr>
              <w:jc w:val="right"/>
              <w:ind w:right="300"/>
              <w:spacing w:after="0"/>
              <w:rPr>
                <w:sz w:val="20"/>
                <w:szCs w:val="20"/>
                <w:color w:val="auto"/>
              </w:rPr>
            </w:pPr>
            <w:r>
              <w:rPr>
                <w:rFonts w:ascii="Arial" w:cs="Arial" w:eastAsia="Arial" w:hAnsi="Arial"/>
                <w:sz w:val="18"/>
                <w:szCs w:val="18"/>
                <w:color w:val="auto"/>
              </w:rPr>
              <w:t>06/05/14</w:t>
            </w: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7.50%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37,647</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Pentagon Row</w:t>
            </w:r>
          </w:p>
        </w:tc>
        <w:tc>
          <w:tcPr>
            <w:tcW w:w="1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06/05/14</w:t>
            </w: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7.50%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54,045</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5"/>
          </w:tcPr>
          <w:p>
            <w:pPr>
              <w:ind w:left="420"/>
              <w:spacing w:after="0"/>
              <w:rPr>
                <w:sz w:val="20"/>
                <w:szCs w:val="20"/>
                <w:color w:val="auto"/>
              </w:rPr>
            </w:pPr>
            <w:r>
              <w:rPr>
                <w:rFonts w:ascii="Arial" w:cs="Arial" w:eastAsia="Arial" w:hAnsi="Arial"/>
                <w:sz w:val="18"/>
                <w:szCs w:val="18"/>
                <w:color w:val="auto"/>
              </w:rPr>
              <w:t>Melville Mall (c)</w:t>
            </w:r>
          </w:p>
        </w:tc>
        <w:tc>
          <w:tcPr>
            <w:tcW w:w="1820" w:type="dxa"/>
            <w:vAlign w:val="bottom"/>
            <w:gridSpan w:val="2"/>
          </w:tcPr>
          <w:p>
            <w:pPr>
              <w:jc w:val="right"/>
              <w:ind w:right="300"/>
              <w:spacing w:after="0"/>
              <w:rPr>
                <w:sz w:val="20"/>
                <w:szCs w:val="20"/>
                <w:color w:val="auto"/>
              </w:rPr>
            </w:pPr>
            <w:r>
              <w:rPr>
                <w:rFonts w:ascii="Arial" w:cs="Arial" w:eastAsia="Arial" w:hAnsi="Arial"/>
                <w:sz w:val="18"/>
                <w:szCs w:val="18"/>
                <w:color w:val="auto"/>
              </w:rPr>
              <w:t>09/01/14</w:t>
            </w: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5.25%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23,609</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THE AVENUE at White Marsh</w:t>
            </w:r>
          </w:p>
        </w:tc>
        <w:tc>
          <w:tcPr>
            <w:tcW w:w="1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01/01/15</w:t>
            </w: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5.46%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58,661</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5"/>
          </w:tcPr>
          <w:p>
            <w:pPr>
              <w:ind w:left="420"/>
              <w:spacing w:after="0"/>
              <w:rPr>
                <w:sz w:val="20"/>
                <w:szCs w:val="20"/>
                <w:color w:val="auto"/>
              </w:rPr>
            </w:pPr>
            <w:r>
              <w:rPr>
                <w:rFonts w:ascii="Arial" w:cs="Arial" w:eastAsia="Arial" w:hAnsi="Arial"/>
                <w:sz w:val="18"/>
                <w:szCs w:val="18"/>
                <w:color w:val="auto"/>
              </w:rPr>
              <w:t>Barracks Road</w:t>
            </w:r>
          </w:p>
        </w:tc>
        <w:tc>
          <w:tcPr>
            <w:tcW w:w="1820" w:type="dxa"/>
            <w:vAlign w:val="bottom"/>
            <w:gridSpan w:val="2"/>
          </w:tcPr>
          <w:p>
            <w:pPr>
              <w:jc w:val="right"/>
              <w:ind w:right="300"/>
              <w:spacing w:after="0"/>
              <w:rPr>
                <w:sz w:val="20"/>
                <w:szCs w:val="20"/>
                <w:color w:val="auto"/>
              </w:rPr>
            </w:pPr>
            <w:r>
              <w:rPr>
                <w:rFonts w:ascii="Arial" w:cs="Arial" w:eastAsia="Arial" w:hAnsi="Arial"/>
                <w:sz w:val="18"/>
                <w:szCs w:val="18"/>
                <w:color w:val="auto"/>
              </w:rPr>
              <w:t>11/01/15</w:t>
            </w: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7.95%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40,447</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Hauppauge</w:t>
            </w:r>
          </w:p>
        </w:tc>
        <w:tc>
          <w:tcPr>
            <w:tcW w:w="1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11/01/15</w:t>
            </w: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7.95%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15,248</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5"/>
          </w:tcPr>
          <w:p>
            <w:pPr>
              <w:ind w:left="420"/>
              <w:spacing w:after="0"/>
              <w:rPr>
                <w:sz w:val="20"/>
                <w:szCs w:val="20"/>
                <w:color w:val="auto"/>
              </w:rPr>
            </w:pPr>
            <w:r>
              <w:rPr>
                <w:rFonts w:ascii="Arial" w:cs="Arial" w:eastAsia="Arial" w:hAnsi="Arial"/>
                <w:sz w:val="18"/>
                <w:szCs w:val="18"/>
                <w:color w:val="auto"/>
              </w:rPr>
              <w:t>Lawrence Park</w:t>
            </w:r>
          </w:p>
        </w:tc>
        <w:tc>
          <w:tcPr>
            <w:tcW w:w="1820" w:type="dxa"/>
            <w:vAlign w:val="bottom"/>
            <w:gridSpan w:val="2"/>
          </w:tcPr>
          <w:p>
            <w:pPr>
              <w:jc w:val="right"/>
              <w:ind w:right="300"/>
              <w:spacing w:after="0"/>
              <w:rPr>
                <w:sz w:val="20"/>
                <w:szCs w:val="20"/>
                <w:color w:val="auto"/>
              </w:rPr>
            </w:pPr>
            <w:r>
              <w:rPr>
                <w:rFonts w:ascii="Arial" w:cs="Arial" w:eastAsia="Arial" w:hAnsi="Arial"/>
                <w:sz w:val="18"/>
                <w:szCs w:val="18"/>
                <w:color w:val="auto"/>
              </w:rPr>
              <w:t>11/01/15</w:t>
            </w: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7.95%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28,669</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Wildwood</w:t>
            </w:r>
          </w:p>
        </w:tc>
        <w:tc>
          <w:tcPr>
            <w:tcW w:w="1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11/01/15</w:t>
            </w: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7.95%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25,200</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5"/>
          </w:tcPr>
          <w:p>
            <w:pPr>
              <w:ind w:left="420"/>
              <w:spacing w:after="0"/>
              <w:rPr>
                <w:sz w:val="20"/>
                <w:szCs w:val="20"/>
                <w:color w:val="auto"/>
              </w:rPr>
            </w:pPr>
            <w:r>
              <w:rPr>
                <w:rFonts w:ascii="Arial" w:cs="Arial" w:eastAsia="Arial" w:hAnsi="Arial"/>
                <w:sz w:val="18"/>
                <w:szCs w:val="18"/>
                <w:color w:val="auto"/>
              </w:rPr>
              <w:t>Wynnewood</w:t>
            </w:r>
          </w:p>
        </w:tc>
        <w:tc>
          <w:tcPr>
            <w:tcW w:w="1820" w:type="dxa"/>
            <w:vAlign w:val="bottom"/>
            <w:gridSpan w:val="2"/>
          </w:tcPr>
          <w:p>
            <w:pPr>
              <w:jc w:val="right"/>
              <w:ind w:right="300"/>
              <w:spacing w:after="0"/>
              <w:rPr>
                <w:sz w:val="20"/>
                <w:szCs w:val="20"/>
                <w:color w:val="auto"/>
              </w:rPr>
            </w:pPr>
            <w:r>
              <w:rPr>
                <w:rFonts w:ascii="Arial" w:cs="Arial" w:eastAsia="Arial" w:hAnsi="Arial"/>
                <w:sz w:val="18"/>
                <w:szCs w:val="18"/>
                <w:color w:val="auto"/>
              </w:rPr>
              <w:t>11/01/15</w:t>
            </w: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7.95%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29,217</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Brick Plaza</w:t>
            </w:r>
          </w:p>
        </w:tc>
        <w:tc>
          <w:tcPr>
            <w:tcW w:w="1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11/01/15</w:t>
            </w: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7.42%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29,901</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5"/>
          </w:tcPr>
          <w:p>
            <w:pPr>
              <w:ind w:left="420"/>
              <w:spacing w:after="0"/>
              <w:rPr>
                <w:sz w:val="20"/>
                <w:szCs w:val="20"/>
                <w:color w:val="auto"/>
              </w:rPr>
            </w:pPr>
            <w:r>
              <w:rPr>
                <w:rFonts w:ascii="Arial" w:cs="Arial" w:eastAsia="Arial" w:hAnsi="Arial"/>
                <w:sz w:val="18"/>
                <w:szCs w:val="18"/>
                <w:color w:val="auto"/>
              </w:rPr>
              <w:t>Rollingwood Apartments</w:t>
            </w:r>
          </w:p>
        </w:tc>
        <w:tc>
          <w:tcPr>
            <w:tcW w:w="1820" w:type="dxa"/>
            <w:vAlign w:val="bottom"/>
            <w:gridSpan w:val="2"/>
          </w:tcPr>
          <w:p>
            <w:pPr>
              <w:jc w:val="right"/>
              <w:ind w:right="300"/>
              <w:spacing w:after="0"/>
              <w:rPr>
                <w:sz w:val="20"/>
                <w:szCs w:val="20"/>
                <w:color w:val="auto"/>
              </w:rPr>
            </w:pPr>
            <w:r>
              <w:rPr>
                <w:rFonts w:ascii="Arial" w:cs="Arial" w:eastAsia="Arial" w:hAnsi="Arial"/>
                <w:sz w:val="18"/>
                <w:szCs w:val="18"/>
                <w:color w:val="auto"/>
              </w:rPr>
              <w:t>05/01/19</w:t>
            </w: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5.54%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23,799</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Shoppers’ World</w:t>
            </w:r>
          </w:p>
        </w:tc>
        <w:tc>
          <w:tcPr>
            <w:tcW w:w="1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01/31/21</w:t>
            </w: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5.91%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5,699</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5"/>
          </w:tcPr>
          <w:p>
            <w:pPr>
              <w:ind w:left="420"/>
              <w:spacing w:after="0"/>
              <w:rPr>
                <w:sz w:val="20"/>
                <w:szCs w:val="20"/>
                <w:color w:val="auto"/>
              </w:rPr>
            </w:pPr>
            <w:r>
              <w:rPr>
                <w:rFonts w:ascii="Arial" w:cs="Arial" w:eastAsia="Arial" w:hAnsi="Arial"/>
                <w:sz w:val="18"/>
                <w:szCs w:val="18"/>
                <w:color w:val="auto"/>
              </w:rPr>
              <w:t>Mount Vernon (d)</w:t>
            </w:r>
          </w:p>
        </w:tc>
        <w:tc>
          <w:tcPr>
            <w:tcW w:w="1820" w:type="dxa"/>
            <w:vAlign w:val="bottom"/>
            <w:gridSpan w:val="2"/>
          </w:tcPr>
          <w:p>
            <w:pPr>
              <w:jc w:val="right"/>
              <w:ind w:right="300"/>
              <w:spacing w:after="0"/>
              <w:rPr>
                <w:sz w:val="20"/>
                <w:szCs w:val="20"/>
                <w:color w:val="auto"/>
              </w:rPr>
            </w:pPr>
            <w:r>
              <w:rPr>
                <w:rFonts w:ascii="Arial" w:cs="Arial" w:eastAsia="Arial" w:hAnsi="Arial"/>
                <w:sz w:val="18"/>
                <w:szCs w:val="18"/>
                <w:color w:val="auto"/>
              </w:rPr>
              <w:t>04/15/28</w:t>
            </w: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5.66%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11,210</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Chelsea</w:t>
            </w:r>
          </w:p>
        </w:tc>
        <w:tc>
          <w:tcPr>
            <w:tcW w:w="1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01/15/31</w:t>
            </w: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5.36%</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7,912</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20" w:type="dxa"/>
            <w:vAlign w:val="bottom"/>
            <w:gridSpan w:val="5"/>
          </w:tcPr>
          <w:p>
            <w:pPr>
              <w:ind w:left="860"/>
              <w:spacing w:after="0"/>
              <w:rPr>
                <w:sz w:val="20"/>
                <w:szCs w:val="20"/>
                <w:color w:val="auto"/>
              </w:rPr>
            </w:pPr>
            <w:r>
              <w:rPr>
                <w:rFonts w:ascii="Arial" w:cs="Arial" w:eastAsia="Arial" w:hAnsi="Arial"/>
                <w:sz w:val="18"/>
                <w:szCs w:val="18"/>
                <w:color w:val="auto"/>
              </w:rPr>
              <w:t>Subtotal</w:t>
            </w:r>
          </w:p>
        </w:tc>
        <w:tc>
          <w:tcPr>
            <w:tcW w:w="1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537,562</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2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Net unamortized discount</w:t>
            </w:r>
          </w:p>
        </w:tc>
        <w:tc>
          <w:tcPr>
            <w:tcW w:w="1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(433)</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20" w:type="dxa"/>
            <w:vAlign w:val="bottom"/>
            <w:gridSpan w:val="5"/>
          </w:tcPr>
          <w:p>
            <w:pPr>
              <w:ind w:left="860"/>
              <w:spacing w:after="0"/>
              <w:rPr>
                <w:sz w:val="20"/>
                <w:szCs w:val="20"/>
                <w:color w:val="auto"/>
              </w:rPr>
            </w:pPr>
            <w:r>
              <w:rPr>
                <w:rFonts w:ascii="Arial" w:cs="Arial" w:eastAsia="Arial" w:hAnsi="Arial"/>
                <w:sz w:val="18"/>
                <w:szCs w:val="18"/>
                <w:color w:val="auto"/>
              </w:rPr>
              <w:t>Total mortgage loans</w:t>
            </w:r>
          </w:p>
        </w:tc>
        <w:tc>
          <w:tcPr>
            <w:tcW w:w="1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537,129</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6.98%</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2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rPr>
              <w:t>Notes payable</w:t>
            </w:r>
          </w:p>
        </w:tc>
        <w:tc>
          <w:tcPr>
            <w:tcW w:w="15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5"/>
          </w:tcPr>
          <w:p>
            <w:pPr>
              <w:ind w:left="420"/>
              <w:spacing w:after="0"/>
              <w:rPr>
                <w:sz w:val="20"/>
                <w:szCs w:val="20"/>
                <w:color w:val="auto"/>
              </w:rPr>
            </w:pPr>
            <w:r>
              <w:rPr>
                <w:rFonts w:ascii="Arial" w:cs="Arial" w:eastAsia="Arial" w:hAnsi="Arial"/>
                <w:sz w:val="18"/>
                <w:szCs w:val="18"/>
                <w:i w:val="1"/>
                <w:iCs w:val="1"/>
                <w:color w:val="auto"/>
              </w:rPr>
              <w:t>Unsecured fixed rate</w:t>
            </w:r>
          </w:p>
        </w:tc>
        <w:tc>
          <w:tcPr>
            <w:tcW w:w="1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04/01/12</w:t>
            </w: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6.50%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1,415</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5"/>
          </w:tcPr>
          <w:p>
            <w:pPr>
              <w:ind w:left="420"/>
              <w:spacing w:after="0"/>
              <w:rPr>
                <w:sz w:val="20"/>
                <w:szCs w:val="20"/>
                <w:color w:val="auto"/>
              </w:rPr>
            </w:pPr>
            <w:r>
              <w:rPr>
                <w:rFonts w:ascii="Arial" w:cs="Arial" w:eastAsia="Arial" w:hAnsi="Arial"/>
                <w:sz w:val="18"/>
                <w:szCs w:val="18"/>
                <w:color w:val="auto"/>
              </w:rPr>
              <w:t>Perring Plaza renovation</w:t>
            </w:r>
          </w:p>
        </w:tc>
        <w:tc>
          <w:tcPr>
            <w:tcW w:w="1820" w:type="dxa"/>
            <w:vAlign w:val="bottom"/>
            <w:gridSpan w:val="2"/>
          </w:tcPr>
          <w:p>
            <w:pPr>
              <w:jc w:val="right"/>
              <w:ind w:right="300"/>
              <w:spacing w:after="0"/>
              <w:rPr>
                <w:sz w:val="20"/>
                <w:szCs w:val="20"/>
                <w:color w:val="auto"/>
              </w:rPr>
            </w:pPr>
            <w:r>
              <w:rPr>
                <w:rFonts w:ascii="Arial" w:cs="Arial" w:eastAsia="Arial" w:hAnsi="Arial"/>
                <w:sz w:val="18"/>
                <w:szCs w:val="18"/>
                <w:color w:val="auto"/>
              </w:rPr>
              <w:t>01/31/13</w:t>
            </w: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879</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5"/>
            <w:shd w:val="clear" w:color="auto" w:fill="CCEEFF"/>
          </w:tcPr>
          <w:p>
            <w:pPr>
              <w:ind w:left="420"/>
              <w:spacing w:after="0"/>
              <w:rPr>
                <w:sz w:val="20"/>
                <w:szCs w:val="20"/>
                <w:color w:val="auto"/>
              </w:rPr>
            </w:pPr>
            <w:r>
              <w:rPr>
                <w:rFonts w:ascii="Arial" w:cs="Arial" w:eastAsia="Arial" w:hAnsi="Arial"/>
                <w:sz w:val="18"/>
                <w:szCs w:val="18"/>
                <w:i w:val="1"/>
                <w:iCs w:val="1"/>
                <w:color w:val="auto"/>
              </w:rPr>
              <w:t>Unsecured variable rate</w:t>
            </w:r>
          </w:p>
        </w:tc>
        <w:tc>
          <w:tcPr>
            <w:tcW w:w="1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5"/>
          </w:tcPr>
          <w:p>
            <w:pPr>
              <w:ind w:left="420"/>
              <w:spacing w:after="0"/>
              <w:rPr>
                <w:sz w:val="20"/>
                <w:szCs w:val="20"/>
                <w:color w:val="auto"/>
              </w:rPr>
            </w:pPr>
            <w:r>
              <w:rPr>
                <w:rFonts w:ascii="Arial" w:cs="Arial" w:eastAsia="Arial" w:hAnsi="Arial"/>
                <w:sz w:val="18"/>
                <w:szCs w:val="18"/>
                <w:color w:val="auto"/>
              </w:rPr>
              <w:t>Revolving credit facility (e)</w:t>
            </w:r>
          </w:p>
        </w:tc>
        <w:tc>
          <w:tcPr>
            <w:tcW w:w="1820" w:type="dxa"/>
            <w:vAlign w:val="bottom"/>
            <w:gridSpan w:val="2"/>
          </w:tcPr>
          <w:p>
            <w:pPr>
              <w:jc w:val="right"/>
              <w:ind w:right="300"/>
              <w:spacing w:after="0"/>
              <w:rPr>
                <w:sz w:val="20"/>
                <w:szCs w:val="20"/>
                <w:color w:val="auto"/>
              </w:rPr>
            </w:pPr>
            <w:r>
              <w:rPr>
                <w:rFonts w:ascii="Arial" w:cs="Arial" w:eastAsia="Arial" w:hAnsi="Arial"/>
                <w:sz w:val="18"/>
                <w:szCs w:val="18"/>
                <w:color w:val="auto"/>
              </w:rPr>
              <w:t>07/27/11</w:t>
            </w: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LIBOR + 0.425%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Escondido (Municipal bonds) (f)</w:t>
            </w:r>
          </w:p>
        </w:tc>
        <w:tc>
          <w:tcPr>
            <w:tcW w:w="1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10/01/16</w:t>
            </w: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0.238%</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9,400</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20" w:type="dxa"/>
            <w:vAlign w:val="bottom"/>
            <w:gridSpan w:val="5"/>
          </w:tcPr>
          <w:p>
            <w:pPr>
              <w:ind w:left="860"/>
              <w:spacing w:after="0"/>
              <w:rPr>
                <w:sz w:val="20"/>
                <w:szCs w:val="20"/>
                <w:color w:val="auto"/>
              </w:rPr>
            </w:pPr>
            <w:r>
              <w:rPr>
                <w:rFonts w:ascii="Arial" w:cs="Arial" w:eastAsia="Arial" w:hAnsi="Arial"/>
                <w:sz w:val="18"/>
                <w:szCs w:val="18"/>
                <w:color w:val="auto"/>
              </w:rPr>
              <w:t>Total notes payable</w:t>
            </w:r>
          </w:p>
        </w:tc>
        <w:tc>
          <w:tcPr>
            <w:tcW w:w="1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11,694</w:t>
            </w: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2.54%</w:t>
            </w:r>
          </w:p>
        </w:tc>
        <w:tc>
          <w:tcPr>
            <w:tcW w:w="380" w:type="dxa"/>
            <w:vAlign w:val="bottom"/>
          </w:tcPr>
          <w:p>
            <w:pPr>
              <w:ind w:left="120"/>
              <w:spacing w:after="0"/>
              <w:rPr>
                <w:sz w:val="20"/>
                <w:szCs w:val="20"/>
                <w:color w:val="auto"/>
              </w:rPr>
            </w:pPr>
            <w:r>
              <w:rPr>
                <w:rFonts w:ascii="Arial" w:cs="Arial" w:eastAsia="Arial" w:hAnsi="Arial"/>
                <w:sz w:val="18"/>
                <w:szCs w:val="18"/>
                <w:color w:val="auto"/>
              </w:rPr>
              <w:t>(h)</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2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rPr>
              <w:t>Senior notes and debentures</w:t>
            </w:r>
          </w:p>
        </w:tc>
        <w:tc>
          <w:tcPr>
            <w:tcW w:w="1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tcBorders>
              <w:top w:val="single" w:sz="8" w:color="auto"/>
            </w:tcBorders>
            <w:gridSpan w:val="4"/>
          </w:tcPr>
          <w:p>
            <w:pPr>
              <w:ind w:left="420"/>
              <w:spacing w:after="0"/>
              <w:rPr>
                <w:sz w:val="20"/>
                <w:szCs w:val="20"/>
                <w:color w:val="auto"/>
              </w:rPr>
            </w:pPr>
            <w:r>
              <w:rPr>
                <w:rFonts w:ascii="Arial" w:cs="Arial" w:eastAsia="Arial" w:hAnsi="Arial"/>
                <w:sz w:val="18"/>
                <w:szCs w:val="18"/>
                <w:i w:val="1"/>
                <w:iCs w:val="1"/>
                <w:color w:val="auto"/>
                <w:w w:val="91"/>
              </w:rPr>
              <w:t>Unsecured fixed rate</w:t>
            </w:r>
          </w:p>
        </w:tc>
        <w:tc>
          <w:tcPr>
            <w:tcW w:w="216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4.50% notes</w:t>
            </w:r>
          </w:p>
        </w:tc>
        <w:tc>
          <w:tcPr>
            <w:tcW w:w="1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02/15/11</w:t>
            </w: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75,000</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5"/>
          </w:tcPr>
          <w:p>
            <w:pPr>
              <w:ind w:left="420"/>
              <w:spacing w:after="0"/>
              <w:rPr>
                <w:sz w:val="20"/>
                <w:szCs w:val="20"/>
                <w:color w:val="auto"/>
              </w:rPr>
            </w:pPr>
            <w:r>
              <w:rPr>
                <w:rFonts w:ascii="Arial" w:cs="Arial" w:eastAsia="Arial" w:hAnsi="Arial"/>
                <w:sz w:val="18"/>
                <w:szCs w:val="18"/>
                <w:color w:val="auto"/>
              </w:rPr>
              <w:t>6.00% notes</w:t>
            </w:r>
          </w:p>
        </w:tc>
        <w:tc>
          <w:tcPr>
            <w:tcW w:w="1820" w:type="dxa"/>
            <w:vAlign w:val="bottom"/>
            <w:gridSpan w:val="2"/>
          </w:tcPr>
          <w:p>
            <w:pPr>
              <w:jc w:val="right"/>
              <w:ind w:right="300"/>
              <w:spacing w:after="0"/>
              <w:rPr>
                <w:sz w:val="20"/>
                <w:szCs w:val="20"/>
                <w:color w:val="auto"/>
              </w:rPr>
            </w:pPr>
            <w:r>
              <w:rPr>
                <w:rFonts w:ascii="Arial" w:cs="Arial" w:eastAsia="Arial" w:hAnsi="Arial"/>
                <w:sz w:val="18"/>
                <w:szCs w:val="18"/>
                <w:color w:val="auto"/>
              </w:rPr>
              <w:t>07/15/12</w:t>
            </w: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6.00%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175,000</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5.40% notes</w:t>
            </w:r>
          </w:p>
        </w:tc>
        <w:tc>
          <w:tcPr>
            <w:tcW w:w="1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12/01/13</w:t>
            </w: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5.40%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135,000</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5"/>
          </w:tcPr>
          <w:p>
            <w:pPr>
              <w:ind w:left="420"/>
              <w:spacing w:after="0"/>
              <w:rPr>
                <w:sz w:val="20"/>
                <w:szCs w:val="20"/>
                <w:color w:val="auto"/>
              </w:rPr>
            </w:pPr>
            <w:r>
              <w:rPr>
                <w:rFonts w:ascii="Arial" w:cs="Arial" w:eastAsia="Arial" w:hAnsi="Arial"/>
                <w:sz w:val="18"/>
                <w:szCs w:val="18"/>
                <w:color w:val="auto"/>
              </w:rPr>
              <w:t>5.95% notes</w:t>
            </w:r>
          </w:p>
        </w:tc>
        <w:tc>
          <w:tcPr>
            <w:tcW w:w="1820" w:type="dxa"/>
            <w:vAlign w:val="bottom"/>
            <w:gridSpan w:val="2"/>
          </w:tcPr>
          <w:p>
            <w:pPr>
              <w:jc w:val="right"/>
              <w:ind w:right="300"/>
              <w:spacing w:after="0"/>
              <w:rPr>
                <w:sz w:val="20"/>
                <w:szCs w:val="20"/>
                <w:color w:val="auto"/>
              </w:rPr>
            </w:pPr>
            <w:r>
              <w:rPr>
                <w:rFonts w:ascii="Arial" w:cs="Arial" w:eastAsia="Arial" w:hAnsi="Arial"/>
                <w:sz w:val="18"/>
                <w:szCs w:val="18"/>
                <w:color w:val="auto"/>
              </w:rPr>
              <w:t>08/15/14</w:t>
            </w: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5.95%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150,000</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5.65% notes</w:t>
            </w:r>
          </w:p>
        </w:tc>
        <w:tc>
          <w:tcPr>
            <w:tcW w:w="1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06/01/16</w:t>
            </w: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5.65%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125,000</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5"/>
          </w:tcPr>
          <w:p>
            <w:pPr>
              <w:ind w:left="420"/>
              <w:spacing w:after="0"/>
              <w:rPr>
                <w:sz w:val="20"/>
                <w:szCs w:val="20"/>
                <w:color w:val="auto"/>
              </w:rPr>
            </w:pPr>
            <w:r>
              <w:rPr>
                <w:rFonts w:ascii="Arial" w:cs="Arial" w:eastAsia="Arial" w:hAnsi="Arial"/>
                <w:sz w:val="18"/>
                <w:szCs w:val="18"/>
                <w:color w:val="auto"/>
              </w:rPr>
              <w:t>6.20% notes</w:t>
            </w:r>
          </w:p>
        </w:tc>
        <w:tc>
          <w:tcPr>
            <w:tcW w:w="1820" w:type="dxa"/>
            <w:vAlign w:val="bottom"/>
            <w:gridSpan w:val="2"/>
          </w:tcPr>
          <w:p>
            <w:pPr>
              <w:jc w:val="right"/>
              <w:ind w:right="300"/>
              <w:spacing w:after="0"/>
              <w:rPr>
                <w:sz w:val="20"/>
                <w:szCs w:val="20"/>
                <w:color w:val="auto"/>
              </w:rPr>
            </w:pPr>
            <w:r>
              <w:rPr>
                <w:rFonts w:ascii="Arial" w:cs="Arial" w:eastAsia="Arial" w:hAnsi="Arial"/>
                <w:sz w:val="18"/>
                <w:szCs w:val="18"/>
                <w:color w:val="auto"/>
              </w:rPr>
              <w:t>01/15/17</w:t>
            </w: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6.20%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200,000</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5.90% notes</w:t>
            </w:r>
          </w:p>
        </w:tc>
        <w:tc>
          <w:tcPr>
            <w:tcW w:w="1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04/01/20</w:t>
            </w: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5.90%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150,000</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5"/>
          </w:tcPr>
          <w:p>
            <w:pPr>
              <w:ind w:left="420"/>
              <w:spacing w:after="0"/>
              <w:rPr>
                <w:sz w:val="20"/>
                <w:szCs w:val="20"/>
                <w:color w:val="auto"/>
              </w:rPr>
            </w:pPr>
            <w:r>
              <w:rPr>
                <w:rFonts w:ascii="Arial" w:cs="Arial" w:eastAsia="Arial" w:hAnsi="Arial"/>
                <w:sz w:val="18"/>
                <w:szCs w:val="18"/>
                <w:color w:val="auto"/>
              </w:rPr>
              <w:t>7.48% debentures</w:t>
            </w:r>
          </w:p>
        </w:tc>
        <w:tc>
          <w:tcPr>
            <w:tcW w:w="1820" w:type="dxa"/>
            <w:vAlign w:val="bottom"/>
            <w:gridSpan w:val="2"/>
          </w:tcPr>
          <w:p>
            <w:pPr>
              <w:jc w:val="right"/>
              <w:ind w:right="300"/>
              <w:spacing w:after="0"/>
              <w:rPr>
                <w:sz w:val="20"/>
                <w:szCs w:val="20"/>
                <w:color w:val="auto"/>
              </w:rPr>
            </w:pPr>
            <w:r>
              <w:rPr>
                <w:rFonts w:ascii="Arial" w:cs="Arial" w:eastAsia="Arial" w:hAnsi="Arial"/>
                <w:sz w:val="18"/>
                <w:szCs w:val="18"/>
                <w:color w:val="auto"/>
              </w:rPr>
              <w:t>08/15/26</w:t>
            </w: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7.48%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29,200</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6.82% medium term notes</w:t>
            </w:r>
          </w:p>
        </w:tc>
        <w:tc>
          <w:tcPr>
            <w:tcW w:w="1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08/01/27</w:t>
            </w: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6.82%</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20" w:type="dxa"/>
            <w:vAlign w:val="bottom"/>
            <w:gridSpan w:val="5"/>
          </w:tcPr>
          <w:p>
            <w:pPr>
              <w:ind w:left="860"/>
              <w:spacing w:after="0"/>
              <w:rPr>
                <w:sz w:val="20"/>
                <w:szCs w:val="20"/>
                <w:color w:val="auto"/>
              </w:rPr>
            </w:pPr>
            <w:r>
              <w:rPr>
                <w:rFonts w:ascii="Arial" w:cs="Arial" w:eastAsia="Arial" w:hAnsi="Arial"/>
                <w:sz w:val="18"/>
                <w:szCs w:val="18"/>
                <w:color w:val="auto"/>
              </w:rPr>
              <w:t>Subtotal</w:t>
            </w:r>
          </w:p>
        </w:tc>
        <w:tc>
          <w:tcPr>
            <w:tcW w:w="1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1,079,200</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2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Net unamortized premium</w:t>
            </w:r>
          </w:p>
        </w:tc>
        <w:tc>
          <w:tcPr>
            <w:tcW w:w="1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20" w:type="dxa"/>
            <w:vAlign w:val="bottom"/>
            <w:gridSpan w:val="5"/>
          </w:tcPr>
          <w:p>
            <w:pPr>
              <w:ind w:left="860"/>
              <w:spacing w:after="0"/>
              <w:rPr>
                <w:sz w:val="20"/>
                <w:szCs w:val="20"/>
                <w:color w:val="auto"/>
              </w:rPr>
            </w:pPr>
            <w:r>
              <w:rPr>
                <w:rFonts w:ascii="Arial" w:cs="Arial" w:eastAsia="Arial" w:hAnsi="Arial"/>
                <w:sz w:val="18"/>
                <w:szCs w:val="18"/>
                <w:color w:val="auto"/>
              </w:rPr>
              <w:t>Total senior notes and debentures</w:t>
            </w:r>
          </w:p>
        </w:tc>
        <w:tc>
          <w:tcPr>
            <w:tcW w:w="1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1,079,906</w:t>
            </w: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5.95%</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20" w:type="dxa"/>
            <w:vAlign w:val="bottom"/>
            <w:tcBorders>
              <w:bottom w:val="single" w:sz="8" w:color="auto"/>
            </w:tcBorders>
            <w:gridSpan w:val="3"/>
            <w:shd w:val="clear" w:color="auto" w:fill="CCEEFF"/>
          </w:tcPr>
          <w:p>
            <w:pPr>
              <w:spacing w:after="0" w:line="176" w:lineRule="exact"/>
              <w:rPr>
                <w:sz w:val="20"/>
                <w:szCs w:val="20"/>
                <w:color w:val="auto"/>
              </w:rPr>
            </w:pPr>
            <w:r>
              <w:rPr>
                <w:rFonts w:ascii="Arial" w:cs="Arial" w:eastAsia="Arial" w:hAnsi="Arial"/>
                <w:sz w:val="18"/>
                <w:szCs w:val="18"/>
                <w:color w:val="auto"/>
                <w:w w:val="87"/>
              </w:rPr>
              <w:t>Capital lease obligations</w:t>
            </w:r>
          </w:p>
        </w:tc>
        <w:tc>
          <w:tcPr>
            <w:tcW w:w="2400" w:type="dxa"/>
            <w:vAlign w:val="bottom"/>
            <w:tcBorders>
              <w:bottom w:val="single" w:sz="8" w:color="CCEEFF"/>
            </w:tcBorders>
            <w:gridSpan w:val="2"/>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gridSpan w:val="5"/>
          </w:tcPr>
          <w:p>
            <w:pPr>
              <w:ind w:left="420"/>
              <w:spacing w:after="0"/>
              <w:rPr>
                <w:sz w:val="20"/>
                <w:szCs w:val="20"/>
                <w:color w:val="auto"/>
              </w:rPr>
            </w:pPr>
            <w:r>
              <w:rPr>
                <w:rFonts w:ascii="Arial" w:cs="Arial" w:eastAsia="Arial" w:hAnsi="Arial"/>
                <w:sz w:val="18"/>
                <w:szCs w:val="18"/>
                <w:color w:val="auto"/>
              </w:rPr>
              <w:t>Various</w:t>
            </w:r>
          </w:p>
        </w:tc>
        <w:tc>
          <w:tcPr>
            <w:tcW w:w="182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Various through 2106</w:t>
            </w:r>
          </w:p>
        </w:tc>
        <w:tc>
          <w:tcPr>
            <w:tcW w:w="1620" w:type="dxa"/>
            <w:vAlign w:val="bottom"/>
            <w:gridSpan w:val="2"/>
          </w:tcPr>
          <w:p>
            <w:pPr>
              <w:jc w:val="right"/>
              <w:ind w:right="500"/>
              <w:spacing w:after="0"/>
              <w:rPr>
                <w:sz w:val="20"/>
                <w:szCs w:val="20"/>
                <w:color w:val="auto"/>
              </w:rPr>
            </w:pPr>
            <w:r>
              <w:rPr>
                <w:rFonts w:ascii="Arial" w:cs="Arial" w:eastAsia="Arial" w:hAnsi="Arial"/>
                <w:sz w:val="18"/>
                <w:szCs w:val="18"/>
                <w:color w:val="auto"/>
              </w:rPr>
              <w:t>Various</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61,958</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6.94%</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Total debt and capital lease obligations</w:t>
            </w:r>
          </w:p>
        </w:tc>
        <w:tc>
          <w:tcPr>
            <w:tcW w:w="1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1,690,687</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40" w:type="dxa"/>
            <w:vAlign w:val="bottom"/>
            <w:gridSpan w:val="6"/>
            <w:vMerge w:val="restart"/>
          </w:tcPr>
          <w:p>
            <w:pPr>
              <w:spacing w:after="0"/>
              <w:rPr>
                <w:sz w:val="20"/>
                <w:szCs w:val="20"/>
                <w:color w:val="auto"/>
              </w:rPr>
            </w:pPr>
            <w:r>
              <w:rPr>
                <w:rFonts w:ascii="Arial" w:cs="Arial" w:eastAsia="Arial" w:hAnsi="Arial"/>
                <w:sz w:val="18"/>
                <w:szCs w:val="18"/>
                <w:color w:val="auto"/>
              </w:rPr>
              <w:t>Total fixed rate debt and capital lease obligations</w:t>
            </w:r>
          </w:p>
        </w:tc>
        <w:tc>
          <w:tcPr>
            <w:tcW w:w="1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99%</w:t>
            </w:r>
          </w:p>
        </w:tc>
        <w:tc>
          <w:tcPr>
            <w:tcW w:w="13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6.32%</w:t>
            </w: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140" w:type="dxa"/>
            <w:vAlign w:val="bottom"/>
            <w:gridSpan w:val="6"/>
            <w:vMerge w:val="continue"/>
          </w:tcPr>
          <w:p>
            <w:pPr>
              <w:spacing w:after="0"/>
              <w:rPr>
                <w:sz w:val="18"/>
                <w:szCs w:val="18"/>
                <w:color w:val="auto"/>
              </w:rPr>
            </w:pPr>
          </w:p>
        </w:tc>
        <w:tc>
          <w:tcPr>
            <w:tcW w:w="1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1,681,287</w:t>
            </w:r>
          </w:p>
        </w:tc>
        <w:tc>
          <w:tcPr>
            <w:tcW w:w="40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Total variable rate debt</w:t>
            </w:r>
          </w:p>
        </w:tc>
        <w:tc>
          <w:tcPr>
            <w:tcW w:w="1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9,400</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1.25%</w:t>
            </w: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(h)</w:t>
            </w:r>
          </w:p>
        </w:tc>
        <w:tc>
          <w:tcPr>
            <w:tcW w:w="0" w:type="dxa"/>
            <w:vAlign w:val="bottom"/>
          </w:tcPr>
          <w:p>
            <w:pPr>
              <w:spacing w:after="0"/>
              <w:rPr>
                <w:sz w:val="1"/>
                <w:szCs w:val="1"/>
                <w:color w:val="auto"/>
              </w:rPr>
            </w:pPr>
          </w:p>
        </w:tc>
      </w:tr>
      <w:tr>
        <w:trPr>
          <w:trHeight w:val="20"/>
        </w:trPr>
        <w:tc>
          <w:tcPr>
            <w:tcW w:w="5960" w:type="dxa"/>
            <w:vAlign w:val="bottom"/>
            <w:gridSpan w:val="8"/>
            <w:vMerge w:val="restart"/>
          </w:tcPr>
          <w:p>
            <w:pPr>
              <w:spacing w:after="0"/>
              <w:rPr>
                <w:sz w:val="20"/>
                <w:szCs w:val="20"/>
                <w:color w:val="auto"/>
              </w:rPr>
            </w:pPr>
            <w:r>
              <w:rPr>
                <w:rFonts w:ascii="Arial" w:cs="Arial" w:eastAsia="Arial" w:hAnsi="Arial"/>
                <w:sz w:val="18"/>
                <w:szCs w:val="18"/>
                <w:color w:val="auto"/>
              </w:rPr>
              <w:t>TOTAL DEBT AND CAPITAL LEASES OBLIGATIONS</w:t>
            </w:r>
          </w:p>
        </w:tc>
        <w:tc>
          <w:tcPr>
            <w:tcW w:w="1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vMerge w:val="restart"/>
          </w:tcPr>
          <w:p>
            <w:pPr>
              <w:ind w:left="120"/>
              <w:spacing w:after="0"/>
              <w:rPr>
                <w:sz w:val="20"/>
                <w:szCs w:val="20"/>
                <w:color w:val="auto"/>
              </w:rPr>
            </w:pPr>
            <w:r>
              <w:rPr>
                <w:rFonts w:ascii="Arial" w:cs="Arial" w:eastAsia="Arial" w:hAnsi="Arial"/>
                <w:sz w:val="18"/>
                <w:szCs w:val="18"/>
                <w:color w:val="auto"/>
              </w:rPr>
              <w:t>(h)</w:t>
            </w:r>
          </w:p>
        </w:tc>
        <w:tc>
          <w:tcPr>
            <w:tcW w:w="0" w:type="dxa"/>
            <w:vAlign w:val="bottom"/>
          </w:tcPr>
          <w:p>
            <w:pPr>
              <w:spacing w:after="0" w:line="20" w:lineRule="exact"/>
              <w:rPr>
                <w:sz w:val="1"/>
                <w:szCs w:val="1"/>
                <w:color w:val="auto"/>
              </w:rPr>
            </w:pPr>
          </w:p>
        </w:tc>
      </w:tr>
      <w:tr>
        <w:trPr>
          <w:trHeight w:val="222"/>
        </w:trPr>
        <w:tc>
          <w:tcPr>
            <w:tcW w:w="5960" w:type="dxa"/>
            <w:vAlign w:val="bottom"/>
            <w:gridSpan w:val="8"/>
            <w:vMerge w:val="continue"/>
          </w:tcPr>
          <w:p>
            <w:pPr>
              <w:spacing w:after="0"/>
              <w:rPr>
                <w:sz w:val="19"/>
                <w:szCs w:val="19"/>
                <w:color w:val="auto"/>
              </w:rPr>
            </w:pPr>
          </w:p>
        </w:tc>
        <w:tc>
          <w:tcPr>
            <w:tcW w:w="1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1,690,687</w:t>
            </w:r>
          </w:p>
        </w:tc>
        <w:tc>
          <w:tcPr>
            <w:tcW w:w="400" w:type="dxa"/>
            <w:vAlign w:val="bottom"/>
          </w:tcPr>
          <w:p>
            <w:pPr>
              <w:spacing w:after="0"/>
              <w:rPr>
                <w:sz w:val="19"/>
                <w:szCs w:val="19"/>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100%</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6.29%</w:t>
            </w:r>
          </w:p>
        </w:tc>
        <w:tc>
          <w:tcPr>
            <w:tcW w:w="3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800" w:type="dxa"/>
            <w:vAlign w:val="bottom"/>
            <w:gridSpan w:val="3"/>
          </w:tcPr>
          <w:p>
            <w:pPr>
              <w:jc w:val="center"/>
              <w:ind w:left="384"/>
              <w:spacing w:after="0"/>
              <w:rPr>
                <w:sz w:val="20"/>
                <w:szCs w:val="20"/>
                <w:color w:val="auto"/>
              </w:rPr>
            </w:pPr>
            <w:r>
              <w:rPr>
                <w:rFonts w:ascii="Arial" w:cs="Arial" w:eastAsia="Arial" w:hAnsi="Arial"/>
                <w:sz w:val="14"/>
                <w:szCs w:val="14"/>
                <w:b w:val="1"/>
                <w:bCs w:val="1"/>
                <w:color w:val="auto"/>
                <w:w w:val="89"/>
              </w:rPr>
              <w:t>Three</w:t>
            </w:r>
          </w:p>
        </w:tc>
        <w:tc>
          <w:tcPr>
            <w:tcW w:w="4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126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3"/>
              </w:rPr>
              <w:t>months ended</w:t>
            </w:r>
          </w:p>
        </w:tc>
      </w:tr>
      <w:tr>
        <w:trPr>
          <w:trHeight w:val="161"/>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12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9"/>
              </w:rPr>
              <w:t>March 31,</w:t>
            </w:r>
          </w:p>
        </w:tc>
      </w:tr>
      <w:tr>
        <w:trPr>
          <w:trHeight w:val="142"/>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520" w:type="dxa"/>
            <w:vAlign w:val="bottom"/>
            <w:tcBorders>
              <w:bottom w:val="single" w:sz="8" w:color="auto"/>
            </w:tcBorders>
          </w:tcPr>
          <w:p>
            <w:pPr>
              <w:jc w:val="right"/>
              <w:ind w:right="64"/>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96"/>
              </w:rPr>
              <w:t>2009</w:t>
            </w:r>
          </w:p>
        </w:tc>
      </w:tr>
      <w:tr>
        <w:trPr>
          <w:trHeight w:val="190"/>
        </w:trPr>
        <w:tc>
          <w:tcPr>
            <w:tcW w:w="20" w:type="dxa"/>
            <w:vAlign w:val="bottom"/>
          </w:tcPr>
          <w:p>
            <w:pPr>
              <w:spacing w:after="0"/>
              <w:rPr>
                <w:sz w:val="16"/>
                <w:szCs w:val="16"/>
                <w:color w:val="auto"/>
              </w:rPr>
            </w:pPr>
          </w:p>
        </w:tc>
        <w:tc>
          <w:tcPr>
            <w:tcW w:w="150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86"/>
              </w:rPr>
              <w:t>Operational Statistics</w:t>
            </w:r>
          </w:p>
        </w:tc>
        <w:tc>
          <w:tcPr>
            <w:tcW w:w="772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Excluding litigation provision:</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Ratio of EBITDA to combined fixed charges and preferred share dividends (i) (j)</w:t>
            </w:r>
          </w:p>
        </w:tc>
        <w:tc>
          <w:tcPr>
            <w:tcW w:w="8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2.82 x</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w w:val="85"/>
              </w:rPr>
              <w:t>3.27 x</w:t>
            </w:r>
          </w:p>
        </w:tc>
      </w:tr>
      <w:tr>
        <w:trPr>
          <w:trHeight w:val="216"/>
        </w:trPr>
        <w:tc>
          <w:tcPr>
            <w:tcW w:w="20" w:type="dxa"/>
            <w:vAlign w:val="bottom"/>
          </w:tcPr>
          <w:p>
            <w:pPr>
              <w:spacing w:after="0"/>
              <w:rPr>
                <w:sz w:val="18"/>
                <w:szCs w:val="18"/>
                <w:color w:val="auto"/>
              </w:rPr>
            </w:pPr>
          </w:p>
        </w:tc>
        <w:tc>
          <w:tcPr>
            <w:tcW w:w="9220" w:type="dxa"/>
            <w:vAlign w:val="bottom"/>
            <w:gridSpan w:val="2"/>
          </w:tcPr>
          <w:p>
            <w:pPr>
              <w:ind w:left="420"/>
              <w:spacing w:after="0"/>
              <w:rPr>
                <w:sz w:val="20"/>
                <w:szCs w:val="20"/>
                <w:color w:val="auto"/>
              </w:rPr>
            </w:pPr>
            <w:r>
              <w:rPr>
                <w:rFonts w:ascii="Arial" w:cs="Arial" w:eastAsia="Arial" w:hAnsi="Arial"/>
                <w:sz w:val="18"/>
                <w:szCs w:val="18"/>
                <w:color w:val="auto"/>
              </w:rPr>
              <w:t>Ratio of adjusted EBITDA to combined fixed charges and preferred share dividends (i) (j)</w:t>
            </w:r>
          </w:p>
        </w:tc>
        <w:tc>
          <w:tcPr>
            <w:tcW w:w="800" w:type="dxa"/>
            <w:vAlign w:val="bottom"/>
            <w:gridSpan w:val="3"/>
          </w:tcPr>
          <w:p>
            <w:pPr>
              <w:ind w:left="80"/>
              <w:spacing w:after="0"/>
              <w:rPr>
                <w:sz w:val="20"/>
                <w:szCs w:val="20"/>
                <w:color w:val="auto"/>
              </w:rPr>
            </w:pPr>
            <w:r>
              <w:rPr>
                <w:rFonts w:ascii="Arial" w:cs="Arial" w:eastAsia="Arial" w:hAnsi="Arial"/>
                <w:sz w:val="18"/>
                <w:szCs w:val="18"/>
                <w:color w:val="auto"/>
              </w:rPr>
              <w:t>2.82 x</w:t>
            </w:r>
          </w:p>
        </w:tc>
        <w:tc>
          <w:tcPr>
            <w:tcW w:w="460" w:type="dxa"/>
            <w:vAlign w:val="bottom"/>
          </w:tcPr>
          <w:p>
            <w:pPr>
              <w:ind w:left="20"/>
              <w:spacing w:after="0"/>
              <w:rPr>
                <w:sz w:val="20"/>
                <w:szCs w:val="20"/>
                <w:color w:val="auto"/>
              </w:rPr>
            </w:pPr>
            <w:r>
              <w:rPr>
                <w:rFonts w:ascii="Arial" w:cs="Arial" w:eastAsia="Arial" w:hAnsi="Arial"/>
                <w:sz w:val="18"/>
                <w:szCs w:val="18"/>
                <w:color w:val="auto"/>
                <w:w w:val="85"/>
              </w:rPr>
              <w:t>3.23 x</w:t>
            </w: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Including litigation provision:</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ind w:left="420"/>
              <w:spacing w:after="0"/>
              <w:rPr>
                <w:sz w:val="20"/>
                <w:szCs w:val="20"/>
                <w:color w:val="auto"/>
              </w:rPr>
            </w:pPr>
            <w:r>
              <w:rPr>
                <w:rFonts w:ascii="Arial" w:cs="Arial" w:eastAsia="Arial" w:hAnsi="Arial"/>
                <w:sz w:val="18"/>
                <w:szCs w:val="18"/>
                <w:color w:val="auto"/>
              </w:rPr>
              <w:t>Ratio of EBITDA to combined fixed charges and preferred share dividends (i)</w:t>
            </w:r>
          </w:p>
        </w:tc>
        <w:tc>
          <w:tcPr>
            <w:tcW w:w="800" w:type="dxa"/>
            <w:vAlign w:val="bottom"/>
            <w:gridSpan w:val="3"/>
          </w:tcPr>
          <w:p>
            <w:pPr>
              <w:ind w:left="80"/>
              <w:spacing w:after="0"/>
              <w:rPr>
                <w:sz w:val="20"/>
                <w:szCs w:val="20"/>
                <w:color w:val="auto"/>
              </w:rPr>
            </w:pPr>
            <w:r>
              <w:rPr>
                <w:rFonts w:ascii="Arial" w:cs="Arial" w:eastAsia="Arial" w:hAnsi="Arial"/>
                <w:sz w:val="18"/>
                <w:szCs w:val="18"/>
                <w:color w:val="auto"/>
              </w:rPr>
              <w:t>2.82 x</w:t>
            </w:r>
          </w:p>
        </w:tc>
        <w:tc>
          <w:tcPr>
            <w:tcW w:w="460" w:type="dxa"/>
            <w:vAlign w:val="bottom"/>
          </w:tcPr>
          <w:p>
            <w:pPr>
              <w:ind w:left="20"/>
              <w:spacing w:after="0"/>
              <w:rPr>
                <w:sz w:val="20"/>
                <w:szCs w:val="20"/>
                <w:color w:val="auto"/>
              </w:rPr>
            </w:pPr>
            <w:r>
              <w:rPr>
                <w:rFonts w:ascii="Arial" w:cs="Arial" w:eastAsia="Arial" w:hAnsi="Arial"/>
                <w:sz w:val="18"/>
                <w:szCs w:val="18"/>
                <w:color w:val="auto"/>
                <w:w w:val="85"/>
              </w:rPr>
              <w:t>2.46 x</w:t>
            </w:r>
          </w:p>
        </w:tc>
      </w:tr>
      <w:tr>
        <w:trPr>
          <w:trHeight w:val="97"/>
        </w:trPr>
        <w:tc>
          <w:tcPr>
            <w:tcW w:w="20" w:type="dxa"/>
            <w:vAlign w:val="bottom"/>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77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r>
    </w:tbl>
    <w:p>
      <w:pPr>
        <w:sectPr>
          <w:pgSz w:w="11900" w:h="16900" w:orient="portrait"/>
          <w:cols w:equalWidth="0" w:num="1">
            <w:col w:w="11420"/>
          </w:cols>
          <w:pgMar w:left="240" w:top="274" w:right="239" w:bottom="0" w:gutter="0" w:footer="0" w:header="0"/>
        </w:sectPr>
      </w:pPr>
    </w:p>
    <w:bookmarkStart w:id="15" w:name="page16"/>
    <w:bookmarkEnd w:id="15"/>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7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Ratio of adjusted EBITDA to combined fixed charges and preferred share dividends (i)</w:t>
            </w:r>
          </w:p>
        </w:tc>
        <w:tc>
          <w:tcPr>
            <w:tcW w:w="1960" w:type="dxa"/>
            <w:vAlign w:val="bottom"/>
            <w:shd w:val="clear" w:color="auto" w:fill="CCEEFF"/>
          </w:tcPr>
          <w:p>
            <w:pPr>
              <w:ind w:left="1380"/>
              <w:spacing w:after="0"/>
              <w:rPr>
                <w:sz w:val="20"/>
                <w:szCs w:val="20"/>
                <w:color w:val="auto"/>
              </w:rPr>
            </w:pPr>
            <w:r>
              <w:rPr>
                <w:rFonts w:ascii="Arial" w:cs="Arial" w:eastAsia="Arial" w:hAnsi="Arial"/>
                <w:sz w:val="18"/>
                <w:szCs w:val="18"/>
                <w:color w:val="auto"/>
              </w:rPr>
              <w:t>2.82 x</w:t>
            </w:r>
          </w:p>
        </w:tc>
        <w:tc>
          <w:tcPr>
            <w:tcW w:w="6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5"/>
              </w:rPr>
              <w:t>2.42 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15" w:lineRule="exact"/>
        <w:rPr>
          <w:sz w:val="20"/>
          <w:szCs w:val="20"/>
          <w:color w:val="auto"/>
        </w:rPr>
      </w:pPr>
    </w:p>
    <w:p>
      <w:pPr>
        <w:ind w:left="460" w:right="80" w:hanging="452"/>
        <w:spacing w:after="0" w:line="250"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Mortgage loans do not include our 30% share ($17.3 million) of the $57.7 million debt of the partnership with a discretionary fund created and advised by ING Clarion Partners.</w:t>
      </w:r>
    </w:p>
    <w:p>
      <w:pPr>
        <w:ind w:left="460" w:right="260" w:hanging="452"/>
        <w:spacing w:after="0" w:line="250"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interest rate of 6.04% represents the weighted average interest rate for two mortgage loans secured by this property. The loan balance represents an interest-only loan of $4.4 million at a stated rate of 6.18% and the remaining balance at a stated rate of 5.96%.</w:t>
      </w:r>
    </w:p>
    <w:p>
      <w:pPr>
        <w:ind w:left="460" w:right="180" w:hanging="452"/>
        <w:spacing w:after="0" w:line="250"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acquired control of Melville Mall through a 20-year master lease and secondary financing. Because we control the activities that most significantly impact this property and retain substantially all of the economic benefit and risk associated with it, this property is consolidated and the mortgage loan is reflected on the balance sheet though it is not our legal obligation.</w:t>
      </w:r>
    </w:p>
    <w:p>
      <w:pPr>
        <w:spacing w:after="0" w:line="1" w:lineRule="exact"/>
        <w:rPr>
          <w:rFonts w:ascii="Arial" w:cs="Arial" w:eastAsia="Arial" w:hAnsi="Arial"/>
          <w:sz w:val="18"/>
          <w:szCs w:val="18"/>
          <w:color w:val="auto"/>
        </w:rPr>
      </w:pPr>
    </w:p>
    <w:p>
      <w:pPr>
        <w:ind w:left="460" w:right="580" w:hanging="452"/>
        <w:spacing w:after="0" w:line="250"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interest rate is fixed at 5.66% for the first ten years and then will be reset to a market rate in 2013. The lender has the option to call the loan on April 15, 2013 or anytime thereafter.</w:t>
      </w: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 amounts were outstanding under our revolving credit facility during the three months ended March 31, 2010.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bonds bear interest at a variable rate determined weekly which would enable the bonds to be remarketed at 100% of their principal amount.</w:t>
      </w:r>
    </w:p>
    <w:p>
      <w:pPr>
        <w:spacing w:after="0" w:line="32" w:lineRule="exact"/>
        <w:rPr>
          <w:rFonts w:ascii="Arial" w:cs="Arial" w:eastAsia="Arial" w:hAnsi="Arial"/>
          <w:sz w:val="16"/>
          <w:szCs w:val="16"/>
          <w:color w:val="auto"/>
        </w:rPr>
      </w:pPr>
    </w:p>
    <w:p>
      <w:pPr>
        <w:ind w:left="460" w:right="380" w:hanging="452"/>
        <w:spacing w:after="0" w:line="250"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weighted average effective interest rate includes the amortization of any deferred financing fees, discounts and premiums, if applicable, except as described in Note h.</w:t>
      </w:r>
    </w:p>
    <w:p>
      <w:pPr>
        <w:ind w:left="460" w:right="220" w:hanging="452"/>
        <w:spacing w:after="0" w:line="250"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weighted average effective interest rate excludes $0.2 million in quarterly financing fees and quarterly debt fee amortization on our revolving credit facility which had a $0 balance on March 31, 2010.</w:t>
      </w:r>
    </w:p>
    <w:p>
      <w:pPr>
        <w:ind w:left="460" w:hanging="452"/>
        <w:spacing w:after="0" w:line="250"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Fixed charges consist of interest on borrowed funds (including capitalized interest), amortization of debt discount or premium and expense and the portion of rent expense representing an interest factor. EBITDA includes a $0.9 million gain on sale for the three months ended March 31, 2009. Fixed charges include $2.8 million of early extinguishment of debt for the three months ended March 31, 2010 due to the write-off of unamortized debt fees related to the $250 million payoff of the term loan prior to its maturity date. Adjusted EBITDA is reconciled to net income attributable to the Trust in the Glossary of Terms.</w:t>
      </w:r>
    </w:p>
    <w:p>
      <w:pPr>
        <w:spacing w:after="0" w:line="2" w:lineRule="exact"/>
        <w:rPr>
          <w:rFonts w:ascii="Arial" w:cs="Arial" w:eastAsia="Arial" w:hAnsi="Arial"/>
          <w:sz w:val="18"/>
          <w:szCs w:val="18"/>
          <w:color w:val="auto"/>
        </w:rPr>
      </w:pPr>
    </w:p>
    <w:p>
      <w:pPr>
        <w:ind w:left="460" w:right="320" w:hanging="452"/>
        <w:spacing w:after="0" w:line="323"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Adjusted to exclude a $0.1 million and $20.6 million litigation provision charge for the three months March 31, 2010 and 2009, respectively, related to litigation regarding a parcel of land located adjacent to Santana Row as well as other costs related to the litigation and the appeal process.</w:t>
      </w:r>
    </w:p>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140" w:right="29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Debt Maturities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DEBT MATURITIES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8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Scheduled</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80" w:type="dxa"/>
            <w:vAlign w:val="bottom"/>
            <w:gridSpan w:val="2"/>
          </w:tcPr>
          <w:p>
            <w:pPr>
              <w:jc w:val="right"/>
              <w:ind w:right="740"/>
              <w:spacing w:after="0" w:line="149" w:lineRule="exact"/>
              <w:rPr>
                <w:sz w:val="20"/>
                <w:szCs w:val="20"/>
                <w:color w:val="auto"/>
              </w:rPr>
            </w:pPr>
            <w:r>
              <w:rPr>
                <w:rFonts w:ascii="Arial" w:cs="Arial" w:eastAsia="Arial" w:hAnsi="Arial"/>
                <w:sz w:val="14"/>
                <w:szCs w:val="14"/>
                <w:b w:val="1"/>
                <w:bCs w:val="1"/>
                <w:color w:val="auto"/>
              </w:rPr>
              <w:t>Percent of</w:t>
            </w: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Percent of</w:t>
            </w:r>
          </w:p>
        </w:tc>
        <w:tc>
          <w:tcPr>
            <w:tcW w:w="0" w:type="dxa"/>
            <w:vAlign w:val="bottom"/>
          </w:tcPr>
          <w:p>
            <w:pPr>
              <w:spacing w:after="0"/>
              <w:rPr>
                <w:sz w:val="1"/>
                <w:szCs w:val="1"/>
                <w:color w:val="auto"/>
              </w:rPr>
            </w:pPr>
          </w:p>
        </w:tc>
      </w:tr>
      <w:tr>
        <w:trPr>
          <w:trHeight w:val="161"/>
        </w:trPr>
        <w:tc>
          <w:tcPr>
            <w:tcW w:w="3000" w:type="dxa"/>
            <w:vAlign w:val="bottom"/>
            <w:gridSpan w:val="4"/>
          </w:tcPr>
          <w:p>
            <w:pPr>
              <w:spacing w:after="0"/>
              <w:rPr>
                <w:sz w:val="20"/>
                <w:szCs w:val="20"/>
                <w:color w:val="auto"/>
              </w:rPr>
            </w:pPr>
            <w:r>
              <w:rPr>
                <w:rFonts w:ascii="Arial" w:cs="Arial" w:eastAsia="Arial" w:hAnsi="Arial"/>
                <w:sz w:val="14"/>
                <w:szCs w:val="14"/>
                <w:b w:val="1"/>
                <w:bCs w:val="1"/>
                <w:color w:val="auto"/>
              </w:rPr>
              <w:t>Year</w:t>
            </w:r>
          </w:p>
        </w:tc>
        <w:tc>
          <w:tcPr>
            <w:tcW w:w="1780" w:type="dxa"/>
            <w:vAlign w:val="bottom"/>
          </w:tcPr>
          <w:p>
            <w:pPr>
              <w:spacing w:after="0"/>
              <w:rPr>
                <w:sz w:val="14"/>
                <w:szCs w:val="14"/>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80" w:type="dxa"/>
            <w:vAlign w:val="bottom"/>
          </w:tcPr>
          <w:p>
            <w:pPr>
              <w:spacing w:after="0"/>
              <w:rPr>
                <w:sz w:val="14"/>
                <w:szCs w:val="14"/>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0"/>
              </w:rPr>
              <w:t>Maturities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rPr>
              <w:t>Total</w:t>
            </w:r>
          </w:p>
        </w:tc>
        <w:tc>
          <w:tcPr>
            <w:tcW w:w="14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1"/>
              </w:rPr>
              <w:t>Debt Maturing</w:t>
            </w: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Debt Maturing</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2010</w:t>
            </w:r>
          </w:p>
        </w:tc>
        <w:tc>
          <w:tcPr>
            <w:tcW w:w="18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ind w:left="178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9,195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9,195</w:t>
            </w:r>
          </w:p>
        </w:tc>
        <w:tc>
          <w:tcPr>
            <w:tcW w:w="6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0.6%</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2011</w:t>
            </w:r>
          </w:p>
        </w:tc>
        <w:tc>
          <w:tcPr>
            <w:tcW w:w="18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12,438</w:t>
            </w:r>
          </w:p>
        </w:tc>
        <w:tc>
          <w:tcPr>
            <w:tcW w:w="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112,252(1)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124,690</w:t>
            </w:r>
          </w:p>
        </w:tc>
        <w:tc>
          <w:tcPr>
            <w:tcW w:w="640" w:type="dxa"/>
            <w:vAlign w:val="bottom"/>
          </w:tcPr>
          <w:p>
            <w:pPr>
              <w:spacing w:after="0"/>
              <w:rPr>
                <w:sz w:val="18"/>
                <w:szCs w:val="18"/>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8"/>
                <w:szCs w:val="18"/>
                <w:color w:val="auto"/>
              </w:rPr>
              <w:t>7.4%</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2012</w:t>
            </w:r>
          </w:p>
        </w:tc>
        <w:tc>
          <w:tcPr>
            <w:tcW w:w="18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12,691</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181,916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194,607</w:t>
            </w:r>
          </w:p>
        </w:tc>
        <w:tc>
          <w:tcPr>
            <w:tcW w:w="6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11.5%</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2013</w:t>
            </w:r>
          </w:p>
        </w:tc>
        <w:tc>
          <w:tcPr>
            <w:tcW w:w="18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11,853</w:t>
            </w:r>
          </w:p>
        </w:tc>
        <w:tc>
          <w:tcPr>
            <w:tcW w:w="8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196,893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208,746</w:t>
            </w:r>
          </w:p>
        </w:tc>
        <w:tc>
          <w:tcPr>
            <w:tcW w:w="640" w:type="dxa"/>
            <w:vAlign w:val="bottom"/>
          </w:tcPr>
          <w:p>
            <w:pPr>
              <w:spacing w:after="0"/>
              <w:rPr>
                <w:sz w:val="18"/>
                <w:szCs w:val="18"/>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8"/>
                <w:szCs w:val="18"/>
                <w:color w:val="auto"/>
              </w:rPr>
              <w:t>12.4%</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2014</w:t>
            </w:r>
          </w:p>
        </w:tc>
        <w:tc>
          <w:tcPr>
            <w:tcW w:w="18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10,225</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297,864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308,089</w:t>
            </w:r>
          </w:p>
        </w:tc>
        <w:tc>
          <w:tcPr>
            <w:tcW w:w="6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18.2%</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2015</w:t>
            </w:r>
          </w:p>
        </w:tc>
        <w:tc>
          <w:tcPr>
            <w:tcW w:w="18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6,858</w:t>
            </w:r>
          </w:p>
        </w:tc>
        <w:tc>
          <w:tcPr>
            <w:tcW w:w="8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198,391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205,249</w:t>
            </w:r>
          </w:p>
        </w:tc>
        <w:tc>
          <w:tcPr>
            <w:tcW w:w="640" w:type="dxa"/>
            <w:vAlign w:val="bottom"/>
          </w:tcPr>
          <w:p>
            <w:pPr>
              <w:spacing w:after="0"/>
              <w:rPr>
                <w:sz w:val="18"/>
                <w:szCs w:val="18"/>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8"/>
                <w:szCs w:val="18"/>
                <w:color w:val="auto"/>
              </w:rPr>
              <w:t>12.1%</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2016</w:t>
            </w:r>
          </w:p>
        </w:tc>
        <w:tc>
          <w:tcPr>
            <w:tcW w:w="18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2,902</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134,400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137,302</w:t>
            </w:r>
          </w:p>
        </w:tc>
        <w:tc>
          <w:tcPr>
            <w:tcW w:w="6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8.1%</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2017</w:t>
            </w:r>
          </w:p>
        </w:tc>
        <w:tc>
          <w:tcPr>
            <w:tcW w:w="18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3,110</w:t>
            </w:r>
          </w:p>
        </w:tc>
        <w:tc>
          <w:tcPr>
            <w:tcW w:w="8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200,000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203,110</w:t>
            </w:r>
          </w:p>
        </w:tc>
        <w:tc>
          <w:tcPr>
            <w:tcW w:w="640" w:type="dxa"/>
            <w:vAlign w:val="bottom"/>
          </w:tcPr>
          <w:p>
            <w:pPr>
              <w:spacing w:after="0"/>
              <w:rPr>
                <w:sz w:val="18"/>
                <w:szCs w:val="18"/>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8"/>
                <w:szCs w:val="18"/>
                <w:color w:val="auto"/>
              </w:rPr>
              <w:t>12.0%</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2018</w:t>
            </w:r>
          </w:p>
        </w:tc>
        <w:tc>
          <w:tcPr>
            <w:tcW w:w="18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3,321</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3,321</w:t>
            </w:r>
          </w:p>
        </w:tc>
        <w:tc>
          <w:tcPr>
            <w:tcW w:w="6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0.2%</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gridSpan w:val="3"/>
          </w:tcPr>
          <w:p>
            <w:pPr>
              <w:spacing w:after="0"/>
              <w:rPr>
                <w:sz w:val="20"/>
                <w:szCs w:val="20"/>
                <w:color w:val="auto"/>
              </w:rPr>
            </w:pPr>
            <w:r>
              <w:rPr>
                <w:rFonts w:ascii="Arial" w:cs="Arial" w:eastAsia="Arial" w:hAnsi="Arial"/>
                <w:sz w:val="18"/>
                <w:szCs w:val="18"/>
                <w:color w:val="auto"/>
              </w:rPr>
              <w:t>Thereafter</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53,067</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243,038</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296,105</w:t>
            </w:r>
          </w:p>
        </w:tc>
        <w:tc>
          <w:tcPr>
            <w:tcW w:w="640" w:type="dxa"/>
            <w:vAlign w:val="bottom"/>
          </w:tcPr>
          <w:p>
            <w:pPr>
              <w:spacing w:after="0"/>
              <w:rPr>
                <w:sz w:val="18"/>
                <w:szCs w:val="18"/>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8"/>
                <w:szCs w:val="18"/>
                <w:color w:val="auto"/>
              </w:rPr>
              <w:t>17.5%</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7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Total</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125,660</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1,564,754</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6"/>
              </w:rPr>
              <w:t>1,690,414(2)</w:t>
            </w: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100.0%</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84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15"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$300 million revolving credit facility matures on July 27, 2011. As of March 31, 2010, there was $0 drawn under this credit facility.</w:t>
      </w:r>
    </w:p>
    <w:p>
      <w:pPr>
        <w:spacing w:after="0" w:line="9" w:lineRule="exact"/>
        <w:rPr>
          <w:rFonts w:ascii="Arial" w:cs="Arial" w:eastAsia="Arial" w:hAnsi="Arial"/>
          <w:sz w:val="18"/>
          <w:szCs w:val="18"/>
          <w:color w:val="auto"/>
        </w:rPr>
      </w:pPr>
    </w:p>
    <w:p>
      <w:pPr>
        <w:ind w:left="460" w:right="560" w:hanging="452"/>
        <w:spacing w:after="0" w:line="261"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total debt maturities differs from the total reported on the consolidated balance sheet due to the unamortized net discount or premium on certain mortgage loans, senior notes and debentures as of March 31, 2010.</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Redevelopment Opportunities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Redevelopment Opportunities (1) ($ millions)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gridSpan w:val="3"/>
          </w:tcPr>
          <w:p>
            <w:pPr>
              <w:ind w:left="20"/>
              <w:spacing w:after="0"/>
              <w:rPr>
                <w:sz w:val="20"/>
                <w:szCs w:val="20"/>
                <w:color w:val="auto"/>
              </w:rPr>
            </w:pPr>
            <w:r>
              <w:rPr>
                <w:rFonts w:ascii="Arial" w:cs="Arial" w:eastAsia="Arial" w:hAnsi="Arial"/>
                <w:sz w:val="14"/>
                <w:szCs w:val="14"/>
                <w:b w:val="1"/>
                <w:bCs w:val="1"/>
                <w:color w:val="auto"/>
                <w:w w:val="83"/>
              </w:rPr>
              <w:t>Cost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Projected</w:t>
            </w:r>
          </w:p>
        </w:tc>
        <w:tc>
          <w:tcPr>
            <w:tcW w:w="80" w:type="dxa"/>
            <w:vAlign w:val="bottom"/>
          </w:tcPr>
          <w:p>
            <w:pPr>
              <w:spacing w:after="0"/>
              <w:rPr>
                <w:sz w:val="12"/>
                <w:szCs w:val="12"/>
                <w:color w:val="auto"/>
              </w:rPr>
            </w:pPr>
          </w:p>
        </w:tc>
        <w:tc>
          <w:tcPr>
            <w:tcW w:w="5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Projected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75"/>
              </w:rPr>
              <w:t>to</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Property</w:t>
            </w: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Location</w:t>
            </w:r>
          </w:p>
        </w:tc>
        <w:tc>
          <w:tcPr>
            <w:tcW w:w="3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2"/>
              </w:rPr>
              <w:t>Opportunity</w:t>
            </w:r>
          </w:p>
        </w:tc>
        <w:tc>
          <w:tcPr>
            <w:tcW w:w="266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ROI (2)</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2"/>
              </w:rPr>
              <w:t>Cost (1)</w:t>
            </w:r>
          </w:p>
        </w:tc>
        <w:tc>
          <w:tcPr>
            <w:tcW w:w="120" w:type="dxa"/>
            <w:vAlign w:val="bottom"/>
          </w:tcPr>
          <w:p>
            <w:pPr>
              <w:spacing w:after="0"/>
              <w:rPr>
                <w:sz w:val="14"/>
                <w:szCs w:val="14"/>
                <w:color w:val="auto"/>
              </w:rPr>
            </w:pPr>
          </w:p>
        </w:tc>
        <w:tc>
          <w:tcPr>
            <w:tcW w:w="2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Date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40" w:type="dxa"/>
            <w:vAlign w:val="bottom"/>
            <w:gridSpan w:val="6"/>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Projects Anticipated to Stabilize in 2010 (3)</w:t>
            </w:r>
          </w:p>
        </w:tc>
        <w:tc>
          <w:tcPr>
            <w:tcW w:w="26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20" w:type="dxa"/>
            <w:vAlign w:val="bottom"/>
            <w:gridSpan w:val="3"/>
          </w:tcPr>
          <w:p>
            <w:pPr>
              <w:spacing w:after="0" w:line="138" w:lineRule="exact"/>
              <w:rPr>
                <w:sz w:val="20"/>
                <w:szCs w:val="20"/>
                <w:color w:val="auto"/>
              </w:rPr>
            </w:pPr>
            <w:r>
              <w:rPr>
                <w:rFonts w:ascii="Arial" w:cs="Arial" w:eastAsia="Arial" w:hAnsi="Arial"/>
                <w:sz w:val="14"/>
                <w:szCs w:val="14"/>
                <w:color w:val="auto"/>
              </w:rPr>
              <w:t>Bethesda Row (Hampden Lane)</w:t>
            </w:r>
          </w:p>
        </w:tc>
        <w:tc>
          <w:tcPr>
            <w:tcW w:w="1320" w:type="dxa"/>
            <w:vAlign w:val="bottom"/>
            <w:gridSpan w:val="3"/>
          </w:tcPr>
          <w:p>
            <w:pPr>
              <w:ind w:left="140"/>
              <w:spacing w:after="0" w:line="138" w:lineRule="exact"/>
              <w:rPr>
                <w:sz w:val="20"/>
                <w:szCs w:val="20"/>
                <w:color w:val="auto"/>
              </w:rPr>
            </w:pPr>
            <w:r>
              <w:rPr>
                <w:rFonts w:ascii="Arial" w:cs="Arial" w:eastAsia="Arial" w:hAnsi="Arial"/>
                <w:sz w:val="14"/>
                <w:szCs w:val="14"/>
                <w:color w:val="auto"/>
              </w:rPr>
              <w:t>Bethesda, MD</w:t>
            </w:r>
          </w:p>
        </w:tc>
        <w:tc>
          <w:tcPr>
            <w:tcW w:w="6060" w:type="dxa"/>
            <w:vAlign w:val="bottom"/>
            <w:gridSpan w:val="3"/>
          </w:tcPr>
          <w:p>
            <w:pPr>
              <w:ind w:left="100"/>
              <w:spacing w:after="0" w:line="138" w:lineRule="exact"/>
              <w:rPr>
                <w:sz w:val="20"/>
                <w:szCs w:val="20"/>
                <w:color w:val="auto"/>
              </w:rPr>
            </w:pPr>
            <w:r>
              <w:rPr>
                <w:rFonts w:ascii="Arial" w:cs="Arial" w:eastAsia="Arial" w:hAnsi="Arial"/>
                <w:sz w:val="14"/>
                <w:szCs w:val="14"/>
                <w:color w:val="auto"/>
                <w:w w:val="95"/>
              </w:rPr>
              <w:t>Construction of new three level building leased to fitness center and two additional ground level retail</w:t>
            </w: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60" w:type="dxa"/>
            <w:vAlign w:val="bottom"/>
            <w:gridSpan w:val="3"/>
          </w:tcPr>
          <w:p>
            <w:pPr>
              <w:ind w:left="100"/>
              <w:spacing w:after="0" w:line="159" w:lineRule="exact"/>
              <w:rPr>
                <w:sz w:val="20"/>
                <w:szCs w:val="20"/>
                <w:color w:val="auto"/>
              </w:rPr>
            </w:pPr>
            <w:r>
              <w:rPr>
                <w:rFonts w:ascii="Arial" w:cs="Arial" w:eastAsia="Arial" w:hAnsi="Arial"/>
                <w:sz w:val="14"/>
                <w:szCs w:val="14"/>
                <w:color w:val="auto"/>
              </w:rPr>
              <w:t>spaces.</w:t>
            </w:r>
          </w:p>
        </w:tc>
        <w:tc>
          <w:tcPr>
            <w:tcW w:w="7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10%</w:t>
            </w:r>
          </w:p>
        </w:tc>
        <w:tc>
          <w:tcPr>
            <w:tcW w:w="32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w:t>
            </w:r>
          </w:p>
        </w:tc>
        <w:tc>
          <w:tcPr>
            <w:tcW w:w="320" w:type="dxa"/>
            <w:vAlign w:val="bottom"/>
          </w:tcPr>
          <w:p>
            <w:pPr>
              <w:jc w:val="right"/>
              <w:spacing w:after="0" w:line="159" w:lineRule="exact"/>
              <w:rPr>
                <w:sz w:val="20"/>
                <w:szCs w:val="20"/>
                <w:color w:val="auto"/>
              </w:rPr>
            </w:pPr>
            <w:r>
              <w:rPr>
                <w:rFonts w:ascii="Arial" w:cs="Arial" w:eastAsia="Arial" w:hAnsi="Arial"/>
                <w:sz w:val="14"/>
                <w:szCs w:val="14"/>
                <w:color w:val="auto"/>
              </w:rPr>
              <w:t>14</w:t>
            </w:r>
          </w:p>
        </w:tc>
        <w:tc>
          <w:tcPr>
            <w:tcW w:w="200" w:type="dxa"/>
            <w:vAlign w:val="bottom"/>
            <w:gridSpan w:val="2"/>
          </w:tcPr>
          <w:p>
            <w:pPr>
              <w:ind w:left="120"/>
              <w:spacing w:after="0" w:line="159" w:lineRule="exact"/>
              <w:rPr>
                <w:sz w:val="20"/>
                <w:szCs w:val="20"/>
                <w:color w:val="auto"/>
              </w:rPr>
            </w:pPr>
            <w:r>
              <w:rPr>
                <w:rFonts w:ascii="Arial" w:cs="Arial" w:eastAsia="Arial" w:hAnsi="Arial"/>
                <w:sz w:val="14"/>
                <w:szCs w:val="14"/>
                <w:color w:val="auto"/>
                <w:w w:val="76"/>
              </w:rPr>
              <w:t>$</w:t>
            </w:r>
          </w:p>
        </w:tc>
        <w:tc>
          <w:tcPr>
            <w:tcW w:w="22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w w:val="97"/>
              </w:rPr>
              <w:t>Village of Shirlington - Phase III &amp; IV</w:t>
            </w:r>
          </w:p>
        </w:tc>
        <w:tc>
          <w:tcPr>
            <w:tcW w:w="132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Arlington, VA</w:t>
            </w:r>
          </w:p>
        </w:tc>
        <w:tc>
          <w:tcPr>
            <w:tcW w:w="60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w w:val="93"/>
              </w:rPr>
              <w:t>Ground lease to hotel operator and ground floor retail as part of office building development (by others)</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w:t>
            </w:r>
          </w:p>
        </w:tc>
        <w:tc>
          <w:tcPr>
            <w:tcW w:w="3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2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20" w:type="dxa"/>
            <w:vAlign w:val="bottom"/>
            <w:gridSpan w:val="3"/>
          </w:tcPr>
          <w:p>
            <w:pPr>
              <w:spacing w:after="0" w:line="138" w:lineRule="exact"/>
              <w:rPr>
                <w:sz w:val="20"/>
                <w:szCs w:val="20"/>
                <w:color w:val="auto"/>
              </w:rPr>
            </w:pPr>
            <w:r>
              <w:rPr>
                <w:rFonts w:ascii="Arial" w:cs="Arial" w:eastAsia="Arial" w:hAnsi="Arial"/>
                <w:sz w:val="14"/>
                <w:szCs w:val="14"/>
                <w:color w:val="auto"/>
              </w:rPr>
              <w:t>Barracks Road</w:t>
            </w:r>
          </w:p>
        </w:tc>
        <w:tc>
          <w:tcPr>
            <w:tcW w:w="1320" w:type="dxa"/>
            <w:vAlign w:val="bottom"/>
            <w:gridSpan w:val="3"/>
          </w:tcPr>
          <w:p>
            <w:pPr>
              <w:ind w:left="140"/>
              <w:spacing w:after="0" w:line="138" w:lineRule="exact"/>
              <w:rPr>
                <w:sz w:val="20"/>
                <w:szCs w:val="20"/>
                <w:color w:val="auto"/>
              </w:rPr>
            </w:pPr>
            <w:r>
              <w:rPr>
                <w:rFonts w:ascii="Arial" w:cs="Arial" w:eastAsia="Arial" w:hAnsi="Arial"/>
                <w:sz w:val="14"/>
                <w:szCs w:val="14"/>
                <w:color w:val="auto"/>
              </w:rPr>
              <w:t>Charlottesville, VA</w:t>
            </w:r>
          </w:p>
        </w:tc>
        <w:tc>
          <w:tcPr>
            <w:tcW w:w="6060" w:type="dxa"/>
            <w:vAlign w:val="bottom"/>
            <w:gridSpan w:val="3"/>
          </w:tcPr>
          <w:p>
            <w:pPr>
              <w:ind w:left="100"/>
              <w:spacing w:after="0" w:line="138" w:lineRule="exact"/>
              <w:rPr>
                <w:sz w:val="20"/>
                <w:szCs w:val="20"/>
                <w:color w:val="auto"/>
              </w:rPr>
            </w:pPr>
            <w:r>
              <w:rPr>
                <w:rFonts w:ascii="Arial" w:cs="Arial" w:eastAsia="Arial" w:hAnsi="Arial"/>
                <w:sz w:val="14"/>
                <w:szCs w:val="14"/>
                <w:color w:val="auto"/>
                <w:w w:val="94"/>
              </w:rPr>
              <w:t>Expansion of Bed, Bath and Beyond and creation of two additional small shop spaces, utilizing vacant</w:t>
            </w: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60" w:type="dxa"/>
            <w:vAlign w:val="bottom"/>
            <w:gridSpan w:val="3"/>
          </w:tcPr>
          <w:p>
            <w:pPr>
              <w:ind w:left="100"/>
              <w:spacing w:after="0" w:line="159" w:lineRule="exact"/>
              <w:rPr>
                <w:sz w:val="20"/>
                <w:szCs w:val="20"/>
                <w:color w:val="auto"/>
              </w:rPr>
            </w:pPr>
            <w:r>
              <w:rPr>
                <w:rFonts w:ascii="Arial" w:cs="Arial" w:eastAsia="Arial" w:hAnsi="Arial"/>
                <w:sz w:val="14"/>
                <w:szCs w:val="14"/>
                <w:color w:val="auto"/>
              </w:rPr>
              <w:t>anchor space.</w:t>
            </w:r>
          </w:p>
        </w:tc>
        <w:tc>
          <w:tcPr>
            <w:tcW w:w="7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10%</w:t>
            </w:r>
          </w:p>
        </w:tc>
        <w:tc>
          <w:tcPr>
            <w:tcW w:w="32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w:t>
            </w:r>
          </w:p>
        </w:tc>
        <w:tc>
          <w:tcPr>
            <w:tcW w:w="320" w:type="dxa"/>
            <w:vAlign w:val="bottom"/>
          </w:tcPr>
          <w:p>
            <w:pPr>
              <w:jc w:val="right"/>
              <w:spacing w:after="0" w:line="159" w:lineRule="exact"/>
              <w:rPr>
                <w:sz w:val="20"/>
                <w:szCs w:val="20"/>
                <w:color w:val="auto"/>
              </w:rPr>
            </w:pPr>
            <w:r>
              <w:rPr>
                <w:rFonts w:ascii="Arial" w:cs="Arial" w:eastAsia="Arial" w:hAnsi="Arial"/>
                <w:sz w:val="14"/>
                <w:szCs w:val="14"/>
                <w:color w:val="auto"/>
              </w:rPr>
              <w:t>3</w:t>
            </w:r>
          </w:p>
        </w:tc>
        <w:tc>
          <w:tcPr>
            <w:tcW w:w="200" w:type="dxa"/>
            <w:vAlign w:val="bottom"/>
            <w:gridSpan w:val="2"/>
          </w:tcPr>
          <w:p>
            <w:pPr>
              <w:ind w:left="120"/>
              <w:spacing w:after="0" w:line="159" w:lineRule="exact"/>
              <w:rPr>
                <w:sz w:val="20"/>
                <w:szCs w:val="20"/>
                <w:color w:val="auto"/>
              </w:rPr>
            </w:pPr>
            <w:r>
              <w:rPr>
                <w:rFonts w:ascii="Arial" w:cs="Arial" w:eastAsia="Arial" w:hAnsi="Arial"/>
                <w:sz w:val="14"/>
                <w:szCs w:val="14"/>
                <w:color w:val="auto"/>
                <w:w w:val="76"/>
              </w:rPr>
              <w:t>$</w:t>
            </w:r>
          </w:p>
        </w:tc>
        <w:tc>
          <w:tcPr>
            <w:tcW w:w="22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Lancaster</w:t>
            </w:r>
          </w:p>
        </w:tc>
        <w:tc>
          <w:tcPr>
            <w:tcW w:w="132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Lancaster, PA</w:t>
            </w:r>
          </w:p>
        </w:tc>
        <w:tc>
          <w:tcPr>
            <w:tcW w:w="60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Renovation and expansion of existing grocer, new bank pad, and façade renovation</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w:t>
            </w:r>
          </w:p>
        </w:tc>
        <w:tc>
          <w:tcPr>
            <w:tcW w:w="3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2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gridSpan w:val="3"/>
          </w:tcPr>
          <w:p>
            <w:pPr>
              <w:spacing w:after="0" w:line="149" w:lineRule="exact"/>
              <w:rPr>
                <w:sz w:val="20"/>
                <w:szCs w:val="20"/>
                <w:color w:val="auto"/>
              </w:rPr>
            </w:pPr>
            <w:r>
              <w:rPr>
                <w:rFonts w:ascii="Arial" w:cs="Arial" w:eastAsia="Arial" w:hAnsi="Arial"/>
                <w:sz w:val="14"/>
                <w:szCs w:val="14"/>
                <w:color w:val="auto"/>
              </w:rPr>
              <w:t>Langhorne</w:t>
            </w:r>
          </w:p>
        </w:tc>
        <w:tc>
          <w:tcPr>
            <w:tcW w:w="132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Levittown, PA</w:t>
            </w:r>
          </w:p>
        </w:tc>
        <w:tc>
          <w:tcPr>
            <w:tcW w:w="60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Pad site addition</w:t>
            </w: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w:t>
            </w:r>
          </w:p>
        </w:tc>
        <w:tc>
          <w:tcPr>
            <w:tcW w:w="3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20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76"/>
              </w:rPr>
              <w:t>$</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9600" w:type="dxa"/>
            <w:vAlign w:val="bottom"/>
            <w:gridSpan w:val="9"/>
            <w:shd w:val="clear" w:color="auto" w:fill="CCEEFF"/>
          </w:tcPr>
          <w:p>
            <w:pPr>
              <w:ind w:left="420"/>
              <w:spacing w:after="0" w:line="149" w:lineRule="exact"/>
              <w:rPr>
                <w:sz w:val="20"/>
                <w:szCs w:val="20"/>
                <w:color w:val="auto"/>
              </w:rPr>
            </w:pPr>
            <w:r>
              <w:rPr>
                <w:rFonts w:ascii="Arial" w:cs="Arial" w:eastAsia="Arial" w:hAnsi="Arial"/>
                <w:sz w:val="14"/>
                <w:szCs w:val="14"/>
                <w:b w:val="1"/>
                <w:bCs w:val="1"/>
                <w:color w:val="auto"/>
              </w:rPr>
              <w:t>Subtotal: Projects Anticipated to Stabilize in 2010 (3) (4)</w:t>
            </w: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12%</w:t>
            </w:r>
          </w:p>
        </w:tc>
        <w:tc>
          <w:tcPr>
            <w:tcW w:w="3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28</w:t>
            </w:r>
          </w:p>
        </w:tc>
        <w:tc>
          <w:tcPr>
            <w:tcW w:w="2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b w:val="1"/>
                <w:bCs w:val="1"/>
                <w:color w:val="auto"/>
                <w:w w:val="76"/>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17</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560" w:type="dxa"/>
            <w:vAlign w:val="bottom"/>
            <w:gridSpan w:val="7"/>
            <w:vMerge w:val="restart"/>
          </w:tcPr>
          <w:p>
            <w:pPr>
              <w:spacing w:after="0"/>
              <w:rPr>
                <w:sz w:val="20"/>
                <w:szCs w:val="20"/>
                <w:color w:val="auto"/>
              </w:rPr>
            </w:pPr>
            <w:r>
              <w:rPr>
                <w:rFonts w:ascii="Arial" w:cs="Arial" w:eastAsia="Arial" w:hAnsi="Arial"/>
                <w:sz w:val="14"/>
                <w:szCs w:val="14"/>
                <w:b w:val="1"/>
                <w:bCs w:val="1"/>
                <w:color w:val="auto"/>
              </w:rPr>
              <w:t>Projects Anticipated to Stabilize in 2011 (3)</w:t>
            </w:r>
          </w:p>
        </w:tc>
        <w:tc>
          <w:tcPr>
            <w:tcW w:w="2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560" w:type="dxa"/>
            <w:vAlign w:val="bottom"/>
            <w:gridSpan w:val="7"/>
            <w:vMerge w:val="continue"/>
          </w:tcPr>
          <w:p>
            <w:pPr>
              <w:spacing w:after="0"/>
              <w:rPr>
                <w:sz w:val="12"/>
                <w:szCs w:val="12"/>
                <w:color w:val="auto"/>
              </w:rPr>
            </w:pPr>
          </w:p>
        </w:tc>
        <w:tc>
          <w:tcPr>
            <w:tcW w:w="26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Santana Row</w:t>
            </w:r>
          </w:p>
        </w:tc>
        <w:tc>
          <w:tcPr>
            <w:tcW w:w="132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San Jose, CA</w:t>
            </w:r>
          </w:p>
        </w:tc>
        <w:tc>
          <w:tcPr>
            <w:tcW w:w="60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w w:val="93"/>
              </w:rPr>
              <w:t>Five-story building with 15,000 square feet of ground level retail and 65,000 square feet of office space</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w:t>
            </w:r>
          </w:p>
        </w:tc>
        <w:tc>
          <w:tcPr>
            <w:tcW w:w="3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w:t>
            </w:r>
          </w:p>
        </w:tc>
        <w:tc>
          <w:tcPr>
            <w:tcW w:w="2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20" w:type="dxa"/>
            <w:vAlign w:val="bottom"/>
            <w:gridSpan w:val="3"/>
          </w:tcPr>
          <w:p>
            <w:pPr>
              <w:spacing w:after="0" w:line="138" w:lineRule="exact"/>
              <w:rPr>
                <w:sz w:val="20"/>
                <w:szCs w:val="20"/>
                <w:color w:val="auto"/>
              </w:rPr>
            </w:pPr>
            <w:r>
              <w:rPr>
                <w:rFonts w:ascii="Arial" w:cs="Arial" w:eastAsia="Arial" w:hAnsi="Arial"/>
                <w:sz w:val="14"/>
                <w:szCs w:val="14"/>
                <w:color w:val="auto"/>
              </w:rPr>
              <w:t>Laurel</w:t>
            </w:r>
          </w:p>
        </w:tc>
        <w:tc>
          <w:tcPr>
            <w:tcW w:w="1320" w:type="dxa"/>
            <w:vAlign w:val="bottom"/>
            <w:gridSpan w:val="3"/>
          </w:tcPr>
          <w:p>
            <w:pPr>
              <w:ind w:left="140"/>
              <w:spacing w:after="0" w:line="138" w:lineRule="exact"/>
              <w:rPr>
                <w:sz w:val="20"/>
                <w:szCs w:val="20"/>
                <w:color w:val="auto"/>
              </w:rPr>
            </w:pPr>
            <w:r>
              <w:rPr>
                <w:rFonts w:ascii="Arial" w:cs="Arial" w:eastAsia="Arial" w:hAnsi="Arial"/>
                <w:sz w:val="14"/>
                <w:szCs w:val="14"/>
                <w:color w:val="auto"/>
              </w:rPr>
              <w:t>Laurel, MD</w:t>
            </w:r>
          </w:p>
        </w:tc>
        <w:tc>
          <w:tcPr>
            <w:tcW w:w="6060" w:type="dxa"/>
            <w:vAlign w:val="bottom"/>
            <w:gridSpan w:val="3"/>
          </w:tcPr>
          <w:p>
            <w:pPr>
              <w:ind w:left="100"/>
              <w:spacing w:after="0" w:line="138" w:lineRule="exact"/>
              <w:rPr>
                <w:sz w:val="20"/>
                <w:szCs w:val="20"/>
                <w:color w:val="auto"/>
              </w:rPr>
            </w:pPr>
            <w:r>
              <w:rPr>
                <w:rFonts w:ascii="Arial" w:cs="Arial" w:eastAsia="Arial" w:hAnsi="Arial"/>
                <w:sz w:val="14"/>
                <w:szCs w:val="14"/>
                <w:color w:val="auto"/>
                <w:w w:val="94"/>
              </w:rPr>
              <w:t>Pad preparation for new L.A. Fitness, replacing theater and small shop space. Reconfigure parking lot</w:t>
            </w: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60" w:type="dxa"/>
            <w:vAlign w:val="bottom"/>
            <w:gridSpan w:val="3"/>
          </w:tcPr>
          <w:p>
            <w:pPr>
              <w:ind w:left="100"/>
              <w:spacing w:after="0" w:line="159" w:lineRule="exact"/>
              <w:rPr>
                <w:sz w:val="20"/>
                <w:szCs w:val="20"/>
                <w:color w:val="auto"/>
              </w:rPr>
            </w:pPr>
            <w:r>
              <w:rPr>
                <w:rFonts w:ascii="Arial" w:cs="Arial" w:eastAsia="Arial" w:hAnsi="Arial"/>
                <w:sz w:val="14"/>
                <w:szCs w:val="14"/>
                <w:color w:val="auto"/>
              </w:rPr>
              <w:t>entrance.</w:t>
            </w:r>
          </w:p>
        </w:tc>
        <w:tc>
          <w:tcPr>
            <w:tcW w:w="7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8%</w:t>
            </w:r>
          </w:p>
        </w:tc>
        <w:tc>
          <w:tcPr>
            <w:tcW w:w="32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w:t>
            </w:r>
          </w:p>
        </w:tc>
        <w:tc>
          <w:tcPr>
            <w:tcW w:w="320" w:type="dxa"/>
            <w:vAlign w:val="bottom"/>
          </w:tcPr>
          <w:p>
            <w:pPr>
              <w:jc w:val="right"/>
              <w:spacing w:after="0" w:line="159" w:lineRule="exact"/>
              <w:rPr>
                <w:sz w:val="20"/>
                <w:szCs w:val="20"/>
                <w:color w:val="auto"/>
              </w:rPr>
            </w:pPr>
            <w:r>
              <w:rPr>
                <w:rFonts w:ascii="Arial" w:cs="Arial" w:eastAsia="Arial" w:hAnsi="Arial"/>
                <w:sz w:val="14"/>
                <w:szCs w:val="14"/>
                <w:color w:val="auto"/>
              </w:rPr>
              <w:t>9</w:t>
            </w:r>
          </w:p>
        </w:tc>
        <w:tc>
          <w:tcPr>
            <w:tcW w:w="200" w:type="dxa"/>
            <w:vAlign w:val="bottom"/>
            <w:gridSpan w:val="2"/>
          </w:tcPr>
          <w:p>
            <w:pPr>
              <w:ind w:left="120"/>
              <w:spacing w:after="0" w:line="159" w:lineRule="exact"/>
              <w:rPr>
                <w:sz w:val="20"/>
                <w:szCs w:val="20"/>
                <w:color w:val="auto"/>
              </w:rPr>
            </w:pPr>
            <w:r>
              <w:rPr>
                <w:rFonts w:ascii="Arial" w:cs="Arial" w:eastAsia="Arial" w:hAnsi="Arial"/>
                <w:sz w:val="14"/>
                <w:szCs w:val="14"/>
                <w:color w:val="auto"/>
                <w:w w:val="76"/>
              </w:rPr>
              <w:t>$</w:t>
            </w:r>
          </w:p>
        </w:tc>
        <w:tc>
          <w:tcPr>
            <w:tcW w:w="22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2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rPr>
              <w:t>Crossroads</w:t>
            </w:r>
          </w:p>
        </w:tc>
        <w:tc>
          <w:tcPr>
            <w:tcW w:w="1320" w:type="dxa"/>
            <w:vAlign w:val="bottom"/>
            <w:gridSpan w:val="3"/>
            <w:shd w:val="clear" w:color="auto" w:fill="CCEEFF"/>
          </w:tcPr>
          <w:p>
            <w:pPr>
              <w:ind w:left="140"/>
              <w:spacing w:after="0" w:line="138" w:lineRule="exact"/>
              <w:rPr>
                <w:sz w:val="20"/>
                <w:szCs w:val="20"/>
                <w:color w:val="auto"/>
              </w:rPr>
            </w:pPr>
            <w:r>
              <w:rPr>
                <w:rFonts w:ascii="Arial" w:cs="Arial" w:eastAsia="Arial" w:hAnsi="Arial"/>
                <w:sz w:val="14"/>
                <w:szCs w:val="14"/>
                <w:color w:val="auto"/>
              </w:rPr>
              <w:t>Highland Park, IL</w:t>
            </w:r>
          </w:p>
        </w:tc>
        <w:tc>
          <w:tcPr>
            <w:tcW w:w="6060" w:type="dxa"/>
            <w:vAlign w:val="bottom"/>
            <w:gridSpan w:val="3"/>
            <w:shd w:val="clear" w:color="auto" w:fill="CCEEFF"/>
          </w:tcPr>
          <w:p>
            <w:pPr>
              <w:ind w:left="100"/>
              <w:spacing w:after="0" w:line="138" w:lineRule="exact"/>
              <w:rPr>
                <w:sz w:val="20"/>
                <w:szCs w:val="20"/>
                <w:color w:val="auto"/>
              </w:rPr>
            </w:pPr>
            <w:r>
              <w:rPr>
                <w:rFonts w:ascii="Arial" w:cs="Arial" w:eastAsia="Arial" w:hAnsi="Arial"/>
                <w:sz w:val="14"/>
                <w:szCs w:val="14"/>
                <w:color w:val="auto"/>
                <w:w w:val="94"/>
              </w:rPr>
              <w:t>Combine four spaces in preparation for new fitness operator, replacing vacant anchor and small shop</w:t>
            </w: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60" w:type="dxa"/>
            <w:vAlign w:val="bottom"/>
            <w:gridSpan w:val="3"/>
            <w:shd w:val="clear" w:color="auto" w:fill="CCEEFF"/>
          </w:tcPr>
          <w:p>
            <w:pPr>
              <w:ind w:left="100"/>
              <w:spacing w:after="0" w:line="159" w:lineRule="exact"/>
              <w:rPr>
                <w:sz w:val="20"/>
                <w:szCs w:val="20"/>
                <w:color w:val="auto"/>
              </w:rPr>
            </w:pPr>
            <w:r>
              <w:rPr>
                <w:rFonts w:ascii="Arial" w:cs="Arial" w:eastAsia="Arial" w:hAnsi="Arial"/>
                <w:sz w:val="14"/>
                <w:szCs w:val="14"/>
                <w:color w:val="auto"/>
              </w:rPr>
              <w:t>space.</w:t>
            </w:r>
          </w:p>
        </w:tc>
        <w:tc>
          <w:tcPr>
            <w:tcW w:w="7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9%</w:t>
            </w:r>
          </w:p>
        </w:tc>
        <w:tc>
          <w:tcPr>
            <w:tcW w:w="32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w:t>
            </w:r>
          </w:p>
        </w:tc>
        <w:tc>
          <w:tcPr>
            <w:tcW w:w="200" w:type="dxa"/>
            <w:vAlign w:val="bottom"/>
            <w:gridSpan w:val="2"/>
            <w:shd w:val="clear" w:color="auto" w:fill="CCEEFF"/>
          </w:tcPr>
          <w:p>
            <w:pPr>
              <w:ind w:left="120"/>
              <w:spacing w:after="0" w:line="159" w:lineRule="exact"/>
              <w:rPr>
                <w:sz w:val="20"/>
                <w:szCs w:val="20"/>
                <w:color w:val="auto"/>
              </w:rPr>
            </w:pPr>
            <w:r>
              <w:rPr>
                <w:rFonts w:ascii="Arial" w:cs="Arial" w:eastAsia="Arial" w:hAnsi="Arial"/>
                <w:sz w:val="14"/>
                <w:szCs w:val="14"/>
                <w:color w:val="auto"/>
                <w:w w:val="76"/>
              </w:rPr>
              <w:t>$</w:t>
            </w:r>
          </w:p>
        </w:tc>
        <w:tc>
          <w:tcPr>
            <w:tcW w:w="2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gridSpan w:val="3"/>
          </w:tcPr>
          <w:p>
            <w:pPr>
              <w:spacing w:after="0" w:line="149" w:lineRule="exact"/>
              <w:rPr>
                <w:sz w:val="20"/>
                <w:szCs w:val="20"/>
                <w:color w:val="auto"/>
              </w:rPr>
            </w:pPr>
            <w:r>
              <w:rPr>
                <w:rFonts w:ascii="Arial" w:cs="Arial" w:eastAsia="Arial" w:hAnsi="Arial"/>
                <w:sz w:val="14"/>
                <w:szCs w:val="14"/>
                <w:color w:val="auto"/>
              </w:rPr>
              <w:t xml:space="preserve">Atlantic Plaza (JV Property) </w:t>
            </w:r>
            <w:r>
              <w:rPr>
                <w:rFonts w:ascii="Arial" w:cs="Arial" w:eastAsia="Arial" w:hAnsi="Arial"/>
                <w:sz w:val="14"/>
                <w:szCs w:val="14"/>
                <w:b w:val="1"/>
                <w:bCs w:val="1"/>
                <w:color w:val="auto"/>
              </w:rPr>
              <w:t>(6)</w:t>
            </w:r>
          </w:p>
        </w:tc>
        <w:tc>
          <w:tcPr>
            <w:tcW w:w="1320" w:type="dxa"/>
            <w:vAlign w:val="bottom"/>
            <w:gridSpan w:val="3"/>
          </w:tcPr>
          <w:p>
            <w:pPr>
              <w:ind w:left="140"/>
              <w:spacing w:after="0" w:line="149" w:lineRule="exact"/>
              <w:rPr>
                <w:sz w:val="20"/>
                <w:szCs w:val="20"/>
                <w:color w:val="auto"/>
              </w:rPr>
            </w:pPr>
            <w:r>
              <w:rPr>
                <w:rFonts w:ascii="Arial" w:cs="Arial" w:eastAsia="Arial" w:hAnsi="Arial"/>
                <w:sz w:val="14"/>
                <w:szCs w:val="14"/>
                <w:color w:val="auto"/>
                <w:w w:val="97"/>
              </w:rPr>
              <w:t>North Reading, MA</w:t>
            </w:r>
          </w:p>
        </w:tc>
        <w:tc>
          <w:tcPr>
            <w:tcW w:w="6060" w:type="dxa"/>
            <w:vAlign w:val="bottom"/>
            <w:gridSpan w:val="3"/>
          </w:tcPr>
          <w:p>
            <w:pPr>
              <w:ind w:left="100"/>
              <w:spacing w:after="0" w:line="149" w:lineRule="exact"/>
              <w:rPr>
                <w:sz w:val="20"/>
                <w:szCs w:val="20"/>
                <w:color w:val="auto"/>
              </w:rPr>
            </w:pPr>
            <w:r>
              <w:rPr>
                <w:rFonts w:ascii="Arial" w:cs="Arial" w:eastAsia="Arial" w:hAnsi="Arial"/>
                <w:sz w:val="14"/>
                <w:szCs w:val="14"/>
                <w:color w:val="auto"/>
                <w:w w:val="95"/>
              </w:rPr>
              <w:t>Property improvements, including façade renovation, in preparation for new lease with grocery store.</w:t>
            </w: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w:t>
            </w:r>
          </w:p>
        </w:tc>
        <w:tc>
          <w:tcPr>
            <w:tcW w:w="3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20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76"/>
              </w:rPr>
              <w:t>$</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6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6%</w:t>
            </w:r>
          </w:p>
        </w:tc>
        <w:tc>
          <w:tcPr>
            <w:tcW w:w="3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57</w:t>
            </w:r>
          </w:p>
        </w:tc>
        <w:tc>
          <w:tcPr>
            <w:tcW w:w="2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b w:val="1"/>
                <w:bCs w:val="1"/>
                <w:color w:val="auto"/>
                <w:w w:val="76"/>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34</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620" w:type="dxa"/>
            <w:vAlign w:val="bottom"/>
            <w:gridSpan w:val="10"/>
            <w:vMerge w:val="restart"/>
          </w:tcPr>
          <w:p>
            <w:pPr>
              <w:spacing w:after="0"/>
              <w:rPr>
                <w:sz w:val="20"/>
                <w:szCs w:val="20"/>
                <w:color w:val="auto"/>
              </w:rPr>
            </w:pPr>
            <w:r>
              <w:rPr>
                <w:rFonts w:ascii="Arial" w:cs="Arial" w:eastAsia="Arial" w:hAnsi="Arial"/>
                <w:sz w:val="14"/>
                <w:szCs w:val="14"/>
                <w:b w:val="1"/>
                <w:bCs w:val="1"/>
                <w:color w:val="auto"/>
              </w:rPr>
              <w:t>Total: Projects Anticipated to Stabilize in 2010 and 2011 (3) (4) (5)</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9620" w:type="dxa"/>
            <w:vAlign w:val="bottom"/>
            <w:gridSpan w:val="10"/>
            <w:vMerge w:val="continue"/>
          </w:tcPr>
          <w:p>
            <w:pPr>
              <w:spacing w:after="0"/>
              <w:rPr>
                <w:sz w:val="12"/>
                <w:szCs w:val="12"/>
                <w:color w:val="auto"/>
              </w:rPr>
            </w:pPr>
          </w:p>
        </w:tc>
        <w:tc>
          <w:tcPr>
            <w:tcW w:w="760" w:type="dxa"/>
            <w:vAlign w:val="bottom"/>
            <w:gridSpan w:val="2"/>
          </w:tcPr>
          <w:p>
            <w:pPr>
              <w:jc w:val="right"/>
              <w:ind w:right="80"/>
              <w:spacing w:after="0" w:line="143" w:lineRule="exact"/>
              <w:rPr>
                <w:sz w:val="20"/>
                <w:szCs w:val="20"/>
                <w:color w:val="auto"/>
              </w:rPr>
            </w:pPr>
            <w:r>
              <w:rPr>
                <w:rFonts w:ascii="Arial" w:cs="Arial" w:eastAsia="Arial" w:hAnsi="Arial"/>
                <w:sz w:val="14"/>
                <w:szCs w:val="14"/>
                <w:b w:val="1"/>
                <w:bCs w:val="1"/>
                <w:color w:val="auto"/>
              </w:rPr>
              <w:t>8%</w:t>
            </w:r>
          </w:p>
        </w:tc>
        <w:tc>
          <w:tcPr>
            <w:tcW w:w="320" w:type="dxa"/>
            <w:vAlign w:val="bottom"/>
            <w:gridSpan w:val="2"/>
          </w:tcPr>
          <w:p>
            <w:pPr>
              <w:ind w:left="80"/>
              <w:spacing w:after="0" w:line="143" w:lineRule="exact"/>
              <w:rPr>
                <w:sz w:val="20"/>
                <w:szCs w:val="20"/>
                <w:color w:val="auto"/>
              </w:rPr>
            </w:pPr>
            <w:r>
              <w:rPr>
                <w:rFonts w:ascii="Arial" w:cs="Arial" w:eastAsia="Arial" w:hAnsi="Arial"/>
                <w:sz w:val="14"/>
                <w:szCs w:val="14"/>
                <w:b w:val="1"/>
                <w:bCs w:val="1"/>
                <w:color w:val="auto"/>
              </w:rPr>
              <w:t>$</w:t>
            </w:r>
          </w:p>
        </w:tc>
        <w:tc>
          <w:tcPr>
            <w:tcW w:w="320" w:type="dxa"/>
            <w:vAlign w:val="bottom"/>
          </w:tcPr>
          <w:p>
            <w:pPr>
              <w:jc w:val="right"/>
              <w:spacing w:after="0" w:line="143" w:lineRule="exact"/>
              <w:rPr>
                <w:sz w:val="20"/>
                <w:szCs w:val="20"/>
                <w:color w:val="auto"/>
              </w:rPr>
            </w:pPr>
            <w:r>
              <w:rPr>
                <w:rFonts w:ascii="Arial" w:cs="Arial" w:eastAsia="Arial" w:hAnsi="Arial"/>
                <w:sz w:val="14"/>
                <w:szCs w:val="14"/>
                <w:b w:val="1"/>
                <w:bCs w:val="1"/>
                <w:color w:val="auto"/>
              </w:rPr>
              <w:t>85</w:t>
            </w:r>
          </w:p>
        </w:tc>
        <w:tc>
          <w:tcPr>
            <w:tcW w:w="200" w:type="dxa"/>
            <w:vAlign w:val="bottom"/>
            <w:gridSpan w:val="2"/>
          </w:tcPr>
          <w:p>
            <w:pPr>
              <w:ind w:left="120"/>
              <w:spacing w:after="0" w:line="143" w:lineRule="exact"/>
              <w:rPr>
                <w:sz w:val="20"/>
                <w:szCs w:val="20"/>
                <w:color w:val="auto"/>
              </w:rPr>
            </w:pPr>
            <w:r>
              <w:rPr>
                <w:rFonts w:ascii="Arial" w:cs="Arial" w:eastAsia="Arial" w:hAnsi="Arial"/>
                <w:sz w:val="14"/>
                <w:szCs w:val="14"/>
                <w:b w:val="1"/>
                <w:bCs w:val="1"/>
                <w:color w:val="auto"/>
                <w:w w:val="76"/>
              </w:rPr>
              <w:t>$</w:t>
            </w:r>
          </w:p>
        </w:tc>
        <w:tc>
          <w:tcPr>
            <w:tcW w:w="220" w:type="dxa"/>
            <w:vAlign w:val="bottom"/>
            <w:gridSpan w:val="2"/>
          </w:tcPr>
          <w:p>
            <w:pPr>
              <w:jc w:val="right"/>
              <w:ind w:right="20"/>
              <w:spacing w:after="0" w:line="143" w:lineRule="exact"/>
              <w:rPr>
                <w:sz w:val="20"/>
                <w:szCs w:val="20"/>
                <w:color w:val="auto"/>
              </w:rPr>
            </w:pPr>
            <w:r>
              <w:rPr>
                <w:rFonts w:ascii="Arial" w:cs="Arial" w:eastAsia="Arial" w:hAnsi="Arial"/>
                <w:sz w:val="14"/>
                <w:szCs w:val="14"/>
                <w:b w:val="1"/>
                <w:bCs w:val="1"/>
                <w:color w:val="auto"/>
              </w:rPr>
              <w:t>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84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gridSpan w:val="2"/>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262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spacing w:after="0"/>
              <w:rPr>
                <w:sz w:val="13"/>
                <w:szCs w:val="13"/>
                <w:color w:val="auto"/>
              </w:rPr>
            </w:pPr>
          </w:p>
        </w:tc>
        <w:tc>
          <w:tcPr>
            <w:tcW w:w="266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540" w:type="dxa"/>
            <w:vAlign w:val="bottom"/>
            <w:gridSpan w:val="6"/>
          </w:tcPr>
          <w:p>
            <w:pPr>
              <w:spacing w:after="0"/>
              <w:rPr>
                <w:sz w:val="20"/>
                <w:szCs w:val="20"/>
                <w:color w:val="auto"/>
              </w:rPr>
            </w:pPr>
            <w:r>
              <w:rPr>
                <w:rFonts w:ascii="Arial" w:cs="Arial" w:eastAsia="Arial" w:hAnsi="Arial"/>
                <w:sz w:val="14"/>
                <w:szCs w:val="14"/>
                <w:b w:val="1"/>
                <w:bCs w:val="1"/>
                <w:color w:val="auto"/>
              </w:rPr>
              <w:t>Potential future redevelopment pipeline includes (6):</w:t>
            </w:r>
          </w:p>
        </w:tc>
        <w:tc>
          <w:tcPr>
            <w:tcW w:w="26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Property</w:t>
            </w: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Location</w:t>
            </w:r>
          </w:p>
        </w:tc>
        <w:tc>
          <w:tcPr>
            <w:tcW w:w="3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2"/>
              </w:rPr>
              <w:t>Opportunity</w:t>
            </w:r>
          </w:p>
        </w:tc>
        <w:tc>
          <w:tcPr>
            <w:tcW w:w="2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20" w:type="dxa"/>
            <w:vAlign w:val="bottom"/>
            <w:gridSpan w:val="3"/>
            <w:shd w:val="clear" w:color="auto" w:fill="CCEEFF"/>
          </w:tcPr>
          <w:p>
            <w:pPr>
              <w:spacing w:after="0" w:line="142" w:lineRule="exact"/>
              <w:rPr>
                <w:sz w:val="20"/>
                <w:szCs w:val="20"/>
                <w:color w:val="auto"/>
              </w:rPr>
            </w:pPr>
            <w:r>
              <w:rPr>
                <w:rFonts w:ascii="Arial" w:cs="Arial" w:eastAsia="Arial" w:hAnsi="Arial"/>
                <w:sz w:val="14"/>
                <w:szCs w:val="14"/>
                <w:color w:val="auto"/>
              </w:rPr>
              <w:t>Assembly Square</w:t>
            </w:r>
          </w:p>
        </w:tc>
        <w:tc>
          <w:tcPr>
            <w:tcW w:w="1320" w:type="dxa"/>
            <w:vAlign w:val="bottom"/>
            <w:gridSpan w:val="3"/>
            <w:shd w:val="clear" w:color="auto" w:fill="CCEEFF"/>
          </w:tcPr>
          <w:p>
            <w:pPr>
              <w:ind w:left="140"/>
              <w:spacing w:after="0" w:line="142" w:lineRule="exact"/>
              <w:rPr>
                <w:sz w:val="20"/>
                <w:szCs w:val="20"/>
                <w:color w:val="auto"/>
              </w:rPr>
            </w:pPr>
            <w:r>
              <w:rPr>
                <w:rFonts w:ascii="Arial" w:cs="Arial" w:eastAsia="Arial" w:hAnsi="Arial"/>
                <w:sz w:val="14"/>
                <w:szCs w:val="14"/>
                <w:color w:val="auto"/>
              </w:rPr>
              <w:t>Somerville, MA</w:t>
            </w:r>
          </w:p>
        </w:tc>
        <w:tc>
          <w:tcPr>
            <w:tcW w:w="6060" w:type="dxa"/>
            <w:vAlign w:val="bottom"/>
            <w:gridSpan w:val="3"/>
            <w:shd w:val="clear" w:color="auto" w:fill="CCEEFF"/>
          </w:tcPr>
          <w:p>
            <w:pPr>
              <w:ind w:left="100"/>
              <w:spacing w:after="0" w:line="142" w:lineRule="exact"/>
              <w:rPr>
                <w:sz w:val="20"/>
                <w:szCs w:val="20"/>
                <w:color w:val="auto"/>
              </w:rPr>
            </w:pPr>
            <w:r>
              <w:rPr>
                <w:rFonts w:ascii="Arial" w:cs="Arial" w:eastAsia="Arial" w:hAnsi="Arial"/>
                <w:sz w:val="14"/>
                <w:szCs w:val="14"/>
                <w:color w:val="auto"/>
              </w:rPr>
              <w:t>Potential substantial transit oriented mixed-use development</w:t>
            </w: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gridSpan w:val="3"/>
          </w:tcPr>
          <w:p>
            <w:pPr>
              <w:spacing w:after="0" w:line="149" w:lineRule="exact"/>
              <w:rPr>
                <w:sz w:val="20"/>
                <w:szCs w:val="20"/>
                <w:color w:val="auto"/>
              </w:rPr>
            </w:pPr>
            <w:r>
              <w:rPr>
                <w:rFonts w:ascii="Arial" w:cs="Arial" w:eastAsia="Arial" w:hAnsi="Arial"/>
                <w:sz w:val="14"/>
                <w:szCs w:val="14"/>
                <w:color w:val="auto"/>
              </w:rPr>
              <w:t>Assembly Square Mall</w:t>
            </w:r>
          </w:p>
        </w:tc>
        <w:tc>
          <w:tcPr>
            <w:tcW w:w="132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Somerville, MA</w:t>
            </w:r>
          </w:p>
        </w:tc>
        <w:tc>
          <w:tcPr>
            <w:tcW w:w="60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Pad site addition</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Bala Cynwyd</w:t>
            </w:r>
          </w:p>
        </w:tc>
        <w:tc>
          <w:tcPr>
            <w:tcW w:w="132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Bala Cynwyd, PA</w:t>
            </w:r>
          </w:p>
        </w:tc>
        <w:tc>
          <w:tcPr>
            <w:tcW w:w="60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w w:val="96"/>
              </w:rPr>
              <w:t>Potential redevelopment of nine acres of land for a transit oriented mixed-use project or retail center</w:t>
            </w: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gridSpan w:val="3"/>
          </w:tcPr>
          <w:p>
            <w:pPr>
              <w:spacing w:after="0" w:line="149" w:lineRule="exact"/>
              <w:rPr>
                <w:sz w:val="20"/>
                <w:szCs w:val="20"/>
                <w:color w:val="auto"/>
              </w:rPr>
            </w:pPr>
            <w:r>
              <w:rPr>
                <w:rFonts w:ascii="Arial" w:cs="Arial" w:eastAsia="Arial" w:hAnsi="Arial"/>
                <w:sz w:val="14"/>
                <w:szCs w:val="14"/>
                <w:color w:val="auto"/>
              </w:rPr>
              <w:t>Brick Plaza</w:t>
            </w:r>
          </w:p>
        </w:tc>
        <w:tc>
          <w:tcPr>
            <w:tcW w:w="132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Brick, NJ</w:t>
            </w:r>
          </w:p>
        </w:tc>
        <w:tc>
          <w:tcPr>
            <w:tcW w:w="60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Redevelopment and expansion of existing pad site, plus additional pad site</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Federal Plaza</w:t>
            </w:r>
          </w:p>
        </w:tc>
        <w:tc>
          <w:tcPr>
            <w:tcW w:w="132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Rockville, MD</w:t>
            </w:r>
          </w:p>
        </w:tc>
        <w:tc>
          <w:tcPr>
            <w:tcW w:w="60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Pad building opportunities</w:t>
            </w: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gridSpan w:val="3"/>
          </w:tcPr>
          <w:p>
            <w:pPr>
              <w:spacing w:after="0" w:line="149" w:lineRule="exact"/>
              <w:rPr>
                <w:sz w:val="20"/>
                <w:szCs w:val="20"/>
                <w:color w:val="auto"/>
              </w:rPr>
            </w:pPr>
            <w:r>
              <w:rPr>
                <w:rFonts w:ascii="Arial" w:cs="Arial" w:eastAsia="Arial" w:hAnsi="Arial"/>
                <w:sz w:val="14"/>
                <w:szCs w:val="14"/>
                <w:color w:val="auto"/>
              </w:rPr>
              <w:t>Flourtown</w:t>
            </w:r>
          </w:p>
        </w:tc>
        <w:tc>
          <w:tcPr>
            <w:tcW w:w="132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Flourtown, PA</w:t>
            </w:r>
          </w:p>
        </w:tc>
        <w:tc>
          <w:tcPr>
            <w:tcW w:w="60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Anchor re-tenanting, small shop renovation, and site improvements</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Fresh Meadows</w:t>
            </w:r>
          </w:p>
        </w:tc>
        <w:tc>
          <w:tcPr>
            <w:tcW w:w="132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Queens, NY</w:t>
            </w:r>
          </w:p>
        </w:tc>
        <w:tc>
          <w:tcPr>
            <w:tcW w:w="60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Potential conversion of 2nd floor office space to retail</w:t>
            </w: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gridSpan w:val="3"/>
          </w:tcPr>
          <w:p>
            <w:pPr>
              <w:spacing w:after="0" w:line="149" w:lineRule="exact"/>
              <w:rPr>
                <w:sz w:val="20"/>
                <w:szCs w:val="20"/>
                <w:color w:val="auto"/>
              </w:rPr>
            </w:pPr>
            <w:r>
              <w:rPr>
                <w:rFonts w:ascii="Arial" w:cs="Arial" w:eastAsia="Arial" w:hAnsi="Arial"/>
                <w:sz w:val="14"/>
                <w:szCs w:val="14"/>
                <w:color w:val="auto"/>
              </w:rPr>
              <w:t>Hollywood Peterson Building</w:t>
            </w:r>
          </w:p>
        </w:tc>
        <w:tc>
          <w:tcPr>
            <w:tcW w:w="132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Hollywood, CA</w:t>
            </w:r>
          </w:p>
        </w:tc>
        <w:tc>
          <w:tcPr>
            <w:tcW w:w="60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Co-terminus leases create potential for property redevelopment and expansion</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Huntington</w:t>
            </w:r>
          </w:p>
        </w:tc>
        <w:tc>
          <w:tcPr>
            <w:tcW w:w="132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Huntington, NY</w:t>
            </w:r>
          </w:p>
        </w:tc>
        <w:tc>
          <w:tcPr>
            <w:tcW w:w="60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Pad site additions</w:t>
            </w: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gridSpan w:val="3"/>
          </w:tcPr>
          <w:p>
            <w:pPr>
              <w:spacing w:after="0" w:line="149" w:lineRule="exact"/>
              <w:rPr>
                <w:sz w:val="20"/>
                <w:szCs w:val="20"/>
                <w:color w:val="auto"/>
              </w:rPr>
            </w:pPr>
            <w:r>
              <w:rPr>
                <w:rFonts w:ascii="Arial" w:cs="Arial" w:eastAsia="Arial" w:hAnsi="Arial"/>
                <w:sz w:val="14"/>
                <w:szCs w:val="14"/>
                <w:color w:val="auto"/>
              </w:rPr>
              <w:t>Linden Square</w:t>
            </w:r>
          </w:p>
        </w:tc>
        <w:tc>
          <w:tcPr>
            <w:tcW w:w="132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Wellesley, MA</w:t>
            </w:r>
          </w:p>
        </w:tc>
        <w:tc>
          <w:tcPr>
            <w:tcW w:w="60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Additional phases of infill redevelopment</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Mercer Mall</w:t>
            </w:r>
          </w:p>
        </w:tc>
        <w:tc>
          <w:tcPr>
            <w:tcW w:w="132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Lawrenceville, NJ</w:t>
            </w:r>
          </w:p>
        </w:tc>
        <w:tc>
          <w:tcPr>
            <w:tcW w:w="60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Construction of new outparcel</w:t>
            </w: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gridSpan w:val="3"/>
          </w:tcPr>
          <w:p>
            <w:pPr>
              <w:spacing w:after="0" w:line="149" w:lineRule="exact"/>
              <w:rPr>
                <w:sz w:val="20"/>
                <w:szCs w:val="20"/>
                <w:color w:val="auto"/>
              </w:rPr>
            </w:pPr>
            <w:r>
              <w:rPr>
                <w:rFonts w:ascii="Arial" w:cs="Arial" w:eastAsia="Arial" w:hAnsi="Arial"/>
                <w:sz w:val="14"/>
                <w:szCs w:val="14"/>
                <w:color w:val="auto"/>
              </w:rPr>
              <w:t>Mid-Pike Plaza</w:t>
            </w:r>
          </w:p>
        </w:tc>
        <w:tc>
          <w:tcPr>
            <w:tcW w:w="132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Rockville, MD</w:t>
            </w:r>
          </w:p>
        </w:tc>
        <w:tc>
          <w:tcPr>
            <w:tcW w:w="6060" w:type="dxa"/>
            <w:vAlign w:val="bottom"/>
            <w:gridSpan w:val="3"/>
          </w:tcPr>
          <w:p>
            <w:pPr>
              <w:ind w:left="100"/>
              <w:spacing w:after="0" w:line="149" w:lineRule="exact"/>
              <w:rPr>
                <w:sz w:val="20"/>
                <w:szCs w:val="20"/>
                <w:color w:val="auto"/>
              </w:rPr>
            </w:pPr>
            <w:r>
              <w:rPr>
                <w:rFonts w:ascii="Arial" w:cs="Arial" w:eastAsia="Arial" w:hAnsi="Arial"/>
                <w:sz w:val="14"/>
                <w:szCs w:val="14"/>
                <w:color w:val="auto"/>
                <w:w w:val="93"/>
              </w:rPr>
              <w:t>Co-terminus leases create potential for retail redevelopment or transit oriented mixed-use development</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Pike 7</w:t>
            </w:r>
          </w:p>
        </w:tc>
        <w:tc>
          <w:tcPr>
            <w:tcW w:w="132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Vienna, VA</w:t>
            </w:r>
          </w:p>
        </w:tc>
        <w:tc>
          <w:tcPr>
            <w:tcW w:w="60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w w:val="93"/>
              </w:rPr>
              <w:t>Co-terminus leases create potential for retail redevelopment or transit oriented mixed-use development</w:t>
            </w: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gridSpan w:val="3"/>
          </w:tcPr>
          <w:p>
            <w:pPr>
              <w:spacing w:after="0" w:line="149" w:lineRule="exact"/>
              <w:rPr>
                <w:sz w:val="20"/>
                <w:szCs w:val="20"/>
                <w:color w:val="auto"/>
              </w:rPr>
            </w:pPr>
            <w:r>
              <w:rPr>
                <w:rFonts w:ascii="Arial" w:cs="Arial" w:eastAsia="Arial" w:hAnsi="Arial"/>
                <w:sz w:val="14"/>
                <w:szCs w:val="14"/>
                <w:color w:val="auto"/>
              </w:rPr>
              <w:t>Santana Row</w:t>
            </w:r>
          </w:p>
        </w:tc>
        <w:tc>
          <w:tcPr>
            <w:tcW w:w="132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San Jose, CA</w:t>
            </w:r>
          </w:p>
        </w:tc>
        <w:tc>
          <w:tcPr>
            <w:tcW w:w="60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Future phases of mixed-use development</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Shoppers World</w:t>
            </w:r>
          </w:p>
        </w:tc>
        <w:tc>
          <w:tcPr>
            <w:tcW w:w="132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Charlottesville, VA</w:t>
            </w:r>
          </w:p>
        </w:tc>
        <w:tc>
          <w:tcPr>
            <w:tcW w:w="60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Co-terminus leases create potential for remerchandising and reconfiguration of retail spaces</w:t>
            </w: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gridSpan w:val="3"/>
          </w:tcPr>
          <w:p>
            <w:pPr>
              <w:spacing w:after="0" w:line="149" w:lineRule="exact"/>
              <w:rPr>
                <w:sz w:val="20"/>
                <w:szCs w:val="20"/>
                <w:color w:val="auto"/>
              </w:rPr>
            </w:pPr>
            <w:r>
              <w:rPr>
                <w:rFonts w:ascii="Arial" w:cs="Arial" w:eastAsia="Arial" w:hAnsi="Arial"/>
                <w:sz w:val="14"/>
                <w:szCs w:val="14"/>
                <w:color w:val="auto"/>
              </w:rPr>
              <w:t>Town Center of New Britain</w:t>
            </w:r>
          </w:p>
        </w:tc>
        <w:tc>
          <w:tcPr>
            <w:tcW w:w="132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New Britain, PA</w:t>
            </w:r>
          </w:p>
        </w:tc>
        <w:tc>
          <w:tcPr>
            <w:tcW w:w="60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Renovation and expansion of existing grocer</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Troy</w:t>
            </w:r>
          </w:p>
        </w:tc>
        <w:tc>
          <w:tcPr>
            <w:tcW w:w="132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Parsippany, NJ</w:t>
            </w:r>
          </w:p>
        </w:tc>
        <w:tc>
          <w:tcPr>
            <w:tcW w:w="60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Pad site addition</w:t>
            </w: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220" w:type="dxa"/>
            <w:vAlign w:val="bottom"/>
            <w:gridSpan w:val="3"/>
          </w:tcPr>
          <w:p>
            <w:pPr>
              <w:spacing w:after="0"/>
              <w:rPr>
                <w:sz w:val="20"/>
                <w:szCs w:val="20"/>
                <w:color w:val="auto"/>
              </w:rPr>
            </w:pPr>
            <w:r>
              <w:rPr>
                <w:rFonts w:ascii="Arial" w:cs="Arial" w:eastAsia="Arial" w:hAnsi="Arial"/>
                <w:sz w:val="14"/>
                <w:szCs w:val="14"/>
                <w:color w:val="auto"/>
              </w:rPr>
              <w:t>Willow Lawn</w:t>
            </w:r>
          </w:p>
        </w:tc>
        <w:tc>
          <w:tcPr>
            <w:tcW w:w="1320" w:type="dxa"/>
            <w:vAlign w:val="bottom"/>
            <w:gridSpan w:val="3"/>
          </w:tcPr>
          <w:p>
            <w:pPr>
              <w:ind w:left="140"/>
              <w:spacing w:after="0"/>
              <w:rPr>
                <w:sz w:val="20"/>
                <w:szCs w:val="20"/>
                <w:color w:val="auto"/>
              </w:rPr>
            </w:pPr>
            <w:r>
              <w:rPr>
                <w:rFonts w:ascii="Arial" w:cs="Arial" w:eastAsia="Arial" w:hAnsi="Arial"/>
                <w:sz w:val="14"/>
                <w:szCs w:val="14"/>
                <w:color w:val="auto"/>
              </w:rPr>
              <w:t>Richmond, VA</w:t>
            </w:r>
          </w:p>
        </w:tc>
        <w:tc>
          <w:tcPr>
            <w:tcW w:w="6060" w:type="dxa"/>
            <w:vAlign w:val="bottom"/>
            <w:gridSpan w:val="3"/>
          </w:tcPr>
          <w:p>
            <w:pPr>
              <w:ind w:left="100"/>
              <w:spacing w:after="0"/>
              <w:rPr>
                <w:sz w:val="20"/>
                <w:szCs w:val="20"/>
                <w:color w:val="auto"/>
              </w:rPr>
            </w:pPr>
            <w:r>
              <w:rPr>
                <w:rFonts w:ascii="Arial" w:cs="Arial" w:eastAsia="Arial" w:hAnsi="Arial"/>
                <w:sz w:val="14"/>
                <w:szCs w:val="14"/>
                <w:color w:val="auto"/>
              </w:rPr>
              <w:t>Demo interior mall, relocate mall tenants, construct new exterior GLA</w:t>
            </w: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289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15" w:lineRule="exact"/>
        <w:rPr>
          <w:sz w:val="20"/>
          <w:szCs w:val="20"/>
          <w:color w:val="auto"/>
        </w:rPr>
      </w:pPr>
    </w:p>
    <w:p>
      <w:pPr>
        <w:jc w:val="both"/>
        <w:ind w:left="460" w:right="200" w:hanging="452"/>
        <w:spacing w:after="0" w:line="281"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These current redevelopment opportunities are being pursued by the Trust. There is no guaranty that the Trust will ultimately complete any or all of these opportunities, that the Projected Return on Investment (ROI) or Projected Costs will be the amounts shown or that stabilization will occur as anticipated. The projected ROI and Projected Cost are management’s best estimate based on current information and may change over time.</w:t>
      </w:r>
    </w:p>
    <w:p>
      <w:pPr>
        <w:spacing w:after="0" w:line="2" w:lineRule="exact"/>
        <w:rPr>
          <w:rFonts w:ascii="Arial" w:cs="Arial" w:eastAsia="Arial" w:hAnsi="Arial"/>
          <w:sz w:val="16"/>
          <w:szCs w:val="16"/>
          <w:color w:val="auto"/>
        </w:rPr>
      </w:pPr>
    </w:p>
    <w:p>
      <w:pPr>
        <w:ind w:left="460" w:right="20" w:hanging="452"/>
        <w:spacing w:after="0" w:line="250"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Projected ROI generally reflects only the deal specific cash, unleveraged Incremental Property Operating Income (POI) generated by the redevelopment and is calculated as Incremental POI divided by incremental cost. Incremental POI is the POI generated by the redevelopment after deducting rent being paid or management’s estimate of rent to be paid for the redevelopment space and any other space taken out of service to accommodate the redevelopment. Projected ROI does NOT include peripheral impacts, such as the impact on future lease rollovers at the property or the impact on the long-term value of the property.</w:t>
      </w:r>
    </w:p>
    <w:p>
      <w:pPr>
        <w:spacing w:after="0" w:line="2"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Stabilization is the year in which 95% occupancy of the redeveloped space is achieved.</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subtotals and totals reflect cost weighted-average ROIs.</w:t>
      </w:r>
    </w:p>
    <w:p>
      <w:pPr>
        <w:spacing w:after="0" w:line="9" w:lineRule="exact"/>
        <w:rPr>
          <w:rFonts w:ascii="Arial" w:cs="Arial" w:eastAsia="Arial" w:hAnsi="Arial"/>
          <w:sz w:val="18"/>
          <w:szCs w:val="18"/>
          <w:color w:val="auto"/>
        </w:rPr>
      </w:pPr>
    </w:p>
    <w:p>
      <w:pPr>
        <w:ind w:left="460" w:right="120" w:hanging="452"/>
        <w:spacing w:after="0" w:line="250"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These future redevelopment opportunities are being explored by the Trust. There is no guaranty that the Trust will ultimately pursue or complete any or all of these opportunities.</w:t>
      </w:r>
    </w:p>
    <w:p>
      <w:pPr>
        <w:ind w:left="460" w:right="220" w:hanging="452"/>
        <w:spacing w:after="0" w:line="261"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ROI and costs for Atlantic Plaza, which is owned by our real estate partnership with a discretionary fund created and advised by ING Clarion, reflect our 30% share of the costs and revenue associated with the redevelopment.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Status Report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Mortgage</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and/or</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Real</w:t>
            </w: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Capital</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w w:val="85"/>
              </w:rPr>
              <w:t>Grocery</w:t>
            </w:r>
          </w:p>
        </w:tc>
        <w:tc>
          <w:tcPr>
            <w:tcW w:w="7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Grocery</w:t>
            </w:r>
          </w:p>
        </w:tc>
        <w:tc>
          <w:tcPr>
            <w:tcW w:w="80" w:type="dxa"/>
            <w:vAlign w:val="bottom"/>
          </w:tcPr>
          <w:p>
            <w:pPr>
              <w:spacing w:after="0"/>
              <w:rPr>
                <w:sz w:val="12"/>
                <w:szCs w:val="12"/>
                <w:color w:val="auto"/>
              </w:rPr>
            </w:pPr>
          </w:p>
        </w:tc>
        <w:tc>
          <w:tcPr>
            <w:tcW w:w="1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Other Principal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5"/>
              </w:rPr>
              <w:t>Estate</w:t>
            </w:r>
          </w:p>
        </w:tc>
        <w:tc>
          <w:tcPr>
            <w:tcW w:w="100" w:type="dxa"/>
            <w:vAlign w:val="bottom"/>
          </w:tcPr>
          <w:p>
            <w:pPr>
              <w:spacing w:after="0"/>
              <w:rPr>
                <w:sz w:val="11"/>
                <w:szCs w:val="11"/>
                <w:color w:val="auto"/>
              </w:rPr>
            </w:pPr>
          </w:p>
        </w:tc>
        <w:tc>
          <w:tcPr>
            <w:tcW w:w="80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80"/>
              </w:rPr>
              <w:t>Lease</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gridSpan w:val="2"/>
          </w:tcPr>
          <w:p>
            <w:pPr>
              <w:jc w:val="right"/>
              <w:ind w:right="72"/>
              <w:spacing w:after="0" w:line="135"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1"/>
                <w:szCs w:val="11"/>
                <w:color w:val="auto"/>
              </w:rPr>
            </w:pPr>
          </w:p>
        </w:tc>
        <w:tc>
          <w:tcPr>
            <w:tcW w:w="560" w:type="dxa"/>
            <w:vAlign w:val="bottom"/>
            <w:gridSpan w:val="2"/>
          </w:tcPr>
          <w:p>
            <w:pPr>
              <w:jc w:val="right"/>
              <w:ind w:right="100"/>
              <w:spacing w:after="0" w:line="135" w:lineRule="exact"/>
              <w:rPr>
                <w:sz w:val="20"/>
                <w:szCs w:val="20"/>
                <w:color w:val="auto"/>
              </w:rPr>
            </w:pPr>
            <w:r>
              <w:rPr>
                <w:rFonts w:ascii="Arial" w:cs="Arial" w:eastAsia="Arial" w:hAnsi="Arial"/>
                <w:sz w:val="14"/>
                <w:szCs w:val="14"/>
                <w:b w:val="1"/>
                <w:bCs w:val="1"/>
                <w:color w:val="auto"/>
                <w:w w:val="89"/>
              </w:rPr>
              <w:t>Anchor</w:t>
            </w:r>
          </w:p>
        </w:tc>
        <w:tc>
          <w:tcPr>
            <w:tcW w:w="7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60" w:type="dxa"/>
            <w:vAlign w:val="bottom"/>
            <w:gridSpan w:val="6"/>
          </w:tcPr>
          <w:p>
            <w:pPr>
              <w:spacing w:after="0"/>
              <w:rPr>
                <w:sz w:val="20"/>
                <w:szCs w:val="20"/>
                <w:color w:val="auto"/>
              </w:rPr>
            </w:pPr>
            <w:r>
              <w:rPr>
                <w:rFonts w:ascii="Arial" w:cs="Arial" w:eastAsia="Arial" w:hAnsi="Arial"/>
                <w:sz w:val="14"/>
                <w:szCs w:val="14"/>
                <w:b w:val="1"/>
                <w:bCs w:val="1"/>
                <w:color w:val="auto"/>
              </w:rPr>
              <w:t>Property Name</w:t>
            </w:r>
          </w:p>
        </w:tc>
        <w:tc>
          <w:tcPr>
            <w:tcW w:w="360" w:type="dxa"/>
            <w:vAlign w:val="bottom"/>
          </w:tcPr>
          <w:p>
            <w:pPr>
              <w:spacing w:after="0"/>
              <w:rPr>
                <w:sz w:val="15"/>
                <w:szCs w:val="15"/>
                <w:color w:val="auto"/>
              </w:rPr>
            </w:pPr>
          </w:p>
        </w:tc>
        <w:tc>
          <w:tcPr>
            <w:tcW w:w="1700" w:type="dxa"/>
            <w:vAlign w:val="bottom"/>
          </w:tcPr>
          <w:p>
            <w:pPr>
              <w:ind w:left="340"/>
              <w:spacing w:after="0"/>
              <w:rPr>
                <w:sz w:val="20"/>
                <w:szCs w:val="20"/>
                <w:color w:val="auto"/>
              </w:rPr>
            </w:pPr>
            <w:r>
              <w:rPr>
                <w:rFonts w:ascii="Arial" w:cs="Arial" w:eastAsia="Arial" w:hAnsi="Arial"/>
                <w:sz w:val="14"/>
                <w:szCs w:val="14"/>
                <w:b w:val="1"/>
                <w:bCs w:val="1"/>
                <w:color w:val="auto"/>
              </w:rPr>
              <w:t>MSA Description</w:t>
            </w:r>
          </w:p>
        </w:tc>
        <w:tc>
          <w:tcPr>
            <w:tcW w:w="8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2"/>
              </w:rPr>
              <w:t>Year Acquired</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at Cost</w:t>
            </w:r>
          </w:p>
        </w:tc>
        <w:tc>
          <w:tcPr>
            <w:tcW w:w="9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Obligation (1)</w:t>
            </w:r>
          </w:p>
        </w:tc>
        <w:tc>
          <w:tcPr>
            <w:tcW w:w="580" w:type="dxa"/>
            <w:vAlign w:val="bottom"/>
            <w:gridSpan w:val="2"/>
          </w:tcPr>
          <w:p>
            <w:pPr>
              <w:ind w:left="20"/>
              <w:spacing w:after="0"/>
              <w:rPr>
                <w:sz w:val="20"/>
                <w:szCs w:val="20"/>
                <w:color w:val="auto"/>
              </w:rPr>
            </w:pPr>
            <w:r>
              <w:rPr>
                <w:rFonts w:ascii="Arial" w:cs="Arial" w:eastAsia="Arial" w:hAnsi="Arial"/>
                <w:sz w:val="14"/>
                <w:szCs w:val="14"/>
                <w:b w:val="1"/>
                <w:bCs w:val="1"/>
                <w:color w:val="auto"/>
              </w:rPr>
              <w:t>GLA (2)</w:t>
            </w:r>
          </w:p>
        </w:tc>
        <w:tc>
          <w:tcPr>
            <w:tcW w:w="6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2"/>
              </w:rPr>
              <w:t>Leased</w:t>
            </w:r>
          </w:p>
        </w:tc>
        <w:tc>
          <w:tcPr>
            <w:tcW w:w="5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0"/>
              </w:rPr>
              <w:t>GLA (3)</w:t>
            </w:r>
          </w:p>
        </w:tc>
        <w:tc>
          <w:tcPr>
            <w:tcW w:w="780" w:type="dxa"/>
            <w:vAlign w:val="bottom"/>
          </w:tcPr>
          <w:p>
            <w:pPr>
              <w:ind w:left="80"/>
              <w:spacing w:after="0"/>
              <w:rPr>
                <w:sz w:val="20"/>
                <w:szCs w:val="20"/>
                <w:color w:val="auto"/>
              </w:rPr>
            </w:pPr>
            <w:r>
              <w:rPr>
                <w:rFonts w:ascii="Arial" w:cs="Arial" w:eastAsia="Arial" w:hAnsi="Arial"/>
                <w:sz w:val="14"/>
                <w:szCs w:val="14"/>
                <w:b w:val="1"/>
                <w:bCs w:val="1"/>
                <w:color w:val="auto"/>
                <w:w w:val="97"/>
              </w:rPr>
              <w:t>Anchor (3)</w:t>
            </w:r>
          </w:p>
        </w:tc>
        <w:tc>
          <w:tcPr>
            <w:tcW w:w="80" w:type="dxa"/>
            <w:vAlign w:val="bottom"/>
          </w:tcPr>
          <w:p>
            <w:pPr>
              <w:spacing w:after="0"/>
              <w:rPr>
                <w:sz w:val="15"/>
                <w:szCs w:val="15"/>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85"/>
              </w:rPr>
              <w:t>Tenants</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(in thousands)</w:t>
            </w:r>
          </w:p>
        </w:tc>
        <w:tc>
          <w:tcPr>
            <w:tcW w:w="80" w:type="dxa"/>
            <w:vAlign w:val="bottom"/>
          </w:tcPr>
          <w:p>
            <w:pPr>
              <w:spacing w:after="0"/>
              <w:rPr>
                <w:sz w:val="14"/>
                <w:szCs w:val="14"/>
                <w:color w:val="auto"/>
              </w:rPr>
            </w:pPr>
          </w:p>
        </w:tc>
        <w:tc>
          <w:tcPr>
            <w:tcW w:w="82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4"/>
              </w:rPr>
              <w:t>(in thousands)</w:t>
            </w:r>
          </w:p>
        </w:tc>
        <w:tc>
          <w:tcPr>
            <w:tcW w:w="8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700" w:type="dxa"/>
            <w:vAlign w:val="bottom"/>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1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40" w:type="dxa"/>
            <w:vAlign w:val="bottom"/>
            <w:tcBorders>
              <w:right w:val="single" w:sz="8" w:color="CCEEFF"/>
            </w:tcBorders>
            <w:gridSpan w:val="4"/>
            <w:shd w:val="clear" w:color="auto" w:fill="CCEEFF"/>
          </w:tcPr>
          <w:p>
            <w:pPr>
              <w:spacing w:after="0" w:line="135" w:lineRule="exact"/>
              <w:rPr>
                <w:sz w:val="20"/>
                <w:szCs w:val="20"/>
                <w:color w:val="auto"/>
              </w:rPr>
            </w:pPr>
            <w:r>
              <w:rPr>
                <w:rFonts w:ascii="Arial" w:cs="Arial" w:eastAsia="Arial" w:hAnsi="Arial"/>
                <w:sz w:val="14"/>
                <w:szCs w:val="14"/>
                <w:b w:val="1"/>
                <w:bCs w:val="1"/>
                <w:color w:val="auto"/>
                <w:w w:val="88"/>
              </w:rPr>
              <w:t>Washington Metropolitan Area</w:t>
            </w:r>
          </w:p>
        </w:tc>
        <w:tc>
          <w:tcPr>
            <w:tcW w:w="36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7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vMerge w:val="continue"/>
          </w:tcPr>
          <w:p>
            <w:pPr>
              <w:spacing w:after="0"/>
              <w:rPr>
                <w:sz w:val="11"/>
                <w:szCs w:val="11"/>
                <w:color w:val="auto"/>
              </w:rPr>
            </w:pPr>
          </w:p>
        </w:tc>
        <w:tc>
          <w:tcPr>
            <w:tcW w:w="2040" w:type="dxa"/>
            <w:vAlign w:val="bottom"/>
            <w:gridSpan w:val="5"/>
          </w:tcPr>
          <w:p>
            <w:pPr>
              <w:spacing w:after="0" w:line="131" w:lineRule="exact"/>
              <w:rPr>
                <w:sz w:val="20"/>
                <w:szCs w:val="20"/>
                <w:color w:val="auto"/>
              </w:rPr>
            </w:pPr>
            <w:r>
              <w:rPr>
                <w:rFonts w:ascii="Arial" w:cs="Arial" w:eastAsia="Arial" w:hAnsi="Arial"/>
                <w:sz w:val="14"/>
                <w:szCs w:val="14"/>
                <w:color w:val="auto"/>
              </w:rPr>
              <w:t>Bethesda Row</w:t>
            </w:r>
          </w:p>
        </w:tc>
        <w:tc>
          <w:tcPr>
            <w:tcW w:w="360" w:type="dxa"/>
            <w:vAlign w:val="bottom"/>
          </w:tcPr>
          <w:p>
            <w:pPr>
              <w:ind w:left="100"/>
              <w:spacing w:after="0" w:line="131" w:lineRule="exact"/>
              <w:rPr>
                <w:sz w:val="20"/>
                <w:szCs w:val="20"/>
                <w:color w:val="auto"/>
              </w:rPr>
            </w:pPr>
            <w:r>
              <w:rPr>
                <w:rFonts w:ascii="Arial" w:cs="Arial" w:eastAsia="Arial" w:hAnsi="Arial"/>
                <w:sz w:val="14"/>
                <w:szCs w:val="14"/>
                <w:color w:val="auto"/>
              </w:rPr>
              <w:t>(4)</w:t>
            </w:r>
          </w:p>
        </w:tc>
        <w:tc>
          <w:tcPr>
            <w:tcW w:w="1700" w:type="dxa"/>
            <w:vAlign w:val="bottom"/>
          </w:tcPr>
          <w:p>
            <w:pPr>
              <w:spacing w:after="0" w:line="131" w:lineRule="exact"/>
              <w:rPr>
                <w:sz w:val="20"/>
                <w:szCs w:val="20"/>
                <w:color w:val="auto"/>
              </w:rPr>
            </w:pPr>
            <w:r>
              <w:rPr>
                <w:rFonts w:ascii="Arial" w:cs="Arial" w:eastAsia="Arial" w:hAnsi="Arial"/>
                <w:sz w:val="14"/>
                <w:szCs w:val="14"/>
                <w:color w:val="auto"/>
              </w:rPr>
              <w:t>Washington, DC-MD-VA</w:t>
            </w:r>
          </w:p>
        </w:tc>
        <w:tc>
          <w:tcPr>
            <w:tcW w:w="1080" w:type="dxa"/>
            <w:vAlign w:val="bottom"/>
            <w:gridSpan w:val="3"/>
          </w:tcPr>
          <w:p>
            <w:pPr>
              <w:jc w:val="right"/>
              <w:ind w:right="40"/>
              <w:spacing w:after="0" w:line="131" w:lineRule="exact"/>
              <w:rPr>
                <w:sz w:val="20"/>
                <w:szCs w:val="20"/>
                <w:color w:val="auto"/>
              </w:rPr>
            </w:pPr>
            <w:r>
              <w:rPr>
                <w:rFonts w:ascii="Arial" w:cs="Arial" w:eastAsia="Arial" w:hAnsi="Arial"/>
                <w:sz w:val="14"/>
                <w:szCs w:val="14"/>
                <w:color w:val="auto"/>
                <w:w w:val="99"/>
              </w:rPr>
              <w:t>1993-2006/2008</w:t>
            </w:r>
          </w:p>
        </w:tc>
        <w:tc>
          <w:tcPr>
            <w:tcW w:w="180" w:type="dxa"/>
            <w:vAlign w:val="bottom"/>
            <w:gridSpan w:val="2"/>
          </w:tcPr>
          <w:p>
            <w:pPr>
              <w:jc w:val="right"/>
              <w:spacing w:after="0" w:line="131"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31" w:lineRule="exact"/>
              <w:rPr>
                <w:sz w:val="20"/>
                <w:szCs w:val="20"/>
                <w:color w:val="auto"/>
              </w:rPr>
            </w:pPr>
            <w:r>
              <w:rPr>
                <w:rFonts w:ascii="Arial" w:cs="Arial" w:eastAsia="Arial" w:hAnsi="Arial"/>
                <w:sz w:val="14"/>
                <w:szCs w:val="14"/>
                <w:color w:val="auto"/>
              </w:rPr>
              <w:t>194,569</w:t>
            </w:r>
          </w:p>
        </w:tc>
        <w:tc>
          <w:tcPr>
            <w:tcW w:w="8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80"/>
              <w:spacing w:after="0" w:line="131" w:lineRule="exact"/>
              <w:rPr>
                <w:sz w:val="20"/>
                <w:szCs w:val="20"/>
                <w:color w:val="auto"/>
              </w:rPr>
            </w:pPr>
            <w:r>
              <w:rPr>
                <w:rFonts w:ascii="Arial" w:cs="Arial" w:eastAsia="Arial" w:hAnsi="Arial"/>
                <w:sz w:val="14"/>
                <w:szCs w:val="14"/>
                <w:color w:val="auto"/>
              </w:rPr>
              <w:t>25,296</w:t>
            </w:r>
          </w:p>
        </w:tc>
        <w:tc>
          <w:tcPr>
            <w:tcW w:w="580" w:type="dxa"/>
            <w:vAlign w:val="bottom"/>
            <w:gridSpan w:val="2"/>
          </w:tcPr>
          <w:p>
            <w:pPr>
              <w:jc w:val="right"/>
              <w:ind w:right="40"/>
              <w:spacing w:after="0" w:line="131" w:lineRule="exact"/>
              <w:rPr>
                <w:sz w:val="20"/>
                <w:szCs w:val="20"/>
                <w:color w:val="auto"/>
              </w:rPr>
            </w:pPr>
            <w:r>
              <w:rPr>
                <w:rFonts w:ascii="Arial" w:cs="Arial" w:eastAsia="Arial" w:hAnsi="Arial"/>
                <w:sz w:val="14"/>
                <w:szCs w:val="14"/>
                <w:color w:val="auto"/>
              </w:rPr>
              <w:t>520,000</w:t>
            </w:r>
          </w:p>
        </w:tc>
        <w:tc>
          <w:tcPr>
            <w:tcW w:w="680" w:type="dxa"/>
            <w:vAlign w:val="bottom"/>
            <w:gridSpan w:val="3"/>
          </w:tcPr>
          <w:p>
            <w:pPr>
              <w:jc w:val="right"/>
              <w:ind w:right="120"/>
              <w:spacing w:after="0" w:line="131" w:lineRule="exact"/>
              <w:rPr>
                <w:sz w:val="20"/>
                <w:szCs w:val="20"/>
                <w:color w:val="auto"/>
              </w:rPr>
            </w:pPr>
            <w:r>
              <w:rPr>
                <w:rFonts w:ascii="Arial" w:cs="Arial" w:eastAsia="Arial" w:hAnsi="Arial"/>
                <w:sz w:val="14"/>
                <w:szCs w:val="14"/>
                <w:color w:val="auto"/>
              </w:rPr>
              <w:t>97%</w:t>
            </w:r>
          </w:p>
        </w:tc>
        <w:tc>
          <w:tcPr>
            <w:tcW w:w="560" w:type="dxa"/>
            <w:vAlign w:val="bottom"/>
            <w:gridSpan w:val="2"/>
          </w:tcPr>
          <w:p>
            <w:pPr>
              <w:jc w:val="right"/>
              <w:ind w:right="80"/>
              <w:spacing w:after="0" w:line="131" w:lineRule="exact"/>
              <w:rPr>
                <w:sz w:val="20"/>
                <w:szCs w:val="20"/>
                <w:color w:val="auto"/>
              </w:rPr>
            </w:pPr>
            <w:r>
              <w:rPr>
                <w:rFonts w:ascii="Arial" w:cs="Arial" w:eastAsia="Arial" w:hAnsi="Arial"/>
                <w:sz w:val="14"/>
                <w:szCs w:val="14"/>
                <w:color w:val="auto"/>
              </w:rPr>
              <w:t>40,000</w:t>
            </w:r>
          </w:p>
        </w:tc>
        <w:tc>
          <w:tcPr>
            <w:tcW w:w="780" w:type="dxa"/>
            <w:vAlign w:val="bottom"/>
          </w:tcPr>
          <w:p>
            <w:pPr>
              <w:spacing w:after="0" w:line="131" w:lineRule="exact"/>
              <w:rPr>
                <w:sz w:val="20"/>
                <w:szCs w:val="20"/>
                <w:color w:val="auto"/>
              </w:rPr>
            </w:pPr>
            <w:r>
              <w:rPr>
                <w:rFonts w:ascii="Arial" w:cs="Arial" w:eastAsia="Arial" w:hAnsi="Arial"/>
                <w:sz w:val="14"/>
                <w:szCs w:val="14"/>
                <w:color w:val="auto"/>
              </w:rPr>
              <w:t>Giant Food</w:t>
            </w:r>
          </w:p>
        </w:tc>
        <w:tc>
          <w:tcPr>
            <w:tcW w:w="1760" w:type="dxa"/>
            <w:vAlign w:val="bottom"/>
            <w:gridSpan w:val="2"/>
          </w:tcPr>
          <w:p>
            <w:pPr>
              <w:ind w:left="80"/>
              <w:spacing w:after="0" w:line="131" w:lineRule="exact"/>
              <w:rPr>
                <w:sz w:val="20"/>
                <w:szCs w:val="20"/>
                <w:color w:val="auto"/>
              </w:rPr>
            </w:pPr>
            <w:r>
              <w:rPr>
                <w:rFonts w:ascii="Arial" w:cs="Arial" w:eastAsia="Arial" w:hAnsi="Arial"/>
                <w:sz w:val="14"/>
                <w:szCs w:val="14"/>
                <w:color w:val="auto"/>
                <w:w w:val="96"/>
              </w:rPr>
              <w:t>Barnes &amp; Noble / Landmark</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76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Theater / Apple Computer</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40" w:type="dxa"/>
            <w:vAlign w:val="bottom"/>
            <w:tcBorders>
              <w:right w:val="single" w:sz="8" w:color="CCEEFF"/>
            </w:tcBorders>
            <w:gridSpan w:val="5"/>
            <w:shd w:val="clear" w:color="auto" w:fill="CCEEFF"/>
          </w:tcPr>
          <w:p>
            <w:pPr>
              <w:spacing w:after="0" w:line="138" w:lineRule="exact"/>
              <w:rPr>
                <w:sz w:val="20"/>
                <w:szCs w:val="20"/>
                <w:color w:val="auto"/>
              </w:rPr>
            </w:pPr>
            <w:r>
              <w:rPr>
                <w:rFonts w:ascii="Arial" w:cs="Arial" w:eastAsia="Arial" w:hAnsi="Arial"/>
                <w:sz w:val="14"/>
                <w:szCs w:val="14"/>
                <w:color w:val="auto"/>
              </w:rPr>
              <w:t>Congressional Plaza</w:t>
            </w:r>
          </w:p>
        </w:tc>
        <w:tc>
          <w:tcPr>
            <w:tcW w:w="360" w:type="dxa"/>
            <w:vAlign w:val="bottom"/>
            <w:shd w:val="clear" w:color="auto" w:fill="CCEEFF"/>
          </w:tcPr>
          <w:p>
            <w:pPr>
              <w:ind w:left="100"/>
              <w:spacing w:after="0" w:line="138" w:lineRule="exact"/>
              <w:rPr>
                <w:sz w:val="20"/>
                <w:szCs w:val="20"/>
                <w:color w:val="auto"/>
              </w:rPr>
            </w:pPr>
            <w:r>
              <w:rPr>
                <w:rFonts w:ascii="Arial" w:cs="Arial" w:eastAsia="Arial" w:hAnsi="Arial"/>
                <w:sz w:val="14"/>
                <w:szCs w:val="14"/>
                <w:color w:val="auto"/>
              </w:rPr>
              <w:t>(5)</w:t>
            </w:r>
          </w:p>
        </w:tc>
        <w:tc>
          <w:tcPr>
            <w:tcW w:w="17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Washington, DC-MD-VA</w:t>
            </w:r>
          </w:p>
        </w:tc>
        <w:tc>
          <w:tcPr>
            <w:tcW w:w="10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1965</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70,529</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rPr>
              <w:t>332,000</w:t>
            </w:r>
          </w:p>
        </w:tc>
        <w:tc>
          <w:tcPr>
            <w:tcW w:w="680" w:type="dxa"/>
            <w:vAlign w:val="bottom"/>
            <w:gridSpan w:val="3"/>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99%</w:t>
            </w:r>
          </w:p>
        </w:tc>
        <w:tc>
          <w:tcPr>
            <w:tcW w:w="56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28,000</w:t>
            </w:r>
          </w:p>
        </w:tc>
        <w:tc>
          <w:tcPr>
            <w:tcW w:w="7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2"/>
              </w:rPr>
              <w:t>Whole Foods</w:t>
            </w:r>
          </w:p>
        </w:tc>
        <w:tc>
          <w:tcPr>
            <w:tcW w:w="1760" w:type="dxa"/>
            <w:vAlign w:val="bottom"/>
            <w:gridSpan w:val="2"/>
            <w:shd w:val="clear" w:color="auto" w:fill="CCEEFF"/>
          </w:tcPr>
          <w:p>
            <w:pPr>
              <w:ind w:left="80"/>
              <w:spacing w:after="0" w:line="138" w:lineRule="exact"/>
              <w:rPr>
                <w:sz w:val="20"/>
                <w:szCs w:val="20"/>
                <w:color w:val="auto"/>
              </w:rPr>
            </w:pPr>
            <w:r>
              <w:rPr>
                <w:rFonts w:ascii="Arial" w:cs="Arial" w:eastAsia="Arial" w:hAnsi="Arial"/>
                <w:sz w:val="14"/>
                <w:szCs w:val="14"/>
                <w:color w:val="auto"/>
              </w:rPr>
              <w:t>Buy Buy Baby / Container</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00" w:type="dxa"/>
            <w:vAlign w:val="bottom"/>
            <w:tcBorders>
              <w:right w:val="single" w:sz="8" w:color="CCEEFF"/>
            </w:tcBorders>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76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rPr>
              <w:t>Store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gridSpan w:val="5"/>
          </w:tcPr>
          <w:p>
            <w:pPr>
              <w:spacing w:after="0" w:line="149" w:lineRule="exact"/>
              <w:rPr>
                <w:sz w:val="20"/>
                <w:szCs w:val="20"/>
                <w:color w:val="auto"/>
              </w:rPr>
            </w:pPr>
            <w:r>
              <w:rPr>
                <w:rFonts w:ascii="Arial" w:cs="Arial" w:eastAsia="Arial" w:hAnsi="Arial"/>
                <w:sz w:val="14"/>
                <w:szCs w:val="14"/>
                <w:color w:val="auto"/>
              </w:rPr>
              <w:t>Courthouse Center</w:t>
            </w:r>
          </w:p>
        </w:tc>
        <w:tc>
          <w:tcPr>
            <w:tcW w:w="360" w:type="dxa"/>
            <w:vAlign w:val="bottom"/>
          </w:tcPr>
          <w:p>
            <w:pPr>
              <w:spacing w:after="0"/>
              <w:rPr>
                <w:sz w:val="12"/>
                <w:szCs w:val="12"/>
                <w:color w:val="auto"/>
              </w:rPr>
            </w:pPr>
          </w:p>
        </w:tc>
        <w:tc>
          <w:tcPr>
            <w:tcW w:w="1700" w:type="dxa"/>
            <w:vAlign w:val="bottom"/>
          </w:tcPr>
          <w:p>
            <w:pPr>
              <w:spacing w:after="0" w:line="149" w:lineRule="exact"/>
              <w:rPr>
                <w:sz w:val="20"/>
                <w:szCs w:val="20"/>
                <w:color w:val="auto"/>
              </w:rPr>
            </w:pPr>
            <w:r>
              <w:rPr>
                <w:rFonts w:ascii="Arial" w:cs="Arial" w:eastAsia="Arial" w:hAnsi="Arial"/>
                <w:sz w:val="14"/>
                <w:szCs w:val="14"/>
                <w:color w:val="auto"/>
              </w:rPr>
              <w:t>Washington, DC-MD-VA</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4,271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36,000</w:t>
            </w:r>
          </w:p>
        </w:tc>
        <w:tc>
          <w:tcPr>
            <w:tcW w:w="6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93%</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Borders>
              <w:right w:val="single" w:sz="8" w:color="CCEEFF"/>
            </w:tcBorders>
            <w:gridSpan w:val="5"/>
            <w:shd w:val="clear" w:color="auto" w:fill="CCEEFF"/>
          </w:tcPr>
          <w:p>
            <w:pPr>
              <w:spacing w:after="0" w:line="149" w:lineRule="exact"/>
              <w:rPr>
                <w:sz w:val="20"/>
                <w:szCs w:val="20"/>
                <w:color w:val="auto"/>
              </w:rPr>
            </w:pPr>
            <w:r>
              <w:rPr>
                <w:rFonts w:ascii="Arial" w:cs="Arial" w:eastAsia="Arial" w:hAnsi="Arial"/>
                <w:sz w:val="14"/>
                <w:szCs w:val="14"/>
                <w:color w:val="auto"/>
              </w:rPr>
              <w:t>Falls Plaza/Falls Plaza-East</w:t>
            </w:r>
          </w:p>
        </w:tc>
        <w:tc>
          <w:tcPr>
            <w:tcW w:w="36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Washington, DC-MD-VA</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1967-1972</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11,996</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144,000</w:t>
            </w:r>
          </w:p>
        </w:tc>
        <w:tc>
          <w:tcPr>
            <w:tcW w:w="6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100%</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51,000</w:t>
            </w:r>
          </w:p>
        </w:tc>
        <w:tc>
          <w:tcPr>
            <w:tcW w:w="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Giant Food</w:t>
            </w:r>
          </w:p>
        </w:tc>
        <w:tc>
          <w:tcPr>
            <w:tcW w:w="17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CVS / Staples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40" w:type="dxa"/>
            <w:vAlign w:val="bottom"/>
            <w:gridSpan w:val="5"/>
          </w:tcPr>
          <w:p>
            <w:pPr>
              <w:spacing w:after="0" w:line="138" w:lineRule="exact"/>
              <w:rPr>
                <w:sz w:val="20"/>
                <w:szCs w:val="20"/>
                <w:color w:val="auto"/>
              </w:rPr>
            </w:pPr>
            <w:r>
              <w:rPr>
                <w:rFonts w:ascii="Arial" w:cs="Arial" w:eastAsia="Arial" w:hAnsi="Arial"/>
                <w:sz w:val="14"/>
                <w:szCs w:val="14"/>
                <w:color w:val="auto"/>
              </w:rPr>
              <w:t>Federal Plaza</w:t>
            </w:r>
          </w:p>
        </w:tc>
        <w:tc>
          <w:tcPr>
            <w:tcW w:w="360" w:type="dxa"/>
            <w:vAlign w:val="bottom"/>
          </w:tcPr>
          <w:p>
            <w:pPr>
              <w:spacing w:after="0"/>
              <w:rPr>
                <w:sz w:val="11"/>
                <w:szCs w:val="11"/>
                <w:color w:val="auto"/>
              </w:rPr>
            </w:pPr>
          </w:p>
        </w:tc>
        <w:tc>
          <w:tcPr>
            <w:tcW w:w="1700" w:type="dxa"/>
            <w:vAlign w:val="bottom"/>
          </w:tcPr>
          <w:p>
            <w:pPr>
              <w:spacing w:after="0" w:line="138" w:lineRule="exact"/>
              <w:rPr>
                <w:sz w:val="20"/>
                <w:szCs w:val="20"/>
                <w:color w:val="auto"/>
              </w:rPr>
            </w:pPr>
            <w:r>
              <w:rPr>
                <w:rFonts w:ascii="Arial" w:cs="Arial" w:eastAsia="Arial" w:hAnsi="Arial"/>
                <w:sz w:val="14"/>
                <w:szCs w:val="14"/>
                <w:color w:val="auto"/>
              </w:rPr>
              <w:t>Washington, DC-MD-VA</w:t>
            </w:r>
          </w:p>
        </w:tc>
        <w:tc>
          <w:tcPr>
            <w:tcW w:w="10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1989</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38" w:lineRule="exact"/>
              <w:rPr>
                <w:sz w:val="20"/>
                <w:szCs w:val="20"/>
                <w:color w:val="auto"/>
              </w:rPr>
            </w:pPr>
            <w:r>
              <w:rPr>
                <w:rFonts w:ascii="Arial" w:cs="Arial" w:eastAsia="Arial" w:hAnsi="Arial"/>
                <w:sz w:val="14"/>
                <w:szCs w:val="14"/>
                <w:color w:val="auto"/>
              </w:rPr>
              <w:t>62,321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32,373</w:t>
            </w:r>
          </w:p>
        </w:tc>
        <w:tc>
          <w:tcPr>
            <w:tcW w:w="580" w:type="dxa"/>
            <w:vAlign w:val="bottom"/>
            <w:gridSpan w:val="2"/>
          </w:tcPr>
          <w:p>
            <w:pPr>
              <w:jc w:val="right"/>
              <w:ind w:right="40"/>
              <w:spacing w:after="0" w:line="138" w:lineRule="exact"/>
              <w:rPr>
                <w:sz w:val="20"/>
                <w:szCs w:val="20"/>
                <w:color w:val="auto"/>
              </w:rPr>
            </w:pPr>
            <w:r>
              <w:rPr>
                <w:rFonts w:ascii="Arial" w:cs="Arial" w:eastAsia="Arial" w:hAnsi="Arial"/>
                <w:sz w:val="14"/>
                <w:szCs w:val="14"/>
                <w:color w:val="auto"/>
              </w:rPr>
              <w:t>248,000</w:t>
            </w:r>
          </w:p>
        </w:tc>
        <w:tc>
          <w:tcPr>
            <w:tcW w:w="680" w:type="dxa"/>
            <w:vAlign w:val="bottom"/>
            <w:gridSpan w:val="3"/>
          </w:tcPr>
          <w:p>
            <w:pPr>
              <w:jc w:val="right"/>
              <w:ind w:right="120"/>
              <w:spacing w:after="0" w:line="138" w:lineRule="exact"/>
              <w:rPr>
                <w:sz w:val="20"/>
                <w:szCs w:val="20"/>
                <w:color w:val="auto"/>
              </w:rPr>
            </w:pPr>
            <w:r>
              <w:rPr>
                <w:rFonts w:ascii="Arial" w:cs="Arial" w:eastAsia="Arial" w:hAnsi="Arial"/>
                <w:sz w:val="14"/>
                <w:szCs w:val="14"/>
                <w:color w:val="auto"/>
              </w:rPr>
              <w:t>87%</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760" w:type="dxa"/>
            <w:vAlign w:val="bottom"/>
            <w:gridSpan w:val="2"/>
          </w:tcPr>
          <w:p>
            <w:pPr>
              <w:ind w:left="80"/>
              <w:spacing w:after="0" w:line="138" w:lineRule="exact"/>
              <w:rPr>
                <w:sz w:val="20"/>
                <w:szCs w:val="20"/>
                <w:color w:val="auto"/>
              </w:rPr>
            </w:pPr>
            <w:r>
              <w:rPr>
                <w:rFonts w:ascii="Arial" w:cs="Arial" w:eastAsia="Arial" w:hAnsi="Arial"/>
                <w:sz w:val="14"/>
                <w:szCs w:val="14"/>
                <w:color w:val="auto"/>
                <w:w w:val="88"/>
              </w:rPr>
              <w:t>TJ Maxx / Micro Center / Ross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76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 Trader Joe’s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Borders>
              <w:right w:val="single" w:sz="8" w:color="CCEEFF"/>
            </w:tcBorders>
            <w:gridSpan w:val="5"/>
            <w:shd w:val="clear" w:color="auto" w:fill="CCEEFF"/>
          </w:tcPr>
          <w:p>
            <w:pPr>
              <w:spacing w:after="0" w:line="149" w:lineRule="exact"/>
              <w:rPr>
                <w:sz w:val="20"/>
                <w:szCs w:val="20"/>
                <w:color w:val="auto"/>
              </w:rPr>
            </w:pPr>
            <w:r>
              <w:rPr>
                <w:rFonts w:ascii="Arial" w:cs="Arial" w:eastAsia="Arial" w:hAnsi="Arial"/>
                <w:sz w:val="14"/>
                <w:szCs w:val="14"/>
                <w:color w:val="auto"/>
              </w:rPr>
              <w:t>Friendship Center</w:t>
            </w:r>
          </w:p>
        </w:tc>
        <w:tc>
          <w:tcPr>
            <w:tcW w:w="36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Washington, DC-MD-VA</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2001</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33,454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118,000</w:t>
            </w:r>
          </w:p>
        </w:tc>
        <w:tc>
          <w:tcPr>
            <w:tcW w:w="6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66%</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Borders / Maggiano’s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gridSpan w:val="5"/>
          </w:tcPr>
          <w:p>
            <w:pPr>
              <w:spacing w:after="0" w:line="149" w:lineRule="exact"/>
              <w:rPr>
                <w:sz w:val="20"/>
                <w:szCs w:val="20"/>
                <w:color w:val="auto"/>
              </w:rPr>
            </w:pPr>
            <w:r>
              <w:rPr>
                <w:rFonts w:ascii="Arial" w:cs="Arial" w:eastAsia="Arial" w:hAnsi="Arial"/>
                <w:sz w:val="14"/>
                <w:szCs w:val="14"/>
                <w:color w:val="auto"/>
              </w:rPr>
              <w:t>Gaithersburg Square</w:t>
            </w:r>
          </w:p>
        </w:tc>
        <w:tc>
          <w:tcPr>
            <w:tcW w:w="360" w:type="dxa"/>
            <w:vAlign w:val="bottom"/>
          </w:tcPr>
          <w:p>
            <w:pPr>
              <w:spacing w:after="0"/>
              <w:rPr>
                <w:sz w:val="12"/>
                <w:szCs w:val="12"/>
                <w:color w:val="auto"/>
              </w:rPr>
            </w:pPr>
          </w:p>
        </w:tc>
        <w:tc>
          <w:tcPr>
            <w:tcW w:w="1700" w:type="dxa"/>
            <w:vAlign w:val="bottom"/>
          </w:tcPr>
          <w:p>
            <w:pPr>
              <w:spacing w:after="0" w:line="149" w:lineRule="exact"/>
              <w:rPr>
                <w:sz w:val="20"/>
                <w:szCs w:val="20"/>
                <w:color w:val="auto"/>
              </w:rPr>
            </w:pPr>
            <w:r>
              <w:rPr>
                <w:rFonts w:ascii="Arial" w:cs="Arial" w:eastAsia="Arial" w:hAnsi="Arial"/>
                <w:sz w:val="14"/>
                <w:szCs w:val="14"/>
                <w:color w:val="auto"/>
              </w:rPr>
              <w:t>Washington, DC-MD-VA</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1993</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24,084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209,000</w:t>
            </w:r>
          </w:p>
        </w:tc>
        <w:tc>
          <w:tcPr>
            <w:tcW w:w="6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78%</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76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97"/>
              </w:rPr>
              <w:t>Bed, Bath &amp; Beyond / Ross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Borders>
              <w:right w:val="single" w:sz="8" w:color="CCEEFF"/>
            </w:tcBorders>
            <w:gridSpan w:val="5"/>
            <w:shd w:val="clear" w:color="auto" w:fill="CCEEFF"/>
          </w:tcPr>
          <w:p>
            <w:pPr>
              <w:spacing w:after="0" w:line="149" w:lineRule="exact"/>
              <w:rPr>
                <w:sz w:val="20"/>
                <w:szCs w:val="20"/>
                <w:color w:val="auto"/>
              </w:rPr>
            </w:pPr>
            <w:r>
              <w:rPr>
                <w:rFonts w:ascii="Arial" w:cs="Arial" w:eastAsia="Arial" w:hAnsi="Arial"/>
                <w:sz w:val="14"/>
                <w:szCs w:val="14"/>
                <w:color w:val="auto"/>
              </w:rPr>
              <w:t>Idylwood Plaza</w:t>
            </w:r>
          </w:p>
        </w:tc>
        <w:tc>
          <w:tcPr>
            <w:tcW w:w="36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Washington, DC-MD-VA</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1994</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15,713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16,732</w:t>
            </w:r>
          </w:p>
        </w:tc>
        <w:tc>
          <w:tcPr>
            <w:tcW w:w="5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73,000</w:t>
            </w:r>
          </w:p>
        </w:tc>
        <w:tc>
          <w:tcPr>
            <w:tcW w:w="6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100%</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30,000</w:t>
            </w:r>
          </w:p>
        </w:tc>
        <w:tc>
          <w:tcPr>
            <w:tcW w:w="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2"/>
              </w:rPr>
              <w:t>Whole Foods</w:t>
            </w:r>
          </w:p>
        </w:tc>
        <w:tc>
          <w:tcPr>
            <w:tcW w:w="8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gridSpan w:val="5"/>
          </w:tcPr>
          <w:p>
            <w:pPr>
              <w:spacing w:after="0" w:line="149" w:lineRule="exact"/>
              <w:rPr>
                <w:sz w:val="20"/>
                <w:szCs w:val="20"/>
                <w:color w:val="auto"/>
              </w:rPr>
            </w:pPr>
            <w:r>
              <w:rPr>
                <w:rFonts w:ascii="Arial" w:cs="Arial" w:eastAsia="Arial" w:hAnsi="Arial"/>
                <w:sz w:val="14"/>
                <w:szCs w:val="14"/>
                <w:color w:val="auto"/>
              </w:rPr>
              <w:t>Laurel</w:t>
            </w:r>
          </w:p>
        </w:tc>
        <w:tc>
          <w:tcPr>
            <w:tcW w:w="360" w:type="dxa"/>
            <w:vAlign w:val="bottom"/>
          </w:tcPr>
          <w:p>
            <w:pPr>
              <w:spacing w:after="0"/>
              <w:rPr>
                <w:sz w:val="12"/>
                <w:szCs w:val="12"/>
                <w:color w:val="auto"/>
              </w:rPr>
            </w:pPr>
          </w:p>
        </w:tc>
        <w:tc>
          <w:tcPr>
            <w:tcW w:w="1700" w:type="dxa"/>
            <w:vAlign w:val="bottom"/>
          </w:tcPr>
          <w:p>
            <w:pPr>
              <w:spacing w:after="0" w:line="149" w:lineRule="exact"/>
              <w:rPr>
                <w:sz w:val="20"/>
                <w:szCs w:val="20"/>
                <w:color w:val="auto"/>
              </w:rPr>
            </w:pPr>
            <w:r>
              <w:rPr>
                <w:rFonts w:ascii="Arial" w:cs="Arial" w:eastAsia="Arial" w:hAnsi="Arial"/>
                <w:sz w:val="14"/>
                <w:szCs w:val="14"/>
                <w:color w:val="auto"/>
              </w:rPr>
              <w:t>Washington, DC-MD-VA</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1986</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47,947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386,000</w:t>
            </w:r>
          </w:p>
        </w:tc>
        <w:tc>
          <w:tcPr>
            <w:tcW w:w="6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97%</w:t>
            </w: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61,000</w:t>
            </w:r>
          </w:p>
        </w:tc>
        <w:tc>
          <w:tcPr>
            <w:tcW w:w="780" w:type="dxa"/>
            <w:vAlign w:val="bottom"/>
          </w:tcPr>
          <w:p>
            <w:pPr>
              <w:spacing w:after="0" w:line="149" w:lineRule="exact"/>
              <w:rPr>
                <w:sz w:val="20"/>
                <w:szCs w:val="20"/>
                <w:color w:val="auto"/>
              </w:rPr>
            </w:pPr>
            <w:r>
              <w:rPr>
                <w:rFonts w:ascii="Arial" w:cs="Arial" w:eastAsia="Arial" w:hAnsi="Arial"/>
                <w:sz w:val="14"/>
                <w:szCs w:val="14"/>
                <w:color w:val="auto"/>
              </w:rPr>
              <w:t>Giant Food</w:t>
            </w:r>
          </w:p>
        </w:tc>
        <w:tc>
          <w:tcPr>
            <w:tcW w:w="17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Marshalls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40" w:type="dxa"/>
            <w:vAlign w:val="bottom"/>
            <w:tcBorders>
              <w:right w:val="single" w:sz="8" w:color="CCEEFF"/>
            </w:tcBorders>
            <w:gridSpan w:val="5"/>
            <w:shd w:val="clear" w:color="auto" w:fill="CCEEFF"/>
          </w:tcPr>
          <w:p>
            <w:pPr>
              <w:spacing w:after="0" w:line="138" w:lineRule="exact"/>
              <w:rPr>
                <w:sz w:val="20"/>
                <w:szCs w:val="20"/>
                <w:color w:val="auto"/>
              </w:rPr>
            </w:pPr>
            <w:r>
              <w:rPr>
                <w:rFonts w:ascii="Arial" w:cs="Arial" w:eastAsia="Arial" w:hAnsi="Arial"/>
                <w:sz w:val="14"/>
                <w:szCs w:val="14"/>
                <w:color w:val="auto"/>
              </w:rPr>
              <w:t>Leesburg Plaza</w:t>
            </w:r>
          </w:p>
        </w:tc>
        <w:tc>
          <w:tcPr>
            <w:tcW w:w="360" w:type="dxa"/>
            <w:vAlign w:val="bottom"/>
            <w:shd w:val="clear" w:color="auto" w:fill="CCEEFF"/>
          </w:tcPr>
          <w:p>
            <w:pPr>
              <w:ind w:left="100"/>
              <w:spacing w:after="0" w:line="138" w:lineRule="exact"/>
              <w:rPr>
                <w:sz w:val="20"/>
                <w:szCs w:val="20"/>
                <w:color w:val="auto"/>
              </w:rPr>
            </w:pPr>
            <w:r>
              <w:rPr>
                <w:rFonts w:ascii="Arial" w:cs="Arial" w:eastAsia="Arial" w:hAnsi="Arial"/>
                <w:sz w:val="14"/>
                <w:szCs w:val="14"/>
                <w:color w:val="auto"/>
              </w:rPr>
              <w:t>(6)</w:t>
            </w:r>
          </w:p>
        </w:tc>
        <w:tc>
          <w:tcPr>
            <w:tcW w:w="17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Washington, DC-MD-VA</w:t>
            </w:r>
          </w:p>
        </w:tc>
        <w:tc>
          <w:tcPr>
            <w:tcW w:w="10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1998</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34,531</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29,114</w:t>
            </w:r>
          </w:p>
        </w:tc>
        <w:tc>
          <w:tcPr>
            <w:tcW w:w="580" w:type="dxa"/>
            <w:vAlign w:val="bottom"/>
            <w:gridSpan w:val="2"/>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rPr>
              <w:t>236,000</w:t>
            </w:r>
          </w:p>
        </w:tc>
        <w:tc>
          <w:tcPr>
            <w:tcW w:w="680" w:type="dxa"/>
            <w:vAlign w:val="bottom"/>
            <w:gridSpan w:val="3"/>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98%</w:t>
            </w:r>
          </w:p>
        </w:tc>
        <w:tc>
          <w:tcPr>
            <w:tcW w:w="56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55,000</w:t>
            </w:r>
          </w:p>
        </w:tc>
        <w:tc>
          <w:tcPr>
            <w:tcW w:w="7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Giant Food</w:t>
            </w:r>
          </w:p>
        </w:tc>
        <w:tc>
          <w:tcPr>
            <w:tcW w:w="1760" w:type="dxa"/>
            <w:vAlign w:val="bottom"/>
            <w:gridSpan w:val="2"/>
            <w:shd w:val="clear" w:color="auto" w:fill="CCEEFF"/>
          </w:tcPr>
          <w:p>
            <w:pPr>
              <w:ind w:left="80"/>
              <w:spacing w:after="0" w:line="138" w:lineRule="exact"/>
              <w:rPr>
                <w:sz w:val="20"/>
                <w:szCs w:val="20"/>
                <w:color w:val="auto"/>
              </w:rPr>
            </w:pPr>
            <w:r>
              <w:rPr>
                <w:rFonts w:ascii="Arial" w:cs="Arial" w:eastAsia="Arial" w:hAnsi="Arial"/>
                <w:sz w:val="14"/>
                <w:szCs w:val="14"/>
                <w:color w:val="auto"/>
                <w:w w:val="96"/>
              </w:rPr>
              <w:t>Petsmart / Pier One / Office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00" w:type="dxa"/>
            <w:vAlign w:val="bottom"/>
            <w:tcBorders>
              <w:right w:val="single" w:sz="8" w:color="CCEEFF"/>
            </w:tcBorders>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76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rPr>
              <w:t>Depot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40" w:type="dxa"/>
            <w:vAlign w:val="bottom"/>
            <w:gridSpan w:val="5"/>
          </w:tcPr>
          <w:p>
            <w:pPr>
              <w:spacing w:after="0" w:line="138" w:lineRule="exact"/>
              <w:rPr>
                <w:sz w:val="20"/>
                <w:szCs w:val="20"/>
                <w:color w:val="auto"/>
              </w:rPr>
            </w:pPr>
            <w:r>
              <w:rPr>
                <w:rFonts w:ascii="Arial" w:cs="Arial" w:eastAsia="Arial" w:hAnsi="Arial"/>
                <w:sz w:val="14"/>
                <w:szCs w:val="14"/>
                <w:color w:val="auto"/>
              </w:rPr>
              <w:t>Loehmann’s Plaza</w:t>
            </w:r>
          </w:p>
        </w:tc>
        <w:tc>
          <w:tcPr>
            <w:tcW w:w="360" w:type="dxa"/>
            <w:vAlign w:val="bottom"/>
          </w:tcPr>
          <w:p>
            <w:pPr>
              <w:spacing w:after="0"/>
              <w:rPr>
                <w:sz w:val="11"/>
                <w:szCs w:val="11"/>
                <w:color w:val="auto"/>
              </w:rPr>
            </w:pPr>
          </w:p>
        </w:tc>
        <w:tc>
          <w:tcPr>
            <w:tcW w:w="1700" w:type="dxa"/>
            <w:vAlign w:val="bottom"/>
          </w:tcPr>
          <w:p>
            <w:pPr>
              <w:spacing w:after="0" w:line="138" w:lineRule="exact"/>
              <w:rPr>
                <w:sz w:val="20"/>
                <w:szCs w:val="20"/>
                <w:color w:val="auto"/>
              </w:rPr>
            </w:pPr>
            <w:r>
              <w:rPr>
                <w:rFonts w:ascii="Arial" w:cs="Arial" w:eastAsia="Arial" w:hAnsi="Arial"/>
                <w:sz w:val="14"/>
                <w:szCs w:val="14"/>
                <w:color w:val="auto"/>
              </w:rPr>
              <w:t>Washington, DC-MD-VA</w:t>
            </w:r>
          </w:p>
        </w:tc>
        <w:tc>
          <w:tcPr>
            <w:tcW w:w="10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1983</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38" w:lineRule="exact"/>
              <w:rPr>
                <w:sz w:val="20"/>
                <w:szCs w:val="20"/>
                <w:color w:val="auto"/>
              </w:rPr>
            </w:pPr>
            <w:r>
              <w:rPr>
                <w:rFonts w:ascii="Arial" w:cs="Arial" w:eastAsia="Arial" w:hAnsi="Arial"/>
                <w:sz w:val="14"/>
                <w:szCs w:val="14"/>
                <w:color w:val="auto"/>
              </w:rPr>
              <w:t>32,752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37,647</w:t>
            </w:r>
          </w:p>
        </w:tc>
        <w:tc>
          <w:tcPr>
            <w:tcW w:w="580" w:type="dxa"/>
            <w:vAlign w:val="bottom"/>
            <w:gridSpan w:val="2"/>
          </w:tcPr>
          <w:p>
            <w:pPr>
              <w:jc w:val="right"/>
              <w:ind w:right="40"/>
              <w:spacing w:after="0" w:line="138" w:lineRule="exact"/>
              <w:rPr>
                <w:sz w:val="20"/>
                <w:szCs w:val="20"/>
                <w:color w:val="auto"/>
              </w:rPr>
            </w:pPr>
            <w:r>
              <w:rPr>
                <w:rFonts w:ascii="Arial" w:cs="Arial" w:eastAsia="Arial" w:hAnsi="Arial"/>
                <w:sz w:val="14"/>
                <w:szCs w:val="14"/>
                <w:color w:val="auto"/>
              </w:rPr>
              <w:t>268,000</w:t>
            </w:r>
          </w:p>
        </w:tc>
        <w:tc>
          <w:tcPr>
            <w:tcW w:w="680" w:type="dxa"/>
            <w:vAlign w:val="bottom"/>
            <w:gridSpan w:val="3"/>
          </w:tcPr>
          <w:p>
            <w:pPr>
              <w:jc w:val="right"/>
              <w:ind w:right="120"/>
              <w:spacing w:after="0" w:line="138" w:lineRule="exact"/>
              <w:rPr>
                <w:sz w:val="20"/>
                <w:szCs w:val="20"/>
                <w:color w:val="auto"/>
              </w:rPr>
            </w:pPr>
            <w:r>
              <w:rPr>
                <w:rFonts w:ascii="Arial" w:cs="Arial" w:eastAsia="Arial" w:hAnsi="Arial"/>
                <w:sz w:val="14"/>
                <w:szCs w:val="14"/>
                <w:color w:val="auto"/>
              </w:rPr>
              <w:t>97%</w:t>
            </w:r>
          </w:p>
        </w:tc>
        <w:tc>
          <w:tcPr>
            <w:tcW w:w="56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58,000</w:t>
            </w:r>
          </w:p>
        </w:tc>
        <w:tc>
          <w:tcPr>
            <w:tcW w:w="780" w:type="dxa"/>
            <w:vAlign w:val="bottom"/>
          </w:tcPr>
          <w:p>
            <w:pPr>
              <w:spacing w:after="0" w:line="138" w:lineRule="exact"/>
              <w:rPr>
                <w:sz w:val="20"/>
                <w:szCs w:val="20"/>
                <w:color w:val="auto"/>
              </w:rPr>
            </w:pPr>
            <w:r>
              <w:rPr>
                <w:rFonts w:ascii="Arial" w:cs="Arial" w:eastAsia="Arial" w:hAnsi="Arial"/>
                <w:sz w:val="14"/>
                <w:szCs w:val="14"/>
                <w:color w:val="auto"/>
              </w:rPr>
              <w:t>Giant Food</w:t>
            </w:r>
          </w:p>
        </w:tc>
        <w:tc>
          <w:tcPr>
            <w:tcW w:w="1760" w:type="dxa"/>
            <w:vAlign w:val="bottom"/>
            <w:gridSpan w:val="2"/>
          </w:tcPr>
          <w:p>
            <w:pPr>
              <w:ind w:left="80"/>
              <w:spacing w:after="0" w:line="138" w:lineRule="exact"/>
              <w:rPr>
                <w:sz w:val="20"/>
                <w:szCs w:val="20"/>
                <w:color w:val="auto"/>
              </w:rPr>
            </w:pPr>
            <w:r>
              <w:rPr>
                <w:rFonts w:ascii="Arial" w:cs="Arial" w:eastAsia="Arial" w:hAnsi="Arial"/>
                <w:sz w:val="14"/>
                <w:szCs w:val="14"/>
                <w:color w:val="auto"/>
              </w:rPr>
              <w:t>Bally Total Fitness /</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76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Loehmann’s Dress Shop</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40" w:type="dxa"/>
            <w:vAlign w:val="bottom"/>
            <w:tcBorders>
              <w:right w:val="single" w:sz="8" w:color="CCEEFF"/>
            </w:tcBorders>
            <w:gridSpan w:val="5"/>
            <w:shd w:val="clear" w:color="auto" w:fill="CCEEFF"/>
          </w:tcPr>
          <w:p>
            <w:pPr>
              <w:spacing w:after="0" w:line="138" w:lineRule="exact"/>
              <w:rPr>
                <w:sz w:val="20"/>
                <w:szCs w:val="20"/>
                <w:color w:val="auto"/>
              </w:rPr>
            </w:pPr>
            <w:r>
              <w:rPr>
                <w:rFonts w:ascii="Arial" w:cs="Arial" w:eastAsia="Arial" w:hAnsi="Arial"/>
                <w:sz w:val="14"/>
                <w:szCs w:val="14"/>
                <w:color w:val="auto"/>
              </w:rPr>
              <w:t>Mid-Pike Plaza</w:t>
            </w:r>
          </w:p>
        </w:tc>
        <w:tc>
          <w:tcPr>
            <w:tcW w:w="36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Washington, DC-MD-VA</w:t>
            </w:r>
          </w:p>
        </w:tc>
        <w:tc>
          <w:tcPr>
            <w:tcW w:w="1080" w:type="dxa"/>
            <w:vAlign w:val="bottom"/>
            <w:gridSpan w:val="3"/>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rPr>
              <w:t>1982/2007</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46,004</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rPr>
              <w:t>309,000</w:t>
            </w:r>
          </w:p>
        </w:tc>
        <w:tc>
          <w:tcPr>
            <w:tcW w:w="680" w:type="dxa"/>
            <w:vAlign w:val="bottom"/>
            <w:gridSpan w:val="3"/>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75%</w:t>
            </w: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760" w:type="dxa"/>
            <w:vAlign w:val="bottom"/>
            <w:gridSpan w:val="2"/>
            <w:shd w:val="clear" w:color="auto" w:fill="CCEEFF"/>
          </w:tcPr>
          <w:p>
            <w:pPr>
              <w:ind w:left="80"/>
              <w:spacing w:after="0" w:line="138" w:lineRule="exact"/>
              <w:rPr>
                <w:sz w:val="20"/>
                <w:szCs w:val="20"/>
                <w:color w:val="auto"/>
              </w:rPr>
            </w:pPr>
            <w:r>
              <w:rPr>
                <w:rFonts w:ascii="Arial" w:cs="Arial" w:eastAsia="Arial" w:hAnsi="Arial"/>
                <w:sz w:val="14"/>
                <w:szCs w:val="14"/>
                <w:color w:val="auto"/>
              </w:rPr>
              <w:t>Toys R Us / Bally Total</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00" w:type="dxa"/>
            <w:vAlign w:val="bottom"/>
            <w:tcBorders>
              <w:right w:val="single" w:sz="8" w:color="CCEEFF"/>
            </w:tcBorders>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76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rPr>
              <w:t>Fitness / AC Moore</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40" w:type="dxa"/>
            <w:vAlign w:val="bottom"/>
            <w:gridSpan w:val="5"/>
          </w:tcPr>
          <w:p>
            <w:pPr>
              <w:spacing w:after="0" w:line="138" w:lineRule="exact"/>
              <w:rPr>
                <w:sz w:val="20"/>
                <w:szCs w:val="20"/>
                <w:color w:val="auto"/>
              </w:rPr>
            </w:pPr>
            <w:r>
              <w:rPr>
                <w:rFonts w:ascii="Arial" w:cs="Arial" w:eastAsia="Arial" w:hAnsi="Arial"/>
                <w:sz w:val="14"/>
                <w:szCs w:val="14"/>
                <w:color w:val="auto"/>
                <w:w w:val="97"/>
              </w:rPr>
              <w:t>Mount Vernon/South Valley/7770</w:t>
            </w:r>
          </w:p>
        </w:tc>
        <w:tc>
          <w:tcPr>
            <w:tcW w:w="360" w:type="dxa"/>
            <w:vAlign w:val="bottom"/>
          </w:tcPr>
          <w:p>
            <w:pPr>
              <w:ind w:left="100"/>
              <w:spacing w:after="0" w:line="138" w:lineRule="exact"/>
              <w:rPr>
                <w:sz w:val="20"/>
                <w:szCs w:val="20"/>
                <w:color w:val="auto"/>
              </w:rPr>
            </w:pPr>
            <w:r>
              <w:rPr>
                <w:rFonts w:ascii="Arial" w:cs="Arial" w:eastAsia="Arial" w:hAnsi="Arial"/>
                <w:sz w:val="14"/>
                <w:szCs w:val="14"/>
                <w:color w:val="auto"/>
              </w:rPr>
              <w:t>(6)</w:t>
            </w:r>
          </w:p>
        </w:tc>
        <w:tc>
          <w:tcPr>
            <w:tcW w:w="1700" w:type="dxa"/>
            <w:vAlign w:val="bottom"/>
          </w:tcPr>
          <w:p>
            <w:pPr>
              <w:spacing w:after="0" w:line="138" w:lineRule="exact"/>
              <w:rPr>
                <w:sz w:val="20"/>
                <w:szCs w:val="20"/>
                <w:color w:val="auto"/>
              </w:rPr>
            </w:pPr>
            <w:r>
              <w:rPr>
                <w:rFonts w:ascii="Arial" w:cs="Arial" w:eastAsia="Arial" w:hAnsi="Arial"/>
                <w:sz w:val="14"/>
                <w:szCs w:val="14"/>
                <w:color w:val="auto"/>
              </w:rPr>
              <w:t>Washington, DC-MD-VA</w:t>
            </w:r>
          </w:p>
        </w:tc>
        <w:tc>
          <w:tcPr>
            <w:tcW w:w="10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2003-2006</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38" w:lineRule="exact"/>
              <w:rPr>
                <w:sz w:val="20"/>
                <w:szCs w:val="20"/>
                <w:color w:val="auto"/>
              </w:rPr>
            </w:pPr>
            <w:r>
              <w:rPr>
                <w:rFonts w:ascii="Arial" w:cs="Arial" w:eastAsia="Arial" w:hAnsi="Arial"/>
                <w:sz w:val="14"/>
                <w:szCs w:val="14"/>
                <w:color w:val="auto"/>
              </w:rPr>
              <w:t>77,644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11,210</w:t>
            </w:r>
          </w:p>
        </w:tc>
        <w:tc>
          <w:tcPr>
            <w:tcW w:w="580" w:type="dxa"/>
            <w:vAlign w:val="bottom"/>
            <w:gridSpan w:val="2"/>
          </w:tcPr>
          <w:p>
            <w:pPr>
              <w:jc w:val="right"/>
              <w:ind w:right="40"/>
              <w:spacing w:after="0" w:line="138" w:lineRule="exact"/>
              <w:rPr>
                <w:sz w:val="20"/>
                <w:szCs w:val="20"/>
                <w:color w:val="auto"/>
              </w:rPr>
            </w:pPr>
            <w:r>
              <w:rPr>
                <w:rFonts w:ascii="Arial" w:cs="Arial" w:eastAsia="Arial" w:hAnsi="Arial"/>
                <w:sz w:val="14"/>
                <w:szCs w:val="14"/>
                <w:color w:val="auto"/>
              </w:rPr>
              <w:t>565,000</w:t>
            </w:r>
          </w:p>
        </w:tc>
        <w:tc>
          <w:tcPr>
            <w:tcW w:w="680" w:type="dxa"/>
            <w:vAlign w:val="bottom"/>
            <w:gridSpan w:val="3"/>
          </w:tcPr>
          <w:p>
            <w:pPr>
              <w:jc w:val="right"/>
              <w:ind w:right="120"/>
              <w:spacing w:after="0" w:line="138" w:lineRule="exact"/>
              <w:rPr>
                <w:sz w:val="20"/>
                <w:szCs w:val="20"/>
                <w:color w:val="auto"/>
              </w:rPr>
            </w:pPr>
            <w:r>
              <w:rPr>
                <w:rFonts w:ascii="Arial" w:cs="Arial" w:eastAsia="Arial" w:hAnsi="Arial"/>
                <w:sz w:val="14"/>
                <w:szCs w:val="14"/>
                <w:color w:val="auto"/>
              </w:rPr>
              <w:t>96%</w:t>
            </w:r>
          </w:p>
        </w:tc>
        <w:tc>
          <w:tcPr>
            <w:tcW w:w="56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62,000</w:t>
            </w:r>
          </w:p>
        </w:tc>
        <w:tc>
          <w:tcPr>
            <w:tcW w:w="780" w:type="dxa"/>
            <w:vAlign w:val="bottom"/>
          </w:tcPr>
          <w:p>
            <w:pPr>
              <w:spacing w:after="0" w:line="138" w:lineRule="exact"/>
              <w:rPr>
                <w:sz w:val="20"/>
                <w:szCs w:val="20"/>
                <w:color w:val="auto"/>
              </w:rPr>
            </w:pPr>
            <w:r>
              <w:rPr>
                <w:rFonts w:ascii="Arial" w:cs="Arial" w:eastAsia="Arial" w:hAnsi="Arial"/>
                <w:sz w:val="14"/>
                <w:szCs w:val="14"/>
                <w:color w:val="auto"/>
              </w:rPr>
              <w:t>Shoppers</w:t>
            </w:r>
          </w:p>
        </w:tc>
        <w:tc>
          <w:tcPr>
            <w:tcW w:w="1760" w:type="dxa"/>
            <w:vAlign w:val="bottom"/>
            <w:gridSpan w:val="2"/>
          </w:tcPr>
          <w:p>
            <w:pPr>
              <w:ind w:left="80"/>
              <w:spacing w:after="0" w:line="138" w:lineRule="exact"/>
              <w:rPr>
                <w:sz w:val="20"/>
                <w:szCs w:val="20"/>
                <w:color w:val="auto"/>
              </w:rPr>
            </w:pPr>
            <w:r>
              <w:rPr>
                <w:rFonts w:ascii="Arial" w:cs="Arial" w:eastAsia="Arial" w:hAnsi="Arial"/>
                <w:sz w:val="14"/>
                <w:szCs w:val="14"/>
                <w:color w:val="auto"/>
              </w:rPr>
              <w:t>Bed, Bath &amp; Beyond /</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40" w:type="dxa"/>
            <w:vAlign w:val="bottom"/>
            <w:gridSpan w:val="4"/>
          </w:tcPr>
          <w:p>
            <w:pPr>
              <w:spacing w:after="0" w:line="149" w:lineRule="exact"/>
              <w:rPr>
                <w:sz w:val="20"/>
                <w:szCs w:val="20"/>
                <w:color w:val="auto"/>
              </w:rPr>
            </w:pPr>
            <w:r>
              <w:rPr>
                <w:rFonts w:ascii="Arial" w:cs="Arial" w:eastAsia="Arial" w:hAnsi="Arial"/>
                <w:sz w:val="14"/>
                <w:szCs w:val="14"/>
                <w:color w:val="auto"/>
              </w:rPr>
              <w:t>Richmond Hwy</w:t>
            </w:r>
          </w:p>
        </w:tc>
        <w:tc>
          <w:tcPr>
            <w:tcW w:w="3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line="149" w:lineRule="exact"/>
              <w:rPr>
                <w:sz w:val="20"/>
                <w:szCs w:val="20"/>
                <w:color w:val="auto"/>
              </w:rPr>
            </w:pPr>
            <w:r>
              <w:rPr>
                <w:rFonts w:ascii="Arial" w:cs="Arial" w:eastAsia="Arial" w:hAnsi="Arial"/>
                <w:sz w:val="14"/>
                <w:szCs w:val="14"/>
                <w:color w:val="auto"/>
              </w:rPr>
              <w:t>Food</w:t>
            </w:r>
          </w:p>
        </w:tc>
        <w:tc>
          <w:tcPr>
            <w:tcW w:w="176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96"/>
              </w:rPr>
              <w:t>Michaels / Home Depot / TJ</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line="159" w:lineRule="exact"/>
              <w:rPr>
                <w:sz w:val="20"/>
                <w:szCs w:val="20"/>
                <w:color w:val="auto"/>
              </w:rPr>
            </w:pPr>
            <w:r>
              <w:rPr>
                <w:rFonts w:ascii="Arial" w:cs="Arial" w:eastAsia="Arial" w:hAnsi="Arial"/>
                <w:sz w:val="14"/>
                <w:szCs w:val="14"/>
                <w:color w:val="auto"/>
              </w:rPr>
              <w:t>Warehouse</w:t>
            </w:r>
          </w:p>
        </w:tc>
        <w:tc>
          <w:tcPr>
            <w:tcW w:w="176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Maxx / Gold’s Gym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Borders>
              <w:right w:val="single" w:sz="8" w:color="CCEEFF"/>
            </w:tcBorders>
            <w:gridSpan w:val="5"/>
            <w:shd w:val="clear" w:color="auto" w:fill="CCEEFF"/>
          </w:tcPr>
          <w:p>
            <w:pPr>
              <w:spacing w:after="0" w:line="149" w:lineRule="exact"/>
              <w:rPr>
                <w:sz w:val="20"/>
                <w:szCs w:val="20"/>
                <w:color w:val="auto"/>
              </w:rPr>
            </w:pPr>
            <w:r>
              <w:rPr>
                <w:rFonts w:ascii="Arial" w:cs="Arial" w:eastAsia="Arial" w:hAnsi="Arial"/>
                <w:sz w:val="14"/>
                <w:szCs w:val="14"/>
                <w:color w:val="auto"/>
              </w:rPr>
              <w:t>Old Keene Mill</w:t>
            </w:r>
          </w:p>
        </w:tc>
        <w:tc>
          <w:tcPr>
            <w:tcW w:w="36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Washington, DC-MD-VA</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1976</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5,970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92,000</w:t>
            </w:r>
          </w:p>
        </w:tc>
        <w:tc>
          <w:tcPr>
            <w:tcW w:w="6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95%</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24,000</w:t>
            </w:r>
          </w:p>
        </w:tc>
        <w:tc>
          <w:tcPr>
            <w:tcW w:w="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2"/>
              </w:rPr>
              <w:t>Whole Foods</w:t>
            </w:r>
          </w:p>
        </w:tc>
        <w:tc>
          <w:tcPr>
            <w:tcW w:w="17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Walgreens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gridSpan w:val="5"/>
          </w:tcPr>
          <w:p>
            <w:pPr>
              <w:spacing w:after="0" w:line="149" w:lineRule="exact"/>
              <w:rPr>
                <w:sz w:val="20"/>
                <w:szCs w:val="20"/>
                <w:color w:val="auto"/>
              </w:rPr>
            </w:pPr>
            <w:r>
              <w:rPr>
                <w:rFonts w:ascii="Arial" w:cs="Arial" w:eastAsia="Arial" w:hAnsi="Arial"/>
                <w:sz w:val="14"/>
                <w:szCs w:val="14"/>
                <w:color w:val="auto"/>
              </w:rPr>
              <w:t>Pan Am</w:t>
            </w:r>
          </w:p>
        </w:tc>
        <w:tc>
          <w:tcPr>
            <w:tcW w:w="360" w:type="dxa"/>
            <w:vAlign w:val="bottom"/>
          </w:tcPr>
          <w:p>
            <w:pPr>
              <w:spacing w:after="0"/>
              <w:rPr>
                <w:sz w:val="12"/>
                <w:szCs w:val="12"/>
                <w:color w:val="auto"/>
              </w:rPr>
            </w:pPr>
          </w:p>
        </w:tc>
        <w:tc>
          <w:tcPr>
            <w:tcW w:w="1700" w:type="dxa"/>
            <w:vAlign w:val="bottom"/>
          </w:tcPr>
          <w:p>
            <w:pPr>
              <w:spacing w:after="0" w:line="149" w:lineRule="exact"/>
              <w:rPr>
                <w:sz w:val="20"/>
                <w:szCs w:val="20"/>
                <w:color w:val="auto"/>
              </w:rPr>
            </w:pPr>
            <w:r>
              <w:rPr>
                <w:rFonts w:ascii="Arial" w:cs="Arial" w:eastAsia="Arial" w:hAnsi="Arial"/>
                <w:sz w:val="14"/>
                <w:szCs w:val="14"/>
                <w:color w:val="auto"/>
              </w:rPr>
              <w:t>Washington, DC-MD-VA</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1993</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28,341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227,000</w:t>
            </w:r>
          </w:p>
        </w:tc>
        <w:tc>
          <w:tcPr>
            <w:tcW w:w="6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100%</w:t>
            </w: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63,000</w:t>
            </w:r>
          </w:p>
        </w:tc>
        <w:tc>
          <w:tcPr>
            <w:tcW w:w="780" w:type="dxa"/>
            <w:vAlign w:val="bottom"/>
          </w:tcPr>
          <w:p>
            <w:pPr>
              <w:spacing w:after="0" w:line="149" w:lineRule="exact"/>
              <w:rPr>
                <w:sz w:val="20"/>
                <w:szCs w:val="20"/>
                <w:color w:val="auto"/>
              </w:rPr>
            </w:pPr>
            <w:r>
              <w:rPr>
                <w:rFonts w:ascii="Arial" w:cs="Arial" w:eastAsia="Arial" w:hAnsi="Arial"/>
                <w:sz w:val="14"/>
                <w:szCs w:val="14"/>
                <w:color w:val="auto"/>
              </w:rPr>
              <w:t>Safeway</w:t>
            </w:r>
          </w:p>
        </w:tc>
        <w:tc>
          <w:tcPr>
            <w:tcW w:w="17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Micro Center / Michaels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40" w:type="dxa"/>
            <w:vAlign w:val="bottom"/>
            <w:tcBorders>
              <w:right w:val="single" w:sz="8" w:color="CCEEFF"/>
            </w:tcBorders>
            <w:gridSpan w:val="5"/>
            <w:shd w:val="clear" w:color="auto" w:fill="CCEEFF"/>
          </w:tcPr>
          <w:p>
            <w:pPr>
              <w:spacing w:after="0" w:line="138" w:lineRule="exact"/>
              <w:rPr>
                <w:sz w:val="20"/>
                <w:szCs w:val="20"/>
                <w:color w:val="auto"/>
              </w:rPr>
            </w:pPr>
            <w:r>
              <w:rPr>
                <w:rFonts w:ascii="Arial" w:cs="Arial" w:eastAsia="Arial" w:hAnsi="Arial"/>
                <w:sz w:val="14"/>
                <w:szCs w:val="14"/>
                <w:color w:val="auto"/>
              </w:rPr>
              <w:t>Pentagon Row</w:t>
            </w:r>
          </w:p>
        </w:tc>
        <w:tc>
          <w:tcPr>
            <w:tcW w:w="36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Washington, DC-MD-VA</w:t>
            </w:r>
          </w:p>
        </w:tc>
        <w:tc>
          <w:tcPr>
            <w:tcW w:w="10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1998</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87,899</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54,045</w:t>
            </w:r>
          </w:p>
        </w:tc>
        <w:tc>
          <w:tcPr>
            <w:tcW w:w="580" w:type="dxa"/>
            <w:vAlign w:val="bottom"/>
            <w:gridSpan w:val="2"/>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rPr>
              <w:t>296,000</w:t>
            </w:r>
          </w:p>
        </w:tc>
        <w:tc>
          <w:tcPr>
            <w:tcW w:w="680" w:type="dxa"/>
            <w:vAlign w:val="bottom"/>
            <w:gridSpan w:val="3"/>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98%</w:t>
            </w:r>
          </w:p>
        </w:tc>
        <w:tc>
          <w:tcPr>
            <w:tcW w:w="56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45,000</w:t>
            </w:r>
          </w:p>
        </w:tc>
        <w:tc>
          <w:tcPr>
            <w:tcW w:w="7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2"/>
              </w:rPr>
              <w:t>Harris Teeter</w:t>
            </w:r>
          </w:p>
        </w:tc>
        <w:tc>
          <w:tcPr>
            <w:tcW w:w="1760" w:type="dxa"/>
            <w:vAlign w:val="bottom"/>
            <w:gridSpan w:val="2"/>
            <w:shd w:val="clear" w:color="auto" w:fill="CCEEFF"/>
          </w:tcPr>
          <w:p>
            <w:pPr>
              <w:ind w:left="80"/>
              <w:spacing w:after="0" w:line="138" w:lineRule="exact"/>
              <w:rPr>
                <w:sz w:val="20"/>
                <w:szCs w:val="20"/>
                <w:color w:val="auto"/>
              </w:rPr>
            </w:pPr>
            <w:r>
              <w:rPr>
                <w:rFonts w:ascii="Arial" w:cs="Arial" w:eastAsia="Arial" w:hAnsi="Arial"/>
                <w:sz w:val="14"/>
                <w:szCs w:val="14"/>
                <w:color w:val="auto"/>
                <w:w w:val="88"/>
              </w:rPr>
              <w:t>Bally Total Fitness / Bed, Bath</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00" w:type="dxa"/>
            <w:vAlign w:val="bottom"/>
            <w:tcBorders>
              <w:right w:val="single" w:sz="8" w:color="CCEEFF"/>
            </w:tcBorders>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76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rPr>
              <w:t>&amp; Beyond / DSW</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gridSpan w:val="5"/>
          </w:tcPr>
          <w:p>
            <w:pPr>
              <w:spacing w:after="0" w:line="149" w:lineRule="exact"/>
              <w:rPr>
                <w:sz w:val="20"/>
                <w:szCs w:val="20"/>
                <w:color w:val="auto"/>
              </w:rPr>
            </w:pPr>
            <w:r>
              <w:rPr>
                <w:rFonts w:ascii="Arial" w:cs="Arial" w:eastAsia="Arial" w:hAnsi="Arial"/>
                <w:sz w:val="14"/>
                <w:szCs w:val="14"/>
                <w:color w:val="auto"/>
              </w:rPr>
              <w:t>Pike 7</w:t>
            </w:r>
          </w:p>
        </w:tc>
        <w:tc>
          <w:tcPr>
            <w:tcW w:w="360" w:type="dxa"/>
            <w:vAlign w:val="bottom"/>
          </w:tcPr>
          <w:p>
            <w:pPr>
              <w:spacing w:after="0"/>
              <w:rPr>
                <w:sz w:val="12"/>
                <w:szCs w:val="12"/>
                <w:color w:val="auto"/>
              </w:rPr>
            </w:pPr>
          </w:p>
        </w:tc>
        <w:tc>
          <w:tcPr>
            <w:tcW w:w="1700" w:type="dxa"/>
            <w:vAlign w:val="bottom"/>
          </w:tcPr>
          <w:p>
            <w:pPr>
              <w:spacing w:after="0" w:line="149" w:lineRule="exact"/>
              <w:rPr>
                <w:sz w:val="20"/>
                <w:szCs w:val="20"/>
                <w:color w:val="auto"/>
              </w:rPr>
            </w:pPr>
            <w:r>
              <w:rPr>
                <w:rFonts w:ascii="Arial" w:cs="Arial" w:eastAsia="Arial" w:hAnsi="Arial"/>
                <w:sz w:val="14"/>
                <w:szCs w:val="14"/>
                <w:color w:val="auto"/>
              </w:rPr>
              <w:t>Washington, DC-MD-VA</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34,884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164,000</w:t>
            </w:r>
          </w:p>
        </w:tc>
        <w:tc>
          <w:tcPr>
            <w:tcW w:w="6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100%</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7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DSW / Staples / TJ Maxx</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Borders>
              <w:right w:val="single" w:sz="8" w:color="CCEEFF"/>
            </w:tcBorders>
            <w:gridSpan w:val="5"/>
            <w:shd w:val="clear" w:color="auto" w:fill="CCEEFF"/>
          </w:tcPr>
          <w:p>
            <w:pPr>
              <w:spacing w:after="0" w:line="149" w:lineRule="exact"/>
              <w:rPr>
                <w:sz w:val="20"/>
                <w:szCs w:val="20"/>
                <w:color w:val="auto"/>
              </w:rPr>
            </w:pPr>
            <w:r>
              <w:rPr>
                <w:rFonts w:ascii="Arial" w:cs="Arial" w:eastAsia="Arial" w:hAnsi="Arial"/>
                <w:sz w:val="14"/>
                <w:szCs w:val="14"/>
                <w:color w:val="auto"/>
              </w:rPr>
              <w:t>Quince Orchard</w:t>
            </w:r>
          </w:p>
        </w:tc>
        <w:tc>
          <w:tcPr>
            <w:tcW w:w="36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Washington, DC-MD-VA</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1993</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21,598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248,000</w:t>
            </w:r>
          </w:p>
        </w:tc>
        <w:tc>
          <w:tcPr>
            <w:tcW w:w="6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69%</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24,000</w:t>
            </w:r>
          </w:p>
        </w:tc>
        <w:tc>
          <w:tcPr>
            <w:tcW w:w="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Magruders</w:t>
            </w:r>
          </w:p>
        </w:tc>
        <w:tc>
          <w:tcPr>
            <w:tcW w:w="17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Staples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gridSpan w:val="5"/>
          </w:tcPr>
          <w:p>
            <w:pPr>
              <w:spacing w:after="0" w:line="149" w:lineRule="exact"/>
              <w:rPr>
                <w:sz w:val="20"/>
                <w:szCs w:val="20"/>
                <w:color w:val="auto"/>
              </w:rPr>
            </w:pPr>
            <w:r>
              <w:rPr>
                <w:rFonts w:ascii="Arial" w:cs="Arial" w:eastAsia="Arial" w:hAnsi="Arial"/>
                <w:sz w:val="14"/>
                <w:szCs w:val="14"/>
                <w:color w:val="auto"/>
              </w:rPr>
              <w:t>Rockville Town Square</w:t>
            </w:r>
          </w:p>
        </w:tc>
        <w:tc>
          <w:tcPr>
            <w:tcW w:w="360" w:type="dxa"/>
            <w:vAlign w:val="bottom"/>
          </w:tcPr>
          <w:p>
            <w:pPr>
              <w:spacing w:after="0"/>
              <w:rPr>
                <w:sz w:val="12"/>
                <w:szCs w:val="12"/>
                <w:color w:val="auto"/>
              </w:rPr>
            </w:pPr>
          </w:p>
        </w:tc>
        <w:tc>
          <w:tcPr>
            <w:tcW w:w="1700" w:type="dxa"/>
            <w:vAlign w:val="bottom"/>
          </w:tcPr>
          <w:p>
            <w:pPr>
              <w:spacing w:after="0" w:line="149" w:lineRule="exact"/>
              <w:rPr>
                <w:sz w:val="20"/>
                <w:szCs w:val="20"/>
                <w:color w:val="auto"/>
              </w:rPr>
            </w:pPr>
            <w:r>
              <w:rPr>
                <w:rFonts w:ascii="Arial" w:cs="Arial" w:eastAsia="Arial" w:hAnsi="Arial"/>
                <w:sz w:val="14"/>
                <w:szCs w:val="14"/>
                <w:color w:val="auto"/>
              </w:rPr>
              <w:t>Washington, DC-MD-VA</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2006-2007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37,369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182,000</w:t>
            </w:r>
          </w:p>
        </w:tc>
        <w:tc>
          <w:tcPr>
            <w:tcW w:w="6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97%</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7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CVS / Gold’s Gym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Borders>
              <w:right w:val="single" w:sz="8" w:color="CCEEFF"/>
            </w:tcBorders>
            <w:gridSpan w:val="5"/>
            <w:shd w:val="clear" w:color="auto" w:fill="CCEEFF"/>
          </w:tcPr>
          <w:p>
            <w:pPr>
              <w:spacing w:after="0" w:line="149" w:lineRule="exact"/>
              <w:rPr>
                <w:sz w:val="20"/>
                <w:szCs w:val="20"/>
                <w:color w:val="auto"/>
              </w:rPr>
            </w:pPr>
            <w:r>
              <w:rPr>
                <w:rFonts w:ascii="Arial" w:cs="Arial" w:eastAsia="Arial" w:hAnsi="Arial"/>
                <w:sz w:val="14"/>
                <w:szCs w:val="14"/>
                <w:color w:val="auto"/>
              </w:rPr>
              <w:t>Rollingwood Apartments</w:t>
            </w:r>
          </w:p>
        </w:tc>
        <w:tc>
          <w:tcPr>
            <w:tcW w:w="36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Washington, DC-MD-VA</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1971</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7,758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23,799</w:t>
            </w:r>
          </w:p>
        </w:tc>
        <w:tc>
          <w:tcPr>
            <w:tcW w:w="5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N/A</w:t>
            </w:r>
          </w:p>
        </w:tc>
        <w:tc>
          <w:tcPr>
            <w:tcW w:w="6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96%</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gridSpan w:val="5"/>
          </w:tcPr>
          <w:p>
            <w:pPr>
              <w:spacing w:after="0" w:line="149" w:lineRule="exact"/>
              <w:rPr>
                <w:sz w:val="20"/>
                <w:szCs w:val="20"/>
                <w:color w:val="auto"/>
              </w:rPr>
            </w:pPr>
            <w:r>
              <w:rPr>
                <w:rFonts w:ascii="Arial" w:cs="Arial" w:eastAsia="Arial" w:hAnsi="Arial"/>
                <w:sz w:val="14"/>
                <w:szCs w:val="14"/>
                <w:color w:val="auto"/>
              </w:rPr>
              <w:t>Sam’s Park &amp; Shop</w:t>
            </w:r>
          </w:p>
        </w:tc>
        <w:tc>
          <w:tcPr>
            <w:tcW w:w="360" w:type="dxa"/>
            <w:vAlign w:val="bottom"/>
          </w:tcPr>
          <w:p>
            <w:pPr>
              <w:spacing w:after="0"/>
              <w:rPr>
                <w:sz w:val="12"/>
                <w:szCs w:val="12"/>
                <w:color w:val="auto"/>
              </w:rPr>
            </w:pPr>
          </w:p>
        </w:tc>
        <w:tc>
          <w:tcPr>
            <w:tcW w:w="1700" w:type="dxa"/>
            <w:vAlign w:val="bottom"/>
          </w:tcPr>
          <w:p>
            <w:pPr>
              <w:spacing w:after="0" w:line="149" w:lineRule="exact"/>
              <w:rPr>
                <w:sz w:val="20"/>
                <w:szCs w:val="20"/>
                <w:color w:val="auto"/>
              </w:rPr>
            </w:pPr>
            <w:r>
              <w:rPr>
                <w:rFonts w:ascii="Arial" w:cs="Arial" w:eastAsia="Arial" w:hAnsi="Arial"/>
                <w:sz w:val="14"/>
                <w:szCs w:val="14"/>
                <w:color w:val="auto"/>
              </w:rPr>
              <w:t>Washington, DC-MD-VA</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1995</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12,243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49,000</w:t>
            </w:r>
          </w:p>
        </w:tc>
        <w:tc>
          <w:tcPr>
            <w:tcW w:w="6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100%</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7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Petco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Borders>
              <w:right w:val="single" w:sz="8" w:color="CCEEFF"/>
            </w:tcBorders>
            <w:gridSpan w:val="5"/>
            <w:shd w:val="clear" w:color="auto" w:fill="CCEEFF"/>
          </w:tcPr>
          <w:p>
            <w:pPr>
              <w:spacing w:after="0" w:line="149" w:lineRule="exact"/>
              <w:rPr>
                <w:sz w:val="20"/>
                <w:szCs w:val="20"/>
                <w:color w:val="auto"/>
              </w:rPr>
            </w:pPr>
            <w:r>
              <w:rPr>
                <w:rFonts w:ascii="Arial" w:cs="Arial" w:eastAsia="Arial" w:hAnsi="Arial"/>
                <w:sz w:val="14"/>
                <w:szCs w:val="14"/>
                <w:color w:val="auto"/>
              </w:rPr>
              <w:t>Tower</w:t>
            </w:r>
          </w:p>
        </w:tc>
        <w:tc>
          <w:tcPr>
            <w:tcW w:w="36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Washington, DC-MD-VA</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1998</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20,279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112,000</w:t>
            </w:r>
          </w:p>
        </w:tc>
        <w:tc>
          <w:tcPr>
            <w:tcW w:w="6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91%</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Talbots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gridSpan w:val="5"/>
          </w:tcPr>
          <w:p>
            <w:pPr>
              <w:spacing w:after="0" w:line="149" w:lineRule="exact"/>
              <w:rPr>
                <w:sz w:val="20"/>
                <w:szCs w:val="20"/>
                <w:color w:val="auto"/>
              </w:rPr>
            </w:pPr>
            <w:r>
              <w:rPr>
                <w:rFonts w:ascii="Arial" w:cs="Arial" w:eastAsia="Arial" w:hAnsi="Arial"/>
                <w:sz w:val="14"/>
                <w:szCs w:val="14"/>
                <w:color w:val="auto"/>
              </w:rPr>
              <w:t>Tyson’s Station</w:t>
            </w:r>
          </w:p>
        </w:tc>
        <w:tc>
          <w:tcPr>
            <w:tcW w:w="360" w:type="dxa"/>
            <w:vAlign w:val="bottom"/>
          </w:tcPr>
          <w:p>
            <w:pPr>
              <w:spacing w:after="0"/>
              <w:rPr>
                <w:sz w:val="12"/>
                <w:szCs w:val="12"/>
                <w:color w:val="auto"/>
              </w:rPr>
            </w:pPr>
          </w:p>
        </w:tc>
        <w:tc>
          <w:tcPr>
            <w:tcW w:w="1700" w:type="dxa"/>
            <w:vAlign w:val="bottom"/>
          </w:tcPr>
          <w:p>
            <w:pPr>
              <w:spacing w:after="0" w:line="149" w:lineRule="exact"/>
              <w:rPr>
                <w:sz w:val="20"/>
                <w:szCs w:val="20"/>
                <w:color w:val="auto"/>
              </w:rPr>
            </w:pPr>
            <w:r>
              <w:rPr>
                <w:rFonts w:ascii="Arial" w:cs="Arial" w:eastAsia="Arial" w:hAnsi="Arial"/>
                <w:sz w:val="14"/>
                <w:szCs w:val="14"/>
                <w:color w:val="auto"/>
              </w:rPr>
              <w:t>Washington, DC-MD-VA</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1978</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3,684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5,853</w:t>
            </w:r>
          </w:p>
        </w:tc>
        <w:tc>
          <w:tcPr>
            <w:tcW w:w="5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49,000</w:t>
            </w:r>
          </w:p>
        </w:tc>
        <w:tc>
          <w:tcPr>
            <w:tcW w:w="6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100%</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7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Trader Joe’s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40" w:type="dxa"/>
            <w:vAlign w:val="bottom"/>
            <w:tcBorders>
              <w:right w:val="single" w:sz="8" w:color="CCEEFF"/>
            </w:tcBorders>
            <w:gridSpan w:val="5"/>
            <w:shd w:val="clear" w:color="auto" w:fill="CCEEFF"/>
          </w:tcPr>
          <w:p>
            <w:pPr>
              <w:spacing w:after="0" w:line="138" w:lineRule="exact"/>
              <w:rPr>
                <w:sz w:val="20"/>
                <w:szCs w:val="20"/>
                <w:color w:val="auto"/>
              </w:rPr>
            </w:pPr>
            <w:r>
              <w:rPr>
                <w:rFonts w:ascii="Arial" w:cs="Arial" w:eastAsia="Arial" w:hAnsi="Arial"/>
                <w:sz w:val="14"/>
                <w:szCs w:val="14"/>
                <w:color w:val="auto"/>
              </w:rPr>
              <w:t>Village at Shirlington</w:t>
            </w:r>
          </w:p>
        </w:tc>
        <w:tc>
          <w:tcPr>
            <w:tcW w:w="360" w:type="dxa"/>
            <w:vAlign w:val="bottom"/>
            <w:shd w:val="clear" w:color="auto" w:fill="CCEEFF"/>
          </w:tcPr>
          <w:p>
            <w:pPr>
              <w:ind w:left="100"/>
              <w:spacing w:after="0" w:line="138" w:lineRule="exact"/>
              <w:rPr>
                <w:sz w:val="20"/>
                <w:szCs w:val="20"/>
                <w:color w:val="auto"/>
              </w:rPr>
            </w:pPr>
            <w:r>
              <w:rPr>
                <w:rFonts w:ascii="Arial" w:cs="Arial" w:eastAsia="Arial" w:hAnsi="Arial"/>
                <w:sz w:val="14"/>
                <w:szCs w:val="14"/>
                <w:color w:val="auto"/>
              </w:rPr>
              <w:t>(4)</w:t>
            </w:r>
          </w:p>
        </w:tc>
        <w:tc>
          <w:tcPr>
            <w:tcW w:w="17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Washington, DC-MD-VA</w:t>
            </w:r>
          </w:p>
        </w:tc>
        <w:tc>
          <w:tcPr>
            <w:tcW w:w="10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1995</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52,425</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6,300</w:t>
            </w:r>
          </w:p>
        </w:tc>
        <w:tc>
          <w:tcPr>
            <w:tcW w:w="580" w:type="dxa"/>
            <w:vAlign w:val="bottom"/>
            <w:gridSpan w:val="2"/>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rPr>
              <w:t>254,000</w:t>
            </w:r>
          </w:p>
        </w:tc>
        <w:tc>
          <w:tcPr>
            <w:tcW w:w="680" w:type="dxa"/>
            <w:vAlign w:val="bottom"/>
            <w:gridSpan w:val="3"/>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99%</w:t>
            </w:r>
          </w:p>
        </w:tc>
        <w:tc>
          <w:tcPr>
            <w:tcW w:w="56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28,000</w:t>
            </w:r>
          </w:p>
        </w:tc>
        <w:tc>
          <w:tcPr>
            <w:tcW w:w="7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2"/>
              </w:rPr>
              <w:t>Harris Teeter</w:t>
            </w:r>
          </w:p>
        </w:tc>
        <w:tc>
          <w:tcPr>
            <w:tcW w:w="1760" w:type="dxa"/>
            <w:vAlign w:val="bottom"/>
            <w:gridSpan w:val="2"/>
            <w:shd w:val="clear" w:color="auto" w:fill="CCEEFF"/>
          </w:tcPr>
          <w:p>
            <w:pPr>
              <w:ind w:left="80"/>
              <w:spacing w:after="0" w:line="138" w:lineRule="exact"/>
              <w:rPr>
                <w:sz w:val="20"/>
                <w:szCs w:val="20"/>
                <w:color w:val="auto"/>
              </w:rPr>
            </w:pPr>
            <w:r>
              <w:rPr>
                <w:rFonts w:ascii="Arial" w:cs="Arial" w:eastAsia="Arial" w:hAnsi="Arial"/>
                <w:sz w:val="14"/>
                <w:szCs w:val="14"/>
                <w:color w:val="auto"/>
                <w:w w:val="95"/>
              </w:rPr>
              <w:t>AMC Loews / Carlyle Grand</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00" w:type="dxa"/>
            <w:vAlign w:val="bottom"/>
            <w:tcBorders>
              <w:right w:val="single" w:sz="8" w:color="CCEEFF"/>
            </w:tcBorders>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76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rPr>
              <w:t>Café</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gridSpan w:val="5"/>
          </w:tcPr>
          <w:p>
            <w:pPr>
              <w:spacing w:after="0" w:line="149" w:lineRule="exact"/>
              <w:rPr>
                <w:sz w:val="20"/>
                <w:szCs w:val="20"/>
                <w:color w:val="auto"/>
              </w:rPr>
            </w:pPr>
            <w:r>
              <w:rPr>
                <w:rFonts w:ascii="Arial" w:cs="Arial" w:eastAsia="Arial" w:hAnsi="Arial"/>
                <w:sz w:val="14"/>
                <w:szCs w:val="14"/>
                <w:color w:val="auto"/>
              </w:rPr>
              <w:t>Wildwood</w:t>
            </w:r>
          </w:p>
        </w:tc>
        <w:tc>
          <w:tcPr>
            <w:tcW w:w="360" w:type="dxa"/>
            <w:vAlign w:val="bottom"/>
          </w:tcPr>
          <w:p>
            <w:pPr>
              <w:spacing w:after="0"/>
              <w:rPr>
                <w:sz w:val="12"/>
                <w:szCs w:val="12"/>
                <w:color w:val="auto"/>
              </w:rPr>
            </w:pPr>
          </w:p>
        </w:tc>
        <w:tc>
          <w:tcPr>
            <w:tcW w:w="1700" w:type="dxa"/>
            <w:vAlign w:val="bottom"/>
          </w:tcPr>
          <w:p>
            <w:pPr>
              <w:spacing w:after="0" w:line="149" w:lineRule="exact"/>
              <w:rPr>
                <w:sz w:val="20"/>
                <w:szCs w:val="20"/>
                <w:color w:val="auto"/>
              </w:rPr>
            </w:pPr>
            <w:r>
              <w:rPr>
                <w:rFonts w:ascii="Arial" w:cs="Arial" w:eastAsia="Arial" w:hAnsi="Arial"/>
                <w:sz w:val="14"/>
                <w:szCs w:val="14"/>
                <w:color w:val="auto"/>
              </w:rPr>
              <w:t>Washington, DC-MD-VA</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1969</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17,712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25,200</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84,000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94%</w:t>
            </w: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20,000</w:t>
            </w:r>
          </w:p>
        </w:tc>
        <w:tc>
          <w:tcPr>
            <w:tcW w:w="780" w:type="dxa"/>
            <w:vAlign w:val="bottom"/>
          </w:tcPr>
          <w:p>
            <w:pPr>
              <w:spacing w:after="0" w:line="149" w:lineRule="exact"/>
              <w:rPr>
                <w:sz w:val="20"/>
                <w:szCs w:val="20"/>
                <w:color w:val="auto"/>
              </w:rPr>
            </w:pPr>
            <w:r>
              <w:rPr>
                <w:rFonts w:ascii="Arial" w:cs="Arial" w:eastAsia="Arial" w:hAnsi="Arial"/>
                <w:sz w:val="14"/>
                <w:szCs w:val="14"/>
                <w:color w:val="auto"/>
              </w:rPr>
              <w:t>Balducci’s</w:t>
            </w:r>
          </w:p>
        </w:tc>
        <w:tc>
          <w:tcPr>
            <w:tcW w:w="17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500" w:type="dxa"/>
            <w:vAlign w:val="bottom"/>
            <w:tcBorders>
              <w:right w:val="single" w:sz="8" w:color="CCEEFF"/>
            </w:tcBorders>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line="136" w:lineRule="exact"/>
              <w:rPr>
                <w:sz w:val="20"/>
                <w:szCs w:val="20"/>
                <w:color w:val="auto"/>
              </w:rPr>
            </w:pPr>
            <w:r>
              <w:rPr>
                <w:rFonts w:ascii="Arial" w:cs="Arial" w:eastAsia="Arial" w:hAnsi="Arial"/>
                <w:sz w:val="14"/>
                <w:szCs w:val="14"/>
                <w:b w:val="1"/>
                <w:bCs w:val="1"/>
                <w:color w:val="auto"/>
              </w:rPr>
              <w:t>Total Washington</w:t>
            </w: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985,977</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w w:val="83"/>
              </w:rPr>
              <w:t>5,201,000</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4"/>
                <w:szCs w:val="14"/>
                <w:color w:val="auto"/>
              </w:rPr>
              <w:t>93%</w:t>
            </w: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500" w:type="dxa"/>
            <w:vAlign w:val="bottom"/>
            <w:tcBorders>
              <w:right w:val="single" w:sz="8" w:color="CCEEFF"/>
            </w:tcBorders>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Metropolitan Area</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4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87"/>
              </w:rPr>
              <w:t>Philadelphia Metropolitan Area</w:t>
            </w:r>
          </w:p>
        </w:tc>
        <w:tc>
          <w:tcPr>
            <w:tcW w:w="3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040" w:type="dxa"/>
            <w:vAlign w:val="bottom"/>
            <w:tcBorders>
              <w:right w:val="single" w:sz="8" w:color="CCEEFF"/>
            </w:tcBorders>
            <w:gridSpan w:val="5"/>
            <w:shd w:val="clear" w:color="auto" w:fill="CCEEFF"/>
          </w:tcPr>
          <w:p>
            <w:pPr>
              <w:spacing w:after="0" w:line="131" w:lineRule="exact"/>
              <w:rPr>
                <w:sz w:val="20"/>
                <w:szCs w:val="20"/>
                <w:color w:val="auto"/>
              </w:rPr>
            </w:pPr>
            <w:r>
              <w:rPr>
                <w:rFonts w:ascii="Arial" w:cs="Arial" w:eastAsia="Arial" w:hAnsi="Arial"/>
                <w:sz w:val="14"/>
                <w:szCs w:val="14"/>
                <w:color w:val="auto"/>
              </w:rPr>
              <w:t>Andorra</w:t>
            </w:r>
          </w:p>
        </w:tc>
        <w:tc>
          <w:tcPr>
            <w:tcW w:w="36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line="131" w:lineRule="exact"/>
              <w:rPr>
                <w:sz w:val="20"/>
                <w:szCs w:val="20"/>
                <w:color w:val="auto"/>
              </w:rPr>
            </w:pPr>
            <w:r>
              <w:rPr>
                <w:rFonts w:ascii="Arial" w:cs="Arial" w:eastAsia="Arial" w:hAnsi="Arial"/>
                <w:sz w:val="14"/>
                <w:szCs w:val="14"/>
                <w:color w:val="auto"/>
              </w:rPr>
              <w:t>Philadelphia, PA-NJ</w:t>
            </w:r>
          </w:p>
        </w:tc>
        <w:tc>
          <w:tcPr>
            <w:tcW w:w="1040" w:type="dxa"/>
            <w:vAlign w:val="bottom"/>
            <w:gridSpan w:val="2"/>
            <w:shd w:val="clear" w:color="auto" w:fill="CCEEFF"/>
          </w:tcPr>
          <w:p>
            <w:pPr>
              <w:jc w:val="right"/>
              <w:spacing w:after="0" w:line="131" w:lineRule="exact"/>
              <w:rPr>
                <w:sz w:val="20"/>
                <w:szCs w:val="20"/>
                <w:color w:val="auto"/>
              </w:rPr>
            </w:pPr>
            <w:r>
              <w:rPr>
                <w:rFonts w:ascii="Arial" w:cs="Arial" w:eastAsia="Arial" w:hAnsi="Arial"/>
                <w:sz w:val="14"/>
                <w:szCs w:val="14"/>
                <w:color w:val="auto"/>
              </w:rPr>
              <w:t>1988</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1" w:lineRule="exact"/>
              <w:rPr>
                <w:sz w:val="20"/>
                <w:szCs w:val="20"/>
                <w:color w:val="auto"/>
              </w:rPr>
            </w:pPr>
            <w:r>
              <w:rPr>
                <w:rFonts w:ascii="Arial" w:cs="Arial" w:eastAsia="Arial" w:hAnsi="Arial"/>
                <w:sz w:val="14"/>
                <w:szCs w:val="14"/>
                <w:color w:val="auto"/>
              </w:rPr>
              <w:t>23,306</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40"/>
              <w:spacing w:after="0" w:line="131" w:lineRule="exact"/>
              <w:rPr>
                <w:sz w:val="20"/>
                <w:szCs w:val="20"/>
                <w:color w:val="auto"/>
              </w:rPr>
            </w:pPr>
            <w:r>
              <w:rPr>
                <w:rFonts w:ascii="Arial" w:cs="Arial" w:eastAsia="Arial" w:hAnsi="Arial"/>
                <w:sz w:val="14"/>
                <w:szCs w:val="14"/>
                <w:color w:val="auto"/>
              </w:rPr>
              <w:t>267,000</w:t>
            </w:r>
          </w:p>
        </w:tc>
        <w:tc>
          <w:tcPr>
            <w:tcW w:w="680" w:type="dxa"/>
            <w:vAlign w:val="bottom"/>
            <w:gridSpan w:val="3"/>
            <w:shd w:val="clear" w:color="auto" w:fill="CCEEFF"/>
          </w:tcPr>
          <w:p>
            <w:pPr>
              <w:jc w:val="right"/>
              <w:ind w:right="120"/>
              <w:spacing w:after="0" w:line="131" w:lineRule="exact"/>
              <w:rPr>
                <w:sz w:val="20"/>
                <w:szCs w:val="20"/>
                <w:color w:val="auto"/>
              </w:rPr>
            </w:pPr>
            <w:r>
              <w:rPr>
                <w:rFonts w:ascii="Arial" w:cs="Arial" w:eastAsia="Arial" w:hAnsi="Arial"/>
                <w:sz w:val="14"/>
                <w:szCs w:val="14"/>
                <w:color w:val="auto"/>
              </w:rPr>
              <w:t>94%</w:t>
            </w:r>
          </w:p>
        </w:tc>
        <w:tc>
          <w:tcPr>
            <w:tcW w:w="560" w:type="dxa"/>
            <w:vAlign w:val="bottom"/>
            <w:gridSpan w:val="2"/>
            <w:shd w:val="clear" w:color="auto" w:fill="CCEEFF"/>
          </w:tcPr>
          <w:p>
            <w:pPr>
              <w:jc w:val="right"/>
              <w:ind w:right="80"/>
              <w:spacing w:after="0" w:line="131" w:lineRule="exact"/>
              <w:rPr>
                <w:sz w:val="20"/>
                <w:szCs w:val="20"/>
                <w:color w:val="auto"/>
              </w:rPr>
            </w:pPr>
            <w:r>
              <w:rPr>
                <w:rFonts w:ascii="Arial" w:cs="Arial" w:eastAsia="Arial" w:hAnsi="Arial"/>
                <w:sz w:val="14"/>
                <w:szCs w:val="14"/>
                <w:color w:val="auto"/>
              </w:rPr>
              <w:t>24,000</w:t>
            </w:r>
          </w:p>
        </w:tc>
        <w:tc>
          <w:tcPr>
            <w:tcW w:w="780" w:type="dxa"/>
            <w:vAlign w:val="bottom"/>
            <w:shd w:val="clear" w:color="auto" w:fill="CCEEFF"/>
          </w:tcPr>
          <w:p>
            <w:pPr>
              <w:spacing w:after="0" w:line="131" w:lineRule="exact"/>
              <w:rPr>
                <w:sz w:val="20"/>
                <w:szCs w:val="20"/>
                <w:color w:val="auto"/>
              </w:rPr>
            </w:pPr>
            <w:r>
              <w:rPr>
                <w:rFonts w:ascii="Arial" w:cs="Arial" w:eastAsia="Arial" w:hAnsi="Arial"/>
                <w:sz w:val="14"/>
                <w:szCs w:val="14"/>
                <w:color w:val="auto"/>
              </w:rPr>
              <w:t>Acme</w:t>
            </w:r>
          </w:p>
        </w:tc>
        <w:tc>
          <w:tcPr>
            <w:tcW w:w="1760" w:type="dxa"/>
            <w:vAlign w:val="bottom"/>
            <w:gridSpan w:val="2"/>
            <w:shd w:val="clear" w:color="auto" w:fill="CCEEFF"/>
          </w:tcPr>
          <w:p>
            <w:pPr>
              <w:ind w:left="80"/>
              <w:spacing w:after="0" w:line="131" w:lineRule="exact"/>
              <w:rPr>
                <w:sz w:val="20"/>
                <w:szCs w:val="20"/>
                <w:color w:val="auto"/>
              </w:rPr>
            </w:pPr>
            <w:r>
              <w:rPr>
                <w:rFonts w:ascii="Arial" w:cs="Arial" w:eastAsia="Arial" w:hAnsi="Arial"/>
                <w:sz w:val="14"/>
                <w:szCs w:val="14"/>
                <w:color w:val="auto"/>
                <w:w w:val="91"/>
              </w:rPr>
              <w:t>Kohl’s / Staples / L.A. Fitness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00" w:type="dxa"/>
            <w:vAlign w:val="bottom"/>
            <w:tcBorders>
              <w:right w:val="single" w:sz="8" w:color="CCEEFF"/>
            </w:tcBorders>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Markets</w:t>
            </w:r>
          </w:p>
        </w:tc>
        <w:tc>
          <w:tcPr>
            <w:tcW w:w="8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40" w:type="dxa"/>
            <w:vAlign w:val="bottom"/>
            <w:gridSpan w:val="5"/>
          </w:tcPr>
          <w:p>
            <w:pPr>
              <w:spacing w:after="0" w:line="138" w:lineRule="exact"/>
              <w:rPr>
                <w:sz w:val="20"/>
                <w:szCs w:val="20"/>
                <w:color w:val="auto"/>
              </w:rPr>
            </w:pPr>
            <w:r>
              <w:rPr>
                <w:rFonts w:ascii="Arial" w:cs="Arial" w:eastAsia="Arial" w:hAnsi="Arial"/>
                <w:sz w:val="14"/>
                <w:szCs w:val="14"/>
                <w:color w:val="auto"/>
              </w:rPr>
              <w:t>Bala Cynwyd</w:t>
            </w:r>
          </w:p>
        </w:tc>
        <w:tc>
          <w:tcPr>
            <w:tcW w:w="360" w:type="dxa"/>
            <w:vAlign w:val="bottom"/>
          </w:tcPr>
          <w:p>
            <w:pPr>
              <w:spacing w:after="0"/>
              <w:rPr>
                <w:sz w:val="11"/>
                <w:szCs w:val="11"/>
                <w:color w:val="auto"/>
              </w:rPr>
            </w:pPr>
          </w:p>
        </w:tc>
        <w:tc>
          <w:tcPr>
            <w:tcW w:w="1700" w:type="dxa"/>
            <w:vAlign w:val="bottom"/>
          </w:tcPr>
          <w:p>
            <w:pPr>
              <w:spacing w:after="0" w:line="138" w:lineRule="exact"/>
              <w:rPr>
                <w:sz w:val="20"/>
                <w:szCs w:val="20"/>
                <w:color w:val="auto"/>
              </w:rPr>
            </w:pPr>
            <w:r>
              <w:rPr>
                <w:rFonts w:ascii="Arial" w:cs="Arial" w:eastAsia="Arial" w:hAnsi="Arial"/>
                <w:sz w:val="14"/>
                <w:szCs w:val="14"/>
                <w:color w:val="auto"/>
              </w:rPr>
              <w:t>Philadelphia, PA-NJ</w:t>
            </w:r>
          </w:p>
        </w:tc>
        <w:tc>
          <w:tcPr>
            <w:tcW w:w="10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1993</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38" w:lineRule="exact"/>
              <w:rPr>
                <w:sz w:val="20"/>
                <w:szCs w:val="20"/>
                <w:color w:val="auto"/>
              </w:rPr>
            </w:pPr>
            <w:r>
              <w:rPr>
                <w:rFonts w:ascii="Arial" w:cs="Arial" w:eastAsia="Arial" w:hAnsi="Arial"/>
                <w:sz w:val="14"/>
                <w:szCs w:val="14"/>
                <w:color w:val="auto"/>
              </w:rPr>
              <w:t>34,597</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40"/>
              <w:spacing w:after="0" w:line="138" w:lineRule="exact"/>
              <w:rPr>
                <w:sz w:val="20"/>
                <w:szCs w:val="20"/>
                <w:color w:val="auto"/>
              </w:rPr>
            </w:pPr>
            <w:r>
              <w:rPr>
                <w:rFonts w:ascii="Arial" w:cs="Arial" w:eastAsia="Arial" w:hAnsi="Arial"/>
                <w:sz w:val="14"/>
                <w:szCs w:val="14"/>
                <w:color w:val="auto"/>
              </w:rPr>
              <w:t>282,000</w:t>
            </w:r>
          </w:p>
        </w:tc>
        <w:tc>
          <w:tcPr>
            <w:tcW w:w="680" w:type="dxa"/>
            <w:vAlign w:val="bottom"/>
            <w:gridSpan w:val="3"/>
          </w:tcPr>
          <w:p>
            <w:pPr>
              <w:jc w:val="right"/>
              <w:ind w:right="120"/>
              <w:spacing w:after="0" w:line="138" w:lineRule="exact"/>
              <w:rPr>
                <w:sz w:val="20"/>
                <w:szCs w:val="20"/>
                <w:color w:val="auto"/>
              </w:rPr>
            </w:pPr>
            <w:r>
              <w:rPr>
                <w:rFonts w:ascii="Arial" w:cs="Arial" w:eastAsia="Arial" w:hAnsi="Arial"/>
                <w:sz w:val="14"/>
                <w:szCs w:val="14"/>
                <w:color w:val="auto"/>
              </w:rPr>
              <w:t>100%</w:t>
            </w:r>
          </w:p>
        </w:tc>
        <w:tc>
          <w:tcPr>
            <w:tcW w:w="56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45,000</w:t>
            </w:r>
          </w:p>
        </w:tc>
        <w:tc>
          <w:tcPr>
            <w:tcW w:w="780" w:type="dxa"/>
            <w:vAlign w:val="bottom"/>
          </w:tcPr>
          <w:p>
            <w:pPr>
              <w:spacing w:after="0" w:line="138" w:lineRule="exact"/>
              <w:rPr>
                <w:sz w:val="20"/>
                <w:szCs w:val="20"/>
                <w:color w:val="auto"/>
              </w:rPr>
            </w:pPr>
            <w:r>
              <w:rPr>
                <w:rFonts w:ascii="Arial" w:cs="Arial" w:eastAsia="Arial" w:hAnsi="Arial"/>
                <w:sz w:val="14"/>
                <w:szCs w:val="14"/>
                <w:color w:val="auto"/>
              </w:rPr>
              <w:t>Acme</w:t>
            </w:r>
          </w:p>
        </w:tc>
        <w:tc>
          <w:tcPr>
            <w:tcW w:w="1760" w:type="dxa"/>
            <w:vAlign w:val="bottom"/>
            <w:gridSpan w:val="2"/>
          </w:tcPr>
          <w:p>
            <w:pPr>
              <w:ind w:left="80"/>
              <w:spacing w:after="0" w:line="138" w:lineRule="exact"/>
              <w:rPr>
                <w:sz w:val="20"/>
                <w:szCs w:val="20"/>
                <w:color w:val="auto"/>
              </w:rPr>
            </w:pPr>
            <w:r>
              <w:rPr>
                <w:rFonts w:ascii="Arial" w:cs="Arial" w:eastAsia="Arial" w:hAnsi="Arial"/>
                <w:sz w:val="14"/>
                <w:szCs w:val="14"/>
                <w:color w:val="auto"/>
                <w:w w:val="97"/>
              </w:rPr>
              <w:t>Lord &amp; Taylor / L.A. Fitness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line="159" w:lineRule="exact"/>
              <w:rPr>
                <w:sz w:val="20"/>
                <w:szCs w:val="20"/>
                <w:color w:val="auto"/>
              </w:rPr>
            </w:pPr>
            <w:r>
              <w:rPr>
                <w:rFonts w:ascii="Arial" w:cs="Arial" w:eastAsia="Arial" w:hAnsi="Arial"/>
                <w:sz w:val="14"/>
                <w:szCs w:val="14"/>
                <w:color w:val="auto"/>
              </w:rPr>
              <w:t>Markets</w:t>
            </w: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Borders>
              <w:right w:val="single" w:sz="8" w:color="CCEEFF"/>
            </w:tcBorders>
            <w:gridSpan w:val="5"/>
            <w:shd w:val="clear" w:color="auto" w:fill="CCEEFF"/>
          </w:tcPr>
          <w:p>
            <w:pPr>
              <w:spacing w:after="0" w:line="149" w:lineRule="exact"/>
              <w:rPr>
                <w:sz w:val="20"/>
                <w:szCs w:val="20"/>
                <w:color w:val="auto"/>
              </w:rPr>
            </w:pPr>
            <w:r>
              <w:rPr>
                <w:rFonts w:ascii="Arial" w:cs="Arial" w:eastAsia="Arial" w:hAnsi="Arial"/>
                <w:sz w:val="14"/>
                <w:szCs w:val="14"/>
                <w:color w:val="auto"/>
              </w:rPr>
              <w:t>Ellisburg Circle</w:t>
            </w:r>
          </w:p>
        </w:tc>
        <w:tc>
          <w:tcPr>
            <w:tcW w:w="36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Philadelphia, PA-NJ</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1992</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27,728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268,000</w:t>
            </w:r>
          </w:p>
        </w:tc>
        <w:tc>
          <w:tcPr>
            <w:tcW w:w="6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98%</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47,000</w:t>
            </w:r>
          </w:p>
        </w:tc>
        <w:tc>
          <w:tcPr>
            <w:tcW w:w="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Genuardi’s</w:t>
            </w:r>
          </w:p>
        </w:tc>
        <w:tc>
          <w:tcPr>
            <w:tcW w:w="17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Buy Buy Baby / Stein Mart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gridSpan w:val="5"/>
          </w:tcPr>
          <w:p>
            <w:pPr>
              <w:spacing w:after="0" w:line="149" w:lineRule="exact"/>
              <w:rPr>
                <w:sz w:val="20"/>
                <w:szCs w:val="20"/>
                <w:color w:val="auto"/>
              </w:rPr>
            </w:pPr>
            <w:r>
              <w:rPr>
                <w:rFonts w:ascii="Arial" w:cs="Arial" w:eastAsia="Arial" w:hAnsi="Arial"/>
                <w:sz w:val="14"/>
                <w:szCs w:val="14"/>
                <w:color w:val="auto"/>
              </w:rPr>
              <w:t>Feasterville</w:t>
            </w:r>
          </w:p>
        </w:tc>
        <w:tc>
          <w:tcPr>
            <w:tcW w:w="360" w:type="dxa"/>
            <w:vAlign w:val="bottom"/>
          </w:tcPr>
          <w:p>
            <w:pPr>
              <w:spacing w:after="0"/>
              <w:rPr>
                <w:sz w:val="12"/>
                <w:szCs w:val="12"/>
                <w:color w:val="auto"/>
              </w:rPr>
            </w:pPr>
          </w:p>
        </w:tc>
        <w:tc>
          <w:tcPr>
            <w:tcW w:w="1700" w:type="dxa"/>
            <w:vAlign w:val="bottom"/>
          </w:tcPr>
          <w:p>
            <w:pPr>
              <w:spacing w:after="0" w:line="149" w:lineRule="exact"/>
              <w:rPr>
                <w:sz w:val="20"/>
                <w:szCs w:val="20"/>
                <w:color w:val="auto"/>
              </w:rPr>
            </w:pPr>
            <w:r>
              <w:rPr>
                <w:rFonts w:ascii="Arial" w:cs="Arial" w:eastAsia="Arial" w:hAnsi="Arial"/>
                <w:sz w:val="14"/>
                <w:szCs w:val="14"/>
                <w:color w:val="auto"/>
              </w:rPr>
              <w:t>Philadelphia, PA-NJ</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1980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11,906</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111,000</w:t>
            </w:r>
          </w:p>
        </w:tc>
        <w:tc>
          <w:tcPr>
            <w:tcW w:w="6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91%</w:t>
            </w: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53,000</w:t>
            </w:r>
          </w:p>
        </w:tc>
        <w:tc>
          <w:tcPr>
            <w:tcW w:w="780" w:type="dxa"/>
            <w:vAlign w:val="bottom"/>
          </w:tcPr>
          <w:p>
            <w:pPr>
              <w:spacing w:after="0" w:line="149" w:lineRule="exact"/>
              <w:rPr>
                <w:sz w:val="20"/>
                <w:szCs w:val="20"/>
                <w:color w:val="auto"/>
              </w:rPr>
            </w:pPr>
            <w:r>
              <w:rPr>
                <w:rFonts w:ascii="Arial" w:cs="Arial" w:eastAsia="Arial" w:hAnsi="Arial"/>
                <w:sz w:val="14"/>
                <w:szCs w:val="14"/>
                <w:color w:val="auto"/>
              </w:rPr>
              <w:t>Genuardi’s</w:t>
            </w:r>
          </w:p>
        </w:tc>
        <w:tc>
          <w:tcPr>
            <w:tcW w:w="17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OfficeMax</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Borders>
              <w:right w:val="single" w:sz="8" w:color="CCEEFF"/>
            </w:tcBorders>
            <w:gridSpan w:val="5"/>
            <w:shd w:val="clear" w:color="auto" w:fill="CCEEFF"/>
          </w:tcPr>
          <w:p>
            <w:pPr>
              <w:spacing w:after="0" w:line="149" w:lineRule="exact"/>
              <w:rPr>
                <w:sz w:val="20"/>
                <w:szCs w:val="20"/>
                <w:color w:val="auto"/>
              </w:rPr>
            </w:pPr>
            <w:r>
              <w:rPr>
                <w:rFonts w:ascii="Arial" w:cs="Arial" w:eastAsia="Arial" w:hAnsi="Arial"/>
                <w:sz w:val="14"/>
                <w:szCs w:val="14"/>
                <w:color w:val="auto"/>
              </w:rPr>
              <w:t>Flourtown</w:t>
            </w:r>
          </w:p>
        </w:tc>
        <w:tc>
          <w:tcPr>
            <w:tcW w:w="36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Philadelphia, PA-NJ</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1980</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15,670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164,000</w:t>
            </w:r>
          </w:p>
        </w:tc>
        <w:tc>
          <w:tcPr>
            <w:tcW w:w="6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49%</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42,000</w:t>
            </w:r>
          </w:p>
        </w:tc>
        <w:tc>
          <w:tcPr>
            <w:tcW w:w="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Genuardi’s</w:t>
            </w:r>
          </w:p>
        </w:tc>
        <w:tc>
          <w:tcPr>
            <w:tcW w:w="8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40" w:type="dxa"/>
            <w:vAlign w:val="bottom"/>
            <w:gridSpan w:val="5"/>
          </w:tcPr>
          <w:p>
            <w:pPr>
              <w:spacing w:after="0" w:line="138" w:lineRule="exact"/>
              <w:rPr>
                <w:sz w:val="20"/>
                <w:szCs w:val="20"/>
                <w:color w:val="auto"/>
              </w:rPr>
            </w:pPr>
            <w:r>
              <w:rPr>
                <w:rFonts w:ascii="Arial" w:cs="Arial" w:eastAsia="Arial" w:hAnsi="Arial"/>
                <w:sz w:val="14"/>
                <w:szCs w:val="14"/>
                <w:color w:val="auto"/>
              </w:rPr>
              <w:t>Langhorne Square</w:t>
            </w:r>
          </w:p>
        </w:tc>
        <w:tc>
          <w:tcPr>
            <w:tcW w:w="360" w:type="dxa"/>
            <w:vAlign w:val="bottom"/>
          </w:tcPr>
          <w:p>
            <w:pPr>
              <w:spacing w:after="0"/>
              <w:rPr>
                <w:sz w:val="11"/>
                <w:szCs w:val="11"/>
                <w:color w:val="auto"/>
              </w:rPr>
            </w:pPr>
          </w:p>
        </w:tc>
        <w:tc>
          <w:tcPr>
            <w:tcW w:w="1700" w:type="dxa"/>
            <w:vAlign w:val="bottom"/>
          </w:tcPr>
          <w:p>
            <w:pPr>
              <w:spacing w:after="0" w:line="138" w:lineRule="exact"/>
              <w:rPr>
                <w:sz w:val="20"/>
                <w:szCs w:val="20"/>
                <w:color w:val="auto"/>
              </w:rPr>
            </w:pPr>
            <w:r>
              <w:rPr>
                <w:rFonts w:ascii="Arial" w:cs="Arial" w:eastAsia="Arial" w:hAnsi="Arial"/>
                <w:sz w:val="14"/>
                <w:szCs w:val="14"/>
                <w:color w:val="auto"/>
              </w:rPr>
              <w:t>Philadelphia, PA-NJ</w:t>
            </w:r>
          </w:p>
        </w:tc>
        <w:tc>
          <w:tcPr>
            <w:tcW w:w="10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1985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38" w:lineRule="exact"/>
              <w:rPr>
                <w:sz w:val="20"/>
                <w:szCs w:val="20"/>
                <w:color w:val="auto"/>
              </w:rPr>
            </w:pPr>
            <w:r>
              <w:rPr>
                <w:rFonts w:ascii="Arial" w:cs="Arial" w:eastAsia="Arial" w:hAnsi="Arial"/>
                <w:sz w:val="14"/>
                <w:szCs w:val="14"/>
                <w:color w:val="auto"/>
              </w:rPr>
              <w:t>19,164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40"/>
              <w:spacing w:after="0" w:line="138" w:lineRule="exact"/>
              <w:rPr>
                <w:sz w:val="20"/>
                <w:szCs w:val="20"/>
                <w:color w:val="auto"/>
              </w:rPr>
            </w:pPr>
            <w:r>
              <w:rPr>
                <w:rFonts w:ascii="Arial" w:cs="Arial" w:eastAsia="Arial" w:hAnsi="Arial"/>
                <w:sz w:val="14"/>
                <w:szCs w:val="14"/>
                <w:color w:val="auto"/>
              </w:rPr>
              <w:t>216,000</w:t>
            </w:r>
          </w:p>
        </w:tc>
        <w:tc>
          <w:tcPr>
            <w:tcW w:w="680" w:type="dxa"/>
            <w:vAlign w:val="bottom"/>
            <w:gridSpan w:val="3"/>
          </w:tcPr>
          <w:p>
            <w:pPr>
              <w:jc w:val="right"/>
              <w:ind w:right="120"/>
              <w:spacing w:after="0" w:line="138" w:lineRule="exact"/>
              <w:rPr>
                <w:sz w:val="20"/>
                <w:szCs w:val="20"/>
                <w:color w:val="auto"/>
              </w:rPr>
            </w:pPr>
            <w:r>
              <w:rPr>
                <w:rFonts w:ascii="Arial" w:cs="Arial" w:eastAsia="Arial" w:hAnsi="Arial"/>
                <w:sz w:val="14"/>
                <w:szCs w:val="14"/>
                <w:color w:val="auto"/>
              </w:rPr>
              <w:t>94%</w:t>
            </w:r>
          </w:p>
        </w:tc>
        <w:tc>
          <w:tcPr>
            <w:tcW w:w="56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55,000</w:t>
            </w:r>
          </w:p>
        </w:tc>
        <w:tc>
          <w:tcPr>
            <w:tcW w:w="780" w:type="dxa"/>
            <w:vAlign w:val="bottom"/>
          </w:tcPr>
          <w:p>
            <w:pPr>
              <w:spacing w:after="0" w:line="138" w:lineRule="exact"/>
              <w:rPr>
                <w:sz w:val="20"/>
                <w:szCs w:val="20"/>
                <w:color w:val="auto"/>
              </w:rPr>
            </w:pPr>
            <w:r>
              <w:rPr>
                <w:rFonts w:ascii="Arial" w:cs="Arial" w:eastAsia="Arial" w:hAnsi="Arial"/>
                <w:sz w:val="14"/>
                <w:szCs w:val="14"/>
                <w:color w:val="auto"/>
              </w:rPr>
              <w:t>Redner’s</w:t>
            </w:r>
          </w:p>
        </w:tc>
        <w:tc>
          <w:tcPr>
            <w:tcW w:w="1760" w:type="dxa"/>
            <w:vAlign w:val="bottom"/>
            <w:gridSpan w:val="2"/>
          </w:tcPr>
          <w:p>
            <w:pPr>
              <w:ind w:left="80"/>
              <w:spacing w:after="0" w:line="138" w:lineRule="exact"/>
              <w:rPr>
                <w:sz w:val="20"/>
                <w:szCs w:val="20"/>
                <w:color w:val="auto"/>
              </w:rPr>
            </w:pPr>
            <w:r>
              <w:rPr>
                <w:rFonts w:ascii="Arial" w:cs="Arial" w:eastAsia="Arial" w:hAnsi="Arial"/>
                <w:sz w:val="14"/>
                <w:szCs w:val="14"/>
                <w:color w:val="auto"/>
              </w:rPr>
              <w:t>Marshalls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line="149" w:lineRule="exact"/>
              <w:rPr>
                <w:sz w:val="20"/>
                <w:szCs w:val="20"/>
                <w:color w:val="auto"/>
              </w:rPr>
            </w:pPr>
            <w:r>
              <w:rPr>
                <w:rFonts w:ascii="Arial" w:cs="Arial" w:eastAsia="Arial" w:hAnsi="Arial"/>
                <w:sz w:val="14"/>
                <w:szCs w:val="14"/>
                <w:color w:val="auto"/>
              </w:rPr>
              <w:t>Warehouse</w:t>
            </w: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line="159" w:lineRule="exact"/>
              <w:rPr>
                <w:sz w:val="20"/>
                <w:szCs w:val="20"/>
                <w:color w:val="auto"/>
              </w:rPr>
            </w:pPr>
            <w:r>
              <w:rPr>
                <w:rFonts w:ascii="Arial" w:cs="Arial" w:eastAsia="Arial" w:hAnsi="Arial"/>
                <w:sz w:val="14"/>
                <w:szCs w:val="14"/>
                <w:color w:val="auto"/>
              </w:rPr>
              <w:t>Mkts.</w:t>
            </w: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40" w:type="dxa"/>
            <w:vAlign w:val="bottom"/>
            <w:tcBorders>
              <w:right w:val="single" w:sz="8" w:color="CCEEFF"/>
            </w:tcBorders>
            <w:gridSpan w:val="5"/>
            <w:shd w:val="clear" w:color="auto" w:fill="CCEEFF"/>
          </w:tcPr>
          <w:p>
            <w:pPr>
              <w:spacing w:after="0" w:line="138" w:lineRule="exact"/>
              <w:rPr>
                <w:sz w:val="20"/>
                <w:szCs w:val="20"/>
                <w:color w:val="auto"/>
              </w:rPr>
            </w:pPr>
            <w:r>
              <w:rPr>
                <w:rFonts w:ascii="Arial" w:cs="Arial" w:eastAsia="Arial" w:hAnsi="Arial"/>
                <w:sz w:val="14"/>
                <w:szCs w:val="14"/>
                <w:color w:val="auto"/>
              </w:rPr>
              <w:t>Lawrence Park</w:t>
            </w:r>
          </w:p>
        </w:tc>
        <w:tc>
          <w:tcPr>
            <w:tcW w:w="36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Philadelphia, PA-NJ</w:t>
            </w:r>
          </w:p>
        </w:tc>
        <w:tc>
          <w:tcPr>
            <w:tcW w:w="10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1980</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29,869</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28,669</w:t>
            </w:r>
          </w:p>
        </w:tc>
        <w:tc>
          <w:tcPr>
            <w:tcW w:w="580" w:type="dxa"/>
            <w:vAlign w:val="bottom"/>
            <w:gridSpan w:val="2"/>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rPr>
              <w:t>353,000</w:t>
            </w:r>
          </w:p>
        </w:tc>
        <w:tc>
          <w:tcPr>
            <w:tcW w:w="680" w:type="dxa"/>
            <w:vAlign w:val="bottom"/>
            <w:gridSpan w:val="3"/>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98%</w:t>
            </w:r>
          </w:p>
        </w:tc>
        <w:tc>
          <w:tcPr>
            <w:tcW w:w="56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53,000</w:t>
            </w:r>
          </w:p>
        </w:tc>
        <w:tc>
          <w:tcPr>
            <w:tcW w:w="7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Acme</w:t>
            </w:r>
          </w:p>
        </w:tc>
        <w:tc>
          <w:tcPr>
            <w:tcW w:w="1760" w:type="dxa"/>
            <w:vAlign w:val="bottom"/>
            <w:gridSpan w:val="2"/>
            <w:shd w:val="clear" w:color="auto" w:fill="CCEEFF"/>
          </w:tcPr>
          <w:p>
            <w:pPr>
              <w:ind w:left="80"/>
              <w:spacing w:after="0" w:line="138" w:lineRule="exact"/>
              <w:rPr>
                <w:sz w:val="20"/>
                <w:szCs w:val="20"/>
                <w:color w:val="auto"/>
              </w:rPr>
            </w:pPr>
            <w:r>
              <w:rPr>
                <w:rFonts w:ascii="Arial" w:cs="Arial" w:eastAsia="Arial" w:hAnsi="Arial"/>
                <w:sz w:val="14"/>
                <w:szCs w:val="14"/>
                <w:color w:val="auto"/>
                <w:w w:val="92"/>
              </w:rPr>
              <w:t>CHI / TJ Maxx / HomeGoods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00" w:type="dxa"/>
            <w:vAlign w:val="bottom"/>
            <w:tcBorders>
              <w:right w:val="single" w:sz="8" w:color="CCEEFF"/>
            </w:tcBorders>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Markets</w:t>
            </w:r>
          </w:p>
        </w:tc>
        <w:tc>
          <w:tcPr>
            <w:tcW w:w="8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gridSpan w:val="5"/>
          </w:tcPr>
          <w:p>
            <w:pPr>
              <w:spacing w:after="0" w:line="149" w:lineRule="exact"/>
              <w:rPr>
                <w:sz w:val="20"/>
                <w:szCs w:val="20"/>
                <w:color w:val="auto"/>
              </w:rPr>
            </w:pPr>
            <w:r>
              <w:rPr>
                <w:rFonts w:ascii="Arial" w:cs="Arial" w:eastAsia="Arial" w:hAnsi="Arial"/>
                <w:sz w:val="14"/>
                <w:szCs w:val="14"/>
                <w:color w:val="auto"/>
              </w:rPr>
              <w:t>Northeast</w:t>
            </w:r>
          </w:p>
        </w:tc>
        <w:tc>
          <w:tcPr>
            <w:tcW w:w="360" w:type="dxa"/>
            <w:vAlign w:val="bottom"/>
          </w:tcPr>
          <w:p>
            <w:pPr>
              <w:spacing w:after="0"/>
              <w:rPr>
                <w:sz w:val="12"/>
                <w:szCs w:val="12"/>
                <w:color w:val="auto"/>
              </w:rPr>
            </w:pPr>
          </w:p>
        </w:tc>
        <w:tc>
          <w:tcPr>
            <w:tcW w:w="1700" w:type="dxa"/>
            <w:vAlign w:val="bottom"/>
          </w:tcPr>
          <w:p>
            <w:pPr>
              <w:spacing w:after="0" w:line="149" w:lineRule="exact"/>
              <w:rPr>
                <w:sz w:val="20"/>
                <w:szCs w:val="20"/>
                <w:color w:val="auto"/>
              </w:rPr>
            </w:pPr>
            <w:r>
              <w:rPr>
                <w:rFonts w:ascii="Arial" w:cs="Arial" w:eastAsia="Arial" w:hAnsi="Arial"/>
                <w:sz w:val="14"/>
                <w:szCs w:val="14"/>
                <w:color w:val="auto"/>
              </w:rPr>
              <w:t>Philadelphia, PA-NJ</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1983</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22,826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284,000</w:t>
            </w:r>
          </w:p>
        </w:tc>
        <w:tc>
          <w:tcPr>
            <w:tcW w:w="6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89%</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76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98"/>
              </w:rPr>
              <w:t>Burlington Coat / Marshalls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Borders>
              <w:right w:val="single" w:sz="8" w:color="CCEEFF"/>
            </w:tcBorders>
            <w:gridSpan w:val="5"/>
            <w:shd w:val="clear" w:color="auto" w:fill="CCEEFF"/>
          </w:tcPr>
          <w:p>
            <w:pPr>
              <w:spacing w:after="0" w:line="149" w:lineRule="exact"/>
              <w:rPr>
                <w:sz w:val="20"/>
                <w:szCs w:val="20"/>
                <w:color w:val="auto"/>
              </w:rPr>
            </w:pPr>
            <w:r>
              <w:rPr>
                <w:rFonts w:ascii="Arial" w:cs="Arial" w:eastAsia="Arial" w:hAnsi="Arial"/>
                <w:sz w:val="14"/>
                <w:szCs w:val="14"/>
                <w:color w:val="auto"/>
              </w:rPr>
              <w:t>Town Center of New Britain</w:t>
            </w:r>
          </w:p>
        </w:tc>
        <w:tc>
          <w:tcPr>
            <w:tcW w:w="36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Philadelphia, PA-NJ</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2006</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14,388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125,000</w:t>
            </w:r>
          </w:p>
        </w:tc>
        <w:tc>
          <w:tcPr>
            <w:tcW w:w="6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86%</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36,000</w:t>
            </w:r>
          </w:p>
        </w:tc>
        <w:tc>
          <w:tcPr>
            <w:tcW w:w="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Giant Food</w:t>
            </w:r>
          </w:p>
        </w:tc>
        <w:tc>
          <w:tcPr>
            <w:tcW w:w="17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Rite Aid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gridSpan w:val="5"/>
          </w:tcPr>
          <w:p>
            <w:pPr>
              <w:spacing w:after="0" w:line="149" w:lineRule="exact"/>
              <w:rPr>
                <w:sz w:val="20"/>
                <w:szCs w:val="20"/>
                <w:color w:val="auto"/>
              </w:rPr>
            </w:pPr>
            <w:r>
              <w:rPr>
                <w:rFonts w:ascii="Arial" w:cs="Arial" w:eastAsia="Arial" w:hAnsi="Arial"/>
                <w:sz w:val="14"/>
                <w:szCs w:val="14"/>
                <w:color w:val="auto"/>
              </w:rPr>
              <w:t>Willow Grove</w:t>
            </w:r>
          </w:p>
        </w:tc>
        <w:tc>
          <w:tcPr>
            <w:tcW w:w="360" w:type="dxa"/>
            <w:vAlign w:val="bottom"/>
          </w:tcPr>
          <w:p>
            <w:pPr>
              <w:spacing w:after="0"/>
              <w:rPr>
                <w:sz w:val="12"/>
                <w:szCs w:val="12"/>
                <w:color w:val="auto"/>
              </w:rPr>
            </w:pPr>
          </w:p>
        </w:tc>
        <w:tc>
          <w:tcPr>
            <w:tcW w:w="1700" w:type="dxa"/>
            <w:vAlign w:val="bottom"/>
          </w:tcPr>
          <w:p>
            <w:pPr>
              <w:spacing w:after="0" w:line="149" w:lineRule="exact"/>
              <w:rPr>
                <w:sz w:val="20"/>
                <w:szCs w:val="20"/>
                <w:color w:val="auto"/>
              </w:rPr>
            </w:pPr>
            <w:r>
              <w:rPr>
                <w:rFonts w:ascii="Arial" w:cs="Arial" w:eastAsia="Arial" w:hAnsi="Arial"/>
                <w:sz w:val="14"/>
                <w:szCs w:val="14"/>
                <w:color w:val="auto"/>
              </w:rPr>
              <w:t>Philadelphia, PA-NJ</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1984</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27,325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216,000</w:t>
            </w:r>
          </w:p>
        </w:tc>
        <w:tc>
          <w:tcPr>
            <w:tcW w:w="6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96%</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76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97"/>
              </w:rPr>
              <w:t>Barnes &amp; Noble / Marshalls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40" w:type="dxa"/>
            <w:vAlign w:val="bottom"/>
            <w:tcBorders>
              <w:right w:val="single" w:sz="8" w:color="CCEEFF"/>
            </w:tcBorders>
            <w:gridSpan w:val="5"/>
            <w:shd w:val="clear" w:color="auto" w:fill="CCEEFF"/>
          </w:tcPr>
          <w:p>
            <w:pPr>
              <w:spacing w:after="0" w:line="138" w:lineRule="exact"/>
              <w:rPr>
                <w:sz w:val="20"/>
                <w:szCs w:val="20"/>
                <w:color w:val="auto"/>
              </w:rPr>
            </w:pPr>
            <w:r>
              <w:rPr>
                <w:rFonts w:ascii="Arial" w:cs="Arial" w:eastAsia="Arial" w:hAnsi="Arial"/>
                <w:sz w:val="14"/>
                <w:szCs w:val="14"/>
                <w:color w:val="auto"/>
              </w:rPr>
              <w:t>Wynnewood</w:t>
            </w:r>
          </w:p>
        </w:tc>
        <w:tc>
          <w:tcPr>
            <w:tcW w:w="36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Philadelphia, PA-NJ</w:t>
            </w:r>
          </w:p>
        </w:tc>
        <w:tc>
          <w:tcPr>
            <w:tcW w:w="10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1996</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36,675</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29,217</w:t>
            </w:r>
          </w:p>
        </w:tc>
        <w:tc>
          <w:tcPr>
            <w:tcW w:w="580" w:type="dxa"/>
            <w:vAlign w:val="bottom"/>
            <w:gridSpan w:val="2"/>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rPr>
              <w:t>255,000</w:t>
            </w:r>
          </w:p>
        </w:tc>
        <w:tc>
          <w:tcPr>
            <w:tcW w:w="680" w:type="dxa"/>
            <w:vAlign w:val="bottom"/>
            <w:gridSpan w:val="3"/>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97%</w:t>
            </w:r>
          </w:p>
        </w:tc>
        <w:tc>
          <w:tcPr>
            <w:tcW w:w="56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98,000</w:t>
            </w:r>
          </w:p>
        </w:tc>
        <w:tc>
          <w:tcPr>
            <w:tcW w:w="7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Genuardi’s</w:t>
            </w:r>
          </w:p>
        </w:tc>
        <w:tc>
          <w:tcPr>
            <w:tcW w:w="1760" w:type="dxa"/>
            <w:vAlign w:val="bottom"/>
            <w:gridSpan w:val="2"/>
            <w:shd w:val="clear" w:color="auto" w:fill="CCEEFF"/>
          </w:tcPr>
          <w:p>
            <w:pPr>
              <w:ind w:left="80"/>
              <w:spacing w:after="0" w:line="138" w:lineRule="exact"/>
              <w:rPr>
                <w:sz w:val="20"/>
                <w:szCs w:val="20"/>
                <w:color w:val="auto"/>
              </w:rPr>
            </w:pPr>
            <w:r>
              <w:rPr>
                <w:rFonts w:ascii="Arial" w:cs="Arial" w:eastAsia="Arial" w:hAnsi="Arial"/>
                <w:sz w:val="14"/>
                <w:szCs w:val="14"/>
                <w:color w:val="auto"/>
                <w:w w:val="88"/>
              </w:rPr>
              <w:t>Bed, Bath &amp; Beyond / Borders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00" w:type="dxa"/>
            <w:vAlign w:val="bottom"/>
            <w:tcBorders>
              <w:right w:val="single" w:sz="8" w:color="CCEEFF"/>
            </w:tcBorders>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76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rPr>
              <w:t>/ Old Navy</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00" w:type="dxa"/>
            <w:vAlign w:val="bottom"/>
          </w:tcPr>
          <w:p>
            <w:pPr>
              <w:spacing w:after="0" w:line="143" w:lineRule="exact"/>
              <w:rPr>
                <w:sz w:val="20"/>
                <w:szCs w:val="20"/>
                <w:color w:val="auto"/>
              </w:rPr>
            </w:pPr>
            <w:r>
              <w:rPr>
                <w:rFonts w:ascii="Arial" w:cs="Arial" w:eastAsia="Arial" w:hAnsi="Arial"/>
                <w:sz w:val="14"/>
                <w:szCs w:val="14"/>
                <w:b w:val="1"/>
                <w:bCs w:val="1"/>
                <w:color w:val="auto"/>
              </w:rPr>
              <w:t>Total Philadelphia</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3" w:lineRule="exact"/>
              <w:rPr>
                <w:sz w:val="20"/>
                <w:szCs w:val="20"/>
                <w:color w:val="auto"/>
              </w:rPr>
            </w:pPr>
            <w:r>
              <w:rPr>
                <w:rFonts w:ascii="Arial" w:cs="Arial" w:eastAsia="Arial" w:hAnsi="Arial"/>
                <w:sz w:val="14"/>
                <w:szCs w:val="14"/>
                <w:color w:val="auto"/>
              </w:rPr>
              <w:t>263,454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40"/>
              <w:spacing w:after="0" w:line="143" w:lineRule="exact"/>
              <w:rPr>
                <w:sz w:val="20"/>
                <w:szCs w:val="20"/>
                <w:color w:val="auto"/>
              </w:rPr>
            </w:pPr>
            <w:r>
              <w:rPr>
                <w:rFonts w:ascii="Arial" w:cs="Arial" w:eastAsia="Arial" w:hAnsi="Arial"/>
                <w:sz w:val="14"/>
                <w:szCs w:val="14"/>
                <w:color w:val="auto"/>
                <w:w w:val="83"/>
              </w:rPr>
              <w:t>2,541,000</w:t>
            </w:r>
          </w:p>
        </w:tc>
        <w:tc>
          <w:tcPr>
            <w:tcW w:w="680" w:type="dxa"/>
            <w:vAlign w:val="bottom"/>
            <w:gridSpan w:val="3"/>
          </w:tcPr>
          <w:p>
            <w:pPr>
              <w:jc w:val="right"/>
              <w:ind w:right="120"/>
              <w:spacing w:after="0" w:line="143" w:lineRule="exact"/>
              <w:rPr>
                <w:sz w:val="20"/>
                <w:szCs w:val="20"/>
                <w:color w:val="auto"/>
              </w:rPr>
            </w:pPr>
            <w:r>
              <w:rPr>
                <w:rFonts w:ascii="Arial" w:cs="Arial" w:eastAsia="Arial" w:hAnsi="Arial"/>
                <w:sz w:val="14"/>
                <w:szCs w:val="14"/>
                <w:color w:val="auto"/>
              </w:rPr>
              <w:t>92%</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00" w:type="dxa"/>
            <w:vAlign w:val="bottom"/>
          </w:tcPr>
          <w:p>
            <w:pPr>
              <w:spacing w:after="0"/>
              <w:rPr>
                <w:sz w:val="20"/>
                <w:szCs w:val="20"/>
                <w:color w:val="auto"/>
              </w:rPr>
            </w:pPr>
            <w:r>
              <w:rPr>
                <w:rFonts w:ascii="Arial" w:cs="Arial" w:eastAsia="Arial" w:hAnsi="Arial"/>
                <w:sz w:val="14"/>
                <w:szCs w:val="14"/>
                <w:b w:val="1"/>
                <w:bCs w:val="1"/>
                <w:color w:val="auto"/>
              </w:rPr>
              <w:t>Metropolitan Area</w:t>
            </w: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spacing w:after="0" w:line="135" w:lineRule="exact"/>
              <w:rPr>
                <w:sz w:val="20"/>
                <w:szCs w:val="20"/>
                <w:color w:val="auto"/>
              </w:rPr>
            </w:pPr>
            <w:r>
              <w:rPr>
                <w:rFonts w:ascii="Arial" w:cs="Arial" w:eastAsia="Arial" w:hAnsi="Arial"/>
                <w:sz w:val="14"/>
                <w:szCs w:val="14"/>
                <w:b w:val="1"/>
                <w:bCs w:val="1"/>
                <w:color w:val="auto"/>
                <w:w w:val="89"/>
              </w:rPr>
              <w:t>California</w:t>
            </w:r>
          </w:p>
        </w:tc>
        <w:tc>
          <w:tcPr>
            <w:tcW w:w="1240" w:type="dxa"/>
            <w:vAlign w:val="bottom"/>
            <w:tcBorders>
              <w:bottom w:val="single" w:sz="8" w:color="CCEEFF"/>
              <w:right w:val="single" w:sz="8" w:color="CCEEFF"/>
            </w:tcBorders>
            <w:gridSpan w:val="3"/>
            <w:shd w:val="clear" w:color="auto" w:fill="CCEEFF"/>
          </w:tcPr>
          <w:p>
            <w:pPr>
              <w:spacing w:after="0"/>
              <w:rPr>
                <w:sz w:val="11"/>
                <w:szCs w:val="11"/>
                <w:color w:val="auto"/>
              </w:rPr>
            </w:pPr>
          </w:p>
        </w:tc>
        <w:tc>
          <w:tcPr>
            <w:tcW w:w="360" w:type="dxa"/>
            <w:vAlign w:val="bottom"/>
            <w:tcBorders>
              <w:bottom w:val="single" w:sz="8" w:color="CCEEFF"/>
            </w:tcBorders>
            <w:shd w:val="clear" w:color="auto" w:fill="CCEEFF"/>
          </w:tcPr>
          <w:p>
            <w:pPr>
              <w:spacing w:after="0"/>
              <w:rPr>
                <w:sz w:val="11"/>
                <w:szCs w:val="11"/>
                <w:color w:val="auto"/>
              </w:rPr>
            </w:pPr>
          </w:p>
        </w:tc>
        <w:tc>
          <w:tcPr>
            <w:tcW w:w="17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96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68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040" w:type="dxa"/>
            <w:vAlign w:val="bottom"/>
            <w:gridSpan w:val="5"/>
          </w:tcPr>
          <w:p>
            <w:pPr>
              <w:spacing w:after="0" w:line="131" w:lineRule="exact"/>
              <w:rPr>
                <w:sz w:val="20"/>
                <w:szCs w:val="20"/>
                <w:color w:val="auto"/>
              </w:rPr>
            </w:pPr>
            <w:r>
              <w:rPr>
                <w:rFonts w:ascii="Arial" w:cs="Arial" w:eastAsia="Arial" w:hAnsi="Arial"/>
                <w:sz w:val="14"/>
                <w:szCs w:val="14"/>
                <w:color w:val="auto"/>
              </w:rPr>
              <w:t>Colorado Blvd</w:t>
            </w:r>
          </w:p>
        </w:tc>
        <w:tc>
          <w:tcPr>
            <w:tcW w:w="360" w:type="dxa"/>
            <w:vAlign w:val="bottom"/>
          </w:tcPr>
          <w:p>
            <w:pPr>
              <w:spacing w:after="0"/>
              <w:rPr>
                <w:sz w:val="11"/>
                <w:szCs w:val="11"/>
                <w:color w:val="auto"/>
              </w:rPr>
            </w:pPr>
          </w:p>
        </w:tc>
        <w:tc>
          <w:tcPr>
            <w:tcW w:w="1700" w:type="dxa"/>
            <w:vAlign w:val="bottom"/>
          </w:tcPr>
          <w:p>
            <w:pPr>
              <w:spacing w:after="0" w:line="131" w:lineRule="exact"/>
              <w:rPr>
                <w:sz w:val="20"/>
                <w:szCs w:val="20"/>
                <w:color w:val="auto"/>
              </w:rPr>
            </w:pPr>
            <w:r>
              <w:rPr>
                <w:rFonts w:ascii="Arial" w:cs="Arial" w:eastAsia="Arial" w:hAnsi="Arial"/>
                <w:sz w:val="14"/>
                <w:szCs w:val="14"/>
                <w:color w:val="auto"/>
                <w:w w:val="91"/>
              </w:rPr>
              <w:t>Los Angeles-Long Beach, CA</w:t>
            </w:r>
          </w:p>
        </w:tc>
        <w:tc>
          <w:tcPr>
            <w:tcW w:w="1040" w:type="dxa"/>
            <w:vAlign w:val="bottom"/>
            <w:gridSpan w:val="2"/>
          </w:tcPr>
          <w:p>
            <w:pPr>
              <w:jc w:val="right"/>
              <w:spacing w:after="0" w:line="131" w:lineRule="exact"/>
              <w:rPr>
                <w:sz w:val="20"/>
                <w:szCs w:val="20"/>
                <w:color w:val="auto"/>
              </w:rPr>
            </w:pPr>
            <w:r>
              <w:rPr>
                <w:rFonts w:ascii="Arial" w:cs="Arial" w:eastAsia="Arial" w:hAnsi="Arial"/>
                <w:sz w:val="14"/>
                <w:szCs w:val="14"/>
                <w:color w:val="auto"/>
              </w:rPr>
              <w:t>1996-1998</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31" w:lineRule="exact"/>
              <w:rPr>
                <w:sz w:val="20"/>
                <w:szCs w:val="20"/>
                <w:color w:val="auto"/>
              </w:rPr>
            </w:pPr>
            <w:r>
              <w:rPr>
                <w:rFonts w:ascii="Arial" w:cs="Arial" w:eastAsia="Arial" w:hAnsi="Arial"/>
                <w:sz w:val="14"/>
                <w:szCs w:val="14"/>
                <w:color w:val="auto"/>
              </w:rPr>
              <w:t>16,633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40"/>
              <w:spacing w:after="0" w:line="131" w:lineRule="exact"/>
              <w:rPr>
                <w:sz w:val="20"/>
                <w:szCs w:val="20"/>
                <w:color w:val="auto"/>
              </w:rPr>
            </w:pPr>
            <w:r>
              <w:rPr>
                <w:rFonts w:ascii="Arial" w:cs="Arial" w:eastAsia="Arial" w:hAnsi="Arial"/>
                <w:sz w:val="14"/>
                <w:szCs w:val="14"/>
                <w:color w:val="auto"/>
              </w:rPr>
              <w:t>69,000</w:t>
            </w:r>
          </w:p>
        </w:tc>
        <w:tc>
          <w:tcPr>
            <w:tcW w:w="680" w:type="dxa"/>
            <w:vAlign w:val="bottom"/>
            <w:gridSpan w:val="3"/>
          </w:tcPr>
          <w:p>
            <w:pPr>
              <w:jc w:val="right"/>
              <w:ind w:right="120"/>
              <w:spacing w:after="0" w:line="131" w:lineRule="exact"/>
              <w:rPr>
                <w:sz w:val="20"/>
                <w:szCs w:val="20"/>
                <w:color w:val="auto"/>
              </w:rPr>
            </w:pPr>
            <w:r>
              <w:rPr>
                <w:rFonts w:ascii="Arial" w:cs="Arial" w:eastAsia="Arial" w:hAnsi="Arial"/>
                <w:sz w:val="14"/>
                <w:szCs w:val="14"/>
                <w:color w:val="auto"/>
              </w:rPr>
              <w:t>96%</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760" w:type="dxa"/>
            <w:vAlign w:val="bottom"/>
            <w:gridSpan w:val="2"/>
          </w:tcPr>
          <w:p>
            <w:pPr>
              <w:ind w:left="80"/>
              <w:spacing w:after="0" w:line="131" w:lineRule="exact"/>
              <w:rPr>
                <w:sz w:val="20"/>
                <w:szCs w:val="20"/>
                <w:color w:val="auto"/>
              </w:rPr>
            </w:pPr>
            <w:r>
              <w:rPr>
                <w:rFonts w:ascii="Arial" w:cs="Arial" w:eastAsia="Arial" w:hAnsi="Arial"/>
                <w:sz w:val="14"/>
                <w:szCs w:val="14"/>
                <w:color w:val="auto"/>
              </w:rPr>
              <w:t>Pottery Barn / Banana</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76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Republic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Borders>
              <w:right w:val="single" w:sz="8" w:color="CCEEFF"/>
            </w:tcBorders>
            <w:gridSpan w:val="5"/>
            <w:shd w:val="clear" w:color="auto" w:fill="CCEEFF"/>
          </w:tcPr>
          <w:p>
            <w:pPr>
              <w:spacing w:after="0" w:line="149" w:lineRule="exact"/>
              <w:rPr>
                <w:sz w:val="20"/>
                <w:szCs w:val="20"/>
                <w:color w:val="auto"/>
              </w:rPr>
            </w:pPr>
            <w:r>
              <w:rPr>
                <w:rFonts w:ascii="Arial" w:cs="Arial" w:eastAsia="Arial" w:hAnsi="Arial"/>
                <w:sz w:val="14"/>
                <w:szCs w:val="14"/>
                <w:color w:val="auto"/>
              </w:rPr>
              <w:t>Crow Canyon</w:t>
            </w:r>
          </w:p>
        </w:tc>
        <w:tc>
          <w:tcPr>
            <w:tcW w:w="36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San Ramon, CA</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2005-2007</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65,079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20,709</w:t>
            </w:r>
          </w:p>
        </w:tc>
        <w:tc>
          <w:tcPr>
            <w:tcW w:w="5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242,000</w:t>
            </w:r>
          </w:p>
        </w:tc>
        <w:tc>
          <w:tcPr>
            <w:tcW w:w="6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91%</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58,000</w:t>
            </w:r>
          </w:p>
        </w:tc>
        <w:tc>
          <w:tcPr>
            <w:tcW w:w="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Lucky</w:t>
            </w:r>
          </w:p>
        </w:tc>
        <w:tc>
          <w:tcPr>
            <w:tcW w:w="17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Loehmann’s / Rite Aid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gridSpan w:val="5"/>
          </w:tcPr>
          <w:p>
            <w:pPr>
              <w:spacing w:after="0" w:line="149" w:lineRule="exact"/>
              <w:rPr>
                <w:sz w:val="20"/>
                <w:szCs w:val="20"/>
                <w:color w:val="auto"/>
              </w:rPr>
            </w:pPr>
            <w:r>
              <w:rPr>
                <w:rFonts w:ascii="Arial" w:cs="Arial" w:eastAsia="Arial" w:hAnsi="Arial"/>
                <w:sz w:val="14"/>
                <w:szCs w:val="14"/>
                <w:color w:val="auto"/>
              </w:rPr>
              <w:t>Escondido</w:t>
            </w:r>
          </w:p>
        </w:tc>
        <w:tc>
          <w:tcPr>
            <w:tcW w:w="360" w:type="dxa"/>
            <w:vAlign w:val="bottom"/>
          </w:tcPr>
          <w:p>
            <w:pPr>
              <w:ind w:left="100"/>
              <w:spacing w:after="0" w:line="149" w:lineRule="exact"/>
              <w:rPr>
                <w:sz w:val="20"/>
                <w:szCs w:val="20"/>
                <w:color w:val="auto"/>
              </w:rPr>
            </w:pPr>
            <w:r>
              <w:rPr>
                <w:rFonts w:ascii="Arial" w:cs="Arial" w:eastAsia="Arial" w:hAnsi="Arial"/>
                <w:sz w:val="14"/>
                <w:szCs w:val="14"/>
                <w:color w:val="auto"/>
              </w:rPr>
              <w:t>(7)</w:t>
            </w:r>
          </w:p>
        </w:tc>
        <w:tc>
          <w:tcPr>
            <w:tcW w:w="1700" w:type="dxa"/>
            <w:vAlign w:val="bottom"/>
          </w:tcPr>
          <w:p>
            <w:pPr>
              <w:spacing w:after="0" w:line="149" w:lineRule="exact"/>
              <w:rPr>
                <w:sz w:val="20"/>
                <w:szCs w:val="20"/>
                <w:color w:val="auto"/>
              </w:rPr>
            </w:pPr>
            <w:r>
              <w:rPr>
                <w:rFonts w:ascii="Arial" w:cs="Arial" w:eastAsia="Arial" w:hAnsi="Arial"/>
                <w:sz w:val="14"/>
                <w:szCs w:val="14"/>
                <w:color w:val="auto"/>
              </w:rPr>
              <w:t>San Diego, CA</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1996</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28,798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222,000</w:t>
            </w:r>
          </w:p>
        </w:tc>
        <w:tc>
          <w:tcPr>
            <w:tcW w:w="6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94%</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7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TJ Maxx / Toys R Us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Borders>
              <w:right w:val="single" w:sz="8" w:color="CCEEFF"/>
            </w:tcBorders>
            <w:gridSpan w:val="5"/>
            <w:shd w:val="clear" w:color="auto" w:fill="CCEEFF"/>
          </w:tcPr>
          <w:p>
            <w:pPr>
              <w:spacing w:after="0" w:line="149" w:lineRule="exact"/>
              <w:rPr>
                <w:sz w:val="20"/>
                <w:szCs w:val="20"/>
                <w:color w:val="auto"/>
              </w:rPr>
            </w:pPr>
            <w:r>
              <w:rPr>
                <w:rFonts w:ascii="Arial" w:cs="Arial" w:eastAsia="Arial" w:hAnsi="Arial"/>
                <w:sz w:val="14"/>
                <w:szCs w:val="14"/>
                <w:color w:val="auto"/>
              </w:rPr>
              <w:t>Fifth Ave</w:t>
            </w:r>
          </w:p>
        </w:tc>
        <w:tc>
          <w:tcPr>
            <w:tcW w:w="36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San Diego, CA</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1996-1997</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12,969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51,000</w:t>
            </w:r>
          </w:p>
        </w:tc>
        <w:tc>
          <w:tcPr>
            <w:tcW w:w="6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93%</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Urban Outfitters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gridSpan w:val="5"/>
          </w:tcPr>
          <w:p>
            <w:pPr>
              <w:spacing w:after="0" w:line="149" w:lineRule="exact"/>
              <w:rPr>
                <w:sz w:val="20"/>
                <w:szCs w:val="20"/>
                <w:color w:val="auto"/>
              </w:rPr>
            </w:pPr>
            <w:r>
              <w:rPr>
                <w:rFonts w:ascii="Arial" w:cs="Arial" w:eastAsia="Arial" w:hAnsi="Arial"/>
                <w:sz w:val="14"/>
                <w:szCs w:val="14"/>
                <w:color w:val="auto"/>
              </w:rPr>
              <w:t>Hermosa Ave</w:t>
            </w:r>
          </w:p>
        </w:tc>
        <w:tc>
          <w:tcPr>
            <w:tcW w:w="360" w:type="dxa"/>
            <w:vAlign w:val="bottom"/>
          </w:tcPr>
          <w:p>
            <w:pPr>
              <w:spacing w:after="0"/>
              <w:rPr>
                <w:sz w:val="12"/>
                <w:szCs w:val="12"/>
                <w:color w:val="auto"/>
              </w:rPr>
            </w:pPr>
          </w:p>
        </w:tc>
        <w:tc>
          <w:tcPr>
            <w:tcW w:w="1700" w:type="dxa"/>
            <w:vAlign w:val="bottom"/>
          </w:tcPr>
          <w:p>
            <w:pPr>
              <w:spacing w:after="0" w:line="149" w:lineRule="exact"/>
              <w:rPr>
                <w:sz w:val="20"/>
                <w:szCs w:val="20"/>
                <w:color w:val="auto"/>
              </w:rPr>
            </w:pPr>
            <w:r>
              <w:rPr>
                <w:rFonts w:ascii="Arial" w:cs="Arial" w:eastAsia="Arial" w:hAnsi="Arial"/>
                <w:sz w:val="14"/>
                <w:szCs w:val="14"/>
                <w:color w:val="auto"/>
                <w:w w:val="91"/>
              </w:rPr>
              <w:t>Los Angeles-Long Beach, CA</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5,491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22,000</w:t>
            </w:r>
          </w:p>
        </w:tc>
        <w:tc>
          <w:tcPr>
            <w:tcW w:w="6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72%</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40" w:type="dxa"/>
            <w:vAlign w:val="bottom"/>
            <w:tcBorders>
              <w:right w:val="single" w:sz="8" w:color="CCEEFF"/>
            </w:tcBorders>
            <w:gridSpan w:val="5"/>
            <w:shd w:val="clear" w:color="auto" w:fill="CCEEFF"/>
          </w:tcPr>
          <w:p>
            <w:pPr>
              <w:spacing w:after="0" w:line="138" w:lineRule="exact"/>
              <w:rPr>
                <w:sz w:val="20"/>
                <w:szCs w:val="20"/>
                <w:color w:val="auto"/>
              </w:rPr>
            </w:pPr>
            <w:r>
              <w:rPr>
                <w:rFonts w:ascii="Arial" w:cs="Arial" w:eastAsia="Arial" w:hAnsi="Arial"/>
                <w:sz w:val="14"/>
                <w:szCs w:val="14"/>
                <w:color w:val="auto"/>
              </w:rPr>
              <w:t>Hollywood Blvd</w:t>
            </w:r>
          </w:p>
        </w:tc>
        <w:tc>
          <w:tcPr>
            <w:tcW w:w="2060" w:type="dxa"/>
            <w:vAlign w:val="bottom"/>
            <w:gridSpan w:val="2"/>
            <w:shd w:val="clear" w:color="auto" w:fill="CCEEFF"/>
          </w:tcPr>
          <w:p>
            <w:pPr>
              <w:ind w:left="100"/>
              <w:spacing w:after="0" w:line="138" w:lineRule="exact"/>
              <w:rPr>
                <w:sz w:val="20"/>
                <w:szCs w:val="20"/>
                <w:color w:val="auto"/>
              </w:rPr>
            </w:pPr>
            <w:r>
              <w:rPr>
                <w:rFonts w:ascii="Arial" w:cs="Arial" w:eastAsia="Arial" w:hAnsi="Arial"/>
                <w:sz w:val="14"/>
                <w:szCs w:val="14"/>
                <w:color w:val="auto"/>
                <w:w w:val="93"/>
              </w:rPr>
              <w:t>(8)  Los Angeles-Long Beach, CA</w:t>
            </w:r>
          </w:p>
        </w:tc>
        <w:tc>
          <w:tcPr>
            <w:tcW w:w="10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1999</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37,701</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rPr>
              <w:t>153,000</w:t>
            </w:r>
          </w:p>
        </w:tc>
        <w:tc>
          <w:tcPr>
            <w:tcW w:w="680" w:type="dxa"/>
            <w:vAlign w:val="bottom"/>
            <w:gridSpan w:val="3"/>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75%</w:t>
            </w: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760" w:type="dxa"/>
            <w:vAlign w:val="bottom"/>
            <w:gridSpan w:val="2"/>
            <w:shd w:val="clear" w:color="auto" w:fill="CCEEFF"/>
          </w:tcPr>
          <w:p>
            <w:pPr>
              <w:ind w:left="80"/>
              <w:spacing w:after="0" w:line="138" w:lineRule="exact"/>
              <w:rPr>
                <w:sz w:val="20"/>
                <w:szCs w:val="20"/>
                <w:color w:val="auto"/>
              </w:rPr>
            </w:pPr>
            <w:r>
              <w:rPr>
                <w:rFonts w:ascii="Arial" w:cs="Arial" w:eastAsia="Arial" w:hAnsi="Arial"/>
                <w:sz w:val="14"/>
                <w:szCs w:val="14"/>
                <w:color w:val="auto"/>
                <w:w w:val="92"/>
              </w:rPr>
              <w:t>DSW / L.A. Fitness / Fresh &amp;</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00" w:type="dxa"/>
            <w:vAlign w:val="bottom"/>
            <w:tcBorders>
              <w:right w:val="single" w:sz="8" w:color="CCEEFF"/>
            </w:tcBorders>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76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rPr>
              <w:t>Easy</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40" w:type="dxa"/>
            <w:vAlign w:val="bottom"/>
            <w:gridSpan w:val="5"/>
          </w:tcPr>
          <w:p>
            <w:pPr>
              <w:spacing w:after="0" w:line="138" w:lineRule="exact"/>
              <w:rPr>
                <w:sz w:val="20"/>
                <w:szCs w:val="20"/>
                <w:color w:val="auto"/>
              </w:rPr>
            </w:pPr>
            <w:r>
              <w:rPr>
                <w:rFonts w:ascii="Arial" w:cs="Arial" w:eastAsia="Arial" w:hAnsi="Arial"/>
                <w:sz w:val="14"/>
                <w:szCs w:val="14"/>
                <w:color w:val="auto"/>
              </w:rPr>
              <w:t>Kings Court</w:t>
            </w:r>
          </w:p>
        </w:tc>
        <w:tc>
          <w:tcPr>
            <w:tcW w:w="360" w:type="dxa"/>
            <w:vAlign w:val="bottom"/>
          </w:tcPr>
          <w:p>
            <w:pPr>
              <w:ind w:left="100"/>
              <w:spacing w:after="0" w:line="138" w:lineRule="exact"/>
              <w:rPr>
                <w:sz w:val="20"/>
                <w:szCs w:val="20"/>
                <w:color w:val="auto"/>
              </w:rPr>
            </w:pPr>
            <w:r>
              <w:rPr>
                <w:rFonts w:ascii="Arial" w:cs="Arial" w:eastAsia="Arial" w:hAnsi="Arial"/>
                <w:sz w:val="14"/>
                <w:szCs w:val="14"/>
                <w:color w:val="auto"/>
              </w:rPr>
              <w:t>(6)</w:t>
            </w:r>
          </w:p>
        </w:tc>
        <w:tc>
          <w:tcPr>
            <w:tcW w:w="1700" w:type="dxa"/>
            <w:vAlign w:val="bottom"/>
          </w:tcPr>
          <w:p>
            <w:pPr>
              <w:spacing w:after="0" w:line="138" w:lineRule="exact"/>
              <w:rPr>
                <w:sz w:val="20"/>
                <w:szCs w:val="20"/>
                <w:color w:val="auto"/>
              </w:rPr>
            </w:pPr>
            <w:r>
              <w:rPr>
                <w:rFonts w:ascii="Arial" w:cs="Arial" w:eastAsia="Arial" w:hAnsi="Arial"/>
                <w:sz w:val="14"/>
                <w:szCs w:val="14"/>
                <w:color w:val="auto"/>
              </w:rPr>
              <w:t>San Jose, CA</w:t>
            </w:r>
          </w:p>
        </w:tc>
        <w:tc>
          <w:tcPr>
            <w:tcW w:w="10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1998</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11,608</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40"/>
              <w:spacing w:after="0" w:line="138" w:lineRule="exact"/>
              <w:rPr>
                <w:sz w:val="20"/>
                <w:szCs w:val="20"/>
                <w:color w:val="auto"/>
              </w:rPr>
            </w:pPr>
            <w:r>
              <w:rPr>
                <w:rFonts w:ascii="Arial" w:cs="Arial" w:eastAsia="Arial" w:hAnsi="Arial"/>
                <w:sz w:val="14"/>
                <w:szCs w:val="14"/>
                <w:color w:val="auto"/>
              </w:rPr>
              <w:t>79,000</w:t>
            </w:r>
          </w:p>
        </w:tc>
        <w:tc>
          <w:tcPr>
            <w:tcW w:w="680" w:type="dxa"/>
            <w:vAlign w:val="bottom"/>
            <w:gridSpan w:val="3"/>
          </w:tcPr>
          <w:p>
            <w:pPr>
              <w:jc w:val="right"/>
              <w:ind w:right="120"/>
              <w:spacing w:after="0" w:line="138" w:lineRule="exact"/>
              <w:rPr>
                <w:sz w:val="20"/>
                <w:szCs w:val="20"/>
                <w:color w:val="auto"/>
              </w:rPr>
            </w:pPr>
            <w:r>
              <w:rPr>
                <w:rFonts w:ascii="Arial" w:cs="Arial" w:eastAsia="Arial" w:hAnsi="Arial"/>
                <w:sz w:val="14"/>
                <w:szCs w:val="14"/>
                <w:color w:val="auto"/>
              </w:rPr>
              <w:t>100%</w:t>
            </w:r>
          </w:p>
        </w:tc>
        <w:tc>
          <w:tcPr>
            <w:tcW w:w="56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25,000</w:t>
            </w:r>
          </w:p>
        </w:tc>
        <w:tc>
          <w:tcPr>
            <w:tcW w:w="780" w:type="dxa"/>
            <w:vAlign w:val="bottom"/>
          </w:tcPr>
          <w:p>
            <w:pPr>
              <w:spacing w:after="0" w:line="138" w:lineRule="exact"/>
              <w:rPr>
                <w:sz w:val="20"/>
                <w:szCs w:val="20"/>
                <w:color w:val="auto"/>
              </w:rPr>
            </w:pPr>
            <w:r>
              <w:rPr>
                <w:rFonts w:ascii="Arial" w:cs="Arial" w:eastAsia="Arial" w:hAnsi="Arial"/>
                <w:sz w:val="14"/>
                <w:szCs w:val="14"/>
                <w:color w:val="auto"/>
              </w:rPr>
              <w:t>Lunardi’s</w:t>
            </w:r>
          </w:p>
        </w:tc>
        <w:tc>
          <w:tcPr>
            <w:tcW w:w="1760" w:type="dxa"/>
            <w:vAlign w:val="bottom"/>
            <w:gridSpan w:val="2"/>
          </w:tcPr>
          <w:p>
            <w:pPr>
              <w:ind w:left="80"/>
              <w:spacing w:after="0" w:line="138" w:lineRule="exact"/>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line="159" w:lineRule="exact"/>
              <w:rPr>
                <w:sz w:val="20"/>
                <w:szCs w:val="20"/>
                <w:color w:val="auto"/>
              </w:rPr>
            </w:pPr>
            <w:r>
              <w:rPr>
                <w:rFonts w:ascii="Arial" w:cs="Arial" w:eastAsia="Arial" w:hAnsi="Arial"/>
                <w:sz w:val="14"/>
                <w:szCs w:val="14"/>
                <w:color w:val="auto"/>
                <w:w w:val="90"/>
              </w:rPr>
              <w:t>Super Market</w:t>
            </w: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40" w:type="dxa"/>
            <w:vAlign w:val="bottom"/>
            <w:tcBorders>
              <w:right w:val="single" w:sz="8" w:color="CCEEFF"/>
            </w:tcBorders>
            <w:gridSpan w:val="5"/>
            <w:shd w:val="clear" w:color="auto" w:fill="CCEEFF"/>
          </w:tcPr>
          <w:p>
            <w:pPr>
              <w:spacing w:after="0" w:line="138" w:lineRule="exact"/>
              <w:rPr>
                <w:sz w:val="20"/>
                <w:szCs w:val="20"/>
                <w:color w:val="auto"/>
              </w:rPr>
            </w:pPr>
            <w:r>
              <w:rPr>
                <w:rFonts w:ascii="Arial" w:cs="Arial" w:eastAsia="Arial" w:hAnsi="Arial"/>
                <w:sz w:val="14"/>
                <w:szCs w:val="14"/>
                <w:color w:val="auto"/>
              </w:rPr>
              <w:t>Old Town Center</w:t>
            </w:r>
          </w:p>
        </w:tc>
        <w:tc>
          <w:tcPr>
            <w:tcW w:w="36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San Jose, CA</w:t>
            </w:r>
          </w:p>
        </w:tc>
        <w:tc>
          <w:tcPr>
            <w:tcW w:w="10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1997</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34,265</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rPr>
              <w:t>96,000</w:t>
            </w:r>
          </w:p>
        </w:tc>
        <w:tc>
          <w:tcPr>
            <w:tcW w:w="680" w:type="dxa"/>
            <w:vAlign w:val="bottom"/>
            <w:gridSpan w:val="3"/>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98%</w:t>
            </w: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760" w:type="dxa"/>
            <w:vAlign w:val="bottom"/>
            <w:gridSpan w:val="2"/>
            <w:shd w:val="clear" w:color="auto" w:fill="CCEEFF"/>
          </w:tcPr>
          <w:p>
            <w:pPr>
              <w:ind w:left="80"/>
              <w:spacing w:after="0" w:line="138" w:lineRule="exact"/>
              <w:rPr>
                <w:sz w:val="20"/>
                <w:szCs w:val="20"/>
                <w:color w:val="auto"/>
              </w:rPr>
            </w:pPr>
            <w:r>
              <w:rPr>
                <w:rFonts w:ascii="Arial" w:cs="Arial" w:eastAsia="Arial" w:hAnsi="Arial"/>
                <w:sz w:val="14"/>
                <w:szCs w:val="14"/>
                <w:color w:val="auto"/>
                <w:w w:val="93"/>
              </w:rPr>
              <w:t>Borders / Gap Kids / Banana</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00" w:type="dxa"/>
            <w:vAlign w:val="bottom"/>
            <w:tcBorders>
              <w:right w:val="single" w:sz="8" w:color="CCEEFF"/>
            </w:tcBorders>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76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rPr>
              <w:t>Republic</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40" w:type="dxa"/>
            <w:vAlign w:val="bottom"/>
            <w:gridSpan w:val="5"/>
          </w:tcPr>
          <w:p>
            <w:pPr>
              <w:spacing w:after="0" w:line="138" w:lineRule="exact"/>
              <w:rPr>
                <w:sz w:val="20"/>
                <w:szCs w:val="20"/>
                <w:color w:val="auto"/>
              </w:rPr>
            </w:pPr>
            <w:r>
              <w:rPr>
                <w:rFonts w:ascii="Arial" w:cs="Arial" w:eastAsia="Arial" w:hAnsi="Arial"/>
                <w:sz w:val="14"/>
                <w:szCs w:val="14"/>
                <w:color w:val="auto"/>
              </w:rPr>
              <w:t>Santana Row</w:t>
            </w:r>
          </w:p>
        </w:tc>
        <w:tc>
          <w:tcPr>
            <w:tcW w:w="360" w:type="dxa"/>
            <w:vAlign w:val="bottom"/>
          </w:tcPr>
          <w:p>
            <w:pPr>
              <w:spacing w:after="0"/>
              <w:rPr>
                <w:sz w:val="11"/>
                <w:szCs w:val="11"/>
                <w:color w:val="auto"/>
              </w:rPr>
            </w:pPr>
          </w:p>
        </w:tc>
        <w:tc>
          <w:tcPr>
            <w:tcW w:w="1700" w:type="dxa"/>
            <w:vAlign w:val="bottom"/>
          </w:tcPr>
          <w:p>
            <w:pPr>
              <w:spacing w:after="0" w:line="138" w:lineRule="exact"/>
              <w:rPr>
                <w:sz w:val="20"/>
                <w:szCs w:val="20"/>
                <w:color w:val="auto"/>
              </w:rPr>
            </w:pPr>
            <w:r>
              <w:rPr>
                <w:rFonts w:ascii="Arial" w:cs="Arial" w:eastAsia="Arial" w:hAnsi="Arial"/>
                <w:sz w:val="14"/>
                <w:szCs w:val="14"/>
                <w:color w:val="auto"/>
              </w:rPr>
              <w:t>San Jose, CA</w:t>
            </w:r>
          </w:p>
        </w:tc>
        <w:tc>
          <w:tcPr>
            <w:tcW w:w="10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1997</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38" w:lineRule="exact"/>
              <w:rPr>
                <w:sz w:val="20"/>
                <w:szCs w:val="20"/>
                <w:color w:val="auto"/>
              </w:rPr>
            </w:pPr>
            <w:r>
              <w:rPr>
                <w:rFonts w:ascii="Arial" w:cs="Arial" w:eastAsia="Arial" w:hAnsi="Arial"/>
                <w:sz w:val="14"/>
                <w:szCs w:val="14"/>
                <w:color w:val="auto"/>
              </w:rPr>
              <w:t>536,962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40"/>
              <w:spacing w:after="0" w:line="138" w:lineRule="exact"/>
              <w:rPr>
                <w:sz w:val="20"/>
                <w:szCs w:val="20"/>
                <w:color w:val="auto"/>
              </w:rPr>
            </w:pPr>
            <w:r>
              <w:rPr>
                <w:rFonts w:ascii="Arial" w:cs="Arial" w:eastAsia="Arial" w:hAnsi="Arial"/>
                <w:sz w:val="14"/>
                <w:szCs w:val="14"/>
                <w:color w:val="auto"/>
              </w:rPr>
              <w:t>582,000</w:t>
            </w:r>
          </w:p>
        </w:tc>
        <w:tc>
          <w:tcPr>
            <w:tcW w:w="680" w:type="dxa"/>
            <w:vAlign w:val="bottom"/>
            <w:gridSpan w:val="3"/>
          </w:tcPr>
          <w:p>
            <w:pPr>
              <w:jc w:val="right"/>
              <w:ind w:right="120"/>
              <w:spacing w:after="0" w:line="138" w:lineRule="exact"/>
              <w:rPr>
                <w:sz w:val="20"/>
                <w:szCs w:val="20"/>
                <w:color w:val="auto"/>
              </w:rPr>
            </w:pPr>
            <w:r>
              <w:rPr>
                <w:rFonts w:ascii="Arial" w:cs="Arial" w:eastAsia="Arial" w:hAnsi="Arial"/>
                <w:sz w:val="14"/>
                <w:szCs w:val="14"/>
                <w:color w:val="auto"/>
              </w:rPr>
              <w:t>98%</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760" w:type="dxa"/>
            <w:vAlign w:val="bottom"/>
            <w:gridSpan w:val="2"/>
          </w:tcPr>
          <w:p>
            <w:pPr>
              <w:ind w:left="80"/>
              <w:spacing w:after="0" w:line="138" w:lineRule="exact"/>
              <w:rPr>
                <w:sz w:val="20"/>
                <w:szCs w:val="20"/>
                <w:color w:val="auto"/>
              </w:rPr>
            </w:pPr>
            <w:r>
              <w:rPr>
                <w:rFonts w:ascii="Arial" w:cs="Arial" w:eastAsia="Arial" w:hAnsi="Arial"/>
                <w:sz w:val="14"/>
                <w:szCs w:val="14"/>
                <w:color w:val="auto"/>
              </w:rPr>
              <w:t>Crate &amp; Barrel / Container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76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97"/>
              </w:rPr>
              <w:t>Store / Best Buy / Borders /</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7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CineArts Theatre / Hotel</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76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Valencia</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00" w:type="dxa"/>
            <w:vAlign w:val="bottom"/>
            <w:tcBorders>
              <w:right w:val="single" w:sz="8" w:color="CCEEFF"/>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040" w:type="dxa"/>
            <w:vAlign w:val="bottom"/>
            <w:gridSpan w:val="5"/>
          </w:tcPr>
          <w:p>
            <w:pPr>
              <w:spacing w:after="0" w:line="138" w:lineRule="exact"/>
              <w:rPr>
                <w:sz w:val="20"/>
                <w:szCs w:val="20"/>
                <w:color w:val="auto"/>
              </w:rPr>
            </w:pPr>
            <w:r>
              <w:rPr>
                <w:rFonts w:ascii="Arial" w:cs="Arial" w:eastAsia="Arial" w:hAnsi="Arial"/>
                <w:sz w:val="14"/>
                <w:szCs w:val="14"/>
                <w:color w:val="auto"/>
              </w:rPr>
              <w:t>Third St Promenade</w:t>
            </w:r>
          </w:p>
        </w:tc>
        <w:tc>
          <w:tcPr>
            <w:tcW w:w="360" w:type="dxa"/>
            <w:vAlign w:val="bottom"/>
          </w:tcPr>
          <w:p>
            <w:pPr>
              <w:spacing w:after="0"/>
              <w:rPr>
                <w:sz w:val="11"/>
                <w:szCs w:val="11"/>
                <w:color w:val="auto"/>
              </w:rPr>
            </w:pPr>
          </w:p>
        </w:tc>
        <w:tc>
          <w:tcPr>
            <w:tcW w:w="1700" w:type="dxa"/>
            <w:vAlign w:val="bottom"/>
          </w:tcPr>
          <w:p>
            <w:pPr>
              <w:spacing w:after="0" w:line="138" w:lineRule="exact"/>
              <w:rPr>
                <w:sz w:val="20"/>
                <w:szCs w:val="20"/>
                <w:color w:val="auto"/>
              </w:rPr>
            </w:pPr>
            <w:r>
              <w:rPr>
                <w:rFonts w:ascii="Arial" w:cs="Arial" w:eastAsia="Arial" w:hAnsi="Arial"/>
                <w:sz w:val="14"/>
                <w:szCs w:val="14"/>
                <w:color w:val="auto"/>
                <w:w w:val="91"/>
              </w:rPr>
              <w:t>Los Angeles-Long Beach, CA</w:t>
            </w:r>
          </w:p>
        </w:tc>
        <w:tc>
          <w:tcPr>
            <w:tcW w:w="10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1996-2000</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38" w:lineRule="exact"/>
              <w:rPr>
                <w:sz w:val="20"/>
                <w:szCs w:val="20"/>
                <w:color w:val="auto"/>
              </w:rPr>
            </w:pPr>
            <w:r>
              <w:rPr>
                <w:rFonts w:ascii="Arial" w:cs="Arial" w:eastAsia="Arial" w:hAnsi="Arial"/>
                <w:sz w:val="14"/>
                <w:szCs w:val="14"/>
                <w:color w:val="auto"/>
              </w:rPr>
              <w:t>77,955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40"/>
              <w:spacing w:after="0" w:line="138" w:lineRule="exact"/>
              <w:rPr>
                <w:sz w:val="20"/>
                <w:szCs w:val="20"/>
                <w:color w:val="auto"/>
              </w:rPr>
            </w:pPr>
            <w:r>
              <w:rPr>
                <w:rFonts w:ascii="Arial" w:cs="Arial" w:eastAsia="Arial" w:hAnsi="Arial"/>
                <w:sz w:val="14"/>
                <w:szCs w:val="14"/>
                <w:color w:val="auto"/>
              </w:rPr>
              <w:t>209,000</w:t>
            </w:r>
          </w:p>
        </w:tc>
        <w:tc>
          <w:tcPr>
            <w:tcW w:w="680" w:type="dxa"/>
            <w:vAlign w:val="bottom"/>
            <w:gridSpan w:val="3"/>
          </w:tcPr>
          <w:p>
            <w:pPr>
              <w:jc w:val="right"/>
              <w:ind w:right="120"/>
              <w:spacing w:after="0" w:line="138" w:lineRule="exact"/>
              <w:rPr>
                <w:sz w:val="20"/>
                <w:szCs w:val="20"/>
                <w:color w:val="auto"/>
              </w:rPr>
            </w:pPr>
            <w:r>
              <w:rPr>
                <w:rFonts w:ascii="Arial" w:cs="Arial" w:eastAsia="Arial" w:hAnsi="Arial"/>
                <w:sz w:val="14"/>
                <w:szCs w:val="14"/>
                <w:color w:val="auto"/>
              </w:rPr>
              <w:t>98%</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760" w:type="dxa"/>
            <w:vAlign w:val="bottom"/>
            <w:gridSpan w:val="2"/>
          </w:tcPr>
          <w:p>
            <w:pPr>
              <w:ind w:left="80"/>
              <w:spacing w:after="0" w:line="138" w:lineRule="exact"/>
              <w:rPr>
                <w:sz w:val="20"/>
                <w:szCs w:val="20"/>
                <w:color w:val="auto"/>
              </w:rPr>
            </w:pPr>
            <w:r>
              <w:rPr>
                <w:rFonts w:ascii="Arial" w:cs="Arial" w:eastAsia="Arial" w:hAnsi="Arial"/>
                <w:sz w:val="14"/>
                <w:szCs w:val="14"/>
                <w:color w:val="auto"/>
                <w:w w:val="95"/>
              </w:rPr>
              <w:t>J. Crew / Banana Republic /</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7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Old Navy / Abercrombie &amp;</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76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Fitch</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40" w:type="dxa"/>
            <w:vAlign w:val="bottom"/>
            <w:tcBorders>
              <w:right w:val="single" w:sz="8" w:color="CCEEFF"/>
            </w:tcBorders>
            <w:gridSpan w:val="5"/>
            <w:shd w:val="clear" w:color="auto" w:fill="CCEEFF"/>
          </w:tcPr>
          <w:p>
            <w:pPr>
              <w:spacing w:after="0" w:line="138" w:lineRule="exact"/>
              <w:rPr>
                <w:sz w:val="20"/>
                <w:szCs w:val="20"/>
                <w:color w:val="auto"/>
              </w:rPr>
            </w:pPr>
            <w:r>
              <w:rPr>
                <w:rFonts w:ascii="Arial" w:cs="Arial" w:eastAsia="Arial" w:hAnsi="Arial"/>
                <w:sz w:val="14"/>
                <w:szCs w:val="14"/>
                <w:color w:val="auto"/>
              </w:rPr>
              <w:t>Westgate</w:t>
            </w:r>
          </w:p>
        </w:tc>
        <w:tc>
          <w:tcPr>
            <w:tcW w:w="36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San Jose, CA</w:t>
            </w:r>
          </w:p>
        </w:tc>
        <w:tc>
          <w:tcPr>
            <w:tcW w:w="10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2004</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116,370</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rPr>
              <w:t>645,000</w:t>
            </w:r>
          </w:p>
        </w:tc>
        <w:tc>
          <w:tcPr>
            <w:tcW w:w="680" w:type="dxa"/>
            <w:vAlign w:val="bottom"/>
            <w:gridSpan w:val="3"/>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95%</w:t>
            </w:r>
          </w:p>
        </w:tc>
        <w:tc>
          <w:tcPr>
            <w:tcW w:w="56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38,000</w:t>
            </w:r>
          </w:p>
        </w:tc>
        <w:tc>
          <w:tcPr>
            <w:tcW w:w="7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Safeway</w:t>
            </w:r>
          </w:p>
        </w:tc>
        <w:tc>
          <w:tcPr>
            <w:tcW w:w="1760" w:type="dxa"/>
            <w:vAlign w:val="bottom"/>
            <w:gridSpan w:val="2"/>
            <w:shd w:val="clear" w:color="auto" w:fill="CCEEFF"/>
          </w:tcPr>
          <w:p>
            <w:pPr>
              <w:ind w:left="80"/>
              <w:spacing w:after="0" w:line="138" w:lineRule="exact"/>
              <w:rPr>
                <w:sz w:val="20"/>
                <w:szCs w:val="20"/>
                <w:color w:val="auto"/>
              </w:rPr>
            </w:pPr>
            <w:r>
              <w:rPr>
                <w:rFonts w:ascii="Arial" w:cs="Arial" w:eastAsia="Arial" w:hAnsi="Arial"/>
                <w:sz w:val="14"/>
                <w:szCs w:val="14"/>
                <w:color w:val="auto"/>
              </w:rPr>
              <w:t>Target / Burlington Coat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00" w:type="dxa"/>
            <w:vAlign w:val="bottom"/>
            <w:tcBorders>
              <w:right w:val="single" w:sz="8" w:color="CCEEFF"/>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Factory / Barnes &amp; Noble /</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00" w:type="dxa"/>
            <w:vAlign w:val="bottom"/>
            <w:tcBorders>
              <w:right w:val="single" w:sz="8" w:color="CCEEFF"/>
            </w:tcBorders>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76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rPr>
              <w:t>Ross / Michaels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gridSpan w:val="5"/>
          </w:tcPr>
          <w:p>
            <w:pPr>
              <w:spacing w:after="0" w:line="149" w:lineRule="exact"/>
              <w:rPr>
                <w:sz w:val="20"/>
                <w:szCs w:val="20"/>
                <w:color w:val="auto"/>
              </w:rPr>
            </w:pPr>
            <w:r>
              <w:rPr>
                <w:rFonts w:ascii="Arial" w:cs="Arial" w:eastAsia="Arial" w:hAnsi="Arial"/>
                <w:sz w:val="14"/>
                <w:szCs w:val="14"/>
                <w:color w:val="auto"/>
              </w:rPr>
              <w:t>150 Post Street</w:t>
            </w:r>
          </w:p>
        </w:tc>
        <w:tc>
          <w:tcPr>
            <w:tcW w:w="360" w:type="dxa"/>
            <w:vAlign w:val="bottom"/>
          </w:tcPr>
          <w:p>
            <w:pPr>
              <w:spacing w:after="0"/>
              <w:rPr>
                <w:sz w:val="12"/>
                <w:szCs w:val="12"/>
                <w:color w:val="auto"/>
              </w:rPr>
            </w:pPr>
          </w:p>
        </w:tc>
        <w:tc>
          <w:tcPr>
            <w:tcW w:w="1700" w:type="dxa"/>
            <w:vAlign w:val="bottom"/>
          </w:tcPr>
          <w:p>
            <w:pPr>
              <w:spacing w:after="0" w:line="149" w:lineRule="exact"/>
              <w:rPr>
                <w:sz w:val="20"/>
                <w:szCs w:val="20"/>
                <w:color w:val="auto"/>
              </w:rPr>
            </w:pPr>
            <w:r>
              <w:rPr>
                <w:rFonts w:ascii="Arial" w:cs="Arial" w:eastAsia="Arial" w:hAnsi="Arial"/>
                <w:sz w:val="14"/>
                <w:szCs w:val="14"/>
                <w:color w:val="auto"/>
              </w:rPr>
              <w:t>San Francisco, CA</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37,530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101,000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97%</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7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Brooks Brothers / H &amp; M</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00" w:type="dxa"/>
            <w:vAlign w:val="bottom"/>
            <w:tcBorders>
              <w:right w:val="single" w:sz="8" w:color="CCEEFF"/>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California</w:t>
            </w: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981,361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2,471,000</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94%</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86"/>
              </w:rPr>
              <w:t>New York / New Jersey</w:t>
            </w: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040" w:type="dxa"/>
            <w:vAlign w:val="bottom"/>
            <w:tcBorders>
              <w:right w:val="single" w:sz="8" w:color="CCEEFF"/>
            </w:tcBorders>
            <w:gridSpan w:val="5"/>
            <w:shd w:val="clear" w:color="auto" w:fill="CCEEFF"/>
          </w:tcPr>
          <w:p>
            <w:pPr>
              <w:spacing w:after="0" w:line="131" w:lineRule="exact"/>
              <w:rPr>
                <w:sz w:val="20"/>
                <w:szCs w:val="20"/>
                <w:color w:val="auto"/>
              </w:rPr>
            </w:pPr>
            <w:r>
              <w:rPr>
                <w:rFonts w:ascii="Arial" w:cs="Arial" w:eastAsia="Arial" w:hAnsi="Arial"/>
                <w:sz w:val="14"/>
                <w:szCs w:val="14"/>
                <w:color w:val="auto"/>
              </w:rPr>
              <w:t>Brick Plaza</w:t>
            </w:r>
          </w:p>
        </w:tc>
        <w:tc>
          <w:tcPr>
            <w:tcW w:w="36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line="131" w:lineRule="exact"/>
              <w:rPr>
                <w:sz w:val="20"/>
                <w:szCs w:val="20"/>
                <w:color w:val="auto"/>
              </w:rPr>
            </w:pPr>
            <w:r>
              <w:rPr>
                <w:rFonts w:ascii="Arial" w:cs="Arial" w:eastAsia="Arial" w:hAnsi="Arial"/>
                <w:sz w:val="14"/>
                <w:szCs w:val="14"/>
                <w:color w:val="auto"/>
              </w:rPr>
              <w:t>Monmouth-Ocean, NJ</w:t>
            </w:r>
          </w:p>
        </w:tc>
        <w:tc>
          <w:tcPr>
            <w:tcW w:w="1040" w:type="dxa"/>
            <w:vAlign w:val="bottom"/>
            <w:gridSpan w:val="2"/>
            <w:shd w:val="clear" w:color="auto" w:fill="CCEEFF"/>
          </w:tcPr>
          <w:p>
            <w:pPr>
              <w:jc w:val="right"/>
              <w:spacing w:after="0" w:line="131" w:lineRule="exact"/>
              <w:rPr>
                <w:sz w:val="20"/>
                <w:szCs w:val="20"/>
                <w:color w:val="auto"/>
              </w:rPr>
            </w:pPr>
            <w:r>
              <w:rPr>
                <w:rFonts w:ascii="Arial" w:cs="Arial" w:eastAsia="Arial" w:hAnsi="Arial"/>
                <w:sz w:val="14"/>
                <w:szCs w:val="14"/>
                <w:color w:val="auto"/>
              </w:rPr>
              <w:t>1989</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1" w:lineRule="exact"/>
              <w:rPr>
                <w:sz w:val="20"/>
                <w:szCs w:val="20"/>
                <w:color w:val="auto"/>
              </w:rPr>
            </w:pPr>
            <w:r>
              <w:rPr>
                <w:rFonts w:ascii="Arial" w:cs="Arial" w:eastAsia="Arial" w:hAnsi="Arial"/>
                <w:sz w:val="14"/>
                <w:szCs w:val="14"/>
                <w:color w:val="auto"/>
              </w:rPr>
              <w:t>57,095</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line="131" w:lineRule="exact"/>
              <w:rPr>
                <w:sz w:val="20"/>
                <w:szCs w:val="20"/>
                <w:color w:val="auto"/>
              </w:rPr>
            </w:pPr>
            <w:r>
              <w:rPr>
                <w:rFonts w:ascii="Arial" w:cs="Arial" w:eastAsia="Arial" w:hAnsi="Arial"/>
                <w:sz w:val="14"/>
                <w:szCs w:val="14"/>
                <w:color w:val="auto"/>
              </w:rPr>
              <w:t>29,901</w:t>
            </w:r>
          </w:p>
        </w:tc>
        <w:tc>
          <w:tcPr>
            <w:tcW w:w="580" w:type="dxa"/>
            <w:vAlign w:val="bottom"/>
            <w:gridSpan w:val="2"/>
            <w:shd w:val="clear" w:color="auto" w:fill="CCEEFF"/>
          </w:tcPr>
          <w:p>
            <w:pPr>
              <w:jc w:val="right"/>
              <w:ind w:right="40"/>
              <w:spacing w:after="0" w:line="131" w:lineRule="exact"/>
              <w:rPr>
                <w:sz w:val="20"/>
                <w:szCs w:val="20"/>
                <w:color w:val="auto"/>
              </w:rPr>
            </w:pPr>
            <w:r>
              <w:rPr>
                <w:rFonts w:ascii="Arial" w:cs="Arial" w:eastAsia="Arial" w:hAnsi="Arial"/>
                <w:sz w:val="14"/>
                <w:szCs w:val="14"/>
                <w:color w:val="auto"/>
              </w:rPr>
              <w:t>409,000</w:t>
            </w:r>
          </w:p>
        </w:tc>
        <w:tc>
          <w:tcPr>
            <w:tcW w:w="680" w:type="dxa"/>
            <w:vAlign w:val="bottom"/>
            <w:gridSpan w:val="3"/>
            <w:shd w:val="clear" w:color="auto" w:fill="CCEEFF"/>
          </w:tcPr>
          <w:p>
            <w:pPr>
              <w:jc w:val="right"/>
              <w:ind w:right="120"/>
              <w:spacing w:after="0" w:line="131" w:lineRule="exact"/>
              <w:rPr>
                <w:sz w:val="20"/>
                <w:szCs w:val="20"/>
                <w:color w:val="auto"/>
              </w:rPr>
            </w:pPr>
            <w:r>
              <w:rPr>
                <w:rFonts w:ascii="Arial" w:cs="Arial" w:eastAsia="Arial" w:hAnsi="Arial"/>
                <w:sz w:val="14"/>
                <w:szCs w:val="14"/>
                <w:color w:val="auto"/>
              </w:rPr>
              <w:t>97%</w:t>
            </w:r>
          </w:p>
        </w:tc>
        <w:tc>
          <w:tcPr>
            <w:tcW w:w="560" w:type="dxa"/>
            <w:vAlign w:val="bottom"/>
            <w:gridSpan w:val="2"/>
            <w:shd w:val="clear" w:color="auto" w:fill="CCEEFF"/>
          </w:tcPr>
          <w:p>
            <w:pPr>
              <w:jc w:val="right"/>
              <w:ind w:right="80"/>
              <w:spacing w:after="0" w:line="131" w:lineRule="exact"/>
              <w:rPr>
                <w:sz w:val="20"/>
                <w:szCs w:val="20"/>
                <w:color w:val="auto"/>
              </w:rPr>
            </w:pPr>
            <w:r>
              <w:rPr>
                <w:rFonts w:ascii="Arial" w:cs="Arial" w:eastAsia="Arial" w:hAnsi="Arial"/>
                <w:sz w:val="14"/>
                <w:szCs w:val="14"/>
                <w:color w:val="auto"/>
              </w:rPr>
              <w:t>66,000</w:t>
            </w:r>
          </w:p>
        </w:tc>
        <w:tc>
          <w:tcPr>
            <w:tcW w:w="780" w:type="dxa"/>
            <w:vAlign w:val="bottom"/>
            <w:shd w:val="clear" w:color="auto" w:fill="CCEEFF"/>
          </w:tcPr>
          <w:p>
            <w:pPr>
              <w:spacing w:after="0" w:line="131" w:lineRule="exact"/>
              <w:rPr>
                <w:sz w:val="20"/>
                <w:szCs w:val="20"/>
                <w:color w:val="auto"/>
              </w:rPr>
            </w:pPr>
            <w:r>
              <w:rPr>
                <w:rFonts w:ascii="Arial" w:cs="Arial" w:eastAsia="Arial" w:hAnsi="Arial"/>
                <w:sz w:val="14"/>
                <w:szCs w:val="14"/>
                <w:color w:val="auto"/>
              </w:rPr>
              <w:t>A&amp;P</w:t>
            </w:r>
          </w:p>
        </w:tc>
        <w:tc>
          <w:tcPr>
            <w:tcW w:w="1760" w:type="dxa"/>
            <w:vAlign w:val="bottom"/>
            <w:gridSpan w:val="2"/>
            <w:shd w:val="clear" w:color="auto" w:fill="CCEEFF"/>
          </w:tcPr>
          <w:p>
            <w:pPr>
              <w:ind w:left="80"/>
              <w:spacing w:after="0" w:line="131" w:lineRule="exact"/>
              <w:rPr>
                <w:sz w:val="20"/>
                <w:szCs w:val="20"/>
                <w:color w:val="auto"/>
              </w:rPr>
            </w:pPr>
            <w:r>
              <w:rPr>
                <w:rFonts w:ascii="Arial" w:cs="Arial" w:eastAsia="Arial" w:hAnsi="Arial"/>
                <w:sz w:val="14"/>
                <w:szCs w:val="14"/>
                <w:color w:val="auto"/>
                <w:w w:val="89"/>
              </w:rPr>
              <w:t>AMC Loews / Barnes &amp; Noble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00" w:type="dxa"/>
            <w:vAlign w:val="bottom"/>
            <w:tcBorders>
              <w:right w:val="single" w:sz="8" w:color="CCEEFF"/>
            </w:tcBorders>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76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rPr>
              <w:t>/ Sports Authority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gridSpan w:val="5"/>
          </w:tcPr>
          <w:p>
            <w:pPr>
              <w:spacing w:after="0" w:line="149" w:lineRule="exact"/>
              <w:rPr>
                <w:sz w:val="20"/>
                <w:szCs w:val="20"/>
                <w:color w:val="auto"/>
              </w:rPr>
            </w:pPr>
            <w:r>
              <w:rPr>
                <w:rFonts w:ascii="Arial" w:cs="Arial" w:eastAsia="Arial" w:hAnsi="Arial"/>
                <w:sz w:val="14"/>
                <w:szCs w:val="14"/>
                <w:color w:val="auto"/>
              </w:rPr>
              <w:t>Forest Hills</w:t>
            </w:r>
          </w:p>
        </w:tc>
        <w:tc>
          <w:tcPr>
            <w:tcW w:w="360" w:type="dxa"/>
            <w:vAlign w:val="bottom"/>
          </w:tcPr>
          <w:p>
            <w:pPr>
              <w:spacing w:after="0"/>
              <w:rPr>
                <w:sz w:val="12"/>
                <w:szCs w:val="12"/>
                <w:color w:val="auto"/>
              </w:rPr>
            </w:pPr>
          </w:p>
        </w:tc>
        <w:tc>
          <w:tcPr>
            <w:tcW w:w="1700" w:type="dxa"/>
            <w:vAlign w:val="bottom"/>
          </w:tcPr>
          <w:p>
            <w:pPr>
              <w:spacing w:after="0" w:line="149" w:lineRule="exact"/>
              <w:rPr>
                <w:sz w:val="20"/>
                <w:szCs w:val="20"/>
                <w:color w:val="auto"/>
              </w:rPr>
            </w:pPr>
            <w:r>
              <w:rPr>
                <w:rFonts w:ascii="Arial" w:cs="Arial" w:eastAsia="Arial" w:hAnsi="Arial"/>
                <w:sz w:val="14"/>
                <w:szCs w:val="14"/>
                <w:color w:val="auto"/>
              </w:rPr>
              <w:t>New York, NY</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8,100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46,000</w:t>
            </w:r>
          </w:p>
        </w:tc>
        <w:tc>
          <w:tcPr>
            <w:tcW w:w="6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96%</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7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Midway Theatre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Borders>
              <w:right w:val="single" w:sz="8" w:color="CCEEFF"/>
            </w:tcBorders>
            <w:gridSpan w:val="5"/>
            <w:shd w:val="clear" w:color="auto" w:fill="CCEEFF"/>
          </w:tcPr>
          <w:p>
            <w:pPr>
              <w:spacing w:after="0" w:line="149" w:lineRule="exact"/>
              <w:rPr>
                <w:sz w:val="20"/>
                <w:szCs w:val="20"/>
                <w:color w:val="auto"/>
              </w:rPr>
            </w:pPr>
            <w:r>
              <w:rPr>
                <w:rFonts w:ascii="Arial" w:cs="Arial" w:eastAsia="Arial" w:hAnsi="Arial"/>
                <w:sz w:val="14"/>
                <w:szCs w:val="14"/>
                <w:color w:val="auto"/>
              </w:rPr>
              <w:t>Fresh Meadows</w:t>
            </w:r>
          </w:p>
        </w:tc>
        <w:tc>
          <w:tcPr>
            <w:tcW w:w="36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New York, NY</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1997</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69,397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405,000</w:t>
            </w:r>
          </w:p>
        </w:tc>
        <w:tc>
          <w:tcPr>
            <w:tcW w:w="6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99%</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Kohl’s / AMC Loews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gridSpan w:val="5"/>
          </w:tcPr>
          <w:p>
            <w:pPr>
              <w:spacing w:after="0" w:line="149" w:lineRule="exact"/>
              <w:rPr>
                <w:sz w:val="20"/>
                <w:szCs w:val="20"/>
                <w:color w:val="auto"/>
              </w:rPr>
            </w:pPr>
            <w:r>
              <w:rPr>
                <w:rFonts w:ascii="Arial" w:cs="Arial" w:eastAsia="Arial" w:hAnsi="Arial"/>
                <w:sz w:val="14"/>
                <w:szCs w:val="14"/>
                <w:color w:val="auto"/>
              </w:rPr>
              <w:t>Hauppauge</w:t>
            </w:r>
          </w:p>
        </w:tc>
        <w:tc>
          <w:tcPr>
            <w:tcW w:w="360" w:type="dxa"/>
            <w:vAlign w:val="bottom"/>
          </w:tcPr>
          <w:p>
            <w:pPr>
              <w:spacing w:after="0"/>
              <w:rPr>
                <w:sz w:val="12"/>
                <w:szCs w:val="12"/>
                <w:color w:val="auto"/>
              </w:rPr>
            </w:pPr>
          </w:p>
        </w:tc>
        <w:tc>
          <w:tcPr>
            <w:tcW w:w="1700" w:type="dxa"/>
            <w:vAlign w:val="bottom"/>
          </w:tcPr>
          <w:p>
            <w:pPr>
              <w:spacing w:after="0" w:line="149" w:lineRule="exact"/>
              <w:rPr>
                <w:sz w:val="20"/>
                <w:szCs w:val="20"/>
                <w:color w:val="auto"/>
              </w:rPr>
            </w:pPr>
            <w:r>
              <w:rPr>
                <w:rFonts w:ascii="Arial" w:cs="Arial" w:eastAsia="Arial" w:hAnsi="Arial"/>
                <w:sz w:val="14"/>
                <w:szCs w:val="14"/>
                <w:color w:val="auto"/>
              </w:rPr>
              <w:t>Nassau-Suffolk, NY</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1998</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27,968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15,248</w:t>
            </w:r>
          </w:p>
        </w:tc>
        <w:tc>
          <w:tcPr>
            <w:tcW w:w="5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133,000</w:t>
            </w:r>
          </w:p>
        </w:tc>
        <w:tc>
          <w:tcPr>
            <w:tcW w:w="6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100%</w:t>
            </w: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61,000</w:t>
            </w:r>
          </w:p>
        </w:tc>
        <w:tc>
          <w:tcPr>
            <w:tcW w:w="780" w:type="dxa"/>
            <w:vAlign w:val="bottom"/>
          </w:tcPr>
          <w:p>
            <w:pPr>
              <w:spacing w:after="0" w:line="149" w:lineRule="exact"/>
              <w:rPr>
                <w:sz w:val="20"/>
                <w:szCs w:val="20"/>
                <w:color w:val="auto"/>
              </w:rPr>
            </w:pPr>
            <w:r>
              <w:rPr>
                <w:rFonts w:ascii="Arial" w:cs="Arial" w:eastAsia="Arial" w:hAnsi="Arial"/>
                <w:sz w:val="14"/>
                <w:szCs w:val="14"/>
                <w:color w:val="auto"/>
              </w:rPr>
              <w:t>Shop Rite</w:t>
            </w:r>
          </w:p>
        </w:tc>
        <w:tc>
          <w:tcPr>
            <w:tcW w:w="17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AC Moore</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40" w:type="dxa"/>
            <w:vAlign w:val="bottom"/>
            <w:tcBorders>
              <w:right w:val="single" w:sz="8" w:color="CCEEFF"/>
            </w:tcBorders>
            <w:gridSpan w:val="5"/>
            <w:shd w:val="clear" w:color="auto" w:fill="CCEEFF"/>
          </w:tcPr>
          <w:p>
            <w:pPr>
              <w:spacing w:after="0" w:line="138" w:lineRule="exact"/>
              <w:rPr>
                <w:sz w:val="20"/>
                <w:szCs w:val="20"/>
                <w:color w:val="auto"/>
              </w:rPr>
            </w:pPr>
            <w:r>
              <w:rPr>
                <w:rFonts w:ascii="Arial" w:cs="Arial" w:eastAsia="Arial" w:hAnsi="Arial"/>
                <w:sz w:val="14"/>
                <w:szCs w:val="14"/>
                <w:color w:val="auto"/>
              </w:rPr>
              <w:t>Huntington</w:t>
            </w:r>
          </w:p>
        </w:tc>
        <w:tc>
          <w:tcPr>
            <w:tcW w:w="36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Nassau-Suffolk, NY</w:t>
            </w:r>
          </w:p>
        </w:tc>
        <w:tc>
          <w:tcPr>
            <w:tcW w:w="1080" w:type="dxa"/>
            <w:vAlign w:val="bottom"/>
            <w:gridSpan w:val="3"/>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rPr>
              <w:t>1988/2007</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38,672</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rPr>
              <w:t>292,000</w:t>
            </w:r>
          </w:p>
        </w:tc>
        <w:tc>
          <w:tcPr>
            <w:tcW w:w="680" w:type="dxa"/>
            <w:vAlign w:val="bottom"/>
            <w:gridSpan w:val="3"/>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100%</w:t>
            </w: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760" w:type="dxa"/>
            <w:vAlign w:val="bottom"/>
            <w:gridSpan w:val="2"/>
            <w:shd w:val="clear" w:color="auto" w:fill="CCEEFF"/>
          </w:tcPr>
          <w:p>
            <w:pPr>
              <w:ind w:left="80"/>
              <w:spacing w:after="0" w:line="138" w:lineRule="exact"/>
              <w:rPr>
                <w:sz w:val="20"/>
                <w:szCs w:val="20"/>
                <w:color w:val="auto"/>
              </w:rPr>
            </w:pPr>
            <w:r>
              <w:rPr>
                <w:rFonts w:ascii="Arial" w:cs="Arial" w:eastAsia="Arial" w:hAnsi="Arial"/>
                <w:sz w:val="14"/>
                <w:szCs w:val="14"/>
                <w:color w:val="auto"/>
                <w:w w:val="96"/>
              </w:rPr>
              <w:t>Buy Buy Baby / Toys R Us /</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00" w:type="dxa"/>
            <w:vAlign w:val="bottom"/>
            <w:tcBorders>
              <w:right w:val="single" w:sz="8" w:color="CCEEFF"/>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91"/>
              </w:rPr>
              <w:t>Bed, Bath &amp; Beyond / Barnes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00" w:type="dxa"/>
            <w:vAlign w:val="bottom"/>
            <w:tcBorders>
              <w:right w:val="single" w:sz="8" w:color="CCEEFF"/>
            </w:tcBorders>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76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rPr>
              <w:t>&amp; Noble / Michaels</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60" w:type="dxa"/>
            <w:vAlign w:val="bottom"/>
          </w:tcPr>
          <w:p>
            <w:pPr>
              <w:spacing w:after="0"/>
              <w:rPr>
                <w:sz w:val="20"/>
                <w:szCs w:val="20"/>
                <w:color w:val="auto"/>
              </w:rPr>
            </w:pPr>
            <w:r>
              <w:rPr>
                <w:rFonts w:ascii="Arial" w:cs="Arial" w:eastAsia="Arial" w:hAnsi="Arial"/>
                <w:sz w:val="14"/>
                <w:szCs w:val="14"/>
                <w:color w:val="auto"/>
              </w:rPr>
              <w:t>Melville Mall</w:t>
            </w:r>
          </w:p>
        </w:tc>
        <w:tc>
          <w:tcPr>
            <w:tcW w:w="900" w:type="dxa"/>
            <w:vAlign w:val="bottom"/>
          </w:tcPr>
          <w:p>
            <w:pPr>
              <w:jc w:val="right"/>
              <w:spacing w:after="0"/>
              <w:rPr>
                <w:sz w:val="20"/>
                <w:szCs w:val="20"/>
                <w:color w:val="auto"/>
              </w:rPr>
            </w:pPr>
            <w:r>
              <w:rPr>
                <w:rFonts w:ascii="Arial" w:cs="Arial" w:eastAsia="Arial" w:hAnsi="Arial"/>
                <w:sz w:val="14"/>
                <w:szCs w:val="14"/>
                <w:color w:val="auto"/>
              </w:rPr>
              <w:t>(9)</w:t>
            </w:r>
          </w:p>
        </w:tc>
        <w:tc>
          <w:tcPr>
            <w:tcW w:w="2100" w:type="dxa"/>
            <w:vAlign w:val="bottom"/>
          </w:tcPr>
          <w:p>
            <w:pPr>
              <w:ind w:left="60"/>
              <w:spacing w:after="0"/>
              <w:rPr>
                <w:sz w:val="20"/>
                <w:szCs w:val="20"/>
                <w:color w:val="auto"/>
              </w:rPr>
            </w:pPr>
            <w:r>
              <w:rPr>
                <w:rFonts w:ascii="Arial" w:cs="Arial" w:eastAsia="Arial" w:hAnsi="Arial"/>
                <w:sz w:val="14"/>
                <w:szCs w:val="14"/>
                <w:color w:val="auto"/>
              </w:rPr>
              <w:t>Nassau-Suffolk, NY</w:t>
            </w:r>
          </w:p>
        </w:tc>
        <w:tc>
          <w:tcPr>
            <w:tcW w:w="780" w:type="dxa"/>
            <w:vAlign w:val="bottom"/>
          </w:tcPr>
          <w:p>
            <w:pPr>
              <w:jc w:val="right"/>
              <w:ind w:right="12"/>
              <w:spacing w:after="0"/>
              <w:rPr>
                <w:sz w:val="20"/>
                <w:szCs w:val="20"/>
                <w:color w:val="auto"/>
              </w:rPr>
            </w:pPr>
            <w:r>
              <w:rPr>
                <w:rFonts w:ascii="Arial" w:cs="Arial" w:eastAsia="Arial" w:hAnsi="Arial"/>
                <w:sz w:val="14"/>
                <w:szCs w:val="14"/>
                <w:color w:val="auto"/>
              </w:rPr>
              <w:t>2006</w:t>
            </w:r>
          </w:p>
        </w:tc>
        <w:tc>
          <w:tcPr>
            <w:tcW w:w="840" w:type="dxa"/>
            <w:vAlign w:val="bottom"/>
          </w:tcPr>
          <w:p>
            <w:pPr>
              <w:jc w:val="right"/>
              <w:spacing w:after="0"/>
              <w:rPr>
                <w:sz w:val="20"/>
                <w:szCs w:val="20"/>
                <w:color w:val="auto"/>
              </w:rPr>
            </w:pPr>
            <w:r>
              <w:rPr>
                <w:rFonts w:ascii="Arial" w:cs="Arial" w:eastAsia="Arial" w:hAnsi="Arial"/>
                <w:sz w:val="14"/>
                <w:szCs w:val="14"/>
                <w:color w:val="auto"/>
              </w:rPr>
              <w:t>68,643</w:t>
            </w:r>
          </w:p>
        </w:tc>
        <w:tc>
          <w:tcPr>
            <w:tcW w:w="980" w:type="dxa"/>
            <w:vAlign w:val="bottom"/>
          </w:tcPr>
          <w:p>
            <w:pPr>
              <w:jc w:val="right"/>
              <w:ind w:right="12"/>
              <w:spacing w:after="0"/>
              <w:rPr>
                <w:sz w:val="20"/>
                <w:szCs w:val="20"/>
                <w:color w:val="auto"/>
              </w:rPr>
            </w:pPr>
            <w:r>
              <w:rPr>
                <w:rFonts w:ascii="Arial" w:cs="Arial" w:eastAsia="Arial" w:hAnsi="Arial"/>
                <w:sz w:val="14"/>
                <w:szCs w:val="14"/>
                <w:color w:val="auto"/>
              </w:rPr>
              <w:t>23,609</w:t>
            </w: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248,000</w:t>
            </w: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100%</w:t>
            </w:r>
          </w:p>
        </w:tc>
        <w:tc>
          <w:tcPr>
            <w:tcW w:w="520" w:type="dxa"/>
            <w:vAlign w:val="bottom"/>
          </w:tcPr>
          <w:p>
            <w:pPr>
              <w:jc w:val="right"/>
              <w:spacing w:after="0"/>
              <w:rPr>
                <w:sz w:val="20"/>
                <w:szCs w:val="20"/>
                <w:color w:val="auto"/>
              </w:rPr>
            </w:pPr>
            <w:r>
              <w:rPr>
                <w:rFonts w:ascii="Arial" w:cs="Arial" w:eastAsia="Arial" w:hAnsi="Arial"/>
                <w:sz w:val="14"/>
                <w:szCs w:val="14"/>
                <w:color w:val="auto"/>
              </w:rPr>
              <w:t>54,000</w:t>
            </w:r>
          </w:p>
        </w:tc>
        <w:tc>
          <w:tcPr>
            <w:tcW w:w="800" w:type="dxa"/>
            <w:vAlign w:val="bottom"/>
          </w:tcPr>
          <w:p>
            <w:pPr>
              <w:ind w:left="40"/>
              <w:spacing w:after="0"/>
              <w:rPr>
                <w:sz w:val="20"/>
                <w:szCs w:val="20"/>
                <w:color w:val="auto"/>
              </w:rPr>
            </w:pPr>
            <w:r>
              <w:rPr>
                <w:rFonts w:ascii="Arial" w:cs="Arial" w:eastAsia="Arial" w:hAnsi="Arial"/>
                <w:sz w:val="14"/>
                <w:szCs w:val="14"/>
                <w:color w:val="auto"/>
                <w:w w:val="96"/>
              </w:rPr>
              <w:t>Waldbaum’s</w:t>
            </w:r>
          </w:p>
        </w:tc>
        <w:tc>
          <w:tcPr>
            <w:tcW w:w="1780" w:type="dxa"/>
            <w:vAlign w:val="bottom"/>
          </w:tcPr>
          <w:p>
            <w:pPr>
              <w:ind w:left="100"/>
              <w:spacing w:after="0"/>
              <w:rPr>
                <w:sz w:val="20"/>
                <w:szCs w:val="20"/>
                <w:color w:val="auto"/>
              </w:rPr>
            </w:pPr>
            <w:r>
              <w:rPr>
                <w:rFonts w:ascii="Arial" w:cs="Arial" w:eastAsia="Arial" w:hAnsi="Arial"/>
                <w:sz w:val="14"/>
                <w:szCs w:val="14"/>
                <w:color w:val="auto"/>
              </w:rPr>
              <w:t>Kohl’s / Marshalls</w:t>
            </w:r>
          </w:p>
        </w:tc>
      </w:tr>
      <w:tr>
        <w:trPr>
          <w:trHeight w:val="138"/>
        </w:trPr>
        <w:tc>
          <w:tcPr>
            <w:tcW w:w="14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Mercer Mall</w:t>
            </w:r>
          </w:p>
        </w:tc>
        <w:tc>
          <w:tcPr>
            <w:tcW w:w="9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w:t>
            </w:r>
          </w:p>
        </w:tc>
        <w:tc>
          <w:tcPr>
            <w:tcW w:w="210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Trenton, NJ</w:t>
            </w:r>
          </w:p>
        </w:tc>
        <w:tc>
          <w:tcPr>
            <w:tcW w:w="78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2003</w:t>
            </w:r>
          </w:p>
        </w:tc>
        <w:tc>
          <w:tcPr>
            <w:tcW w:w="8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104,160</w:t>
            </w:r>
          </w:p>
        </w:tc>
        <w:tc>
          <w:tcPr>
            <w:tcW w:w="98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49,719</w:t>
            </w:r>
          </w:p>
        </w:tc>
        <w:tc>
          <w:tcPr>
            <w:tcW w:w="62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501,000</w:t>
            </w:r>
          </w:p>
        </w:tc>
        <w:tc>
          <w:tcPr>
            <w:tcW w:w="64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99%</w:t>
            </w:r>
          </w:p>
        </w:tc>
        <w:tc>
          <w:tcPr>
            <w:tcW w:w="5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75,000</w:t>
            </w:r>
          </w:p>
        </w:tc>
        <w:tc>
          <w:tcPr>
            <w:tcW w:w="800" w:type="dxa"/>
            <w:vAlign w:val="bottom"/>
            <w:shd w:val="clear" w:color="auto" w:fill="CCEEFF"/>
          </w:tcPr>
          <w:p>
            <w:pPr>
              <w:ind w:left="40"/>
              <w:spacing w:after="0" w:line="138" w:lineRule="exact"/>
              <w:rPr>
                <w:sz w:val="20"/>
                <w:szCs w:val="20"/>
                <w:color w:val="auto"/>
              </w:rPr>
            </w:pPr>
            <w:r>
              <w:rPr>
                <w:rFonts w:ascii="Arial" w:cs="Arial" w:eastAsia="Arial" w:hAnsi="Arial"/>
                <w:sz w:val="14"/>
                <w:szCs w:val="14"/>
                <w:color w:val="auto"/>
              </w:rPr>
              <w:t>Shop Rite</w:t>
            </w:r>
          </w:p>
        </w:tc>
        <w:tc>
          <w:tcPr>
            <w:tcW w:w="1780" w:type="dxa"/>
            <w:vAlign w:val="bottom"/>
            <w:shd w:val="clear" w:color="auto" w:fill="CCEEFF"/>
          </w:tcPr>
          <w:p>
            <w:pPr>
              <w:ind w:left="100"/>
              <w:spacing w:after="0" w:line="138" w:lineRule="exact"/>
              <w:rPr>
                <w:sz w:val="20"/>
                <w:szCs w:val="20"/>
                <w:color w:val="auto"/>
              </w:rPr>
            </w:pPr>
            <w:r>
              <w:rPr>
                <w:rFonts w:ascii="Arial" w:cs="Arial" w:eastAsia="Arial" w:hAnsi="Arial"/>
                <w:sz w:val="14"/>
                <w:szCs w:val="14"/>
                <w:color w:val="auto"/>
                <w:w w:val="93"/>
              </w:rPr>
              <w:t>Bed, Bath &amp; Beyond / DSW /</w:t>
            </w:r>
          </w:p>
        </w:tc>
      </w:tr>
      <w:tr>
        <w:trPr>
          <w:trHeight w:val="149"/>
        </w:trPr>
        <w:tc>
          <w:tcPr>
            <w:tcW w:w="14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7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TJ Maxx / Raymour &amp;</w:t>
            </w:r>
          </w:p>
        </w:tc>
      </w:tr>
      <w:tr>
        <w:trPr>
          <w:trHeight w:val="159"/>
        </w:trPr>
        <w:tc>
          <w:tcPr>
            <w:tcW w:w="14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780" w:type="dxa"/>
            <w:vAlign w:val="bottom"/>
            <w:shd w:val="clear" w:color="auto" w:fill="CCEEFF"/>
          </w:tcPr>
          <w:p>
            <w:pPr>
              <w:ind w:left="100"/>
              <w:spacing w:after="0" w:line="159" w:lineRule="exact"/>
              <w:rPr>
                <w:sz w:val="20"/>
                <w:szCs w:val="20"/>
                <w:color w:val="auto"/>
              </w:rPr>
            </w:pPr>
            <w:r>
              <w:rPr>
                <w:rFonts w:ascii="Arial" w:cs="Arial" w:eastAsia="Arial" w:hAnsi="Arial"/>
                <w:sz w:val="14"/>
                <w:szCs w:val="14"/>
                <w:color w:val="auto"/>
              </w:rPr>
              <w:t>Flanigan</w:t>
            </w:r>
          </w:p>
        </w:tc>
      </w:tr>
      <w:tr>
        <w:trPr>
          <w:trHeight w:val="149"/>
        </w:trPr>
        <w:tc>
          <w:tcPr>
            <w:tcW w:w="1460" w:type="dxa"/>
            <w:vAlign w:val="bottom"/>
          </w:tcPr>
          <w:p>
            <w:pPr>
              <w:spacing w:after="0" w:line="149" w:lineRule="exact"/>
              <w:rPr>
                <w:sz w:val="20"/>
                <w:szCs w:val="20"/>
                <w:color w:val="auto"/>
              </w:rPr>
            </w:pPr>
            <w:r>
              <w:rPr>
                <w:rFonts w:ascii="Arial" w:cs="Arial" w:eastAsia="Arial" w:hAnsi="Arial"/>
                <w:sz w:val="14"/>
                <w:szCs w:val="14"/>
                <w:color w:val="auto"/>
              </w:rPr>
              <w:t>Troy</w:t>
            </w:r>
          </w:p>
        </w:tc>
        <w:tc>
          <w:tcPr>
            <w:tcW w:w="900" w:type="dxa"/>
            <w:vAlign w:val="bottom"/>
          </w:tcPr>
          <w:p>
            <w:pPr>
              <w:spacing w:after="0"/>
              <w:rPr>
                <w:sz w:val="12"/>
                <w:szCs w:val="12"/>
                <w:color w:val="auto"/>
              </w:rPr>
            </w:pPr>
          </w:p>
        </w:tc>
        <w:tc>
          <w:tcPr>
            <w:tcW w:w="2100" w:type="dxa"/>
            <w:vAlign w:val="bottom"/>
          </w:tcPr>
          <w:p>
            <w:pPr>
              <w:ind w:left="60"/>
              <w:spacing w:after="0" w:line="149" w:lineRule="exact"/>
              <w:rPr>
                <w:sz w:val="20"/>
                <w:szCs w:val="20"/>
                <w:color w:val="auto"/>
              </w:rPr>
            </w:pPr>
            <w:r>
              <w:rPr>
                <w:rFonts w:ascii="Arial" w:cs="Arial" w:eastAsia="Arial" w:hAnsi="Arial"/>
                <w:sz w:val="14"/>
                <w:szCs w:val="14"/>
                <w:color w:val="auto"/>
              </w:rPr>
              <w:t>Newark, NJ</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1980</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25,293</w:t>
            </w:r>
          </w:p>
        </w:tc>
        <w:tc>
          <w:tcPr>
            <w:tcW w:w="9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207,000</w:t>
            </w:r>
          </w:p>
        </w:tc>
        <w:tc>
          <w:tcPr>
            <w:tcW w:w="8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86%</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64,000</w:t>
            </w:r>
          </w:p>
        </w:tc>
        <w:tc>
          <w:tcPr>
            <w:tcW w:w="800" w:type="dxa"/>
            <w:vAlign w:val="bottom"/>
          </w:tcPr>
          <w:p>
            <w:pPr>
              <w:ind w:left="40"/>
              <w:spacing w:after="0" w:line="149" w:lineRule="exact"/>
              <w:rPr>
                <w:sz w:val="20"/>
                <w:szCs w:val="20"/>
                <w:color w:val="auto"/>
              </w:rPr>
            </w:pPr>
            <w:r>
              <w:rPr>
                <w:rFonts w:ascii="Arial" w:cs="Arial" w:eastAsia="Arial" w:hAnsi="Arial"/>
                <w:sz w:val="14"/>
                <w:szCs w:val="14"/>
                <w:color w:val="auto"/>
              </w:rPr>
              <w:t>Pathmark</w:t>
            </w:r>
          </w:p>
        </w:tc>
        <w:tc>
          <w:tcPr>
            <w:tcW w:w="1780" w:type="dxa"/>
            <w:vAlign w:val="bottom"/>
          </w:tcPr>
          <w:p>
            <w:pPr>
              <w:ind w:left="100"/>
              <w:spacing w:after="0" w:line="149" w:lineRule="exact"/>
              <w:rPr>
                <w:sz w:val="20"/>
                <w:szCs w:val="20"/>
                <w:color w:val="auto"/>
              </w:rPr>
            </w:pPr>
            <w:r>
              <w:rPr>
                <w:rFonts w:ascii="Arial" w:cs="Arial" w:eastAsia="Arial" w:hAnsi="Arial"/>
                <w:sz w:val="14"/>
                <w:szCs w:val="14"/>
                <w:color w:val="auto"/>
              </w:rPr>
              <w:t>L.A. Fitness</w:t>
            </w:r>
          </w:p>
        </w:tc>
      </w:tr>
      <w:tr>
        <w:trPr>
          <w:trHeight w:val="27"/>
        </w:trPr>
        <w:tc>
          <w:tcPr>
            <w:tcW w:w="1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149"/>
        </w:trPr>
        <w:tc>
          <w:tcPr>
            <w:tcW w:w="14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10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Total New York / New Jersey</w:t>
            </w:r>
          </w:p>
        </w:tc>
        <w:tc>
          <w:tcPr>
            <w:tcW w:w="7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399,328</w:t>
            </w:r>
          </w:p>
        </w:tc>
        <w:tc>
          <w:tcPr>
            <w:tcW w:w="9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2,241,000</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97%</w:t>
            </w:r>
          </w:p>
        </w:tc>
        <w:tc>
          <w:tcPr>
            <w:tcW w:w="5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7"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Status Report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12"/>
              <w:spacing w:after="0"/>
              <w:rPr>
                <w:sz w:val="20"/>
                <w:szCs w:val="20"/>
                <w:color w:val="auto"/>
              </w:rPr>
            </w:pPr>
            <w:r>
              <w:rPr>
                <w:rFonts w:ascii="Arial" w:cs="Arial" w:eastAsia="Arial" w:hAnsi="Arial"/>
                <w:sz w:val="14"/>
                <w:szCs w:val="14"/>
                <w:b w:val="1"/>
                <w:bCs w:val="1"/>
                <w:color w:val="auto"/>
                <w:w w:val="88"/>
              </w:rPr>
              <w:t>Mortgage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88"/>
              </w:rPr>
              <w:t>and/or</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gridSpan w:val="2"/>
          </w:tcPr>
          <w:p>
            <w:pPr>
              <w:jc w:val="right"/>
              <w:ind w:right="40"/>
              <w:spacing w:after="0" w:line="149" w:lineRule="exact"/>
              <w:rPr>
                <w:sz w:val="20"/>
                <w:szCs w:val="20"/>
                <w:color w:val="auto"/>
              </w:rPr>
            </w:pPr>
            <w:r>
              <w:rPr>
                <w:rFonts w:ascii="Arial" w:cs="Arial" w:eastAsia="Arial" w:hAnsi="Arial"/>
                <w:sz w:val="14"/>
                <w:szCs w:val="14"/>
                <w:b w:val="1"/>
                <w:bCs w:val="1"/>
                <w:color w:val="auto"/>
                <w:w w:val="85"/>
              </w:rPr>
              <w:t>Grocery</w:t>
            </w:r>
          </w:p>
        </w:tc>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5"/>
              </w:rPr>
              <w:t>Year</w:t>
            </w:r>
          </w:p>
        </w:tc>
        <w:tc>
          <w:tcPr>
            <w:tcW w:w="8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Real</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89"/>
              </w:rPr>
              <w:t>Capital</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Anchor</w:t>
            </w:r>
          </w:p>
        </w:tc>
        <w:tc>
          <w:tcPr>
            <w:tcW w:w="40" w:type="dxa"/>
            <w:vAlign w:val="bottom"/>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Grocery</w:t>
            </w:r>
          </w:p>
        </w:tc>
        <w:tc>
          <w:tcPr>
            <w:tcW w:w="80" w:type="dxa"/>
            <w:vAlign w:val="bottom"/>
          </w:tcPr>
          <w:p>
            <w:pPr>
              <w:spacing w:after="0"/>
              <w:rPr>
                <w:sz w:val="12"/>
                <w:szCs w:val="12"/>
                <w:color w:val="auto"/>
              </w:rPr>
            </w:pPr>
          </w:p>
        </w:tc>
        <w:tc>
          <w:tcPr>
            <w:tcW w:w="1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Other Principal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840" w:type="dxa"/>
            <w:vAlign w:val="bottom"/>
            <w:gridSpan w:val="2"/>
          </w:tcPr>
          <w:p>
            <w:pPr>
              <w:jc w:val="center"/>
              <w:ind w:right="20"/>
              <w:spacing w:after="0" w:line="135" w:lineRule="exact"/>
              <w:rPr>
                <w:sz w:val="20"/>
                <w:szCs w:val="20"/>
                <w:color w:val="auto"/>
              </w:rPr>
            </w:pPr>
            <w:r>
              <w:rPr>
                <w:rFonts w:ascii="Arial" w:cs="Arial" w:eastAsia="Arial" w:hAnsi="Arial"/>
                <w:sz w:val="14"/>
                <w:szCs w:val="14"/>
                <w:b w:val="1"/>
                <w:bCs w:val="1"/>
                <w:color w:val="auto"/>
                <w:w w:val="90"/>
              </w:rPr>
              <w:t>Estate</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ind w:right="32"/>
              <w:spacing w:after="0" w:line="135" w:lineRule="exact"/>
              <w:rPr>
                <w:sz w:val="20"/>
                <w:szCs w:val="20"/>
                <w:color w:val="auto"/>
              </w:rPr>
            </w:pPr>
            <w:r>
              <w:rPr>
                <w:rFonts w:ascii="Arial" w:cs="Arial" w:eastAsia="Arial" w:hAnsi="Arial"/>
                <w:sz w:val="14"/>
                <w:szCs w:val="14"/>
                <w:b w:val="1"/>
                <w:bCs w:val="1"/>
                <w:color w:val="auto"/>
                <w:w w:val="85"/>
              </w:rPr>
              <w:t>Lease</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gridSpan w:val="2"/>
          </w:tcPr>
          <w:p>
            <w:pPr>
              <w:jc w:val="right"/>
              <w:ind w:right="72"/>
              <w:spacing w:after="0" w:line="135"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c>
          <w:tcPr>
            <w:tcW w:w="520" w:type="dxa"/>
            <w:vAlign w:val="bottom"/>
            <w:gridSpan w:val="2"/>
          </w:tcPr>
          <w:p>
            <w:pPr>
              <w:jc w:val="center"/>
              <w:ind w:right="40"/>
              <w:spacing w:after="0" w:line="135" w:lineRule="exact"/>
              <w:rPr>
                <w:sz w:val="20"/>
                <w:szCs w:val="20"/>
                <w:color w:val="auto"/>
              </w:rPr>
            </w:pPr>
            <w:r>
              <w:rPr>
                <w:rFonts w:ascii="Arial" w:cs="Arial" w:eastAsia="Arial" w:hAnsi="Arial"/>
                <w:sz w:val="14"/>
                <w:szCs w:val="14"/>
                <w:b w:val="1"/>
                <w:bCs w:val="1"/>
                <w:color w:val="auto"/>
                <w:w w:val="94"/>
              </w:rPr>
              <w:t>GLA</w:t>
            </w:r>
          </w:p>
        </w:tc>
        <w:tc>
          <w:tcPr>
            <w:tcW w:w="4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980" w:type="dxa"/>
            <w:vAlign w:val="bottom"/>
            <w:gridSpan w:val="8"/>
          </w:tcPr>
          <w:p>
            <w:pPr>
              <w:spacing w:after="0"/>
              <w:rPr>
                <w:sz w:val="20"/>
                <w:szCs w:val="20"/>
                <w:color w:val="auto"/>
              </w:rPr>
            </w:pPr>
            <w:r>
              <w:rPr>
                <w:rFonts w:ascii="Arial" w:cs="Arial" w:eastAsia="Arial" w:hAnsi="Arial"/>
                <w:sz w:val="14"/>
                <w:szCs w:val="14"/>
                <w:b w:val="1"/>
                <w:bCs w:val="1"/>
                <w:color w:val="auto"/>
              </w:rPr>
              <w:t>Property Name</w:t>
            </w:r>
          </w:p>
        </w:tc>
        <w:tc>
          <w:tcPr>
            <w:tcW w:w="380" w:type="dxa"/>
            <w:vAlign w:val="bottom"/>
          </w:tcPr>
          <w:p>
            <w:pPr>
              <w:spacing w:after="0"/>
              <w:rPr>
                <w:sz w:val="15"/>
                <w:szCs w:val="15"/>
                <w:color w:val="auto"/>
              </w:rPr>
            </w:pPr>
          </w:p>
        </w:tc>
        <w:tc>
          <w:tcPr>
            <w:tcW w:w="1800" w:type="dxa"/>
            <w:vAlign w:val="bottom"/>
          </w:tcPr>
          <w:p>
            <w:pPr>
              <w:ind w:left="400"/>
              <w:spacing w:after="0"/>
              <w:rPr>
                <w:sz w:val="20"/>
                <w:szCs w:val="20"/>
                <w:color w:val="auto"/>
              </w:rPr>
            </w:pPr>
            <w:r>
              <w:rPr>
                <w:rFonts w:ascii="Arial" w:cs="Arial" w:eastAsia="Arial" w:hAnsi="Arial"/>
                <w:sz w:val="14"/>
                <w:szCs w:val="14"/>
                <w:b w:val="1"/>
                <w:bCs w:val="1"/>
                <w:color w:val="auto"/>
              </w:rPr>
              <w:t>MSA Description</w:t>
            </w:r>
          </w:p>
        </w:tc>
        <w:tc>
          <w:tcPr>
            <w:tcW w:w="80" w:type="dxa"/>
            <w:vAlign w:val="bottom"/>
          </w:tcPr>
          <w:p>
            <w:pPr>
              <w:spacing w:after="0"/>
              <w:rPr>
                <w:sz w:val="15"/>
                <w:szCs w:val="15"/>
                <w:color w:val="auto"/>
              </w:rPr>
            </w:pPr>
          </w:p>
        </w:tc>
        <w:tc>
          <w:tcPr>
            <w:tcW w:w="7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Acquired</w:t>
            </w:r>
          </w:p>
        </w:tc>
        <w:tc>
          <w:tcPr>
            <w:tcW w:w="8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8"/>
              </w:rPr>
              <w:t>at Cost</w:t>
            </w:r>
          </w:p>
        </w:tc>
        <w:tc>
          <w:tcPr>
            <w:tcW w:w="60" w:type="dxa"/>
            <w:vAlign w:val="bottom"/>
          </w:tcPr>
          <w:p>
            <w:pPr>
              <w:spacing w:after="0"/>
              <w:rPr>
                <w:sz w:val="15"/>
                <w:szCs w:val="15"/>
                <w:color w:val="auto"/>
              </w:rPr>
            </w:pP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Obligation (1)</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GLA (2)</w:t>
            </w:r>
          </w:p>
        </w:tc>
        <w:tc>
          <w:tcPr>
            <w:tcW w:w="7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2"/>
              </w:rPr>
              <w:t>Leased</w:t>
            </w: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93"/>
              </w:rPr>
              <w:t>(3)</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8"/>
              </w:rPr>
              <w:t>Anchor (3)</w:t>
            </w:r>
          </w:p>
        </w:tc>
        <w:tc>
          <w:tcPr>
            <w:tcW w:w="80" w:type="dxa"/>
            <w:vAlign w:val="bottom"/>
          </w:tcPr>
          <w:p>
            <w:pPr>
              <w:spacing w:after="0"/>
              <w:rPr>
                <w:sz w:val="15"/>
                <w:szCs w:val="15"/>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81"/>
              </w:rPr>
              <w:t>Tenants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8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7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60" w:type="dxa"/>
            <w:vAlign w:val="bottom"/>
            <w:gridSpan w:val="7"/>
            <w:shd w:val="clear" w:color="auto" w:fill="CCEEFF"/>
          </w:tcPr>
          <w:p>
            <w:pPr>
              <w:spacing w:after="0" w:line="135" w:lineRule="exact"/>
              <w:rPr>
                <w:sz w:val="20"/>
                <w:szCs w:val="20"/>
                <w:color w:val="auto"/>
              </w:rPr>
            </w:pPr>
            <w:r>
              <w:rPr>
                <w:rFonts w:ascii="Arial" w:cs="Arial" w:eastAsia="Arial" w:hAnsi="Arial"/>
                <w:sz w:val="14"/>
                <w:szCs w:val="14"/>
                <w:b w:val="1"/>
                <w:bCs w:val="1"/>
                <w:color w:val="auto"/>
              </w:rPr>
              <w:t>New England</w:t>
            </w:r>
          </w:p>
        </w:tc>
        <w:tc>
          <w:tcPr>
            <w:tcW w:w="38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8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7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vMerge w:val="continue"/>
          </w:tcPr>
          <w:p>
            <w:pPr>
              <w:spacing w:after="0"/>
              <w:rPr>
                <w:sz w:val="11"/>
                <w:szCs w:val="11"/>
                <w:color w:val="auto"/>
              </w:rPr>
            </w:pPr>
          </w:p>
        </w:tc>
        <w:tc>
          <w:tcPr>
            <w:tcW w:w="1960" w:type="dxa"/>
            <w:vAlign w:val="bottom"/>
            <w:gridSpan w:val="7"/>
          </w:tcPr>
          <w:p>
            <w:pPr>
              <w:spacing w:after="0" w:line="131" w:lineRule="exact"/>
              <w:rPr>
                <w:sz w:val="20"/>
                <w:szCs w:val="20"/>
                <w:color w:val="auto"/>
              </w:rPr>
            </w:pPr>
            <w:r>
              <w:rPr>
                <w:rFonts w:ascii="Arial" w:cs="Arial" w:eastAsia="Arial" w:hAnsi="Arial"/>
                <w:sz w:val="14"/>
                <w:szCs w:val="14"/>
                <w:color w:val="auto"/>
              </w:rPr>
              <w:t>Assembly Square</w:t>
            </w:r>
          </w:p>
        </w:tc>
        <w:tc>
          <w:tcPr>
            <w:tcW w:w="380" w:type="dxa"/>
            <w:vAlign w:val="bottom"/>
          </w:tcPr>
          <w:p>
            <w:pPr>
              <w:spacing w:after="0"/>
              <w:rPr>
                <w:sz w:val="11"/>
                <w:szCs w:val="11"/>
                <w:color w:val="auto"/>
              </w:rPr>
            </w:pPr>
          </w:p>
        </w:tc>
        <w:tc>
          <w:tcPr>
            <w:tcW w:w="1800" w:type="dxa"/>
            <w:vAlign w:val="bottom"/>
          </w:tcPr>
          <w:p>
            <w:pPr>
              <w:spacing w:after="0" w:line="131" w:lineRule="exact"/>
              <w:rPr>
                <w:sz w:val="20"/>
                <w:szCs w:val="20"/>
                <w:color w:val="auto"/>
              </w:rPr>
            </w:pPr>
            <w:r>
              <w:rPr>
                <w:rFonts w:ascii="Arial" w:cs="Arial" w:eastAsia="Arial" w:hAnsi="Arial"/>
                <w:sz w:val="14"/>
                <w:szCs w:val="14"/>
                <w:color w:val="auto"/>
                <w:w w:val="89"/>
              </w:rPr>
              <w:t>Boston-Cambridge-Quincy, MA-</w:t>
            </w:r>
          </w:p>
        </w:tc>
        <w:tc>
          <w:tcPr>
            <w:tcW w:w="820" w:type="dxa"/>
            <w:vAlign w:val="bottom"/>
            <w:gridSpan w:val="3"/>
          </w:tcPr>
          <w:p>
            <w:pPr>
              <w:jc w:val="right"/>
              <w:ind w:right="80"/>
              <w:spacing w:after="0" w:line="131" w:lineRule="exact"/>
              <w:rPr>
                <w:sz w:val="20"/>
                <w:szCs w:val="20"/>
                <w:color w:val="auto"/>
              </w:rPr>
            </w:pPr>
            <w:r>
              <w:rPr>
                <w:rFonts w:ascii="Arial" w:cs="Arial" w:eastAsia="Arial" w:hAnsi="Arial"/>
                <w:sz w:val="14"/>
                <w:szCs w:val="14"/>
                <w:color w:val="auto"/>
              </w:rPr>
              <w:t>2005-2009</w:t>
            </w:r>
          </w:p>
        </w:tc>
        <w:tc>
          <w:tcPr>
            <w:tcW w:w="840" w:type="dxa"/>
            <w:vAlign w:val="bottom"/>
            <w:gridSpan w:val="2"/>
          </w:tcPr>
          <w:p>
            <w:pPr>
              <w:jc w:val="right"/>
              <w:ind w:right="20"/>
              <w:spacing w:after="0" w:line="131" w:lineRule="exact"/>
              <w:rPr>
                <w:sz w:val="20"/>
                <w:szCs w:val="20"/>
                <w:color w:val="auto"/>
              </w:rPr>
            </w:pPr>
            <w:r>
              <w:rPr>
                <w:rFonts w:ascii="Arial" w:cs="Arial" w:eastAsia="Arial" w:hAnsi="Arial"/>
                <w:sz w:val="14"/>
                <w:szCs w:val="14"/>
                <w:color w:val="auto"/>
              </w:rPr>
              <w:t>173,430</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jc w:val="right"/>
              <w:spacing w:after="0" w:line="131" w:lineRule="exact"/>
              <w:rPr>
                <w:sz w:val="20"/>
                <w:szCs w:val="20"/>
                <w:color w:val="auto"/>
              </w:rPr>
            </w:pPr>
            <w:r>
              <w:rPr>
                <w:rFonts w:ascii="Arial" w:cs="Arial" w:eastAsia="Arial" w:hAnsi="Arial"/>
                <w:sz w:val="14"/>
                <w:szCs w:val="14"/>
                <w:color w:val="auto"/>
              </w:rPr>
              <w:t>332,000</w:t>
            </w:r>
          </w:p>
        </w:tc>
        <w:tc>
          <w:tcPr>
            <w:tcW w:w="740" w:type="dxa"/>
            <w:vAlign w:val="bottom"/>
            <w:gridSpan w:val="3"/>
          </w:tcPr>
          <w:p>
            <w:pPr>
              <w:jc w:val="right"/>
              <w:ind w:right="140"/>
              <w:spacing w:after="0" w:line="131" w:lineRule="exact"/>
              <w:rPr>
                <w:sz w:val="20"/>
                <w:szCs w:val="20"/>
                <w:color w:val="auto"/>
              </w:rPr>
            </w:pPr>
            <w:r>
              <w:rPr>
                <w:rFonts w:ascii="Arial" w:cs="Arial" w:eastAsia="Arial" w:hAnsi="Arial"/>
                <w:sz w:val="14"/>
                <w:szCs w:val="14"/>
                <w:color w:val="auto"/>
              </w:rPr>
              <w:t>100%</w:t>
            </w: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40" w:type="dxa"/>
            <w:vAlign w:val="bottom"/>
            <w:gridSpan w:val="2"/>
          </w:tcPr>
          <w:p>
            <w:pPr>
              <w:ind w:left="80"/>
              <w:spacing w:after="0" w:line="131" w:lineRule="exact"/>
              <w:rPr>
                <w:sz w:val="20"/>
                <w:szCs w:val="20"/>
                <w:color w:val="auto"/>
              </w:rPr>
            </w:pPr>
            <w:r>
              <w:rPr>
                <w:rFonts w:ascii="Arial" w:cs="Arial" w:eastAsia="Arial" w:hAnsi="Arial"/>
                <w:sz w:val="14"/>
                <w:szCs w:val="14"/>
                <w:color w:val="auto"/>
              </w:rPr>
              <w:t>AC Moore / Bed, Bath &amp;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0" w:type="dxa"/>
            <w:vAlign w:val="bottom"/>
          </w:tcPr>
          <w:p>
            <w:pPr>
              <w:spacing w:after="0" w:line="149" w:lineRule="exact"/>
              <w:rPr>
                <w:sz w:val="20"/>
                <w:szCs w:val="20"/>
                <w:color w:val="auto"/>
              </w:rPr>
            </w:pPr>
            <w:r>
              <w:rPr>
                <w:rFonts w:ascii="Arial" w:cs="Arial" w:eastAsia="Arial" w:hAnsi="Arial"/>
                <w:sz w:val="14"/>
                <w:szCs w:val="14"/>
                <w:color w:val="auto"/>
              </w:rPr>
              <w:t>NH</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4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87"/>
              </w:rPr>
              <w:t>Beyond / Christmas Tree Shops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 Kmart / Staples / Sports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4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Authority / TJ Maxx</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60" w:type="dxa"/>
            <w:vAlign w:val="bottom"/>
            <w:gridSpan w:val="7"/>
            <w:shd w:val="clear" w:color="auto" w:fill="CCEEFF"/>
          </w:tcPr>
          <w:p>
            <w:pPr>
              <w:spacing w:after="0" w:line="138" w:lineRule="exact"/>
              <w:rPr>
                <w:sz w:val="20"/>
                <w:szCs w:val="20"/>
                <w:color w:val="auto"/>
              </w:rPr>
            </w:pPr>
            <w:r>
              <w:rPr>
                <w:rFonts w:ascii="Arial" w:cs="Arial" w:eastAsia="Arial" w:hAnsi="Arial"/>
                <w:sz w:val="14"/>
                <w:szCs w:val="14"/>
                <w:color w:val="auto"/>
              </w:rPr>
              <w:t>Chelsea Commons</w:t>
            </w:r>
          </w:p>
        </w:tc>
        <w:tc>
          <w:tcPr>
            <w:tcW w:w="38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89"/>
              </w:rPr>
              <w:t>Boston-Cambridge-Quincy, MA-</w:t>
            </w:r>
          </w:p>
        </w:tc>
        <w:tc>
          <w:tcPr>
            <w:tcW w:w="820" w:type="dxa"/>
            <w:vAlign w:val="bottom"/>
            <w:gridSpan w:val="3"/>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2006-2008</w:t>
            </w:r>
          </w:p>
        </w:tc>
        <w:tc>
          <w:tcPr>
            <w:tcW w:w="84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4"/>
                <w:szCs w:val="14"/>
                <w:color w:val="auto"/>
              </w:rPr>
              <w:t>29,832</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7,912</w:t>
            </w:r>
          </w:p>
        </w:tc>
        <w:tc>
          <w:tcPr>
            <w:tcW w:w="7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222,000</w:t>
            </w:r>
          </w:p>
        </w:tc>
        <w:tc>
          <w:tcPr>
            <w:tcW w:w="740" w:type="dxa"/>
            <w:vAlign w:val="bottom"/>
            <w:gridSpan w:val="3"/>
            <w:shd w:val="clear" w:color="auto" w:fill="CCEEFF"/>
          </w:tcPr>
          <w:p>
            <w:pPr>
              <w:jc w:val="right"/>
              <w:ind w:right="140"/>
              <w:spacing w:after="0" w:line="138" w:lineRule="exact"/>
              <w:rPr>
                <w:sz w:val="20"/>
                <w:szCs w:val="20"/>
                <w:color w:val="auto"/>
              </w:rPr>
            </w:pPr>
            <w:r>
              <w:rPr>
                <w:rFonts w:ascii="Arial" w:cs="Arial" w:eastAsia="Arial" w:hAnsi="Arial"/>
                <w:sz w:val="14"/>
                <w:szCs w:val="14"/>
                <w:color w:val="auto"/>
              </w:rPr>
              <w:t>99%</w:t>
            </w:r>
          </w:p>
        </w:tc>
        <w:tc>
          <w:tcPr>
            <w:tcW w:w="520" w:type="dxa"/>
            <w:vAlign w:val="bottom"/>
            <w:gridSpan w:val="2"/>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rPr>
              <w:t>16,000</w:t>
            </w:r>
          </w:p>
        </w:tc>
        <w:tc>
          <w:tcPr>
            <w:tcW w:w="920" w:type="dxa"/>
            <w:vAlign w:val="bottom"/>
            <w:gridSpan w:val="2"/>
            <w:shd w:val="clear" w:color="auto" w:fill="CCEEFF"/>
          </w:tcPr>
          <w:p>
            <w:pPr>
              <w:ind w:left="40"/>
              <w:spacing w:after="0" w:line="138" w:lineRule="exact"/>
              <w:rPr>
                <w:sz w:val="20"/>
                <w:szCs w:val="20"/>
                <w:color w:val="auto"/>
              </w:rPr>
            </w:pPr>
            <w:r>
              <w:rPr>
                <w:rFonts w:ascii="Arial" w:cs="Arial" w:eastAsia="Arial" w:hAnsi="Arial"/>
                <w:sz w:val="14"/>
                <w:szCs w:val="14"/>
                <w:color w:val="auto"/>
              </w:rPr>
              <w:t>Sav-A-Lot</w:t>
            </w:r>
          </w:p>
        </w:tc>
        <w:tc>
          <w:tcPr>
            <w:tcW w:w="1840" w:type="dxa"/>
            <w:vAlign w:val="bottom"/>
            <w:gridSpan w:val="2"/>
            <w:shd w:val="clear" w:color="auto" w:fill="CCEEFF"/>
          </w:tcPr>
          <w:p>
            <w:pPr>
              <w:ind w:left="80"/>
              <w:spacing w:after="0" w:line="138" w:lineRule="exact"/>
              <w:rPr>
                <w:sz w:val="20"/>
                <w:szCs w:val="20"/>
                <w:color w:val="auto"/>
              </w:rPr>
            </w:pPr>
            <w:r>
              <w:rPr>
                <w:rFonts w:ascii="Arial" w:cs="Arial" w:eastAsia="Arial" w:hAnsi="Arial"/>
                <w:sz w:val="14"/>
                <w:szCs w:val="14"/>
                <w:color w:val="auto"/>
              </w:rPr>
              <w:t>Home Depot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NH</w:t>
            </w: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60" w:type="dxa"/>
            <w:vAlign w:val="bottom"/>
            <w:gridSpan w:val="7"/>
          </w:tcPr>
          <w:p>
            <w:pPr>
              <w:spacing w:after="0" w:line="138" w:lineRule="exact"/>
              <w:rPr>
                <w:sz w:val="20"/>
                <w:szCs w:val="20"/>
                <w:color w:val="auto"/>
              </w:rPr>
            </w:pPr>
            <w:r>
              <w:rPr>
                <w:rFonts w:ascii="Arial" w:cs="Arial" w:eastAsia="Arial" w:hAnsi="Arial"/>
                <w:sz w:val="14"/>
                <w:szCs w:val="14"/>
                <w:color w:val="auto"/>
              </w:rPr>
              <w:t>Dedham Plaza</w:t>
            </w:r>
          </w:p>
        </w:tc>
        <w:tc>
          <w:tcPr>
            <w:tcW w:w="380" w:type="dxa"/>
            <w:vAlign w:val="bottom"/>
          </w:tcPr>
          <w:p>
            <w:pPr>
              <w:spacing w:after="0"/>
              <w:rPr>
                <w:sz w:val="11"/>
                <w:szCs w:val="11"/>
                <w:color w:val="auto"/>
              </w:rPr>
            </w:pPr>
          </w:p>
        </w:tc>
        <w:tc>
          <w:tcPr>
            <w:tcW w:w="1800" w:type="dxa"/>
            <w:vAlign w:val="bottom"/>
          </w:tcPr>
          <w:p>
            <w:pPr>
              <w:spacing w:after="0" w:line="138" w:lineRule="exact"/>
              <w:rPr>
                <w:sz w:val="20"/>
                <w:szCs w:val="20"/>
                <w:color w:val="auto"/>
              </w:rPr>
            </w:pPr>
            <w:r>
              <w:rPr>
                <w:rFonts w:ascii="Arial" w:cs="Arial" w:eastAsia="Arial" w:hAnsi="Arial"/>
                <w:sz w:val="14"/>
                <w:szCs w:val="14"/>
                <w:color w:val="auto"/>
                <w:w w:val="89"/>
              </w:rPr>
              <w:t>Boston-Cambridge-Quincy, MA-</w:t>
            </w:r>
          </w:p>
        </w:tc>
        <w:tc>
          <w:tcPr>
            <w:tcW w:w="82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rPr>
              <w:t>1993</w:t>
            </w:r>
          </w:p>
        </w:tc>
        <w:tc>
          <w:tcPr>
            <w:tcW w:w="840" w:type="dxa"/>
            <w:vAlign w:val="bottom"/>
            <w:gridSpan w:val="2"/>
          </w:tcPr>
          <w:p>
            <w:pPr>
              <w:jc w:val="right"/>
              <w:ind w:right="20"/>
              <w:spacing w:after="0" w:line="138" w:lineRule="exact"/>
              <w:rPr>
                <w:sz w:val="20"/>
                <w:szCs w:val="20"/>
                <w:color w:val="auto"/>
              </w:rPr>
            </w:pPr>
            <w:r>
              <w:rPr>
                <w:rFonts w:ascii="Arial" w:cs="Arial" w:eastAsia="Arial" w:hAnsi="Arial"/>
                <w:sz w:val="14"/>
                <w:szCs w:val="14"/>
                <w:color w:val="auto"/>
              </w:rPr>
              <w:t>32,276</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242,000</w:t>
            </w:r>
          </w:p>
        </w:tc>
        <w:tc>
          <w:tcPr>
            <w:tcW w:w="740" w:type="dxa"/>
            <w:vAlign w:val="bottom"/>
            <w:gridSpan w:val="3"/>
          </w:tcPr>
          <w:p>
            <w:pPr>
              <w:jc w:val="right"/>
              <w:ind w:right="140"/>
              <w:spacing w:after="0" w:line="138" w:lineRule="exact"/>
              <w:rPr>
                <w:sz w:val="20"/>
                <w:szCs w:val="20"/>
                <w:color w:val="auto"/>
              </w:rPr>
            </w:pPr>
            <w:r>
              <w:rPr>
                <w:rFonts w:ascii="Arial" w:cs="Arial" w:eastAsia="Arial" w:hAnsi="Arial"/>
                <w:sz w:val="14"/>
                <w:szCs w:val="14"/>
                <w:color w:val="auto"/>
              </w:rPr>
              <w:t>91%</w:t>
            </w:r>
          </w:p>
        </w:tc>
        <w:tc>
          <w:tcPr>
            <w:tcW w:w="520" w:type="dxa"/>
            <w:vAlign w:val="bottom"/>
            <w:gridSpan w:val="2"/>
          </w:tcPr>
          <w:p>
            <w:pPr>
              <w:jc w:val="right"/>
              <w:ind w:right="40"/>
              <w:spacing w:after="0" w:line="138" w:lineRule="exact"/>
              <w:rPr>
                <w:sz w:val="20"/>
                <w:szCs w:val="20"/>
                <w:color w:val="auto"/>
              </w:rPr>
            </w:pPr>
            <w:r>
              <w:rPr>
                <w:rFonts w:ascii="Arial" w:cs="Arial" w:eastAsia="Arial" w:hAnsi="Arial"/>
                <w:sz w:val="14"/>
                <w:szCs w:val="14"/>
                <w:color w:val="auto"/>
              </w:rPr>
              <w:t>80,000</w:t>
            </w:r>
          </w:p>
        </w:tc>
        <w:tc>
          <w:tcPr>
            <w:tcW w:w="920" w:type="dxa"/>
            <w:vAlign w:val="bottom"/>
            <w:gridSpan w:val="2"/>
          </w:tcPr>
          <w:p>
            <w:pPr>
              <w:ind w:left="40"/>
              <w:spacing w:after="0" w:line="138" w:lineRule="exact"/>
              <w:rPr>
                <w:sz w:val="20"/>
                <w:szCs w:val="20"/>
                <w:color w:val="auto"/>
              </w:rPr>
            </w:pPr>
            <w:r>
              <w:rPr>
                <w:rFonts w:ascii="Arial" w:cs="Arial" w:eastAsia="Arial" w:hAnsi="Arial"/>
                <w:sz w:val="14"/>
                <w:szCs w:val="14"/>
                <w:color w:val="auto"/>
              </w:rPr>
              <w:t>Star Market</w:t>
            </w:r>
          </w:p>
        </w:tc>
        <w:tc>
          <w:tcPr>
            <w:tcW w:w="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0" w:type="dxa"/>
            <w:vAlign w:val="bottom"/>
          </w:tcPr>
          <w:p>
            <w:pPr>
              <w:spacing w:after="0" w:line="159" w:lineRule="exact"/>
              <w:rPr>
                <w:sz w:val="20"/>
                <w:szCs w:val="20"/>
                <w:color w:val="auto"/>
              </w:rPr>
            </w:pPr>
            <w:r>
              <w:rPr>
                <w:rFonts w:ascii="Arial" w:cs="Arial" w:eastAsia="Arial" w:hAnsi="Arial"/>
                <w:sz w:val="14"/>
                <w:szCs w:val="14"/>
                <w:color w:val="auto"/>
              </w:rPr>
              <w:t>NH</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60" w:type="dxa"/>
            <w:vAlign w:val="bottom"/>
            <w:gridSpan w:val="7"/>
            <w:shd w:val="clear" w:color="auto" w:fill="CCEEFF"/>
          </w:tcPr>
          <w:p>
            <w:pPr>
              <w:spacing w:after="0" w:line="138" w:lineRule="exact"/>
              <w:rPr>
                <w:sz w:val="20"/>
                <w:szCs w:val="20"/>
                <w:color w:val="auto"/>
              </w:rPr>
            </w:pPr>
            <w:r>
              <w:rPr>
                <w:rFonts w:ascii="Arial" w:cs="Arial" w:eastAsia="Arial" w:hAnsi="Arial"/>
                <w:sz w:val="14"/>
                <w:szCs w:val="14"/>
                <w:color w:val="auto"/>
              </w:rPr>
              <w:t>Linden Square</w:t>
            </w:r>
          </w:p>
        </w:tc>
        <w:tc>
          <w:tcPr>
            <w:tcW w:w="38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89"/>
              </w:rPr>
              <w:t>Boston-Cambridge-Quincy, MA-</w:t>
            </w:r>
          </w:p>
        </w:tc>
        <w:tc>
          <w:tcPr>
            <w:tcW w:w="820" w:type="dxa"/>
            <w:vAlign w:val="bottom"/>
            <w:gridSpan w:val="3"/>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2006</w:t>
            </w:r>
          </w:p>
        </w:tc>
        <w:tc>
          <w:tcPr>
            <w:tcW w:w="84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4"/>
                <w:szCs w:val="14"/>
                <w:color w:val="auto"/>
              </w:rPr>
              <w:t>143,022</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218,000</w:t>
            </w:r>
          </w:p>
        </w:tc>
        <w:tc>
          <w:tcPr>
            <w:tcW w:w="740" w:type="dxa"/>
            <w:vAlign w:val="bottom"/>
            <w:gridSpan w:val="3"/>
            <w:shd w:val="clear" w:color="auto" w:fill="CCEEFF"/>
          </w:tcPr>
          <w:p>
            <w:pPr>
              <w:jc w:val="right"/>
              <w:ind w:right="140"/>
              <w:spacing w:after="0" w:line="138" w:lineRule="exact"/>
              <w:rPr>
                <w:sz w:val="20"/>
                <w:szCs w:val="20"/>
                <w:color w:val="auto"/>
              </w:rPr>
            </w:pPr>
            <w:r>
              <w:rPr>
                <w:rFonts w:ascii="Arial" w:cs="Arial" w:eastAsia="Arial" w:hAnsi="Arial"/>
                <w:sz w:val="14"/>
                <w:szCs w:val="14"/>
                <w:color w:val="auto"/>
              </w:rPr>
              <w:t>91%</w:t>
            </w:r>
          </w:p>
        </w:tc>
        <w:tc>
          <w:tcPr>
            <w:tcW w:w="520" w:type="dxa"/>
            <w:vAlign w:val="bottom"/>
            <w:gridSpan w:val="2"/>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rPr>
              <w:t>50,000</w:t>
            </w:r>
          </w:p>
        </w:tc>
        <w:tc>
          <w:tcPr>
            <w:tcW w:w="920" w:type="dxa"/>
            <w:vAlign w:val="bottom"/>
            <w:gridSpan w:val="2"/>
            <w:shd w:val="clear" w:color="auto" w:fill="CCEEFF"/>
          </w:tcPr>
          <w:p>
            <w:pPr>
              <w:ind w:left="40"/>
              <w:spacing w:after="0" w:line="138" w:lineRule="exact"/>
              <w:rPr>
                <w:sz w:val="20"/>
                <w:szCs w:val="20"/>
                <w:color w:val="auto"/>
              </w:rPr>
            </w:pPr>
            <w:r>
              <w:rPr>
                <w:rFonts w:ascii="Arial" w:cs="Arial" w:eastAsia="Arial" w:hAnsi="Arial"/>
                <w:sz w:val="14"/>
                <w:szCs w:val="14"/>
                <w:color w:val="auto"/>
                <w:w w:val="88"/>
              </w:rPr>
              <w:t>Roche Brothers</w:t>
            </w:r>
          </w:p>
        </w:tc>
        <w:tc>
          <w:tcPr>
            <w:tcW w:w="1840" w:type="dxa"/>
            <w:vAlign w:val="bottom"/>
            <w:gridSpan w:val="2"/>
            <w:shd w:val="clear" w:color="auto" w:fill="CCEEFF"/>
          </w:tcPr>
          <w:p>
            <w:pPr>
              <w:ind w:left="80"/>
              <w:spacing w:after="0" w:line="138" w:lineRule="exact"/>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NH</w:t>
            </w: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920" w:type="dxa"/>
            <w:vAlign w:val="bottom"/>
            <w:gridSpan w:val="2"/>
            <w:shd w:val="clear" w:color="auto" w:fill="CCEEFF"/>
          </w:tcPr>
          <w:p>
            <w:pPr>
              <w:ind w:left="40"/>
              <w:spacing w:after="0" w:line="159" w:lineRule="exact"/>
              <w:rPr>
                <w:sz w:val="20"/>
                <w:szCs w:val="20"/>
                <w:color w:val="auto"/>
              </w:rPr>
            </w:pPr>
            <w:r>
              <w:rPr>
                <w:rFonts w:ascii="Arial" w:cs="Arial" w:eastAsia="Arial" w:hAnsi="Arial"/>
                <w:sz w:val="14"/>
                <w:szCs w:val="14"/>
                <w:color w:val="auto"/>
                <w:w w:val="98"/>
              </w:rPr>
              <w:t>Supermarkets</w:t>
            </w:r>
          </w:p>
        </w:tc>
        <w:tc>
          <w:tcPr>
            <w:tcW w:w="8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60" w:type="dxa"/>
            <w:vAlign w:val="bottom"/>
            <w:gridSpan w:val="7"/>
          </w:tcPr>
          <w:p>
            <w:pPr>
              <w:spacing w:after="0" w:line="138" w:lineRule="exact"/>
              <w:rPr>
                <w:sz w:val="20"/>
                <w:szCs w:val="20"/>
                <w:color w:val="auto"/>
              </w:rPr>
            </w:pPr>
            <w:r>
              <w:rPr>
                <w:rFonts w:ascii="Arial" w:cs="Arial" w:eastAsia="Arial" w:hAnsi="Arial"/>
                <w:sz w:val="14"/>
                <w:szCs w:val="14"/>
                <w:color w:val="auto"/>
              </w:rPr>
              <w:t>North Dartmouth</w:t>
            </w:r>
          </w:p>
        </w:tc>
        <w:tc>
          <w:tcPr>
            <w:tcW w:w="380" w:type="dxa"/>
            <w:vAlign w:val="bottom"/>
          </w:tcPr>
          <w:p>
            <w:pPr>
              <w:spacing w:after="0"/>
              <w:rPr>
                <w:sz w:val="11"/>
                <w:szCs w:val="11"/>
                <w:color w:val="auto"/>
              </w:rPr>
            </w:pPr>
          </w:p>
        </w:tc>
        <w:tc>
          <w:tcPr>
            <w:tcW w:w="1800" w:type="dxa"/>
            <w:vAlign w:val="bottom"/>
          </w:tcPr>
          <w:p>
            <w:pPr>
              <w:spacing w:after="0" w:line="138" w:lineRule="exact"/>
              <w:rPr>
                <w:sz w:val="20"/>
                <w:szCs w:val="20"/>
                <w:color w:val="auto"/>
              </w:rPr>
            </w:pPr>
            <w:r>
              <w:rPr>
                <w:rFonts w:ascii="Arial" w:cs="Arial" w:eastAsia="Arial" w:hAnsi="Arial"/>
                <w:sz w:val="14"/>
                <w:szCs w:val="14"/>
                <w:color w:val="auto"/>
                <w:w w:val="89"/>
              </w:rPr>
              <w:t>Boston-Cambridge-Quincy, MA-</w:t>
            </w:r>
          </w:p>
        </w:tc>
        <w:tc>
          <w:tcPr>
            <w:tcW w:w="82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rPr>
              <w:t>2006</w:t>
            </w:r>
          </w:p>
        </w:tc>
        <w:tc>
          <w:tcPr>
            <w:tcW w:w="840" w:type="dxa"/>
            <w:vAlign w:val="bottom"/>
            <w:gridSpan w:val="2"/>
          </w:tcPr>
          <w:p>
            <w:pPr>
              <w:jc w:val="right"/>
              <w:ind w:right="20"/>
              <w:spacing w:after="0" w:line="138" w:lineRule="exact"/>
              <w:rPr>
                <w:sz w:val="20"/>
                <w:szCs w:val="20"/>
                <w:color w:val="auto"/>
              </w:rPr>
            </w:pPr>
            <w:r>
              <w:rPr>
                <w:rFonts w:ascii="Arial" w:cs="Arial" w:eastAsia="Arial" w:hAnsi="Arial"/>
                <w:sz w:val="14"/>
                <w:szCs w:val="14"/>
                <w:color w:val="auto"/>
              </w:rPr>
              <w:t>9,368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48,000</w:t>
            </w:r>
          </w:p>
        </w:tc>
        <w:tc>
          <w:tcPr>
            <w:tcW w:w="740" w:type="dxa"/>
            <w:vAlign w:val="bottom"/>
            <w:gridSpan w:val="3"/>
          </w:tcPr>
          <w:p>
            <w:pPr>
              <w:jc w:val="right"/>
              <w:ind w:right="140"/>
              <w:spacing w:after="0" w:line="138" w:lineRule="exact"/>
              <w:rPr>
                <w:sz w:val="20"/>
                <w:szCs w:val="20"/>
                <w:color w:val="auto"/>
              </w:rPr>
            </w:pPr>
            <w:r>
              <w:rPr>
                <w:rFonts w:ascii="Arial" w:cs="Arial" w:eastAsia="Arial" w:hAnsi="Arial"/>
                <w:sz w:val="14"/>
                <w:szCs w:val="14"/>
                <w:color w:val="auto"/>
              </w:rPr>
              <w:t>100%</w:t>
            </w:r>
          </w:p>
        </w:tc>
        <w:tc>
          <w:tcPr>
            <w:tcW w:w="520" w:type="dxa"/>
            <w:vAlign w:val="bottom"/>
            <w:gridSpan w:val="2"/>
          </w:tcPr>
          <w:p>
            <w:pPr>
              <w:jc w:val="right"/>
              <w:ind w:right="40"/>
              <w:spacing w:after="0" w:line="138" w:lineRule="exact"/>
              <w:rPr>
                <w:sz w:val="20"/>
                <w:szCs w:val="20"/>
                <w:color w:val="auto"/>
              </w:rPr>
            </w:pPr>
            <w:r>
              <w:rPr>
                <w:rFonts w:ascii="Arial" w:cs="Arial" w:eastAsia="Arial" w:hAnsi="Arial"/>
                <w:sz w:val="14"/>
                <w:szCs w:val="14"/>
                <w:color w:val="auto"/>
              </w:rPr>
              <w:t>48,000</w:t>
            </w:r>
          </w:p>
        </w:tc>
        <w:tc>
          <w:tcPr>
            <w:tcW w:w="920" w:type="dxa"/>
            <w:vAlign w:val="bottom"/>
            <w:gridSpan w:val="2"/>
          </w:tcPr>
          <w:p>
            <w:pPr>
              <w:ind w:left="40"/>
              <w:spacing w:after="0" w:line="138" w:lineRule="exact"/>
              <w:rPr>
                <w:sz w:val="20"/>
                <w:szCs w:val="20"/>
                <w:color w:val="auto"/>
              </w:rPr>
            </w:pPr>
            <w:r>
              <w:rPr>
                <w:rFonts w:ascii="Arial" w:cs="Arial" w:eastAsia="Arial" w:hAnsi="Arial"/>
                <w:sz w:val="14"/>
                <w:szCs w:val="14"/>
                <w:color w:val="auto"/>
              </w:rPr>
              <w:t>Stop &amp; Shop</w:t>
            </w:r>
          </w:p>
        </w:tc>
        <w:tc>
          <w:tcPr>
            <w:tcW w:w="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0" w:type="dxa"/>
            <w:vAlign w:val="bottom"/>
          </w:tcPr>
          <w:p>
            <w:pPr>
              <w:spacing w:after="0" w:line="159" w:lineRule="exact"/>
              <w:rPr>
                <w:sz w:val="20"/>
                <w:szCs w:val="20"/>
                <w:color w:val="auto"/>
              </w:rPr>
            </w:pPr>
            <w:r>
              <w:rPr>
                <w:rFonts w:ascii="Arial" w:cs="Arial" w:eastAsia="Arial" w:hAnsi="Arial"/>
                <w:sz w:val="14"/>
                <w:szCs w:val="14"/>
                <w:color w:val="auto"/>
              </w:rPr>
              <w:t>NH</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1960" w:type="dxa"/>
            <w:vAlign w:val="bottom"/>
            <w:gridSpan w:val="7"/>
          </w:tcPr>
          <w:p>
            <w:pPr>
              <w:spacing w:after="0" w:line="138" w:lineRule="exact"/>
              <w:rPr>
                <w:sz w:val="20"/>
                <w:szCs w:val="20"/>
                <w:color w:val="auto"/>
              </w:rPr>
            </w:pPr>
            <w:r>
              <w:rPr>
                <w:rFonts w:ascii="Arial" w:cs="Arial" w:eastAsia="Arial" w:hAnsi="Arial"/>
                <w:sz w:val="14"/>
                <w:szCs w:val="14"/>
                <w:color w:val="auto"/>
              </w:rPr>
              <w:t>Queen Anne Plaza</w:t>
            </w:r>
          </w:p>
        </w:tc>
        <w:tc>
          <w:tcPr>
            <w:tcW w:w="380" w:type="dxa"/>
            <w:vAlign w:val="bottom"/>
          </w:tcPr>
          <w:p>
            <w:pPr>
              <w:spacing w:after="0"/>
              <w:rPr>
                <w:sz w:val="11"/>
                <w:szCs w:val="11"/>
                <w:color w:val="auto"/>
              </w:rPr>
            </w:pPr>
          </w:p>
        </w:tc>
        <w:tc>
          <w:tcPr>
            <w:tcW w:w="1800" w:type="dxa"/>
            <w:vAlign w:val="bottom"/>
          </w:tcPr>
          <w:p>
            <w:pPr>
              <w:spacing w:after="0" w:line="138" w:lineRule="exact"/>
              <w:rPr>
                <w:sz w:val="20"/>
                <w:szCs w:val="20"/>
                <w:color w:val="auto"/>
              </w:rPr>
            </w:pPr>
            <w:r>
              <w:rPr>
                <w:rFonts w:ascii="Arial" w:cs="Arial" w:eastAsia="Arial" w:hAnsi="Arial"/>
                <w:sz w:val="14"/>
                <w:szCs w:val="14"/>
                <w:color w:val="auto"/>
                <w:w w:val="89"/>
              </w:rPr>
              <w:t>Boston-Cambridge-Quincy, MA-</w:t>
            </w:r>
          </w:p>
        </w:tc>
        <w:tc>
          <w:tcPr>
            <w:tcW w:w="82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rPr>
              <w:t>1994</w:t>
            </w:r>
          </w:p>
        </w:tc>
        <w:tc>
          <w:tcPr>
            <w:tcW w:w="840" w:type="dxa"/>
            <w:vAlign w:val="bottom"/>
            <w:gridSpan w:val="2"/>
          </w:tcPr>
          <w:p>
            <w:pPr>
              <w:jc w:val="right"/>
              <w:ind w:right="20"/>
              <w:spacing w:after="0" w:line="138" w:lineRule="exact"/>
              <w:rPr>
                <w:sz w:val="20"/>
                <w:szCs w:val="20"/>
                <w:color w:val="auto"/>
              </w:rPr>
            </w:pPr>
            <w:r>
              <w:rPr>
                <w:rFonts w:ascii="Arial" w:cs="Arial" w:eastAsia="Arial" w:hAnsi="Arial"/>
                <w:sz w:val="14"/>
                <w:szCs w:val="14"/>
                <w:color w:val="auto"/>
              </w:rPr>
              <w:t>15,663</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149,000</w:t>
            </w:r>
          </w:p>
        </w:tc>
        <w:tc>
          <w:tcPr>
            <w:tcW w:w="740" w:type="dxa"/>
            <w:vAlign w:val="bottom"/>
            <w:gridSpan w:val="3"/>
          </w:tcPr>
          <w:p>
            <w:pPr>
              <w:jc w:val="right"/>
              <w:ind w:right="140"/>
              <w:spacing w:after="0" w:line="138" w:lineRule="exact"/>
              <w:rPr>
                <w:sz w:val="20"/>
                <w:szCs w:val="20"/>
                <w:color w:val="auto"/>
              </w:rPr>
            </w:pPr>
            <w:r>
              <w:rPr>
                <w:rFonts w:ascii="Arial" w:cs="Arial" w:eastAsia="Arial" w:hAnsi="Arial"/>
                <w:sz w:val="14"/>
                <w:szCs w:val="14"/>
                <w:color w:val="auto"/>
              </w:rPr>
              <w:t>100%</w:t>
            </w:r>
          </w:p>
        </w:tc>
        <w:tc>
          <w:tcPr>
            <w:tcW w:w="520" w:type="dxa"/>
            <w:vAlign w:val="bottom"/>
            <w:gridSpan w:val="2"/>
          </w:tcPr>
          <w:p>
            <w:pPr>
              <w:jc w:val="right"/>
              <w:ind w:right="40"/>
              <w:spacing w:after="0" w:line="138" w:lineRule="exact"/>
              <w:rPr>
                <w:sz w:val="20"/>
                <w:szCs w:val="20"/>
                <w:color w:val="auto"/>
              </w:rPr>
            </w:pPr>
            <w:r>
              <w:rPr>
                <w:rFonts w:ascii="Arial" w:cs="Arial" w:eastAsia="Arial" w:hAnsi="Arial"/>
                <w:sz w:val="14"/>
                <w:szCs w:val="14"/>
                <w:color w:val="auto"/>
              </w:rPr>
              <w:t>50,000</w:t>
            </w:r>
          </w:p>
        </w:tc>
        <w:tc>
          <w:tcPr>
            <w:tcW w:w="920" w:type="dxa"/>
            <w:vAlign w:val="bottom"/>
            <w:gridSpan w:val="2"/>
          </w:tcPr>
          <w:p>
            <w:pPr>
              <w:ind w:left="40"/>
              <w:spacing w:after="0" w:line="138" w:lineRule="exact"/>
              <w:rPr>
                <w:sz w:val="20"/>
                <w:szCs w:val="20"/>
                <w:color w:val="auto"/>
              </w:rPr>
            </w:pPr>
            <w:r>
              <w:rPr>
                <w:rFonts w:ascii="Arial" w:cs="Arial" w:eastAsia="Arial" w:hAnsi="Arial"/>
                <w:sz w:val="14"/>
                <w:szCs w:val="14"/>
                <w:color w:val="auto"/>
              </w:rPr>
              <w:t>Hannaford</w:t>
            </w:r>
          </w:p>
        </w:tc>
        <w:tc>
          <w:tcPr>
            <w:tcW w:w="1840" w:type="dxa"/>
            <w:vAlign w:val="bottom"/>
            <w:gridSpan w:val="2"/>
          </w:tcPr>
          <w:p>
            <w:pPr>
              <w:ind w:left="80"/>
              <w:spacing w:after="0" w:line="138" w:lineRule="exact"/>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0" w:type="dxa"/>
            <w:vAlign w:val="bottom"/>
          </w:tcPr>
          <w:p>
            <w:pPr>
              <w:spacing w:after="0" w:line="159" w:lineRule="exact"/>
              <w:rPr>
                <w:sz w:val="20"/>
                <w:szCs w:val="20"/>
                <w:color w:val="auto"/>
              </w:rPr>
            </w:pPr>
            <w:r>
              <w:rPr>
                <w:rFonts w:ascii="Arial" w:cs="Arial" w:eastAsia="Arial" w:hAnsi="Arial"/>
                <w:sz w:val="14"/>
                <w:szCs w:val="14"/>
                <w:color w:val="auto"/>
              </w:rPr>
              <w:t>NH</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60" w:type="dxa"/>
            <w:vAlign w:val="bottom"/>
            <w:gridSpan w:val="7"/>
            <w:shd w:val="clear" w:color="auto" w:fill="CCEEFF"/>
          </w:tcPr>
          <w:p>
            <w:pPr>
              <w:spacing w:after="0" w:line="138" w:lineRule="exact"/>
              <w:rPr>
                <w:sz w:val="20"/>
                <w:szCs w:val="20"/>
                <w:color w:val="auto"/>
              </w:rPr>
            </w:pPr>
            <w:r>
              <w:rPr>
                <w:rFonts w:ascii="Arial" w:cs="Arial" w:eastAsia="Arial" w:hAnsi="Arial"/>
                <w:sz w:val="14"/>
                <w:szCs w:val="14"/>
                <w:color w:val="auto"/>
              </w:rPr>
              <w:t>Saugus Plaza</w:t>
            </w:r>
          </w:p>
        </w:tc>
        <w:tc>
          <w:tcPr>
            <w:tcW w:w="38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89"/>
              </w:rPr>
              <w:t>Boston-Cambridge-Quincy, MA-</w:t>
            </w:r>
          </w:p>
        </w:tc>
        <w:tc>
          <w:tcPr>
            <w:tcW w:w="820" w:type="dxa"/>
            <w:vAlign w:val="bottom"/>
            <w:gridSpan w:val="3"/>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1996</w:t>
            </w:r>
          </w:p>
        </w:tc>
        <w:tc>
          <w:tcPr>
            <w:tcW w:w="84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4"/>
                <w:szCs w:val="14"/>
                <w:color w:val="auto"/>
              </w:rPr>
              <w:t>13,594</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170,000</w:t>
            </w:r>
          </w:p>
        </w:tc>
        <w:tc>
          <w:tcPr>
            <w:tcW w:w="740" w:type="dxa"/>
            <w:vAlign w:val="bottom"/>
            <w:gridSpan w:val="3"/>
            <w:shd w:val="clear" w:color="auto" w:fill="CCEEFF"/>
          </w:tcPr>
          <w:p>
            <w:pPr>
              <w:jc w:val="right"/>
              <w:ind w:right="140"/>
              <w:spacing w:after="0" w:line="138" w:lineRule="exact"/>
              <w:rPr>
                <w:sz w:val="20"/>
                <w:szCs w:val="20"/>
                <w:color w:val="auto"/>
              </w:rPr>
            </w:pPr>
            <w:r>
              <w:rPr>
                <w:rFonts w:ascii="Arial" w:cs="Arial" w:eastAsia="Arial" w:hAnsi="Arial"/>
                <w:sz w:val="14"/>
                <w:szCs w:val="14"/>
                <w:color w:val="auto"/>
              </w:rPr>
              <w:t>91%</w:t>
            </w:r>
          </w:p>
        </w:tc>
        <w:tc>
          <w:tcPr>
            <w:tcW w:w="520" w:type="dxa"/>
            <w:vAlign w:val="bottom"/>
            <w:gridSpan w:val="2"/>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rPr>
              <w:t>55,000</w:t>
            </w:r>
          </w:p>
        </w:tc>
        <w:tc>
          <w:tcPr>
            <w:tcW w:w="920" w:type="dxa"/>
            <w:vAlign w:val="bottom"/>
            <w:gridSpan w:val="2"/>
            <w:shd w:val="clear" w:color="auto" w:fill="CCEEFF"/>
          </w:tcPr>
          <w:p>
            <w:pPr>
              <w:ind w:left="40"/>
              <w:spacing w:after="0" w:line="138" w:lineRule="exact"/>
              <w:rPr>
                <w:sz w:val="20"/>
                <w:szCs w:val="20"/>
                <w:color w:val="auto"/>
              </w:rPr>
            </w:pPr>
            <w:r>
              <w:rPr>
                <w:rFonts w:ascii="Arial" w:cs="Arial" w:eastAsia="Arial" w:hAnsi="Arial"/>
                <w:sz w:val="14"/>
                <w:szCs w:val="14"/>
                <w:color w:val="auto"/>
              </w:rPr>
              <w:t>Super Stop &amp;</w:t>
            </w:r>
          </w:p>
        </w:tc>
        <w:tc>
          <w:tcPr>
            <w:tcW w:w="1840" w:type="dxa"/>
            <w:vAlign w:val="bottom"/>
            <w:gridSpan w:val="2"/>
            <w:shd w:val="clear" w:color="auto" w:fill="CCEEFF"/>
          </w:tcPr>
          <w:p>
            <w:pPr>
              <w:ind w:left="80"/>
              <w:spacing w:after="0" w:line="138" w:lineRule="exact"/>
              <w:rPr>
                <w:sz w:val="20"/>
                <w:szCs w:val="20"/>
                <w:color w:val="auto"/>
              </w:rPr>
            </w:pPr>
            <w:r>
              <w:rPr>
                <w:rFonts w:ascii="Arial" w:cs="Arial" w:eastAsia="Arial" w:hAnsi="Arial"/>
                <w:sz w:val="14"/>
                <w:szCs w:val="14"/>
                <w:color w:val="auto"/>
              </w:rPr>
              <w:t>Kmart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NH</w:t>
            </w: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920" w:type="dxa"/>
            <w:vAlign w:val="bottom"/>
            <w:gridSpan w:val="2"/>
            <w:shd w:val="clear" w:color="auto" w:fill="CCEEFF"/>
          </w:tcPr>
          <w:p>
            <w:pPr>
              <w:ind w:left="40"/>
              <w:spacing w:after="0" w:line="159" w:lineRule="exact"/>
              <w:rPr>
                <w:sz w:val="20"/>
                <w:szCs w:val="20"/>
                <w:color w:val="auto"/>
              </w:rPr>
            </w:pPr>
            <w:r>
              <w:rPr>
                <w:rFonts w:ascii="Arial" w:cs="Arial" w:eastAsia="Arial" w:hAnsi="Arial"/>
                <w:sz w:val="14"/>
                <w:szCs w:val="14"/>
                <w:color w:val="auto"/>
              </w:rPr>
              <w:t>Shop</w:t>
            </w:r>
          </w:p>
        </w:tc>
        <w:tc>
          <w:tcPr>
            <w:tcW w:w="8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0" w:type="dxa"/>
            <w:vAlign w:val="bottom"/>
          </w:tcPr>
          <w:p>
            <w:pPr>
              <w:spacing w:after="0" w:line="155" w:lineRule="exact"/>
              <w:rPr>
                <w:sz w:val="20"/>
                <w:szCs w:val="20"/>
                <w:color w:val="auto"/>
              </w:rPr>
            </w:pPr>
            <w:r>
              <w:rPr>
                <w:rFonts w:ascii="Arial" w:cs="Arial" w:eastAsia="Arial" w:hAnsi="Arial"/>
                <w:sz w:val="14"/>
                <w:szCs w:val="14"/>
                <w:b w:val="1"/>
                <w:bCs w:val="1"/>
                <w:color w:val="auto"/>
              </w:rPr>
              <w:t>Total New England</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417,185</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1,381,000</w:t>
            </w:r>
          </w:p>
        </w:tc>
        <w:tc>
          <w:tcPr>
            <w:tcW w:w="740" w:type="dxa"/>
            <w:vAlign w:val="bottom"/>
            <w:gridSpan w:val="3"/>
          </w:tcPr>
          <w:p>
            <w:pPr>
              <w:jc w:val="right"/>
              <w:ind w:right="140"/>
              <w:spacing w:after="0" w:line="155" w:lineRule="exact"/>
              <w:rPr>
                <w:sz w:val="20"/>
                <w:szCs w:val="20"/>
                <w:color w:val="auto"/>
              </w:rPr>
            </w:pPr>
            <w:r>
              <w:rPr>
                <w:rFonts w:ascii="Arial" w:cs="Arial" w:eastAsia="Arial" w:hAnsi="Arial"/>
                <w:sz w:val="14"/>
                <w:szCs w:val="14"/>
                <w:color w:val="auto"/>
              </w:rPr>
              <w:t>96%</w:t>
            </w: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60" w:type="dxa"/>
            <w:vAlign w:val="bottom"/>
            <w:gridSpan w:val="7"/>
            <w:shd w:val="clear" w:color="auto" w:fill="CCEEFF"/>
          </w:tcPr>
          <w:p>
            <w:pPr>
              <w:spacing w:after="0" w:line="135" w:lineRule="exact"/>
              <w:rPr>
                <w:sz w:val="20"/>
                <w:szCs w:val="20"/>
                <w:color w:val="auto"/>
              </w:rPr>
            </w:pPr>
            <w:r>
              <w:rPr>
                <w:rFonts w:ascii="Arial" w:cs="Arial" w:eastAsia="Arial" w:hAnsi="Arial"/>
                <w:sz w:val="14"/>
                <w:szCs w:val="14"/>
                <w:b w:val="1"/>
                <w:bCs w:val="1"/>
                <w:color w:val="auto"/>
              </w:rPr>
              <w:t>Baltimore</w:t>
            </w:r>
          </w:p>
        </w:tc>
        <w:tc>
          <w:tcPr>
            <w:tcW w:w="38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8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7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vMerge w:val="continue"/>
          </w:tcPr>
          <w:p>
            <w:pPr>
              <w:spacing w:after="0"/>
              <w:rPr>
                <w:sz w:val="11"/>
                <w:szCs w:val="11"/>
                <w:color w:val="auto"/>
              </w:rPr>
            </w:pPr>
          </w:p>
        </w:tc>
        <w:tc>
          <w:tcPr>
            <w:tcW w:w="1960" w:type="dxa"/>
            <w:vAlign w:val="bottom"/>
            <w:gridSpan w:val="7"/>
          </w:tcPr>
          <w:p>
            <w:pPr>
              <w:spacing w:after="0" w:line="131" w:lineRule="exact"/>
              <w:rPr>
                <w:sz w:val="20"/>
                <w:szCs w:val="20"/>
                <w:color w:val="auto"/>
              </w:rPr>
            </w:pPr>
            <w:r>
              <w:rPr>
                <w:rFonts w:ascii="Arial" w:cs="Arial" w:eastAsia="Arial" w:hAnsi="Arial"/>
                <w:sz w:val="14"/>
                <w:szCs w:val="14"/>
                <w:color w:val="auto"/>
              </w:rPr>
              <w:t>Governor Plaza</w:t>
            </w:r>
          </w:p>
        </w:tc>
        <w:tc>
          <w:tcPr>
            <w:tcW w:w="380" w:type="dxa"/>
            <w:vAlign w:val="bottom"/>
          </w:tcPr>
          <w:p>
            <w:pPr>
              <w:spacing w:after="0"/>
              <w:rPr>
                <w:sz w:val="11"/>
                <w:szCs w:val="11"/>
                <w:color w:val="auto"/>
              </w:rPr>
            </w:pPr>
          </w:p>
        </w:tc>
        <w:tc>
          <w:tcPr>
            <w:tcW w:w="1800" w:type="dxa"/>
            <w:vAlign w:val="bottom"/>
          </w:tcPr>
          <w:p>
            <w:pPr>
              <w:spacing w:after="0" w:line="131" w:lineRule="exact"/>
              <w:rPr>
                <w:sz w:val="20"/>
                <w:szCs w:val="20"/>
                <w:color w:val="auto"/>
              </w:rPr>
            </w:pPr>
            <w:r>
              <w:rPr>
                <w:rFonts w:ascii="Arial" w:cs="Arial" w:eastAsia="Arial" w:hAnsi="Arial"/>
                <w:sz w:val="14"/>
                <w:szCs w:val="14"/>
                <w:color w:val="auto"/>
              </w:rPr>
              <w:t>Baltimore, MD</w:t>
            </w:r>
          </w:p>
        </w:tc>
        <w:tc>
          <w:tcPr>
            <w:tcW w:w="820" w:type="dxa"/>
            <w:vAlign w:val="bottom"/>
            <w:gridSpan w:val="3"/>
          </w:tcPr>
          <w:p>
            <w:pPr>
              <w:jc w:val="right"/>
              <w:ind w:right="80"/>
              <w:spacing w:after="0" w:line="131" w:lineRule="exact"/>
              <w:rPr>
                <w:sz w:val="20"/>
                <w:szCs w:val="20"/>
                <w:color w:val="auto"/>
              </w:rPr>
            </w:pPr>
            <w:r>
              <w:rPr>
                <w:rFonts w:ascii="Arial" w:cs="Arial" w:eastAsia="Arial" w:hAnsi="Arial"/>
                <w:sz w:val="14"/>
                <w:szCs w:val="14"/>
                <w:color w:val="auto"/>
              </w:rPr>
              <w:t>1985</w:t>
            </w:r>
          </w:p>
        </w:tc>
        <w:tc>
          <w:tcPr>
            <w:tcW w:w="840" w:type="dxa"/>
            <w:vAlign w:val="bottom"/>
            <w:gridSpan w:val="2"/>
          </w:tcPr>
          <w:p>
            <w:pPr>
              <w:jc w:val="right"/>
              <w:ind w:right="20"/>
              <w:spacing w:after="0" w:line="131" w:lineRule="exact"/>
              <w:rPr>
                <w:sz w:val="20"/>
                <w:szCs w:val="20"/>
                <w:color w:val="auto"/>
              </w:rPr>
            </w:pPr>
            <w:r>
              <w:rPr>
                <w:rFonts w:ascii="Arial" w:cs="Arial" w:eastAsia="Arial" w:hAnsi="Arial"/>
                <w:sz w:val="14"/>
                <w:szCs w:val="14"/>
                <w:color w:val="auto"/>
              </w:rPr>
              <w:t>22,130</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jc w:val="right"/>
              <w:spacing w:after="0" w:line="131" w:lineRule="exact"/>
              <w:rPr>
                <w:sz w:val="20"/>
                <w:szCs w:val="20"/>
                <w:color w:val="auto"/>
              </w:rPr>
            </w:pPr>
            <w:r>
              <w:rPr>
                <w:rFonts w:ascii="Arial" w:cs="Arial" w:eastAsia="Arial" w:hAnsi="Arial"/>
                <w:sz w:val="14"/>
                <w:szCs w:val="14"/>
                <w:color w:val="auto"/>
              </w:rPr>
              <w:t>267,000</w:t>
            </w:r>
          </w:p>
        </w:tc>
        <w:tc>
          <w:tcPr>
            <w:tcW w:w="740" w:type="dxa"/>
            <w:vAlign w:val="bottom"/>
            <w:gridSpan w:val="3"/>
          </w:tcPr>
          <w:p>
            <w:pPr>
              <w:jc w:val="right"/>
              <w:ind w:right="140"/>
              <w:spacing w:after="0" w:line="131" w:lineRule="exact"/>
              <w:rPr>
                <w:sz w:val="20"/>
                <w:szCs w:val="20"/>
                <w:color w:val="auto"/>
              </w:rPr>
            </w:pPr>
            <w:r>
              <w:rPr>
                <w:rFonts w:ascii="Arial" w:cs="Arial" w:eastAsia="Arial" w:hAnsi="Arial"/>
                <w:sz w:val="14"/>
                <w:szCs w:val="14"/>
                <w:color w:val="auto"/>
              </w:rPr>
              <w:t>100%</w:t>
            </w:r>
          </w:p>
        </w:tc>
        <w:tc>
          <w:tcPr>
            <w:tcW w:w="520" w:type="dxa"/>
            <w:vAlign w:val="bottom"/>
            <w:gridSpan w:val="2"/>
          </w:tcPr>
          <w:p>
            <w:pPr>
              <w:jc w:val="right"/>
              <w:ind w:right="40"/>
              <w:spacing w:after="0" w:line="131" w:lineRule="exact"/>
              <w:rPr>
                <w:sz w:val="20"/>
                <w:szCs w:val="20"/>
                <w:color w:val="auto"/>
              </w:rPr>
            </w:pPr>
            <w:r>
              <w:rPr>
                <w:rFonts w:ascii="Arial" w:cs="Arial" w:eastAsia="Arial" w:hAnsi="Arial"/>
                <w:sz w:val="14"/>
                <w:szCs w:val="14"/>
                <w:color w:val="auto"/>
              </w:rPr>
              <w:t>16,500</w:t>
            </w:r>
          </w:p>
        </w:tc>
        <w:tc>
          <w:tcPr>
            <w:tcW w:w="920" w:type="dxa"/>
            <w:vAlign w:val="bottom"/>
            <w:gridSpan w:val="2"/>
          </w:tcPr>
          <w:p>
            <w:pPr>
              <w:ind w:left="40"/>
              <w:spacing w:after="0" w:line="131" w:lineRule="exact"/>
              <w:rPr>
                <w:sz w:val="20"/>
                <w:szCs w:val="20"/>
                <w:color w:val="auto"/>
              </w:rPr>
            </w:pPr>
            <w:r>
              <w:rPr>
                <w:rFonts w:ascii="Arial" w:cs="Arial" w:eastAsia="Arial" w:hAnsi="Arial"/>
                <w:sz w:val="14"/>
                <w:szCs w:val="14"/>
                <w:color w:val="auto"/>
              </w:rPr>
              <w:t>Aldi</w:t>
            </w:r>
          </w:p>
        </w:tc>
        <w:tc>
          <w:tcPr>
            <w:tcW w:w="1840" w:type="dxa"/>
            <w:vAlign w:val="bottom"/>
            <w:gridSpan w:val="2"/>
          </w:tcPr>
          <w:p>
            <w:pPr>
              <w:ind w:left="80"/>
              <w:spacing w:after="0" w:line="131" w:lineRule="exact"/>
              <w:rPr>
                <w:sz w:val="20"/>
                <w:szCs w:val="20"/>
                <w:color w:val="auto"/>
              </w:rPr>
            </w:pPr>
            <w:r>
              <w:rPr>
                <w:rFonts w:ascii="Arial" w:cs="Arial" w:eastAsia="Arial" w:hAnsi="Arial"/>
                <w:sz w:val="14"/>
                <w:szCs w:val="14"/>
                <w:color w:val="auto"/>
              </w:rPr>
              <w:t>Bally Total Fitness / Office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4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Depot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60" w:type="dxa"/>
            <w:vAlign w:val="bottom"/>
            <w:gridSpan w:val="7"/>
            <w:shd w:val="clear" w:color="auto" w:fill="CCEEFF"/>
          </w:tcPr>
          <w:p>
            <w:pPr>
              <w:spacing w:after="0" w:line="138" w:lineRule="exact"/>
              <w:rPr>
                <w:sz w:val="20"/>
                <w:szCs w:val="20"/>
                <w:color w:val="auto"/>
              </w:rPr>
            </w:pPr>
            <w:r>
              <w:rPr>
                <w:rFonts w:ascii="Arial" w:cs="Arial" w:eastAsia="Arial" w:hAnsi="Arial"/>
                <w:sz w:val="14"/>
                <w:szCs w:val="14"/>
                <w:color w:val="auto"/>
              </w:rPr>
              <w:t>Perring Plaza</w:t>
            </w:r>
          </w:p>
        </w:tc>
        <w:tc>
          <w:tcPr>
            <w:tcW w:w="38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Baltimore, MD</w:t>
            </w:r>
          </w:p>
        </w:tc>
        <w:tc>
          <w:tcPr>
            <w:tcW w:w="820" w:type="dxa"/>
            <w:vAlign w:val="bottom"/>
            <w:gridSpan w:val="3"/>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1985</w:t>
            </w:r>
          </w:p>
        </w:tc>
        <w:tc>
          <w:tcPr>
            <w:tcW w:w="84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4"/>
                <w:szCs w:val="14"/>
                <w:color w:val="auto"/>
              </w:rPr>
              <w:t>27,125</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401,000</w:t>
            </w:r>
          </w:p>
        </w:tc>
        <w:tc>
          <w:tcPr>
            <w:tcW w:w="740" w:type="dxa"/>
            <w:vAlign w:val="bottom"/>
            <w:gridSpan w:val="3"/>
            <w:shd w:val="clear" w:color="auto" w:fill="CCEEFF"/>
          </w:tcPr>
          <w:p>
            <w:pPr>
              <w:jc w:val="right"/>
              <w:ind w:right="140"/>
              <w:spacing w:after="0" w:line="138" w:lineRule="exact"/>
              <w:rPr>
                <w:sz w:val="20"/>
                <w:szCs w:val="20"/>
                <w:color w:val="auto"/>
              </w:rPr>
            </w:pPr>
            <w:r>
              <w:rPr>
                <w:rFonts w:ascii="Arial" w:cs="Arial" w:eastAsia="Arial" w:hAnsi="Arial"/>
                <w:sz w:val="14"/>
                <w:szCs w:val="14"/>
                <w:color w:val="auto"/>
              </w:rPr>
              <w:t>98%</w:t>
            </w:r>
          </w:p>
        </w:tc>
        <w:tc>
          <w:tcPr>
            <w:tcW w:w="520" w:type="dxa"/>
            <w:vAlign w:val="bottom"/>
            <w:gridSpan w:val="2"/>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rPr>
              <w:t>58,000</w:t>
            </w:r>
          </w:p>
        </w:tc>
        <w:tc>
          <w:tcPr>
            <w:tcW w:w="920" w:type="dxa"/>
            <w:vAlign w:val="bottom"/>
            <w:gridSpan w:val="2"/>
            <w:shd w:val="clear" w:color="auto" w:fill="CCEEFF"/>
          </w:tcPr>
          <w:p>
            <w:pPr>
              <w:ind w:left="40"/>
              <w:spacing w:after="0" w:line="138" w:lineRule="exact"/>
              <w:rPr>
                <w:sz w:val="20"/>
                <w:szCs w:val="20"/>
                <w:color w:val="auto"/>
              </w:rPr>
            </w:pPr>
            <w:r>
              <w:rPr>
                <w:rFonts w:ascii="Arial" w:cs="Arial" w:eastAsia="Arial" w:hAnsi="Arial"/>
                <w:sz w:val="14"/>
                <w:szCs w:val="14"/>
                <w:color w:val="auto"/>
                <w:w w:val="89"/>
              </w:rPr>
              <w:t>Shoppers Food</w:t>
            </w:r>
          </w:p>
        </w:tc>
        <w:tc>
          <w:tcPr>
            <w:tcW w:w="1840" w:type="dxa"/>
            <w:vAlign w:val="bottom"/>
            <w:gridSpan w:val="2"/>
            <w:shd w:val="clear" w:color="auto" w:fill="CCEEFF"/>
          </w:tcPr>
          <w:p>
            <w:pPr>
              <w:ind w:left="80"/>
              <w:spacing w:after="0" w:line="138" w:lineRule="exact"/>
              <w:rPr>
                <w:sz w:val="20"/>
                <w:szCs w:val="20"/>
                <w:color w:val="auto"/>
              </w:rPr>
            </w:pPr>
            <w:r>
              <w:rPr>
                <w:rFonts w:ascii="Arial" w:cs="Arial" w:eastAsia="Arial" w:hAnsi="Arial"/>
                <w:sz w:val="14"/>
                <w:szCs w:val="14"/>
                <w:color w:val="auto"/>
                <w:w w:val="93"/>
              </w:rPr>
              <w:t>Home Depot / Burlington Coat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920" w:type="dxa"/>
            <w:vAlign w:val="bottom"/>
            <w:gridSpan w:val="2"/>
            <w:shd w:val="clear" w:color="auto" w:fill="CCEEFF"/>
          </w:tcPr>
          <w:p>
            <w:pPr>
              <w:ind w:left="40"/>
              <w:spacing w:after="0" w:line="159" w:lineRule="exact"/>
              <w:rPr>
                <w:sz w:val="20"/>
                <w:szCs w:val="20"/>
                <w:color w:val="auto"/>
              </w:rPr>
            </w:pPr>
            <w:r>
              <w:rPr>
                <w:rFonts w:ascii="Arial" w:cs="Arial" w:eastAsia="Arial" w:hAnsi="Arial"/>
                <w:sz w:val="14"/>
                <w:szCs w:val="14"/>
                <w:color w:val="auto"/>
              </w:rPr>
              <w:t>Warehouse</w:t>
            </w:r>
          </w:p>
        </w:tc>
        <w:tc>
          <w:tcPr>
            <w:tcW w:w="184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rPr>
              <w:t>Factory / Jo-Ann Stores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60" w:type="dxa"/>
            <w:vAlign w:val="bottom"/>
            <w:gridSpan w:val="7"/>
          </w:tcPr>
          <w:p>
            <w:pPr>
              <w:spacing w:after="0" w:line="138" w:lineRule="exact"/>
              <w:rPr>
                <w:sz w:val="20"/>
                <w:szCs w:val="20"/>
                <w:color w:val="auto"/>
              </w:rPr>
            </w:pPr>
            <w:r>
              <w:rPr>
                <w:rFonts w:ascii="Arial" w:cs="Arial" w:eastAsia="Arial" w:hAnsi="Arial"/>
                <w:sz w:val="14"/>
                <w:szCs w:val="14"/>
                <w:color w:val="auto"/>
              </w:rPr>
              <w:t>THE AVENUE at White Marsh</w:t>
            </w:r>
          </w:p>
        </w:tc>
        <w:tc>
          <w:tcPr>
            <w:tcW w:w="380" w:type="dxa"/>
            <w:vAlign w:val="bottom"/>
          </w:tcPr>
          <w:p>
            <w:pPr>
              <w:jc w:val="right"/>
              <w:ind w:right="52"/>
              <w:spacing w:after="0" w:line="138" w:lineRule="exact"/>
              <w:rPr>
                <w:sz w:val="20"/>
                <w:szCs w:val="20"/>
                <w:color w:val="auto"/>
              </w:rPr>
            </w:pPr>
            <w:r>
              <w:rPr>
                <w:rFonts w:ascii="Arial" w:cs="Arial" w:eastAsia="Arial" w:hAnsi="Arial"/>
                <w:sz w:val="14"/>
                <w:szCs w:val="14"/>
                <w:color w:val="auto"/>
                <w:w w:val="96"/>
              </w:rPr>
              <w:t>(10)</w:t>
            </w:r>
          </w:p>
        </w:tc>
        <w:tc>
          <w:tcPr>
            <w:tcW w:w="1800" w:type="dxa"/>
            <w:vAlign w:val="bottom"/>
          </w:tcPr>
          <w:p>
            <w:pPr>
              <w:spacing w:after="0" w:line="138" w:lineRule="exact"/>
              <w:rPr>
                <w:sz w:val="20"/>
                <w:szCs w:val="20"/>
                <w:color w:val="auto"/>
              </w:rPr>
            </w:pPr>
            <w:r>
              <w:rPr>
                <w:rFonts w:ascii="Arial" w:cs="Arial" w:eastAsia="Arial" w:hAnsi="Arial"/>
                <w:sz w:val="14"/>
                <w:szCs w:val="14"/>
                <w:color w:val="auto"/>
              </w:rPr>
              <w:t>Baltimore, MD</w:t>
            </w:r>
          </w:p>
        </w:tc>
        <w:tc>
          <w:tcPr>
            <w:tcW w:w="82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rPr>
              <w:t>2007</w:t>
            </w:r>
          </w:p>
        </w:tc>
        <w:tc>
          <w:tcPr>
            <w:tcW w:w="840" w:type="dxa"/>
            <w:vAlign w:val="bottom"/>
            <w:gridSpan w:val="2"/>
          </w:tcPr>
          <w:p>
            <w:pPr>
              <w:jc w:val="right"/>
              <w:ind w:right="20"/>
              <w:spacing w:after="0" w:line="138" w:lineRule="exact"/>
              <w:rPr>
                <w:sz w:val="20"/>
                <w:szCs w:val="20"/>
                <w:color w:val="auto"/>
              </w:rPr>
            </w:pPr>
            <w:r>
              <w:rPr>
                <w:rFonts w:ascii="Arial" w:cs="Arial" w:eastAsia="Arial" w:hAnsi="Arial"/>
                <w:sz w:val="14"/>
                <w:szCs w:val="14"/>
                <w:color w:val="auto"/>
              </w:rPr>
              <w:t>94,555</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spacing w:after="0" w:line="138" w:lineRule="exact"/>
              <w:rPr>
                <w:sz w:val="20"/>
                <w:szCs w:val="20"/>
                <w:color w:val="auto"/>
              </w:rPr>
            </w:pPr>
            <w:r>
              <w:rPr>
                <w:rFonts w:ascii="Arial" w:cs="Arial" w:eastAsia="Arial" w:hAnsi="Arial"/>
                <w:sz w:val="14"/>
                <w:szCs w:val="14"/>
                <w:color w:val="auto"/>
              </w:rPr>
              <w:t>58,661</w:t>
            </w:r>
          </w:p>
        </w:tc>
        <w:tc>
          <w:tcPr>
            <w:tcW w:w="70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298,000</w:t>
            </w:r>
          </w:p>
        </w:tc>
        <w:tc>
          <w:tcPr>
            <w:tcW w:w="740" w:type="dxa"/>
            <w:vAlign w:val="bottom"/>
            <w:gridSpan w:val="3"/>
          </w:tcPr>
          <w:p>
            <w:pPr>
              <w:jc w:val="right"/>
              <w:ind w:right="140"/>
              <w:spacing w:after="0" w:line="138" w:lineRule="exact"/>
              <w:rPr>
                <w:sz w:val="20"/>
                <w:szCs w:val="20"/>
                <w:color w:val="auto"/>
              </w:rPr>
            </w:pPr>
            <w:r>
              <w:rPr>
                <w:rFonts w:ascii="Arial" w:cs="Arial" w:eastAsia="Arial" w:hAnsi="Arial"/>
                <w:sz w:val="14"/>
                <w:szCs w:val="14"/>
                <w:color w:val="auto"/>
              </w:rPr>
              <w:t>100%</w:t>
            </w: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40" w:type="dxa"/>
            <w:vAlign w:val="bottom"/>
            <w:gridSpan w:val="2"/>
          </w:tcPr>
          <w:p>
            <w:pPr>
              <w:ind w:left="80"/>
              <w:spacing w:after="0" w:line="138" w:lineRule="exact"/>
              <w:rPr>
                <w:sz w:val="20"/>
                <w:szCs w:val="20"/>
                <w:color w:val="auto"/>
              </w:rPr>
            </w:pPr>
            <w:r>
              <w:rPr>
                <w:rFonts w:ascii="Arial" w:cs="Arial" w:eastAsia="Arial" w:hAnsi="Arial"/>
                <w:sz w:val="14"/>
                <w:szCs w:val="14"/>
                <w:color w:val="auto"/>
              </w:rPr>
              <w:t>AMC Loews / Old Navy /</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4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Barnes &amp; Noble / AC Moore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60" w:type="dxa"/>
            <w:vAlign w:val="bottom"/>
            <w:gridSpan w:val="7"/>
            <w:shd w:val="clear" w:color="auto" w:fill="CCEEFF"/>
          </w:tcPr>
          <w:p>
            <w:pPr>
              <w:spacing w:after="0" w:line="149" w:lineRule="exact"/>
              <w:rPr>
                <w:sz w:val="20"/>
                <w:szCs w:val="20"/>
                <w:color w:val="auto"/>
              </w:rPr>
            </w:pPr>
            <w:r>
              <w:rPr>
                <w:rFonts w:ascii="Arial" w:cs="Arial" w:eastAsia="Arial" w:hAnsi="Arial"/>
                <w:sz w:val="14"/>
                <w:szCs w:val="14"/>
                <w:color w:val="auto"/>
                <w:w w:val="86"/>
              </w:rPr>
              <w:t>The Shoppes at Nottingham Square</w:t>
            </w:r>
          </w:p>
        </w:tc>
        <w:tc>
          <w:tcPr>
            <w:tcW w:w="38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Baltimore, MD</w:t>
            </w:r>
          </w:p>
        </w:tc>
        <w:tc>
          <w:tcPr>
            <w:tcW w:w="8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2007</w:t>
            </w:r>
          </w:p>
        </w:tc>
        <w:tc>
          <w:tcPr>
            <w:tcW w:w="8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27,569</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53,000</w:t>
            </w:r>
          </w:p>
        </w:tc>
        <w:tc>
          <w:tcPr>
            <w:tcW w:w="7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100%</w:t>
            </w: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60" w:type="dxa"/>
            <w:vAlign w:val="bottom"/>
            <w:gridSpan w:val="7"/>
          </w:tcPr>
          <w:p>
            <w:pPr>
              <w:spacing w:after="0" w:line="149" w:lineRule="exact"/>
              <w:rPr>
                <w:sz w:val="20"/>
                <w:szCs w:val="20"/>
                <w:color w:val="auto"/>
              </w:rPr>
            </w:pPr>
            <w:r>
              <w:rPr>
                <w:rFonts w:ascii="Arial" w:cs="Arial" w:eastAsia="Arial" w:hAnsi="Arial"/>
                <w:sz w:val="14"/>
                <w:szCs w:val="14"/>
                <w:color w:val="auto"/>
              </w:rPr>
              <w:t>White Marsh Plaza</w:t>
            </w:r>
          </w:p>
        </w:tc>
        <w:tc>
          <w:tcPr>
            <w:tcW w:w="380" w:type="dxa"/>
            <w:vAlign w:val="bottom"/>
          </w:tcPr>
          <w:p>
            <w:pPr>
              <w:spacing w:after="0"/>
              <w:rPr>
                <w:sz w:val="12"/>
                <w:szCs w:val="12"/>
                <w:color w:val="auto"/>
              </w:rPr>
            </w:pPr>
          </w:p>
        </w:tc>
        <w:tc>
          <w:tcPr>
            <w:tcW w:w="1800" w:type="dxa"/>
            <w:vAlign w:val="bottom"/>
          </w:tcPr>
          <w:p>
            <w:pPr>
              <w:spacing w:after="0" w:line="149" w:lineRule="exact"/>
              <w:rPr>
                <w:sz w:val="20"/>
                <w:szCs w:val="20"/>
                <w:color w:val="auto"/>
              </w:rPr>
            </w:pPr>
            <w:r>
              <w:rPr>
                <w:rFonts w:ascii="Arial" w:cs="Arial" w:eastAsia="Arial" w:hAnsi="Arial"/>
                <w:sz w:val="14"/>
                <w:szCs w:val="14"/>
                <w:color w:val="auto"/>
              </w:rPr>
              <w:t>Baltimore, MD</w:t>
            </w:r>
          </w:p>
        </w:tc>
        <w:tc>
          <w:tcPr>
            <w:tcW w:w="8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2007</w:t>
            </w:r>
          </w:p>
        </w:tc>
        <w:tc>
          <w:tcPr>
            <w:tcW w:w="8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24,966</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9,791</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80,000</w:t>
            </w:r>
          </w:p>
        </w:tc>
        <w:tc>
          <w:tcPr>
            <w:tcW w:w="7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100%</w:t>
            </w:r>
          </w:p>
        </w:tc>
        <w:tc>
          <w:tcPr>
            <w:tcW w:w="5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54,000</w:t>
            </w:r>
          </w:p>
        </w:tc>
        <w:tc>
          <w:tcPr>
            <w:tcW w:w="92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Giant Food</w:t>
            </w:r>
          </w:p>
        </w:tc>
        <w:tc>
          <w:tcPr>
            <w:tcW w:w="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60" w:type="dxa"/>
            <w:vAlign w:val="bottom"/>
            <w:gridSpan w:val="7"/>
            <w:shd w:val="clear" w:color="auto" w:fill="CCEEFF"/>
          </w:tcPr>
          <w:p>
            <w:pPr>
              <w:spacing w:after="0" w:line="149" w:lineRule="exact"/>
              <w:rPr>
                <w:sz w:val="20"/>
                <w:szCs w:val="20"/>
                <w:color w:val="auto"/>
              </w:rPr>
            </w:pPr>
            <w:r>
              <w:rPr>
                <w:rFonts w:ascii="Arial" w:cs="Arial" w:eastAsia="Arial" w:hAnsi="Arial"/>
                <w:sz w:val="14"/>
                <w:szCs w:val="14"/>
                <w:color w:val="auto"/>
              </w:rPr>
              <w:t>White Marsh Other</w:t>
            </w:r>
          </w:p>
        </w:tc>
        <w:tc>
          <w:tcPr>
            <w:tcW w:w="38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Baltimore, MD</w:t>
            </w:r>
          </w:p>
        </w:tc>
        <w:tc>
          <w:tcPr>
            <w:tcW w:w="8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2007</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28,858</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49,000</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100%</w:t>
            </w: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0" w:type="dxa"/>
            <w:vAlign w:val="bottom"/>
            <w:vMerge w:val="restart"/>
          </w:tcPr>
          <w:p>
            <w:pPr>
              <w:spacing w:after="0"/>
              <w:rPr>
                <w:sz w:val="20"/>
                <w:szCs w:val="20"/>
                <w:color w:val="auto"/>
              </w:rPr>
            </w:pPr>
            <w:r>
              <w:rPr>
                <w:rFonts w:ascii="Arial" w:cs="Arial" w:eastAsia="Arial" w:hAnsi="Arial"/>
                <w:sz w:val="14"/>
                <w:szCs w:val="14"/>
                <w:b w:val="1"/>
                <w:bCs w:val="1"/>
                <w:color w:val="auto"/>
              </w:rPr>
              <w:t>Total Baltimore</w:t>
            </w: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225,203</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w w:val="96"/>
              </w:rPr>
              <w:t>1,148,000</w:t>
            </w:r>
          </w:p>
        </w:tc>
        <w:tc>
          <w:tcPr>
            <w:tcW w:w="80" w:type="dxa"/>
            <w:vAlign w:val="bottom"/>
          </w:tcPr>
          <w:p>
            <w:pPr>
              <w:spacing w:after="0"/>
              <w:rPr>
                <w:sz w:val="13"/>
                <w:szCs w:val="13"/>
                <w:color w:val="auto"/>
              </w:rPr>
            </w:pPr>
          </w:p>
        </w:tc>
        <w:tc>
          <w:tcPr>
            <w:tcW w:w="66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99%</w:t>
            </w: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60" w:type="dxa"/>
            <w:vAlign w:val="bottom"/>
            <w:gridSpan w:val="7"/>
            <w:shd w:val="clear" w:color="auto" w:fill="CCEEFF"/>
          </w:tcPr>
          <w:p>
            <w:pPr>
              <w:spacing w:after="0" w:line="135" w:lineRule="exact"/>
              <w:rPr>
                <w:sz w:val="20"/>
                <w:szCs w:val="20"/>
                <w:color w:val="auto"/>
              </w:rPr>
            </w:pPr>
            <w:r>
              <w:rPr>
                <w:rFonts w:ascii="Arial" w:cs="Arial" w:eastAsia="Arial" w:hAnsi="Arial"/>
                <w:sz w:val="14"/>
                <w:szCs w:val="14"/>
                <w:b w:val="1"/>
                <w:bCs w:val="1"/>
                <w:color w:val="auto"/>
              </w:rPr>
              <w:t>Chicago</w:t>
            </w:r>
          </w:p>
        </w:tc>
        <w:tc>
          <w:tcPr>
            <w:tcW w:w="38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8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7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1960" w:type="dxa"/>
            <w:vAlign w:val="bottom"/>
            <w:gridSpan w:val="7"/>
          </w:tcPr>
          <w:p>
            <w:pPr>
              <w:spacing w:after="0" w:line="142" w:lineRule="exact"/>
              <w:rPr>
                <w:sz w:val="20"/>
                <w:szCs w:val="20"/>
                <w:color w:val="auto"/>
              </w:rPr>
            </w:pPr>
            <w:r>
              <w:rPr>
                <w:rFonts w:ascii="Arial" w:cs="Arial" w:eastAsia="Arial" w:hAnsi="Arial"/>
                <w:sz w:val="14"/>
                <w:szCs w:val="14"/>
                <w:color w:val="auto"/>
              </w:rPr>
              <w:t>Crossroads</w:t>
            </w:r>
          </w:p>
        </w:tc>
        <w:tc>
          <w:tcPr>
            <w:tcW w:w="380" w:type="dxa"/>
            <w:vAlign w:val="bottom"/>
          </w:tcPr>
          <w:p>
            <w:pPr>
              <w:spacing w:after="0"/>
              <w:rPr>
                <w:sz w:val="12"/>
                <w:szCs w:val="12"/>
                <w:color w:val="auto"/>
              </w:rPr>
            </w:pPr>
          </w:p>
        </w:tc>
        <w:tc>
          <w:tcPr>
            <w:tcW w:w="1800" w:type="dxa"/>
            <w:vAlign w:val="bottom"/>
          </w:tcPr>
          <w:p>
            <w:pPr>
              <w:spacing w:after="0" w:line="142" w:lineRule="exact"/>
              <w:rPr>
                <w:sz w:val="20"/>
                <w:szCs w:val="20"/>
                <w:color w:val="auto"/>
              </w:rPr>
            </w:pPr>
            <w:r>
              <w:rPr>
                <w:rFonts w:ascii="Arial" w:cs="Arial" w:eastAsia="Arial" w:hAnsi="Arial"/>
                <w:sz w:val="14"/>
                <w:szCs w:val="14"/>
                <w:color w:val="auto"/>
              </w:rPr>
              <w:t>Chicago, IL</w:t>
            </w:r>
          </w:p>
        </w:tc>
        <w:tc>
          <w:tcPr>
            <w:tcW w:w="82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1993</w:t>
            </w:r>
          </w:p>
        </w:tc>
        <w:tc>
          <w:tcPr>
            <w:tcW w:w="840" w:type="dxa"/>
            <w:vAlign w:val="bottom"/>
            <w:gridSpan w:val="2"/>
          </w:tcPr>
          <w:p>
            <w:pPr>
              <w:jc w:val="right"/>
              <w:ind w:right="20"/>
              <w:spacing w:after="0" w:line="142" w:lineRule="exact"/>
              <w:rPr>
                <w:sz w:val="20"/>
                <w:szCs w:val="20"/>
                <w:color w:val="auto"/>
              </w:rPr>
            </w:pPr>
            <w:r>
              <w:rPr>
                <w:rFonts w:ascii="Arial" w:cs="Arial" w:eastAsia="Arial" w:hAnsi="Arial"/>
                <w:sz w:val="14"/>
                <w:szCs w:val="14"/>
                <w:color w:val="auto"/>
              </w:rPr>
              <w:t>24,273</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168,000</w:t>
            </w:r>
          </w:p>
        </w:tc>
        <w:tc>
          <w:tcPr>
            <w:tcW w:w="740" w:type="dxa"/>
            <w:vAlign w:val="bottom"/>
            <w:gridSpan w:val="3"/>
          </w:tcPr>
          <w:p>
            <w:pPr>
              <w:jc w:val="right"/>
              <w:ind w:right="140"/>
              <w:spacing w:after="0" w:line="142" w:lineRule="exact"/>
              <w:rPr>
                <w:sz w:val="20"/>
                <w:szCs w:val="20"/>
                <w:color w:val="auto"/>
              </w:rPr>
            </w:pPr>
            <w:r>
              <w:rPr>
                <w:rFonts w:ascii="Arial" w:cs="Arial" w:eastAsia="Arial" w:hAnsi="Arial"/>
                <w:sz w:val="14"/>
                <w:szCs w:val="14"/>
                <w:color w:val="auto"/>
              </w:rPr>
              <w:t>93%</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40" w:type="dxa"/>
            <w:vAlign w:val="bottom"/>
            <w:gridSpan w:val="2"/>
          </w:tcPr>
          <w:p>
            <w:pPr>
              <w:ind w:left="80"/>
              <w:spacing w:after="0" w:line="142" w:lineRule="exact"/>
              <w:rPr>
                <w:sz w:val="20"/>
                <w:szCs w:val="20"/>
                <w:color w:val="auto"/>
              </w:rPr>
            </w:pPr>
            <w:r>
              <w:rPr>
                <w:rFonts w:ascii="Arial" w:cs="Arial" w:eastAsia="Arial" w:hAnsi="Arial"/>
                <w:sz w:val="14"/>
                <w:szCs w:val="14"/>
                <w:color w:val="auto"/>
              </w:rPr>
              <w:t>Golfsmith / Guitar Center</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60" w:type="dxa"/>
            <w:vAlign w:val="bottom"/>
            <w:gridSpan w:val="7"/>
            <w:shd w:val="clear" w:color="auto" w:fill="CCEEFF"/>
          </w:tcPr>
          <w:p>
            <w:pPr>
              <w:spacing w:after="0" w:line="138" w:lineRule="exact"/>
              <w:rPr>
                <w:sz w:val="20"/>
                <w:szCs w:val="20"/>
                <w:color w:val="auto"/>
              </w:rPr>
            </w:pPr>
            <w:r>
              <w:rPr>
                <w:rFonts w:ascii="Arial" w:cs="Arial" w:eastAsia="Arial" w:hAnsi="Arial"/>
                <w:sz w:val="14"/>
                <w:szCs w:val="14"/>
                <w:color w:val="auto"/>
              </w:rPr>
              <w:t>Finley Square</w:t>
            </w:r>
          </w:p>
        </w:tc>
        <w:tc>
          <w:tcPr>
            <w:tcW w:w="38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Chicago, IL</w:t>
            </w:r>
          </w:p>
        </w:tc>
        <w:tc>
          <w:tcPr>
            <w:tcW w:w="820" w:type="dxa"/>
            <w:vAlign w:val="bottom"/>
            <w:gridSpan w:val="3"/>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1995</w:t>
            </w:r>
          </w:p>
        </w:tc>
        <w:tc>
          <w:tcPr>
            <w:tcW w:w="84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4"/>
                <w:szCs w:val="14"/>
                <w:color w:val="auto"/>
              </w:rPr>
              <w:t>31,838</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315,000</w:t>
            </w:r>
          </w:p>
        </w:tc>
        <w:tc>
          <w:tcPr>
            <w:tcW w:w="740" w:type="dxa"/>
            <w:vAlign w:val="bottom"/>
            <w:gridSpan w:val="3"/>
            <w:shd w:val="clear" w:color="auto" w:fill="CCEEFF"/>
          </w:tcPr>
          <w:p>
            <w:pPr>
              <w:jc w:val="right"/>
              <w:ind w:right="140"/>
              <w:spacing w:after="0" w:line="138" w:lineRule="exact"/>
              <w:rPr>
                <w:sz w:val="20"/>
                <w:szCs w:val="20"/>
                <w:color w:val="auto"/>
              </w:rPr>
            </w:pPr>
            <w:r>
              <w:rPr>
                <w:rFonts w:ascii="Arial" w:cs="Arial" w:eastAsia="Arial" w:hAnsi="Arial"/>
                <w:sz w:val="14"/>
                <w:szCs w:val="14"/>
                <w:color w:val="auto"/>
              </w:rPr>
              <w:t>99%</w:t>
            </w: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840" w:type="dxa"/>
            <w:vAlign w:val="bottom"/>
            <w:gridSpan w:val="2"/>
            <w:shd w:val="clear" w:color="auto" w:fill="CCEEFF"/>
          </w:tcPr>
          <w:p>
            <w:pPr>
              <w:ind w:left="80"/>
              <w:spacing w:after="0" w:line="138" w:lineRule="exact"/>
              <w:rPr>
                <w:sz w:val="20"/>
                <w:szCs w:val="20"/>
                <w:color w:val="auto"/>
              </w:rPr>
            </w:pPr>
            <w:r>
              <w:rPr>
                <w:rFonts w:ascii="Arial" w:cs="Arial" w:eastAsia="Arial" w:hAnsi="Arial"/>
                <w:sz w:val="14"/>
                <w:szCs w:val="14"/>
                <w:color w:val="auto"/>
                <w:w w:val="91"/>
              </w:rPr>
              <w:t>Bed, Bath &amp; Beyond / Buy Buy</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84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rPr>
              <w:t>Baby / Petsmart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60" w:type="dxa"/>
            <w:vAlign w:val="bottom"/>
            <w:gridSpan w:val="7"/>
          </w:tcPr>
          <w:p>
            <w:pPr>
              <w:spacing w:after="0" w:line="149" w:lineRule="exact"/>
              <w:rPr>
                <w:sz w:val="20"/>
                <w:szCs w:val="20"/>
                <w:color w:val="auto"/>
              </w:rPr>
            </w:pPr>
            <w:r>
              <w:rPr>
                <w:rFonts w:ascii="Arial" w:cs="Arial" w:eastAsia="Arial" w:hAnsi="Arial"/>
                <w:sz w:val="14"/>
                <w:szCs w:val="14"/>
                <w:color w:val="auto"/>
              </w:rPr>
              <w:t>Garden Market</w:t>
            </w:r>
          </w:p>
        </w:tc>
        <w:tc>
          <w:tcPr>
            <w:tcW w:w="380" w:type="dxa"/>
            <w:vAlign w:val="bottom"/>
          </w:tcPr>
          <w:p>
            <w:pPr>
              <w:spacing w:after="0"/>
              <w:rPr>
                <w:sz w:val="12"/>
                <w:szCs w:val="12"/>
                <w:color w:val="auto"/>
              </w:rPr>
            </w:pPr>
          </w:p>
        </w:tc>
        <w:tc>
          <w:tcPr>
            <w:tcW w:w="1800" w:type="dxa"/>
            <w:vAlign w:val="bottom"/>
          </w:tcPr>
          <w:p>
            <w:pPr>
              <w:spacing w:after="0" w:line="149" w:lineRule="exact"/>
              <w:rPr>
                <w:sz w:val="20"/>
                <w:szCs w:val="20"/>
                <w:color w:val="auto"/>
              </w:rPr>
            </w:pPr>
            <w:r>
              <w:rPr>
                <w:rFonts w:ascii="Arial" w:cs="Arial" w:eastAsia="Arial" w:hAnsi="Arial"/>
                <w:sz w:val="14"/>
                <w:szCs w:val="14"/>
                <w:color w:val="auto"/>
              </w:rPr>
              <w:t>Chicago, IL</w:t>
            </w:r>
          </w:p>
        </w:tc>
        <w:tc>
          <w:tcPr>
            <w:tcW w:w="8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1994</w:t>
            </w:r>
          </w:p>
        </w:tc>
        <w:tc>
          <w:tcPr>
            <w:tcW w:w="8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12,028</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140,000</w:t>
            </w:r>
          </w:p>
        </w:tc>
        <w:tc>
          <w:tcPr>
            <w:tcW w:w="7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96%</w:t>
            </w:r>
          </w:p>
        </w:tc>
        <w:tc>
          <w:tcPr>
            <w:tcW w:w="5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63,000</w:t>
            </w:r>
          </w:p>
        </w:tc>
        <w:tc>
          <w:tcPr>
            <w:tcW w:w="92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Dominick’s</w:t>
            </w:r>
          </w:p>
        </w:tc>
        <w:tc>
          <w:tcPr>
            <w:tcW w:w="18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Walgreens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60" w:type="dxa"/>
            <w:vAlign w:val="bottom"/>
            <w:gridSpan w:val="7"/>
            <w:shd w:val="clear" w:color="auto" w:fill="CCEEFF"/>
          </w:tcPr>
          <w:p>
            <w:pPr>
              <w:spacing w:after="0" w:line="149" w:lineRule="exact"/>
              <w:rPr>
                <w:sz w:val="20"/>
                <w:szCs w:val="20"/>
                <w:color w:val="auto"/>
              </w:rPr>
            </w:pPr>
            <w:r>
              <w:rPr>
                <w:rFonts w:ascii="Arial" w:cs="Arial" w:eastAsia="Arial" w:hAnsi="Arial"/>
                <w:sz w:val="14"/>
                <w:szCs w:val="14"/>
                <w:color w:val="auto"/>
              </w:rPr>
              <w:t>North Lake Commons</w:t>
            </w:r>
          </w:p>
        </w:tc>
        <w:tc>
          <w:tcPr>
            <w:tcW w:w="38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Chicago, IL</w:t>
            </w:r>
          </w:p>
        </w:tc>
        <w:tc>
          <w:tcPr>
            <w:tcW w:w="8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1994</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13,957</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129,000</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89%</w:t>
            </w:r>
          </w:p>
        </w:tc>
        <w:tc>
          <w:tcPr>
            <w:tcW w:w="5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77,000</w:t>
            </w:r>
          </w:p>
        </w:tc>
        <w:tc>
          <w:tcPr>
            <w:tcW w:w="9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Dominick’s</w:t>
            </w:r>
          </w:p>
        </w:tc>
        <w:tc>
          <w:tcPr>
            <w:tcW w:w="8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0" w:type="dxa"/>
            <w:vAlign w:val="bottom"/>
            <w:vMerge w:val="restart"/>
          </w:tcPr>
          <w:p>
            <w:pPr>
              <w:spacing w:after="0"/>
              <w:rPr>
                <w:sz w:val="20"/>
                <w:szCs w:val="20"/>
                <w:color w:val="auto"/>
              </w:rPr>
            </w:pPr>
            <w:r>
              <w:rPr>
                <w:rFonts w:ascii="Arial" w:cs="Arial" w:eastAsia="Arial" w:hAnsi="Arial"/>
                <w:sz w:val="14"/>
                <w:szCs w:val="14"/>
                <w:b w:val="1"/>
                <w:bCs w:val="1"/>
                <w:color w:val="auto"/>
              </w:rPr>
              <w:t>Total Chicago</w:t>
            </w: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82,096</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752,000</w:t>
            </w:r>
          </w:p>
        </w:tc>
        <w:tc>
          <w:tcPr>
            <w:tcW w:w="80" w:type="dxa"/>
            <w:vAlign w:val="bottom"/>
          </w:tcPr>
          <w:p>
            <w:pPr>
              <w:spacing w:after="0"/>
              <w:rPr>
                <w:sz w:val="13"/>
                <w:szCs w:val="13"/>
                <w:color w:val="auto"/>
              </w:rPr>
            </w:pPr>
          </w:p>
        </w:tc>
        <w:tc>
          <w:tcPr>
            <w:tcW w:w="66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95%</w:t>
            </w: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60" w:type="dxa"/>
            <w:vAlign w:val="bottom"/>
            <w:gridSpan w:val="7"/>
            <w:shd w:val="clear" w:color="auto" w:fill="CCEEFF"/>
          </w:tcPr>
          <w:p>
            <w:pPr>
              <w:spacing w:after="0" w:line="135" w:lineRule="exact"/>
              <w:rPr>
                <w:sz w:val="20"/>
                <w:szCs w:val="20"/>
                <w:color w:val="auto"/>
              </w:rPr>
            </w:pPr>
            <w:r>
              <w:rPr>
                <w:rFonts w:ascii="Arial" w:cs="Arial" w:eastAsia="Arial" w:hAnsi="Arial"/>
                <w:sz w:val="14"/>
                <w:szCs w:val="14"/>
                <w:b w:val="1"/>
                <w:bCs w:val="1"/>
                <w:color w:val="auto"/>
              </w:rPr>
              <w:t>South Florida</w:t>
            </w:r>
          </w:p>
        </w:tc>
        <w:tc>
          <w:tcPr>
            <w:tcW w:w="38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8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7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1960" w:type="dxa"/>
            <w:vAlign w:val="bottom"/>
            <w:gridSpan w:val="7"/>
          </w:tcPr>
          <w:p>
            <w:pPr>
              <w:spacing w:after="0" w:line="142" w:lineRule="exact"/>
              <w:rPr>
                <w:sz w:val="20"/>
                <w:szCs w:val="20"/>
                <w:color w:val="auto"/>
              </w:rPr>
            </w:pPr>
            <w:r>
              <w:rPr>
                <w:rFonts w:ascii="Arial" w:cs="Arial" w:eastAsia="Arial" w:hAnsi="Arial"/>
                <w:sz w:val="14"/>
                <w:szCs w:val="14"/>
                <w:color w:val="auto"/>
              </w:rPr>
              <w:t>Courtyard Shops</w:t>
            </w:r>
          </w:p>
        </w:tc>
        <w:tc>
          <w:tcPr>
            <w:tcW w:w="380" w:type="dxa"/>
            <w:vAlign w:val="bottom"/>
          </w:tcPr>
          <w:p>
            <w:pPr>
              <w:spacing w:after="0"/>
              <w:rPr>
                <w:sz w:val="12"/>
                <w:szCs w:val="12"/>
                <w:color w:val="auto"/>
              </w:rPr>
            </w:pPr>
          </w:p>
        </w:tc>
        <w:tc>
          <w:tcPr>
            <w:tcW w:w="1800" w:type="dxa"/>
            <w:vAlign w:val="bottom"/>
          </w:tcPr>
          <w:p>
            <w:pPr>
              <w:spacing w:after="0" w:line="142" w:lineRule="exact"/>
              <w:rPr>
                <w:sz w:val="20"/>
                <w:szCs w:val="20"/>
                <w:color w:val="auto"/>
              </w:rPr>
            </w:pPr>
            <w:r>
              <w:rPr>
                <w:rFonts w:ascii="Arial" w:cs="Arial" w:eastAsia="Arial" w:hAnsi="Arial"/>
                <w:sz w:val="14"/>
                <w:szCs w:val="14"/>
                <w:color w:val="auto"/>
              </w:rPr>
              <w:t>Miami-Ft Lauderdale</w:t>
            </w:r>
          </w:p>
        </w:tc>
        <w:tc>
          <w:tcPr>
            <w:tcW w:w="82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2008</w:t>
            </w:r>
          </w:p>
        </w:tc>
        <w:tc>
          <w:tcPr>
            <w:tcW w:w="840" w:type="dxa"/>
            <w:vAlign w:val="bottom"/>
            <w:gridSpan w:val="2"/>
          </w:tcPr>
          <w:p>
            <w:pPr>
              <w:jc w:val="right"/>
              <w:ind w:right="20"/>
              <w:spacing w:after="0" w:line="142" w:lineRule="exact"/>
              <w:rPr>
                <w:sz w:val="20"/>
                <w:szCs w:val="20"/>
                <w:color w:val="auto"/>
              </w:rPr>
            </w:pPr>
            <w:r>
              <w:rPr>
                <w:rFonts w:ascii="Arial" w:cs="Arial" w:eastAsia="Arial" w:hAnsi="Arial"/>
                <w:sz w:val="14"/>
                <w:szCs w:val="14"/>
                <w:color w:val="auto"/>
              </w:rPr>
              <w:t>38,945</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7,462</w:t>
            </w:r>
          </w:p>
        </w:tc>
        <w:tc>
          <w:tcPr>
            <w:tcW w:w="70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130,000</w:t>
            </w:r>
          </w:p>
        </w:tc>
        <w:tc>
          <w:tcPr>
            <w:tcW w:w="740" w:type="dxa"/>
            <w:vAlign w:val="bottom"/>
            <w:gridSpan w:val="3"/>
          </w:tcPr>
          <w:p>
            <w:pPr>
              <w:jc w:val="right"/>
              <w:ind w:right="140"/>
              <w:spacing w:after="0" w:line="142" w:lineRule="exact"/>
              <w:rPr>
                <w:sz w:val="20"/>
                <w:szCs w:val="20"/>
                <w:color w:val="auto"/>
              </w:rPr>
            </w:pPr>
            <w:r>
              <w:rPr>
                <w:rFonts w:ascii="Arial" w:cs="Arial" w:eastAsia="Arial" w:hAnsi="Arial"/>
                <w:sz w:val="14"/>
                <w:szCs w:val="14"/>
                <w:color w:val="auto"/>
              </w:rPr>
              <w:t>92%</w:t>
            </w:r>
          </w:p>
        </w:tc>
        <w:tc>
          <w:tcPr>
            <w:tcW w:w="52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rPr>
              <w:t>49,000</w:t>
            </w:r>
          </w:p>
        </w:tc>
        <w:tc>
          <w:tcPr>
            <w:tcW w:w="920" w:type="dxa"/>
            <w:vAlign w:val="bottom"/>
            <w:gridSpan w:val="2"/>
          </w:tcPr>
          <w:p>
            <w:pPr>
              <w:ind w:left="40"/>
              <w:spacing w:after="0" w:line="142" w:lineRule="exact"/>
              <w:rPr>
                <w:sz w:val="20"/>
                <w:szCs w:val="20"/>
                <w:color w:val="auto"/>
              </w:rPr>
            </w:pPr>
            <w:r>
              <w:rPr>
                <w:rFonts w:ascii="Arial" w:cs="Arial" w:eastAsia="Arial" w:hAnsi="Arial"/>
                <w:sz w:val="14"/>
                <w:szCs w:val="14"/>
                <w:color w:val="auto"/>
              </w:rPr>
              <w:t>Publix</w:t>
            </w:r>
          </w:p>
        </w:tc>
        <w:tc>
          <w:tcPr>
            <w:tcW w:w="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60" w:type="dxa"/>
            <w:vAlign w:val="bottom"/>
            <w:gridSpan w:val="7"/>
            <w:shd w:val="clear" w:color="auto" w:fill="CCEEFF"/>
          </w:tcPr>
          <w:p>
            <w:pPr>
              <w:spacing w:after="0" w:line="149" w:lineRule="exact"/>
              <w:rPr>
                <w:sz w:val="20"/>
                <w:szCs w:val="20"/>
                <w:color w:val="auto"/>
              </w:rPr>
            </w:pPr>
            <w:r>
              <w:rPr>
                <w:rFonts w:ascii="Arial" w:cs="Arial" w:eastAsia="Arial" w:hAnsi="Arial"/>
                <w:sz w:val="14"/>
                <w:szCs w:val="14"/>
                <w:color w:val="auto"/>
              </w:rPr>
              <w:t>Del Mar Village</w:t>
            </w:r>
          </w:p>
        </w:tc>
        <w:tc>
          <w:tcPr>
            <w:tcW w:w="38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Miami-Ft Lauderdale</w:t>
            </w:r>
          </w:p>
        </w:tc>
        <w:tc>
          <w:tcPr>
            <w:tcW w:w="8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2008</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54,608</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178,000</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93%</w:t>
            </w:r>
          </w:p>
        </w:tc>
        <w:tc>
          <w:tcPr>
            <w:tcW w:w="5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44,000</w:t>
            </w:r>
          </w:p>
        </w:tc>
        <w:tc>
          <w:tcPr>
            <w:tcW w:w="9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Winn Dixie</w:t>
            </w:r>
          </w:p>
        </w:tc>
        <w:tc>
          <w:tcPr>
            <w:tcW w:w="18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0" w:type="dxa"/>
            <w:vAlign w:val="bottom"/>
            <w:vMerge w:val="restart"/>
          </w:tcPr>
          <w:p>
            <w:pPr>
              <w:spacing w:after="0"/>
              <w:rPr>
                <w:sz w:val="20"/>
                <w:szCs w:val="20"/>
                <w:color w:val="auto"/>
              </w:rPr>
            </w:pPr>
            <w:r>
              <w:rPr>
                <w:rFonts w:ascii="Arial" w:cs="Arial" w:eastAsia="Arial" w:hAnsi="Arial"/>
                <w:sz w:val="14"/>
                <w:szCs w:val="14"/>
                <w:b w:val="1"/>
                <w:bCs w:val="1"/>
                <w:color w:val="auto"/>
              </w:rPr>
              <w:t>Total South Florida</w:t>
            </w: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93,553</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308,000</w:t>
            </w:r>
          </w:p>
        </w:tc>
        <w:tc>
          <w:tcPr>
            <w:tcW w:w="80" w:type="dxa"/>
            <w:vAlign w:val="bottom"/>
          </w:tcPr>
          <w:p>
            <w:pPr>
              <w:spacing w:after="0"/>
              <w:rPr>
                <w:sz w:val="13"/>
                <w:szCs w:val="13"/>
                <w:color w:val="auto"/>
              </w:rPr>
            </w:pPr>
          </w:p>
        </w:tc>
        <w:tc>
          <w:tcPr>
            <w:tcW w:w="66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92%</w:t>
            </w: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 w:type="dxa"/>
            <w:vAlign w:val="bottom"/>
            <w:tcBorders>
              <w:bottom w:val="single" w:sz="8" w:color="auto"/>
            </w:tcBorders>
            <w:shd w:val="clear" w:color="auto" w:fill="CCEEFF"/>
          </w:tcPr>
          <w:p>
            <w:pPr>
              <w:spacing w:after="0" w:line="135" w:lineRule="exact"/>
              <w:rPr>
                <w:sz w:val="20"/>
                <w:szCs w:val="20"/>
                <w:color w:val="auto"/>
              </w:rPr>
            </w:pPr>
            <w:r>
              <w:rPr>
                <w:rFonts w:ascii="Arial" w:cs="Arial" w:eastAsia="Arial" w:hAnsi="Arial"/>
                <w:sz w:val="14"/>
                <w:szCs w:val="14"/>
                <w:b w:val="1"/>
                <w:bCs w:val="1"/>
                <w:color w:val="auto"/>
                <w:w w:val="85"/>
              </w:rPr>
              <w:t>Other</w:t>
            </w:r>
          </w:p>
        </w:tc>
        <w:tc>
          <w:tcPr>
            <w:tcW w:w="1620" w:type="dxa"/>
            <w:vAlign w:val="bottom"/>
            <w:tcBorders>
              <w:bottom w:val="single" w:sz="8" w:color="CCEEFF"/>
            </w:tcBorders>
            <w:gridSpan w:val="6"/>
            <w:shd w:val="clear" w:color="auto" w:fill="CCEEFF"/>
          </w:tcPr>
          <w:p>
            <w:pPr>
              <w:spacing w:after="0"/>
              <w:rPr>
                <w:sz w:val="11"/>
                <w:szCs w:val="11"/>
                <w:color w:val="auto"/>
              </w:rPr>
            </w:pPr>
          </w:p>
        </w:tc>
        <w:tc>
          <w:tcPr>
            <w:tcW w:w="380" w:type="dxa"/>
            <w:vAlign w:val="bottom"/>
            <w:tcBorders>
              <w:bottom w:val="single" w:sz="8" w:color="CCEEFF"/>
            </w:tcBorders>
            <w:shd w:val="clear" w:color="auto" w:fill="CCEEFF"/>
          </w:tcPr>
          <w:p>
            <w:pPr>
              <w:spacing w:after="0"/>
              <w:rPr>
                <w:sz w:val="11"/>
                <w:szCs w:val="11"/>
                <w:color w:val="auto"/>
              </w:rPr>
            </w:pPr>
          </w:p>
        </w:tc>
        <w:tc>
          <w:tcPr>
            <w:tcW w:w="18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8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76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960" w:type="dxa"/>
            <w:vAlign w:val="bottom"/>
            <w:gridSpan w:val="7"/>
          </w:tcPr>
          <w:p>
            <w:pPr>
              <w:spacing w:after="0" w:line="131" w:lineRule="exact"/>
              <w:rPr>
                <w:sz w:val="20"/>
                <w:szCs w:val="20"/>
                <w:color w:val="auto"/>
              </w:rPr>
            </w:pPr>
            <w:r>
              <w:rPr>
                <w:rFonts w:ascii="Arial" w:cs="Arial" w:eastAsia="Arial" w:hAnsi="Arial"/>
                <w:sz w:val="14"/>
                <w:szCs w:val="14"/>
                <w:color w:val="auto"/>
              </w:rPr>
              <w:t>Barracks Road</w:t>
            </w:r>
          </w:p>
        </w:tc>
        <w:tc>
          <w:tcPr>
            <w:tcW w:w="380" w:type="dxa"/>
            <w:vAlign w:val="bottom"/>
          </w:tcPr>
          <w:p>
            <w:pPr>
              <w:spacing w:after="0"/>
              <w:rPr>
                <w:sz w:val="11"/>
                <w:szCs w:val="11"/>
                <w:color w:val="auto"/>
              </w:rPr>
            </w:pPr>
          </w:p>
        </w:tc>
        <w:tc>
          <w:tcPr>
            <w:tcW w:w="1800" w:type="dxa"/>
            <w:vAlign w:val="bottom"/>
          </w:tcPr>
          <w:p>
            <w:pPr>
              <w:spacing w:after="0" w:line="131" w:lineRule="exact"/>
              <w:rPr>
                <w:sz w:val="20"/>
                <w:szCs w:val="20"/>
                <w:color w:val="auto"/>
              </w:rPr>
            </w:pPr>
            <w:r>
              <w:rPr>
                <w:rFonts w:ascii="Arial" w:cs="Arial" w:eastAsia="Arial" w:hAnsi="Arial"/>
                <w:sz w:val="14"/>
                <w:szCs w:val="14"/>
                <w:color w:val="auto"/>
              </w:rPr>
              <w:t>Charlottesville, VA</w:t>
            </w:r>
          </w:p>
        </w:tc>
        <w:tc>
          <w:tcPr>
            <w:tcW w:w="820" w:type="dxa"/>
            <w:vAlign w:val="bottom"/>
            <w:gridSpan w:val="3"/>
          </w:tcPr>
          <w:p>
            <w:pPr>
              <w:jc w:val="right"/>
              <w:ind w:right="80"/>
              <w:spacing w:after="0" w:line="131" w:lineRule="exact"/>
              <w:rPr>
                <w:sz w:val="20"/>
                <w:szCs w:val="20"/>
                <w:color w:val="auto"/>
              </w:rPr>
            </w:pPr>
            <w:r>
              <w:rPr>
                <w:rFonts w:ascii="Arial" w:cs="Arial" w:eastAsia="Arial" w:hAnsi="Arial"/>
                <w:sz w:val="14"/>
                <w:szCs w:val="14"/>
                <w:color w:val="auto"/>
              </w:rPr>
              <w:t>1985</w:t>
            </w:r>
          </w:p>
        </w:tc>
        <w:tc>
          <w:tcPr>
            <w:tcW w:w="840" w:type="dxa"/>
            <w:vAlign w:val="bottom"/>
            <w:gridSpan w:val="2"/>
          </w:tcPr>
          <w:p>
            <w:pPr>
              <w:jc w:val="right"/>
              <w:ind w:right="20"/>
              <w:spacing w:after="0" w:line="131" w:lineRule="exact"/>
              <w:rPr>
                <w:sz w:val="20"/>
                <w:szCs w:val="20"/>
                <w:color w:val="auto"/>
              </w:rPr>
            </w:pPr>
            <w:r>
              <w:rPr>
                <w:rFonts w:ascii="Arial" w:cs="Arial" w:eastAsia="Arial" w:hAnsi="Arial"/>
                <w:sz w:val="14"/>
                <w:szCs w:val="14"/>
                <w:color w:val="auto"/>
              </w:rPr>
              <w:t>48,129</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spacing w:after="0" w:line="131" w:lineRule="exact"/>
              <w:rPr>
                <w:sz w:val="20"/>
                <w:szCs w:val="20"/>
                <w:color w:val="auto"/>
              </w:rPr>
            </w:pPr>
            <w:r>
              <w:rPr>
                <w:rFonts w:ascii="Arial" w:cs="Arial" w:eastAsia="Arial" w:hAnsi="Arial"/>
                <w:sz w:val="14"/>
                <w:szCs w:val="14"/>
                <w:color w:val="auto"/>
              </w:rPr>
              <w:t>40,447</w:t>
            </w:r>
          </w:p>
        </w:tc>
        <w:tc>
          <w:tcPr>
            <w:tcW w:w="700" w:type="dxa"/>
            <w:vAlign w:val="bottom"/>
            <w:gridSpan w:val="2"/>
          </w:tcPr>
          <w:p>
            <w:pPr>
              <w:jc w:val="right"/>
              <w:spacing w:after="0" w:line="131" w:lineRule="exact"/>
              <w:rPr>
                <w:sz w:val="20"/>
                <w:szCs w:val="20"/>
                <w:color w:val="auto"/>
              </w:rPr>
            </w:pPr>
            <w:r>
              <w:rPr>
                <w:rFonts w:ascii="Arial" w:cs="Arial" w:eastAsia="Arial" w:hAnsi="Arial"/>
                <w:sz w:val="14"/>
                <w:szCs w:val="14"/>
                <w:color w:val="auto"/>
              </w:rPr>
              <w:t>486,000</w:t>
            </w:r>
          </w:p>
        </w:tc>
        <w:tc>
          <w:tcPr>
            <w:tcW w:w="740" w:type="dxa"/>
            <w:vAlign w:val="bottom"/>
            <w:gridSpan w:val="3"/>
          </w:tcPr>
          <w:p>
            <w:pPr>
              <w:jc w:val="right"/>
              <w:ind w:right="140"/>
              <w:spacing w:after="0" w:line="131" w:lineRule="exact"/>
              <w:rPr>
                <w:sz w:val="20"/>
                <w:szCs w:val="20"/>
                <w:color w:val="auto"/>
              </w:rPr>
            </w:pPr>
            <w:r>
              <w:rPr>
                <w:rFonts w:ascii="Arial" w:cs="Arial" w:eastAsia="Arial" w:hAnsi="Arial"/>
                <w:sz w:val="14"/>
                <w:szCs w:val="14"/>
                <w:color w:val="auto"/>
              </w:rPr>
              <w:t>96%</w:t>
            </w:r>
          </w:p>
        </w:tc>
        <w:tc>
          <w:tcPr>
            <w:tcW w:w="520" w:type="dxa"/>
            <w:vAlign w:val="bottom"/>
            <w:gridSpan w:val="2"/>
          </w:tcPr>
          <w:p>
            <w:pPr>
              <w:jc w:val="right"/>
              <w:ind w:right="40"/>
              <w:spacing w:after="0" w:line="131" w:lineRule="exact"/>
              <w:rPr>
                <w:sz w:val="20"/>
                <w:szCs w:val="20"/>
                <w:color w:val="auto"/>
              </w:rPr>
            </w:pPr>
            <w:r>
              <w:rPr>
                <w:rFonts w:ascii="Arial" w:cs="Arial" w:eastAsia="Arial" w:hAnsi="Arial"/>
                <w:sz w:val="14"/>
                <w:szCs w:val="14"/>
                <w:color w:val="auto"/>
              </w:rPr>
              <w:t>99,000</w:t>
            </w:r>
          </w:p>
        </w:tc>
        <w:tc>
          <w:tcPr>
            <w:tcW w:w="920" w:type="dxa"/>
            <w:vAlign w:val="bottom"/>
            <w:gridSpan w:val="2"/>
          </w:tcPr>
          <w:p>
            <w:pPr>
              <w:ind w:left="40"/>
              <w:spacing w:after="0" w:line="131" w:lineRule="exact"/>
              <w:rPr>
                <w:sz w:val="20"/>
                <w:szCs w:val="20"/>
                <w:color w:val="auto"/>
              </w:rPr>
            </w:pPr>
            <w:r>
              <w:rPr>
                <w:rFonts w:ascii="Arial" w:cs="Arial" w:eastAsia="Arial" w:hAnsi="Arial"/>
                <w:sz w:val="14"/>
                <w:szCs w:val="14"/>
                <w:color w:val="auto"/>
                <w:w w:val="96"/>
              </w:rPr>
              <w:t>Harris Teeter /</w:t>
            </w:r>
          </w:p>
        </w:tc>
        <w:tc>
          <w:tcPr>
            <w:tcW w:w="1840" w:type="dxa"/>
            <w:vAlign w:val="bottom"/>
            <w:gridSpan w:val="2"/>
          </w:tcPr>
          <w:p>
            <w:pPr>
              <w:ind w:left="80"/>
              <w:spacing w:after="0" w:line="131" w:lineRule="exact"/>
              <w:rPr>
                <w:sz w:val="20"/>
                <w:szCs w:val="20"/>
                <w:color w:val="auto"/>
              </w:rPr>
            </w:pPr>
            <w:r>
              <w:rPr>
                <w:rFonts w:ascii="Arial" w:cs="Arial" w:eastAsia="Arial" w:hAnsi="Arial"/>
                <w:sz w:val="14"/>
                <w:szCs w:val="14"/>
                <w:color w:val="auto"/>
                <w:w w:val="89"/>
              </w:rPr>
              <w:t>Bed, Bath &amp; Beyond / Barnes &amp;</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gridSpan w:val="2"/>
          </w:tcPr>
          <w:p>
            <w:pPr>
              <w:ind w:left="40"/>
              <w:spacing w:after="0" w:line="159" w:lineRule="exact"/>
              <w:rPr>
                <w:sz w:val="20"/>
                <w:szCs w:val="20"/>
                <w:color w:val="auto"/>
              </w:rPr>
            </w:pPr>
            <w:r>
              <w:rPr>
                <w:rFonts w:ascii="Arial" w:cs="Arial" w:eastAsia="Arial" w:hAnsi="Arial"/>
                <w:sz w:val="14"/>
                <w:szCs w:val="14"/>
                <w:color w:val="auto"/>
              </w:rPr>
              <w:t>Kroger</w:t>
            </w:r>
          </w:p>
        </w:tc>
        <w:tc>
          <w:tcPr>
            <w:tcW w:w="184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Noble / Old Navy / Michaels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60" w:type="dxa"/>
            <w:vAlign w:val="bottom"/>
            <w:gridSpan w:val="7"/>
            <w:shd w:val="clear" w:color="auto" w:fill="CCEEFF"/>
          </w:tcPr>
          <w:p>
            <w:pPr>
              <w:spacing w:after="0" w:line="149" w:lineRule="exact"/>
              <w:rPr>
                <w:sz w:val="20"/>
                <w:szCs w:val="20"/>
                <w:color w:val="auto"/>
              </w:rPr>
            </w:pPr>
            <w:r>
              <w:rPr>
                <w:rFonts w:ascii="Arial" w:cs="Arial" w:eastAsia="Arial" w:hAnsi="Arial"/>
                <w:sz w:val="14"/>
                <w:szCs w:val="14"/>
                <w:color w:val="auto"/>
              </w:rPr>
              <w:t>Bristol Plaza</w:t>
            </w:r>
          </w:p>
        </w:tc>
        <w:tc>
          <w:tcPr>
            <w:tcW w:w="38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Hartford, CT</w:t>
            </w:r>
          </w:p>
        </w:tc>
        <w:tc>
          <w:tcPr>
            <w:tcW w:w="8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1995</w:t>
            </w:r>
          </w:p>
        </w:tc>
        <w:tc>
          <w:tcPr>
            <w:tcW w:w="8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27,768</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272,000</w:t>
            </w:r>
          </w:p>
        </w:tc>
        <w:tc>
          <w:tcPr>
            <w:tcW w:w="7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85%</w:t>
            </w:r>
          </w:p>
        </w:tc>
        <w:tc>
          <w:tcPr>
            <w:tcW w:w="5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74,000</w:t>
            </w:r>
          </w:p>
        </w:tc>
        <w:tc>
          <w:tcPr>
            <w:tcW w:w="9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Stop &amp; Shop</w:t>
            </w:r>
          </w:p>
        </w:tc>
        <w:tc>
          <w:tcPr>
            <w:tcW w:w="18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60" w:type="dxa"/>
            <w:vAlign w:val="bottom"/>
            <w:gridSpan w:val="7"/>
          </w:tcPr>
          <w:p>
            <w:pPr>
              <w:spacing w:after="0" w:line="138" w:lineRule="exact"/>
              <w:rPr>
                <w:sz w:val="20"/>
                <w:szCs w:val="20"/>
                <w:color w:val="auto"/>
              </w:rPr>
            </w:pPr>
            <w:r>
              <w:rPr>
                <w:rFonts w:ascii="Arial" w:cs="Arial" w:eastAsia="Arial" w:hAnsi="Arial"/>
                <w:sz w:val="14"/>
                <w:szCs w:val="14"/>
                <w:color w:val="auto"/>
              </w:rPr>
              <w:t>Eastgate</w:t>
            </w:r>
          </w:p>
        </w:tc>
        <w:tc>
          <w:tcPr>
            <w:tcW w:w="380" w:type="dxa"/>
            <w:vAlign w:val="bottom"/>
          </w:tcPr>
          <w:p>
            <w:pPr>
              <w:spacing w:after="0"/>
              <w:rPr>
                <w:sz w:val="11"/>
                <w:szCs w:val="11"/>
                <w:color w:val="auto"/>
              </w:rPr>
            </w:pPr>
          </w:p>
        </w:tc>
        <w:tc>
          <w:tcPr>
            <w:tcW w:w="1800" w:type="dxa"/>
            <w:vAlign w:val="bottom"/>
          </w:tcPr>
          <w:p>
            <w:pPr>
              <w:spacing w:after="0" w:line="138" w:lineRule="exact"/>
              <w:rPr>
                <w:sz w:val="20"/>
                <w:szCs w:val="20"/>
                <w:color w:val="auto"/>
              </w:rPr>
            </w:pPr>
            <w:r>
              <w:rPr>
                <w:rFonts w:ascii="Arial" w:cs="Arial" w:eastAsia="Arial" w:hAnsi="Arial"/>
                <w:sz w:val="14"/>
                <w:szCs w:val="14"/>
                <w:color w:val="auto"/>
                <w:w w:val="99"/>
              </w:rPr>
              <w:t>Raleigh-Durham-Chapel Hill,</w:t>
            </w:r>
          </w:p>
        </w:tc>
        <w:tc>
          <w:tcPr>
            <w:tcW w:w="82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rPr>
              <w:t>1986</w:t>
            </w:r>
          </w:p>
        </w:tc>
        <w:tc>
          <w:tcPr>
            <w:tcW w:w="840" w:type="dxa"/>
            <w:vAlign w:val="bottom"/>
            <w:gridSpan w:val="2"/>
          </w:tcPr>
          <w:p>
            <w:pPr>
              <w:jc w:val="right"/>
              <w:ind w:right="20"/>
              <w:spacing w:after="0" w:line="138" w:lineRule="exact"/>
              <w:rPr>
                <w:sz w:val="20"/>
                <w:szCs w:val="20"/>
                <w:color w:val="auto"/>
              </w:rPr>
            </w:pPr>
            <w:r>
              <w:rPr>
                <w:rFonts w:ascii="Arial" w:cs="Arial" w:eastAsia="Arial" w:hAnsi="Arial"/>
                <w:sz w:val="14"/>
                <w:szCs w:val="14"/>
                <w:color w:val="auto"/>
              </w:rPr>
              <w:t>26,082</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153,000</w:t>
            </w:r>
          </w:p>
        </w:tc>
        <w:tc>
          <w:tcPr>
            <w:tcW w:w="740" w:type="dxa"/>
            <w:vAlign w:val="bottom"/>
            <w:gridSpan w:val="3"/>
          </w:tcPr>
          <w:p>
            <w:pPr>
              <w:jc w:val="right"/>
              <w:ind w:right="140"/>
              <w:spacing w:after="0" w:line="138" w:lineRule="exact"/>
              <w:rPr>
                <w:sz w:val="20"/>
                <w:szCs w:val="20"/>
                <w:color w:val="auto"/>
              </w:rPr>
            </w:pPr>
            <w:r>
              <w:rPr>
                <w:rFonts w:ascii="Arial" w:cs="Arial" w:eastAsia="Arial" w:hAnsi="Arial"/>
                <w:sz w:val="14"/>
                <w:szCs w:val="14"/>
                <w:color w:val="auto"/>
              </w:rPr>
              <w:t>100%</w:t>
            </w: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40" w:type="dxa"/>
            <w:vAlign w:val="bottom"/>
            <w:gridSpan w:val="2"/>
          </w:tcPr>
          <w:p>
            <w:pPr>
              <w:ind w:left="80"/>
              <w:spacing w:after="0" w:line="138" w:lineRule="exact"/>
              <w:rPr>
                <w:sz w:val="20"/>
                <w:szCs w:val="20"/>
                <w:color w:val="auto"/>
              </w:rPr>
            </w:pPr>
            <w:r>
              <w:rPr>
                <w:rFonts w:ascii="Arial" w:cs="Arial" w:eastAsia="Arial" w:hAnsi="Arial"/>
                <w:sz w:val="14"/>
                <w:szCs w:val="14"/>
                <w:color w:val="auto"/>
              </w:rPr>
              <w:t>Stein Mart / Trader Joe’s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0" w:type="dxa"/>
            <w:vAlign w:val="bottom"/>
          </w:tcPr>
          <w:p>
            <w:pPr>
              <w:spacing w:after="0" w:line="159" w:lineRule="exact"/>
              <w:rPr>
                <w:sz w:val="20"/>
                <w:szCs w:val="20"/>
                <w:color w:val="auto"/>
              </w:rPr>
            </w:pPr>
            <w:r>
              <w:rPr>
                <w:rFonts w:ascii="Arial" w:cs="Arial" w:eastAsia="Arial" w:hAnsi="Arial"/>
                <w:sz w:val="14"/>
                <w:szCs w:val="14"/>
                <w:color w:val="auto"/>
              </w:rPr>
              <w:t>NC</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60" w:type="dxa"/>
            <w:vAlign w:val="bottom"/>
            <w:gridSpan w:val="7"/>
            <w:shd w:val="clear" w:color="auto" w:fill="CCEEFF"/>
          </w:tcPr>
          <w:p>
            <w:pPr>
              <w:spacing w:after="0" w:line="138" w:lineRule="exact"/>
              <w:rPr>
                <w:sz w:val="20"/>
                <w:szCs w:val="20"/>
                <w:color w:val="auto"/>
              </w:rPr>
            </w:pPr>
            <w:r>
              <w:rPr>
                <w:rFonts w:ascii="Arial" w:cs="Arial" w:eastAsia="Arial" w:hAnsi="Arial"/>
                <w:sz w:val="14"/>
                <w:szCs w:val="14"/>
                <w:color w:val="auto"/>
              </w:rPr>
              <w:t>Gratiot Plaza</w:t>
            </w:r>
          </w:p>
        </w:tc>
        <w:tc>
          <w:tcPr>
            <w:tcW w:w="38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Detroit, MI</w:t>
            </w:r>
          </w:p>
        </w:tc>
        <w:tc>
          <w:tcPr>
            <w:tcW w:w="820" w:type="dxa"/>
            <w:vAlign w:val="bottom"/>
            <w:gridSpan w:val="3"/>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1973</w:t>
            </w:r>
          </w:p>
        </w:tc>
        <w:tc>
          <w:tcPr>
            <w:tcW w:w="84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4"/>
                <w:szCs w:val="14"/>
                <w:color w:val="auto"/>
              </w:rPr>
              <w:t>18,687</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217,000</w:t>
            </w:r>
          </w:p>
        </w:tc>
        <w:tc>
          <w:tcPr>
            <w:tcW w:w="740" w:type="dxa"/>
            <w:vAlign w:val="bottom"/>
            <w:gridSpan w:val="3"/>
            <w:shd w:val="clear" w:color="auto" w:fill="CCEEFF"/>
          </w:tcPr>
          <w:p>
            <w:pPr>
              <w:jc w:val="right"/>
              <w:ind w:right="140"/>
              <w:spacing w:after="0" w:line="138" w:lineRule="exact"/>
              <w:rPr>
                <w:sz w:val="20"/>
                <w:szCs w:val="20"/>
                <w:color w:val="auto"/>
              </w:rPr>
            </w:pPr>
            <w:r>
              <w:rPr>
                <w:rFonts w:ascii="Arial" w:cs="Arial" w:eastAsia="Arial" w:hAnsi="Arial"/>
                <w:sz w:val="14"/>
                <w:szCs w:val="14"/>
                <w:color w:val="auto"/>
              </w:rPr>
              <w:t>99%</w:t>
            </w:r>
          </w:p>
        </w:tc>
        <w:tc>
          <w:tcPr>
            <w:tcW w:w="520" w:type="dxa"/>
            <w:vAlign w:val="bottom"/>
            <w:gridSpan w:val="2"/>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rPr>
              <w:t>69,000</w:t>
            </w:r>
          </w:p>
        </w:tc>
        <w:tc>
          <w:tcPr>
            <w:tcW w:w="920" w:type="dxa"/>
            <w:vAlign w:val="bottom"/>
            <w:gridSpan w:val="2"/>
            <w:shd w:val="clear" w:color="auto" w:fill="CCEEFF"/>
          </w:tcPr>
          <w:p>
            <w:pPr>
              <w:ind w:left="40"/>
              <w:spacing w:after="0" w:line="138" w:lineRule="exact"/>
              <w:rPr>
                <w:sz w:val="20"/>
                <w:szCs w:val="20"/>
                <w:color w:val="auto"/>
              </w:rPr>
            </w:pPr>
            <w:r>
              <w:rPr>
                <w:rFonts w:ascii="Arial" w:cs="Arial" w:eastAsia="Arial" w:hAnsi="Arial"/>
                <w:sz w:val="14"/>
                <w:szCs w:val="14"/>
                <w:color w:val="auto"/>
              </w:rPr>
              <w:t>Kroger</w:t>
            </w:r>
          </w:p>
        </w:tc>
        <w:tc>
          <w:tcPr>
            <w:tcW w:w="1840" w:type="dxa"/>
            <w:vAlign w:val="bottom"/>
            <w:gridSpan w:val="2"/>
            <w:shd w:val="clear" w:color="auto" w:fill="CCEEFF"/>
          </w:tcPr>
          <w:p>
            <w:pPr>
              <w:ind w:left="80"/>
              <w:spacing w:after="0" w:line="138" w:lineRule="exact"/>
              <w:rPr>
                <w:sz w:val="20"/>
                <w:szCs w:val="20"/>
                <w:color w:val="auto"/>
              </w:rPr>
            </w:pPr>
            <w:r>
              <w:rPr>
                <w:rFonts w:ascii="Arial" w:cs="Arial" w:eastAsia="Arial" w:hAnsi="Arial"/>
                <w:sz w:val="14"/>
                <w:szCs w:val="14"/>
                <w:color w:val="auto"/>
                <w:w w:val="89"/>
              </w:rPr>
              <w:t>Bed, Bath &amp; Beyond / Best Buy</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84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rPr>
              <w:t>/ DSW</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60" w:type="dxa"/>
            <w:vAlign w:val="bottom"/>
            <w:gridSpan w:val="7"/>
          </w:tcPr>
          <w:p>
            <w:pPr>
              <w:spacing w:after="0" w:line="138" w:lineRule="exact"/>
              <w:rPr>
                <w:sz w:val="20"/>
                <w:szCs w:val="20"/>
                <w:color w:val="auto"/>
              </w:rPr>
            </w:pPr>
            <w:r>
              <w:rPr>
                <w:rFonts w:ascii="Arial" w:cs="Arial" w:eastAsia="Arial" w:hAnsi="Arial"/>
                <w:sz w:val="14"/>
                <w:szCs w:val="14"/>
                <w:color w:val="auto"/>
              </w:rPr>
              <w:t>Greenwich Avenue</w:t>
            </w:r>
          </w:p>
        </w:tc>
        <w:tc>
          <w:tcPr>
            <w:tcW w:w="380" w:type="dxa"/>
            <w:vAlign w:val="bottom"/>
          </w:tcPr>
          <w:p>
            <w:pPr>
              <w:spacing w:after="0"/>
              <w:rPr>
                <w:sz w:val="11"/>
                <w:szCs w:val="11"/>
                <w:color w:val="auto"/>
              </w:rPr>
            </w:pPr>
          </w:p>
        </w:tc>
        <w:tc>
          <w:tcPr>
            <w:tcW w:w="1800" w:type="dxa"/>
            <w:vAlign w:val="bottom"/>
          </w:tcPr>
          <w:p>
            <w:pPr>
              <w:spacing w:after="0" w:line="138" w:lineRule="exact"/>
              <w:rPr>
                <w:sz w:val="20"/>
                <w:szCs w:val="20"/>
                <w:color w:val="auto"/>
              </w:rPr>
            </w:pPr>
            <w:r>
              <w:rPr>
                <w:rFonts w:ascii="Arial" w:cs="Arial" w:eastAsia="Arial" w:hAnsi="Arial"/>
                <w:sz w:val="14"/>
                <w:szCs w:val="14"/>
                <w:color w:val="auto"/>
              </w:rPr>
              <w:t>New Haven-Bridgeport-</w:t>
            </w:r>
          </w:p>
        </w:tc>
        <w:tc>
          <w:tcPr>
            <w:tcW w:w="82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rPr>
              <w:t>1995</w:t>
            </w:r>
          </w:p>
        </w:tc>
        <w:tc>
          <w:tcPr>
            <w:tcW w:w="840" w:type="dxa"/>
            <w:vAlign w:val="bottom"/>
            <w:gridSpan w:val="2"/>
          </w:tcPr>
          <w:p>
            <w:pPr>
              <w:jc w:val="right"/>
              <w:ind w:right="20"/>
              <w:spacing w:after="0" w:line="138" w:lineRule="exact"/>
              <w:rPr>
                <w:sz w:val="20"/>
                <w:szCs w:val="20"/>
                <w:color w:val="auto"/>
              </w:rPr>
            </w:pPr>
            <w:r>
              <w:rPr>
                <w:rFonts w:ascii="Arial" w:cs="Arial" w:eastAsia="Arial" w:hAnsi="Arial"/>
                <w:sz w:val="14"/>
                <w:szCs w:val="14"/>
                <w:color w:val="auto"/>
              </w:rPr>
              <w:t>13,969</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36,000</w:t>
            </w:r>
          </w:p>
        </w:tc>
        <w:tc>
          <w:tcPr>
            <w:tcW w:w="740" w:type="dxa"/>
            <w:vAlign w:val="bottom"/>
            <w:gridSpan w:val="3"/>
          </w:tcPr>
          <w:p>
            <w:pPr>
              <w:jc w:val="right"/>
              <w:ind w:right="140"/>
              <w:spacing w:after="0" w:line="138" w:lineRule="exact"/>
              <w:rPr>
                <w:sz w:val="20"/>
                <w:szCs w:val="20"/>
                <w:color w:val="auto"/>
              </w:rPr>
            </w:pPr>
            <w:r>
              <w:rPr>
                <w:rFonts w:ascii="Arial" w:cs="Arial" w:eastAsia="Arial" w:hAnsi="Arial"/>
                <w:sz w:val="14"/>
                <w:szCs w:val="14"/>
                <w:color w:val="auto"/>
              </w:rPr>
              <w:t>100%</w:t>
            </w: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40" w:type="dxa"/>
            <w:vAlign w:val="bottom"/>
            <w:gridSpan w:val="2"/>
          </w:tcPr>
          <w:p>
            <w:pPr>
              <w:ind w:left="80"/>
              <w:spacing w:after="0" w:line="138" w:lineRule="exact"/>
              <w:rPr>
                <w:sz w:val="20"/>
                <w:szCs w:val="20"/>
                <w:color w:val="auto"/>
              </w:rPr>
            </w:pPr>
            <w:r>
              <w:rPr>
                <w:rFonts w:ascii="Arial" w:cs="Arial" w:eastAsia="Arial" w:hAnsi="Arial"/>
                <w:sz w:val="14"/>
                <w:szCs w:val="14"/>
                <w:color w:val="auto"/>
              </w:rPr>
              <w:t>Saks Fifth Avenue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0" w:type="dxa"/>
            <w:vAlign w:val="bottom"/>
          </w:tcPr>
          <w:p>
            <w:pPr>
              <w:spacing w:after="0" w:line="159" w:lineRule="exact"/>
              <w:rPr>
                <w:sz w:val="20"/>
                <w:szCs w:val="20"/>
                <w:color w:val="auto"/>
              </w:rPr>
            </w:pPr>
            <w:r>
              <w:rPr>
                <w:rFonts w:ascii="Arial" w:cs="Arial" w:eastAsia="Arial" w:hAnsi="Arial"/>
                <w:sz w:val="14"/>
                <w:szCs w:val="14"/>
                <w:color w:val="auto"/>
              </w:rPr>
              <w:t>Stamford-Waterbury</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60" w:type="dxa"/>
            <w:vAlign w:val="bottom"/>
            <w:gridSpan w:val="7"/>
            <w:shd w:val="clear" w:color="auto" w:fill="CCEEFF"/>
          </w:tcPr>
          <w:p>
            <w:pPr>
              <w:spacing w:after="0" w:line="149" w:lineRule="exact"/>
              <w:rPr>
                <w:sz w:val="20"/>
                <w:szCs w:val="20"/>
                <w:color w:val="auto"/>
              </w:rPr>
            </w:pPr>
            <w:r>
              <w:rPr>
                <w:rFonts w:ascii="Arial" w:cs="Arial" w:eastAsia="Arial" w:hAnsi="Arial"/>
                <w:sz w:val="14"/>
                <w:szCs w:val="14"/>
                <w:color w:val="auto"/>
              </w:rPr>
              <w:t>Houston St</w:t>
            </w:r>
          </w:p>
        </w:tc>
        <w:tc>
          <w:tcPr>
            <w:tcW w:w="38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San Antonio, TX</w:t>
            </w:r>
          </w:p>
        </w:tc>
        <w:tc>
          <w:tcPr>
            <w:tcW w:w="8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1998</w:t>
            </w:r>
          </w:p>
        </w:tc>
        <w:tc>
          <w:tcPr>
            <w:tcW w:w="8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69,959</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196,000</w:t>
            </w:r>
          </w:p>
        </w:tc>
        <w:tc>
          <w:tcPr>
            <w:tcW w:w="7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88%</w:t>
            </w: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Hotel Valencia / Walgreens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60" w:type="dxa"/>
            <w:vAlign w:val="bottom"/>
            <w:gridSpan w:val="7"/>
          </w:tcPr>
          <w:p>
            <w:pPr>
              <w:spacing w:after="0" w:line="149" w:lineRule="exact"/>
              <w:rPr>
                <w:sz w:val="20"/>
                <w:szCs w:val="20"/>
                <w:color w:val="auto"/>
              </w:rPr>
            </w:pPr>
            <w:r>
              <w:rPr>
                <w:rFonts w:ascii="Arial" w:cs="Arial" w:eastAsia="Arial" w:hAnsi="Arial"/>
                <w:sz w:val="14"/>
                <w:szCs w:val="14"/>
                <w:color w:val="auto"/>
              </w:rPr>
              <w:t>Lancaster</w:t>
            </w:r>
          </w:p>
        </w:tc>
        <w:tc>
          <w:tcPr>
            <w:tcW w:w="380" w:type="dxa"/>
            <w:vAlign w:val="bottom"/>
          </w:tcPr>
          <w:p>
            <w:pPr>
              <w:jc w:val="right"/>
              <w:ind w:right="52"/>
              <w:spacing w:after="0" w:line="149" w:lineRule="exact"/>
              <w:rPr>
                <w:sz w:val="20"/>
                <w:szCs w:val="20"/>
                <w:color w:val="auto"/>
              </w:rPr>
            </w:pPr>
            <w:r>
              <w:rPr>
                <w:rFonts w:ascii="Arial" w:cs="Arial" w:eastAsia="Arial" w:hAnsi="Arial"/>
                <w:sz w:val="14"/>
                <w:szCs w:val="14"/>
                <w:color w:val="auto"/>
                <w:w w:val="96"/>
              </w:rPr>
              <w:t>(11)</w:t>
            </w:r>
          </w:p>
        </w:tc>
        <w:tc>
          <w:tcPr>
            <w:tcW w:w="1800" w:type="dxa"/>
            <w:vAlign w:val="bottom"/>
          </w:tcPr>
          <w:p>
            <w:pPr>
              <w:spacing w:after="0" w:line="149" w:lineRule="exact"/>
              <w:rPr>
                <w:sz w:val="20"/>
                <w:szCs w:val="20"/>
                <w:color w:val="auto"/>
              </w:rPr>
            </w:pPr>
            <w:r>
              <w:rPr>
                <w:rFonts w:ascii="Arial" w:cs="Arial" w:eastAsia="Arial" w:hAnsi="Arial"/>
                <w:sz w:val="14"/>
                <w:szCs w:val="14"/>
                <w:color w:val="auto"/>
              </w:rPr>
              <w:t>Lancaster, PA</w:t>
            </w:r>
          </w:p>
        </w:tc>
        <w:tc>
          <w:tcPr>
            <w:tcW w:w="8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1980</w:t>
            </w:r>
          </w:p>
        </w:tc>
        <w:tc>
          <w:tcPr>
            <w:tcW w:w="8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11,617</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4,907</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107,000</w:t>
            </w:r>
          </w:p>
        </w:tc>
        <w:tc>
          <w:tcPr>
            <w:tcW w:w="7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98%</w:t>
            </w:r>
          </w:p>
        </w:tc>
        <w:tc>
          <w:tcPr>
            <w:tcW w:w="5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39,000</w:t>
            </w:r>
          </w:p>
        </w:tc>
        <w:tc>
          <w:tcPr>
            <w:tcW w:w="92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Giant Food</w:t>
            </w:r>
          </w:p>
        </w:tc>
        <w:tc>
          <w:tcPr>
            <w:tcW w:w="18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Michaels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60" w:type="dxa"/>
            <w:vAlign w:val="bottom"/>
            <w:gridSpan w:val="7"/>
            <w:shd w:val="clear" w:color="auto" w:fill="CCEEFF"/>
          </w:tcPr>
          <w:p>
            <w:pPr>
              <w:spacing w:after="0" w:line="149" w:lineRule="exact"/>
              <w:rPr>
                <w:sz w:val="20"/>
                <w:szCs w:val="20"/>
                <w:color w:val="auto"/>
              </w:rPr>
            </w:pPr>
            <w:r>
              <w:rPr>
                <w:rFonts w:ascii="Arial" w:cs="Arial" w:eastAsia="Arial" w:hAnsi="Arial"/>
                <w:sz w:val="14"/>
                <w:szCs w:val="14"/>
                <w:color w:val="auto"/>
              </w:rPr>
              <w:t>Shoppers’ World</w:t>
            </w:r>
          </w:p>
        </w:tc>
        <w:tc>
          <w:tcPr>
            <w:tcW w:w="38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Charlottesville, VA</w:t>
            </w:r>
          </w:p>
        </w:tc>
        <w:tc>
          <w:tcPr>
            <w:tcW w:w="8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2007</w:t>
            </w:r>
          </w:p>
        </w:tc>
        <w:tc>
          <w:tcPr>
            <w:tcW w:w="8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30,072</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5,699</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169,000</w:t>
            </w:r>
          </w:p>
        </w:tc>
        <w:tc>
          <w:tcPr>
            <w:tcW w:w="7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94%</w:t>
            </w:r>
          </w:p>
        </w:tc>
        <w:tc>
          <w:tcPr>
            <w:tcW w:w="5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28,000</w:t>
            </w:r>
          </w:p>
        </w:tc>
        <w:tc>
          <w:tcPr>
            <w:tcW w:w="9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Whole Foods</w:t>
            </w:r>
          </w:p>
        </w:tc>
        <w:tc>
          <w:tcPr>
            <w:tcW w:w="18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Staples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60" w:type="dxa"/>
            <w:vAlign w:val="bottom"/>
            <w:gridSpan w:val="7"/>
          </w:tcPr>
          <w:p>
            <w:pPr>
              <w:spacing w:after="0" w:line="149" w:lineRule="exact"/>
              <w:rPr>
                <w:sz w:val="20"/>
                <w:szCs w:val="20"/>
                <w:color w:val="auto"/>
              </w:rPr>
            </w:pPr>
            <w:r>
              <w:rPr>
                <w:rFonts w:ascii="Arial" w:cs="Arial" w:eastAsia="Arial" w:hAnsi="Arial"/>
                <w:sz w:val="14"/>
                <w:szCs w:val="14"/>
                <w:color w:val="auto"/>
              </w:rPr>
              <w:t>Shops at Willow Lawn</w:t>
            </w:r>
          </w:p>
        </w:tc>
        <w:tc>
          <w:tcPr>
            <w:tcW w:w="380" w:type="dxa"/>
            <w:vAlign w:val="bottom"/>
          </w:tcPr>
          <w:p>
            <w:pPr>
              <w:spacing w:after="0"/>
              <w:rPr>
                <w:sz w:val="12"/>
                <w:szCs w:val="12"/>
                <w:color w:val="auto"/>
              </w:rPr>
            </w:pPr>
          </w:p>
        </w:tc>
        <w:tc>
          <w:tcPr>
            <w:tcW w:w="1800" w:type="dxa"/>
            <w:vAlign w:val="bottom"/>
          </w:tcPr>
          <w:p>
            <w:pPr>
              <w:spacing w:after="0" w:line="149" w:lineRule="exact"/>
              <w:rPr>
                <w:sz w:val="20"/>
                <w:szCs w:val="20"/>
                <w:color w:val="auto"/>
              </w:rPr>
            </w:pPr>
            <w:r>
              <w:rPr>
                <w:rFonts w:ascii="Arial" w:cs="Arial" w:eastAsia="Arial" w:hAnsi="Arial"/>
                <w:sz w:val="14"/>
                <w:szCs w:val="14"/>
                <w:color w:val="auto"/>
              </w:rPr>
              <w:t>Richmond-Petersburg, VA</w:t>
            </w:r>
          </w:p>
        </w:tc>
        <w:tc>
          <w:tcPr>
            <w:tcW w:w="8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1983</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76,531</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476,000</w:t>
            </w:r>
          </w:p>
        </w:tc>
        <w:tc>
          <w:tcPr>
            <w:tcW w:w="80" w:type="dxa"/>
            <w:vAlign w:val="bottom"/>
          </w:tcPr>
          <w:p>
            <w:pPr>
              <w:spacing w:after="0"/>
              <w:rPr>
                <w:sz w:val="12"/>
                <w:szCs w:val="12"/>
                <w:color w:val="auto"/>
              </w:rPr>
            </w:pP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87%</w:t>
            </w:r>
          </w:p>
        </w:tc>
        <w:tc>
          <w:tcPr>
            <w:tcW w:w="5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60,000</w:t>
            </w:r>
          </w:p>
        </w:tc>
        <w:tc>
          <w:tcPr>
            <w:tcW w:w="92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Kroger</w:t>
            </w:r>
          </w:p>
        </w:tc>
        <w:tc>
          <w:tcPr>
            <w:tcW w:w="18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Old Navy / Staples / Ross</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Other</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322,814</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2,112,000</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92%</w:t>
            </w: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980" w:type="dxa"/>
            <w:vAlign w:val="bottom"/>
            <w:gridSpan w:val="8"/>
            <w:vMerge w:val="restart"/>
          </w:tcPr>
          <w:p>
            <w:pPr>
              <w:spacing w:after="0"/>
              <w:rPr>
                <w:sz w:val="20"/>
                <w:szCs w:val="20"/>
                <w:color w:val="auto"/>
              </w:rPr>
            </w:pPr>
            <w:r>
              <w:rPr>
                <w:rFonts w:ascii="Arial" w:cs="Arial" w:eastAsia="Arial" w:hAnsi="Arial"/>
                <w:sz w:val="14"/>
                <w:szCs w:val="14"/>
                <w:b w:val="1"/>
                <w:bCs w:val="1"/>
                <w:color w:val="auto"/>
              </w:rPr>
              <w:t>Grand Total</w:t>
            </w:r>
          </w:p>
        </w:tc>
        <w:tc>
          <w:tcPr>
            <w:tcW w:w="3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980" w:type="dxa"/>
            <w:vAlign w:val="bottom"/>
            <w:gridSpan w:val="8"/>
            <w:vMerge w:val="continue"/>
          </w:tcPr>
          <w:p>
            <w:pPr>
              <w:spacing w:after="0"/>
              <w:rPr>
                <w:sz w:val="13"/>
                <w:szCs w:val="13"/>
                <w:color w:val="auto"/>
              </w:rPr>
            </w:pPr>
          </w:p>
        </w:tc>
        <w:tc>
          <w:tcPr>
            <w:tcW w:w="3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7"/>
              </w:rPr>
              <w:t>$   3,770,971</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7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599,520</w:t>
            </w:r>
          </w:p>
        </w:tc>
        <w:tc>
          <w:tcPr>
            <w:tcW w:w="8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85"/>
              </w:rPr>
              <w:t>18,155,000</w:t>
            </w:r>
          </w:p>
        </w:tc>
        <w:tc>
          <w:tcPr>
            <w:tcW w:w="80" w:type="dxa"/>
            <w:vAlign w:val="bottom"/>
          </w:tcPr>
          <w:p>
            <w:pPr>
              <w:spacing w:after="0"/>
              <w:rPr>
                <w:sz w:val="13"/>
                <w:szCs w:val="13"/>
                <w:color w:val="auto"/>
              </w:rPr>
            </w:pPr>
          </w:p>
        </w:tc>
        <w:tc>
          <w:tcPr>
            <w:tcW w:w="660" w:type="dxa"/>
            <w:vAlign w:val="bottom"/>
            <w:gridSpan w:val="2"/>
          </w:tcPr>
          <w:p>
            <w:pPr>
              <w:jc w:val="right"/>
              <w:ind w:right="120"/>
              <w:spacing w:after="0" w:line="155" w:lineRule="exact"/>
              <w:rPr>
                <w:sz w:val="20"/>
                <w:szCs w:val="20"/>
                <w:color w:val="auto"/>
              </w:rPr>
            </w:pPr>
            <w:r>
              <w:rPr>
                <w:rFonts w:ascii="Arial" w:cs="Arial" w:eastAsia="Arial" w:hAnsi="Arial"/>
                <w:sz w:val="14"/>
                <w:szCs w:val="14"/>
                <w:b w:val="1"/>
                <w:bCs w:val="1"/>
                <w:color w:val="auto"/>
              </w:rPr>
              <w:t>94%</w:t>
            </w: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8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0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6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 w:type="dxa"/>
            <w:vAlign w:val="bottom"/>
          </w:tcPr>
          <w:p>
            <w:pPr>
              <w:spacing w:after="0"/>
              <w:rPr>
                <w:sz w:val="7"/>
                <w:szCs w:val="7"/>
                <w:color w:val="auto"/>
              </w:rPr>
            </w:pPr>
          </w:p>
        </w:tc>
        <w:tc>
          <w:tcPr>
            <w:tcW w:w="17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15" w:lineRule="exact"/>
        <w:rPr>
          <w:sz w:val="20"/>
          <w:szCs w:val="20"/>
          <w:color w:val="auto"/>
        </w:rPr>
      </w:pPr>
    </w:p>
    <w:p>
      <w:pPr>
        <w:ind w:left="460" w:right="220" w:hanging="452"/>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mortgage or capital lease obligations differ from the total reported on the consolidated balance sheet due to the unamortized discount or premium on certain mortgage payables.</w:t>
      </w: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Excludes newly created redevelopment square footage not yet in service, as well as residential and hotel square footage.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Grocery anchor is defined as a grocery tenant leasing 15,000 square feet or more.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Portion of property subject to capital lease obligation.</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Trust has a 64.1% ownership interest in the property.</w:t>
      </w:r>
    </w:p>
    <w:p>
      <w:pPr>
        <w:spacing w:after="0" w:line="9" w:lineRule="exact"/>
        <w:rPr>
          <w:rFonts w:ascii="Arial" w:cs="Arial" w:eastAsia="Arial" w:hAnsi="Arial"/>
          <w:sz w:val="18"/>
          <w:szCs w:val="18"/>
          <w:color w:val="auto"/>
        </w:rPr>
      </w:pPr>
    </w:p>
    <w:p>
      <w:pPr>
        <w:ind w:left="460" w:right="180" w:hanging="452"/>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Property owned in a “downreit” partnership, of which a wholly owned subsidiary of the Trust is the sole general partner, with third party partners holding operating partnership units.</w:t>
      </w: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Trust has a 70% ownership interest in the property.</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Trust has a 90% ownership interest in the property.</w:t>
      </w:r>
    </w:p>
    <w:p>
      <w:pPr>
        <w:spacing w:after="0" w:line="9" w:lineRule="exact"/>
        <w:rPr>
          <w:rFonts w:ascii="Arial" w:cs="Arial" w:eastAsia="Arial" w:hAnsi="Arial"/>
          <w:sz w:val="18"/>
          <w:szCs w:val="18"/>
          <w:color w:val="auto"/>
        </w:rPr>
      </w:pPr>
    </w:p>
    <w:p>
      <w:pPr>
        <w:ind w:left="460" w:right="380" w:hanging="452"/>
        <w:spacing w:after="0" w:line="281"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On October 16, 2006, the Trust acquired control of Melville Mall through a 20 year master lease and secondary financing. Since the Trust controls this property and retains substantially all of the economic benefit and risks associated with it, we consolidate this property and its operations.</w:t>
      </w:r>
    </w:p>
    <w:p>
      <w:pPr>
        <w:spacing w:after="0" w:line="1" w:lineRule="exact"/>
        <w:rPr>
          <w:rFonts w:ascii="Arial" w:cs="Arial" w:eastAsia="Arial" w:hAnsi="Arial"/>
          <w:sz w:val="16"/>
          <w:szCs w:val="16"/>
          <w:color w:val="auto"/>
        </w:rPr>
      </w:pPr>
    </w:p>
    <w:p>
      <w:pPr>
        <w:ind w:left="460" w:right="60" w:hanging="452"/>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50% of the ownership of this property is in a “downreit” partnership, of which a wholly owned subsidiary of the Trust is the sole general partner, with third party partners holding operating partnership units.</w:t>
      </w: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Property subject to capital lease obligation.</w:t>
      </w:r>
    </w:p>
    <w:p>
      <w:pPr>
        <w:sectPr>
          <w:pgSz w:w="11900" w:h="16838" w:orient="portrait"/>
          <w:cols w:equalWidth="0" w:num="1">
            <w:col w:w="11420"/>
          </w:cols>
          <w:pgMar w:left="240" w:top="274" w:right="239"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274" w:right="2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Retail Leasing Summary (1)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Total Lease Summary - Comparable (2)</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40" w:type="dxa"/>
            <w:vAlign w:val="bottom"/>
            <w:gridSpan w:val="59"/>
          </w:tcPr>
          <w:p>
            <w:pPr>
              <w:spacing w:after="0"/>
              <w:rPr>
                <w:sz w:val="20"/>
                <w:szCs w:val="20"/>
                <w:color w:val="auto"/>
              </w:rPr>
            </w:pPr>
            <w:r>
              <w:rPr>
                <w:rFonts w:ascii="Arial" w:cs="Arial" w:eastAsia="Arial" w:hAnsi="Arial"/>
                <w:sz w:val="14"/>
                <w:szCs w:val="14"/>
                <w:b w:val="1"/>
                <w:bCs w:val="1"/>
                <w:color w:val="auto"/>
              </w:rPr>
              <w:t>Straight-</w:t>
            </w:r>
          </w:p>
        </w:tc>
        <w:tc>
          <w:tcPr>
            <w:tcW w:w="0" w:type="dxa"/>
            <w:vAlign w:val="bottom"/>
          </w:tcPr>
          <w:p>
            <w:pPr>
              <w:spacing w:after="0"/>
              <w:rPr>
                <w:sz w:val="1"/>
                <w:szCs w:val="1"/>
                <w:color w:val="auto"/>
              </w:rPr>
            </w:pPr>
          </w:p>
        </w:tc>
      </w:tr>
      <w:tr>
        <w:trPr>
          <w:trHeight w:val="149"/>
        </w:trPr>
        <w:tc>
          <w:tcPr>
            <w:tcW w:w="11440" w:type="dxa"/>
            <w:vAlign w:val="bottom"/>
            <w:gridSpan w:val="59"/>
          </w:tcPr>
          <w:p>
            <w:pPr>
              <w:spacing w:after="0"/>
              <w:rPr>
                <w:sz w:val="20"/>
                <w:szCs w:val="20"/>
                <w:color w:val="auto"/>
              </w:rPr>
            </w:pPr>
            <w:r>
              <w:rPr>
                <w:rFonts w:ascii="Arial" w:cs="Arial" w:eastAsia="Arial" w:hAnsi="Arial"/>
                <w:sz w:val="14"/>
                <w:szCs w:val="14"/>
                <w:b w:val="1"/>
                <w:bCs w:val="1"/>
                <w:color w:val="auto"/>
              </w:rPr>
              <w:t>lined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Cash</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Basis %</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gridSpan w:val="5"/>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Number</w:t>
            </w:r>
          </w:p>
        </w:tc>
        <w:tc>
          <w:tcPr>
            <w:tcW w:w="80" w:type="dxa"/>
            <w:vAlign w:val="bottom"/>
          </w:tcPr>
          <w:p>
            <w:pPr>
              <w:spacing w:after="0"/>
              <w:rPr>
                <w:sz w:val="12"/>
                <w:szCs w:val="12"/>
                <w:color w:val="auto"/>
              </w:rPr>
            </w:pPr>
          </w:p>
        </w:tc>
        <w:tc>
          <w:tcPr>
            <w:tcW w:w="64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 of</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1"/>
              </w:rPr>
              <w:t>Prior</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Basis %</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Increase</w:t>
            </w: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5"/>
              </w:rPr>
              <w:t>Weighted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Tenant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of</w:t>
            </w:r>
          </w:p>
        </w:tc>
        <w:tc>
          <w:tcPr>
            <w:tcW w:w="7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Comparable</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w w:val="87"/>
              </w:rPr>
              <w:t>Contractual</w:t>
            </w:r>
          </w:p>
        </w:tc>
        <w:tc>
          <w:tcPr>
            <w:tcW w:w="120" w:type="dxa"/>
            <w:vAlign w:val="bottom"/>
          </w:tcPr>
          <w:p>
            <w:pPr>
              <w:spacing w:after="0"/>
              <w:rPr>
                <w:sz w:val="12"/>
                <w:szCs w:val="12"/>
                <w:color w:val="auto"/>
              </w:rPr>
            </w:pPr>
          </w:p>
        </w:tc>
        <w:tc>
          <w:tcPr>
            <w:tcW w:w="50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8"/>
              </w:rPr>
              <w:t>Rent (4)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Annual</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Increase</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Over</w:t>
            </w:r>
          </w:p>
        </w:tc>
        <w:tc>
          <w:tcPr>
            <w:tcW w:w="5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ind w:right="156"/>
              <w:spacing w:after="0" w:line="149" w:lineRule="exact"/>
              <w:rPr>
                <w:sz w:val="20"/>
                <w:szCs w:val="20"/>
                <w:color w:val="auto"/>
              </w:rPr>
            </w:pPr>
            <w:r>
              <w:rPr>
                <w:rFonts w:ascii="Arial" w:cs="Arial" w:eastAsia="Arial" w:hAnsi="Arial"/>
                <w:sz w:val="14"/>
                <w:szCs w:val="14"/>
                <w:b w:val="1"/>
                <w:bCs w:val="1"/>
                <w:color w:val="auto"/>
              </w:rPr>
              <w:t>Tenant</w:t>
            </w:r>
          </w:p>
        </w:tc>
        <w:tc>
          <w:tcPr>
            <w:tcW w:w="160" w:type="dxa"/>
            <w:vAlign w:val="bottom"/>
          </w:tcPr>
          <w:p>
            <w:pPr>
              <w:spacing w:after="0"/>
              <w:rPr>
                <w:sz w:val="12"/>
                <w:szCs w:val="12"/>
                <w:color w:val="auto"/>
              </w:rPr>
            </w:pPr>
          </w:p>
        </w:tc>
        <w:tc>
          <w:tcPr>
            <w:tcW w:w="8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87"/>
              </w:rPr>
              <w:t>Improvements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gridSpan w:val="5"/>
          </w:tcPr>
          <w:p>
            <w:pPr>
              <w:jc w:val="center"/>
              <w:ind w:right="120"/>
              <w:spacing w:after="0" w:line="149" w:lineRule="exact"/>
              <w:rPr>
                <w:sz w:val="20"/>
                <w:szCs w:val="20"/>
                <w:color w:val="auto"/>
              </w:rPr>
            </w:pPr>
            <w:r>
              <w:rPr>
                <w:rFonts w:ascii="Arial" w:cs="Arial" w:eastAsia="Arial" w:hAnsi="Arial"/>
                <w:sz w:val="14"/>
                <w:szCs w:val="14"/>
                <w:b w:val="1"/>
                <w:bCs w:val="1"/>
                <w:color w:val="auto"/>
                <w:w w:val="79"/>
              </w:rPr>
              <w:t>Leases</w:t>
            </w:r>
          </w:p>
        </w:tc>
        <w:tc>
          <w:tcPr>
            <w:tcW w:w="80" w:type="dxa"/>
            <w:vAlign w:val="bottom"/>
          </w:tcPr>
          <w:p>
            <w:pPr>
              <w:spacing w:after="0"/>
              <w:rPr>
                <w:sz w:val="12"/>
                <w:szCs w:val="12"/>
                <w:color w:val="auto"/>
              </w:rPr>
            </w:pPr>
          </w:p>
        </w:tc>
        <w:tc>
          <w:tcPr>
            <w:tcW w:w="640" w:type="dxa"/>
            <w:vAlign w:val="bottom"/>
            <w:gridSpan w:val="2"/>
          </w:tcPr>
          <w:p>
            <w:pPr>
              <w:jc w:val="center"/>
              <w:ind w:right="19"/>
              <w:spacing w:after="0" w:line="149" w:lineRule="exact"/>
              <w:rPr>
                <w:sz w:val="20"/>
                <w:szCs w:val="20"/>
                <w:color w:val="auto"/>
              </w:rPr>
            </w:pPr>
            <w:r>
              <w:rPr>
                <w:rFonts w:ascii="Arial" w:cs="Arial" w:eastAsia="Arial" w:hAnsi="Arial"/>
                <w:sz w:val="14"/>
                <w:szCs w:val="14"/>
                <w:b w:val="1"/>
                <w:bCs w:val="1"/>
                <w:color w:val="auto"/>
                <w:w w:val="79"/>
              </w:rPr>
              <w:t>Leases</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gridSpan w:val="4"/>
          </w:tcPr>
          <w:p>
            <w:pPr>
              <w:jc w:val="center"/>
              <w:ind w:left="38"/>
              <w:spacing w:after="0" w:line="149" w:lineRule="exact"/>
              <w:rPr>
                <w:sz w:val="20"/>
                <w:szCs w:val="20"/>
                <w:color w:val="auto"/>
              </w:rPr>
            </w:pPr>
            <w:r>
              <w:rPr>
                <w:rFonts w:ascii="Arial" w:cs="Arial" w:eastAsia="Arial" w:hAnsi="Arial"/>
                <w:sz w:val="14"/>
                <w:szCs w:val="14"/>
                <w:b w:val="1"/>
                <w:bCs w:val="1"/>
                <w:color w:val="auto"/>
                <w:w w:val="94"/>
              </w:rPr>
              <w:t>GLA</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5"/>
          </w:tcPr>
          <w:p>
            <w:pPr>
              <w:jc w:val="right"/>
              <w:ind w:right="52"/>
              <w:spacing w:after="0" w:line="149" w:lineRule="exact"/>
              <w:rPr>
                <w:sz w:val="20"/>
                <w:szCs w:val="20"/>
                <w:color w:val="auto"/>
              </w:rPr>
            </w:pPr>
            <w:r>
              <w:rPr>
                <w:rFonts w:ascii="Arial" w:cs="Arial" w:eastAsia="Arial" w:hAnsi="Arial"/>
                <w:sz w:val="14"/>
                <w:szCs w:val="14"/>
                <w:b w:val="1"/>
                <w:bCs w:val="1"/>
                <w:color w:val="auto"/>
              </w:rPr>
              <w:t>Rent (3)</w:t>
            </w:r>
          </w:p>
        </w:tc>
        <w:tc>
          <w:tcPr>
            <w:tcW w:w="120" w:type="dxa"/>
            <w:vAlign w:val="bottom"/>
          </w:tcPr>
          <w:p>
            <w:pPr>
              <w:spacing w:after="0"/>
              <w:rPr>
                <w:sz w:val="12"/>
                <w:szCs w:val="12"/>
                <w:color w:val="auto"/>
              </w:rPr>
            </w:pPr>
          </w:p>
        </w:tc>
        <w:tc>
          <w:tcPr>
            <w:tcW w:w="50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6"/>
              </w:rPr>
              <w:t>Per Sq.</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Increase</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Over</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Prior</w:t>
            </w: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Lease</w:t>
            </w:r>
          </w:p>
        </w:tc>
        <w:tc>
          <w:tcPr>
            <w:tcW w:w="12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9"/>
              </w:rPr>
              <w:t>Improvements</w:t>
            </w:r>
          </w:p>
        </w:tc>
        <w:tc>
          <w:tcPr>
            <w:tcW w:w="160" w:type="dxa"/>
            <w:vAlign w:val="bottom"/>
          </w:tcPr>
          <w:p>
            <w:pPr>
              <w:spacing w:after="0"/>
              <w:rPr>
                <w:sz w:val="12"/>
                <w:szCs w:val="12"/>
                <w:color w:val="auto"/>
              </w:rPr>
            </w:pPr>
          </w:p>
        </w:tc>
        <w:tc>
          <w:tcPr>
            <w:tcW w:w="8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&amp; Incentives</w:t>
            </w:r>
          </w:p>
        </w:tc>
        <w:tc>
          <w:tcPr>
            <w:tcW w:w="0" w:type="dxa"/>
            <w:vAlign w:val="bottom"/>
          </w:tcPr>
          <w:p>
            <w:pPr>
              <w:spacing w:after="0"/>
              <w:rPr>
                <w:sz w:val="1"/>
                <w:szCs w:val="1"/>
                <w:color w:val="auto"/>
              </w:rPr>
            </w:pPr>
          </w:p>
        </w:tc>
      </w:tr>
      <w:tr>
        <w:trPr>
          <w:trHeight w:val="161"/>
        </w:trPr>
        <w:tc>
          <w:tcPr>
            <w:tcW w:w="1860" w:type="dxa"/>
            <w:vAlign w:val="bottom"/>
            <w:gridSpan w:val="4"/>
          </w:tcPr>
          <w:p>
            <w:pPr>
              <w:spacing w:after="0"/>
              <w:rPr>
                <w:sz w:val="20"/>
                <w:szCs w:val="20"/>
                <w:color w:val="auto"/>
              </w:rPr>
            </w:pPr>
            <w:r>
              <w:rPr>
                <w:rFonts w:ascii="Arial" w:cs="Arial" w:eastAsia="Arial" w:hAnsi="Arial"/>
                <w:sz w:val="14"/>
                <w:szCs w:val="14"/>
                <w:b w:val="1"/>
                <w:bCs w:val="1"/>
                <w:color w:val="auto"/>
              </w:rPr>
              <w:t>Quarter</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1"/>
              </w:rPr>
              <w:t>Signed</w:t>
            </w:r>
          </w:p>
        </w:tc>
        <w:tc>
          <w:tcPr>
            <w:tcW w:w="80" w:type="dxa"/>
            <w:vAlign w:val="bottom"/>
          </w:tcPr>
          <w:p>
            <w:pPr>
              <w:spacing w:after="0"/>
              <w:rPr>
                <w:sz w:val="14"/>
                <w:szCs w:val="14"/>
                <w:color w:val="auto"/>
              </w:rPr>
            </w:pPr>
          </w:p>
        </w:tc>
        <w:tc>
          <w:tcPr>
            <w:tcW w:w="6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Signed</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gridSpan w:val="4"/>
          </w:tcPr>
          <w:p>
            <w:pPr>
              <w:jc w:val="center"/>
              <w:ind w:left="38"/>
              <w:spacing w:after="0"/>
              <w:rPr>
                <w:sz w:val="20"/>
                <w:szCs w:val="20"/>
                <w:color w:val="auto"/>
              </w:rPr>
            </w:pPr>
            <w:r>
              <w:rPr>
                <w:rFonts w:ascii="Arial" w:cs="Arial" w:eastAsia="Arial" w:hAnsi="Arial"/>
                <w:sz w:val="14"/>
                <w:szCs w:val="14"/>
                <w:b w:val="1"/>
                <w:bCs w:val="1"/>
                <w:color w:val="auto"/>
                <w:w w:val="85"/>
              </w:rPr>
              <w:t>Signed</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5"/>
          </w:tcPr>
          <w:p>
            <w:pPr>
              <w:jc w:val="right"/>
              <w:spacing w:after="0"/>
              <w:rPr>
                <w:sz w:val="20"/>
                <w:szCs w:val="20"/>
                <w:color w:val="auto"/>
              </w:rPr>
            </w:pPr>
            <w:r>
              <w:rPr>
                <w:rFonts w:ascii="Arial" w:cs="Arial" w:eastAsia="Arial" w:hAnsi="Arial"/>
                <w:sz w:val="14"/>
                <w:szCs w:val="14"/>
                <w:b w:val="1"/>
                <w:bCs w:val="1"/>
                <w:color w:val="auto"/>
                <w:w w:val="92"/>
              </w:rPr>
              <w:t>Per Sq. Ft.</w:t>
            </w:r>
          </w:p>
        </w:tc>
        <w:tc>
          <w:tcPr>
            <w:tcW w:w="120" w:type="dxa"/>
            <w:vAlign w:val="bottom"/>
          </w:tcPr>
          <w:p>
            <w:pPr>
              <w:spacing w:after="0"/>
              <w:rPr>
                <w:sz w:val="14"/>
                <w:szCs w:val="14"/>
                <w:color w:val="auto"/>
              </w:rPr>
            </w:pPr>
          </w:p>
        </w:tc>
        <w:tc>
          <w:tcPr>
            <w:tcW w:w="360" w:type="dxa"/>
            <w:vAlign w:val="bottom"/>
            <w:gridSpan w:val="3"/>
          </w:tcPr>
          <w:p>
            <w:pPr>
              <w:jc w:val="center"/>
              <w:ind w:left="52"/>
              <w:spacing w:after="0"/>
              <w:rPr>
                <w:sz w:val="20"/>
                <w:szCs w:val="20"/>
                <w:color w:val="auto"/>
              </w:rPr>
            </w:pPr>
            <w:r>
              <w:rPr>
                <w:rFonts w:ascii="Arial" w:cs="Arial" w:eastAsia="Arial" w:hAnsi="Arial"/>
                <w:sz w:val="14"/>
                <w:szCs w:val="14"/>
                <w:b w:val="1"/>
                <w:bCs w:val="1"/>
                <w:color w:val="auto"/>
                <w:w w:val="93"/>
              </w:rPr>
              <w:t>Ft.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4"/>
                <w:szCs w:val="14"/>
                <w:b w:val="1"/>
                <w:bCs w:val="1"/>
                <w:color w:val="auto"/>
              </w:rPr>
              <w:t>in Rent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1"/>
              </w:rPr>
              <w:t>Prior Rent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9"/>
              </w:rPr>
              <w:t>Rent</w:t>
            </w:r>
          </w:p>
        </w:tc>
        <w:tc>
          <w:tcPr>
            <w:tcW w:w="1580" w:type="dxa"/>
            <w:vAlign w:val="bottom"/>
            <w:gridSpan w:val="5"/>
          </w:tcPr>
          <w:p>
            <w:pPr>
              <w:ind w:left="40"/>
              <w:spacing w:after="0"/>
              <w:rPr>
                <w:sz w:val="20"/>
                <w:szCs w:val="20"/>
                <w:color w:val="auto"/>
              </w:rPr>
            </w:pPr>
            <w:r>
              <w:rPr>
                <w:rFonts w:ascii="Arial" w:cs="Arial" w:eastAsia="Arial" w:hAnsi="Arial"/>
                <w:sz w:val="14"/>
                <w:szCs w:val="14"/>
                <w:b w:val="1"/>
                <w:bCs w:val="1"/>
                <w:color w:val="auto"/>
                <w:w w:val="90"/>
              </w:rPr>
              <w:t>Term (5)  &amp; Incentives (6)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Per Sq. Ft.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20" w:type="dxa"/>
            <w:vAlign w:val="bottom"/>
            <w:gridSpan w:val="6"/>
            <w:shd w:val="clear" w:color="auto" w:fill="000000"/>
          </w:tcPr>
          <w:p>
            <w:pPr>
              <w:spacing w:after="0" w:line="20" w:lineRule="exact"/>
              <w:rPr>
                <w:sz w:val="1"/>
                <w:szCs w:val="1"/>
                <w:color w:val="auto"/>
              </w:rPr>
            </w:pPr>
          </w:p>
        </w:tc>
        <w:tc>
          <w:tcPr>
            <w:tcW w:w="1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700" w:type="dxa"/>
            <w:vAlign w:val="bottom"/>
            <w:tcBorders>
              <w:right w:val="single" w:sz="8" w:color="auto"/>
            </w:tcBorders>
            <w:gridSpan w:val="5"/>
            <w:shd w:val="clear" w:color="auto" w:fill="000000"/>
          </w:tcPr>
          <w:p>
            <w:pPr>
              <w:spacing w:after="0" w:line="20" w:lineRule="exact"/>
              <w:rPr>
                <w:sz w:val="1"/>
                <w:szCs w:val="1"/>
                <w:color w:val="auto"/>
              </w:rPr>
            </w:pPr>
          </w:p>
        </w:tc>
        <w:tc>
          <w:tcPr>
            <w:tcW w:w="1820" w:type="dxa"/>
            <w:vAlign w:val="bottom"/>
            <w:tcBorders>
              <w:left w:val="single" w:sz="8" w:color="auto"/>
              <w:right w:val="single" w:sz="8" w:color="auto"/>
            </w:tcBorders>
            <w:gridSpan w:val="13"/>
            <w:shd w:val="clear" w:color="auto" w:fill="000000"/>
          </w:tcPr>
          <w:p>
            <w:pPr>
              <w:spacing w:after="0" w:line="20" w:lineRule="exact"/>
              <w:rPr>
                <w:sz w:val="1"/>
                <w:szCs w:val="1"/>
                <w:color w:val="auto"/>
              </w:rPr>
            </w:pPr>
          </w:p>
        </w:tc>
        <w:tc>
          <w:tcPr>
            <w:tcW w:w="200" w:type="dxa"/>
            <w:vAlign w:val="bottom"/>
            <w:tcBorders>
              <w:right w:val="single" w:sz="8" w:color="auto"/>
            </w:tcBorders>
            <w:gridSpan w:val="2"/>
            <w:shd w:val="clear" w:color="auto" w:fill="000000"/>
          </w:tcPr>
          <w:p>
            <w:pPr>
              <w:spacing w:after="0" w:line="20" w:lineRule="exact"/>
              <w:rPr>
                <w:sz w:val="1"/>
                <w:szCs w:val="1"/>
                <w:color w:val="auto"/>
              </w:rPr>
            </w:pPr>
          </w:p>
        </w:tc>
        <w:tc>
          <w:tcPr>
            <w:tcW w:w="640" w:type="dxa"/>
            <w:vAlign w:val="bottom"/>
            <w:tcBorders>
              <w:right w:val="single" w:sz="8" w:color="auto"/>
            </w:tcBorders>
            <w:gridSpan w:val="5"/>
            <w:shd w:val="clear" w:color="auto" w:fill="000000"/>
          </w:tcPr>
          <w:p>
            <w:pPr>
              <w:spacing w:after="0" w:line="20" w:lineRule="exact"/>
              <w:rPr>
                <w:sz w:val="1"/>
                <w:szCs w:val="1"/>
                <w:color w:val="auto"/>
              </w:rPr>
            </w:pPr>
          </w:p>
        </w:tc>
        <w:tc>
          <w:tcPr>
            <w:tcW w:w="740" w:type="dxa"/>
            <w:vAlign w:val="bottom"/>
            <w:gridSpan w:val="4"/>
            <w:shd w:val="clear" w:color="auto" w:fill="000000"/>
          </w:tcPr>
          <w:p>
            <w:pPr>
              <w:spacing w:after="0" w:line="20" w:lineRule="exact"/>
              <w:rPr>
                <w:sz w:val="1"/>
                <w:szCs w:val="1"/>
                <w:color w:val="auto"/>
              </w:rPr>
            </w:pPr>
          </w:p>
        </w:tc>
        <w:tc>
          <w:tcPr>
            <w:tcW w:w="3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880" w:type="dxa"/>
            <w:vAlign w:val="bottom"/>
            <w:tcBorders>
              <w:left w:val="single" w:sz="8" w:color="auto"/>
            </w:tcBorders>
            <w:gridSpan w:val="6"/>
            <w:shd w:val="clear" w:color="auto" w:fill="000000"/>
          </w:tcPr>
          <w:p>
            <w:pPr>
              <w:spacing w:after="0" w:line="20" w:lineRule="exact"/>
              <w:rPr>
                <w:sz w:val="1"/>
                <w:szCs w:val="1"/>
                <w:color w:val="auto"/>
              </w:rPr>
            </w:pPr>
          </w:p>
        </w:tc>
        <w:tc>
          <w:tcPr>
            <w:tcW w:w="920" w:type="dxa"/>
            <w:vAlign w:val="bottom"/>
            <w:tcBorders>
              <w:left w:val="single" w:sz="8" w:color="auto"/>
            </w:tcBorders>
            <w:gridSpan w:val="3"/>
            <w:shd w:val="clear" w:color="auto" w:fill="000000"/>
          </w:tcPr>
          <w:p>
            <w:pPr>
              <w:spacing w:after="0" w:line="20" w:lineRule="exact"/>
              <w:rPr>
                <w:sz w:val="1"/>
                <w:szCs w:val="1"/>
                <w:color w:val="auto"/>
              </w:rPr>
            </w:pPr>
          </w:p>
        </w:tc>
        <w:tc>
          <w:tcPr>
            <w:tcW w:w="1120" w:type="dxa"/>
            <w:vAlign w:val="bottom"/>
            <w:tcBorders>
              <w:left w:val="single" w:sz="8" w:color="auto"/>
            </w:tcBorders>
            <w:gridSpan w:val="4"/>
            <w:shd w:val="clear" w:color="auto" w:fill="000000"/>
          </w:tcPr>
          <w:p>
            <w:pPr>
              <w:spacing w:after="0" w:line="20" w:lineRule="exact"/>
              <w:rPr>
                <w:sz w:val="1"/>
                <w:szCs w:val="1"/>
                <w:color w:val="auto"/>
              </w:rPr>
            </w:pPr>
          </w:p>
        </w:tc>
        <w:tc>
          <w:tcPr>
            <w:tcW w:w="1020" w:type="dxa"/>
            <w:vAlign w:val="bottom"/>
            <w:tcBorders>
              <w:left w:val="single" w:sz="8" w:color="auto"/>
            </w:tcBorders>
            <w:gridSpan w:val="3"/>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8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1st Quarter 2010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40" w:type="dxa"/>
            <w:vAlign w:val="bottom"/>
            <w:gridSpan w:val="5"/>
            <w:shd w:val="clear" w:color="auto" w:fill="CCEEFF"/>
          </w:tcPr>
          <w:p>
            <w:pPr>
              <w:ind w:left="460"/>
              <w:spacing w:after="0"/>
              <w:rPr>
                <w:sz w:val="20"/>
                <w:szCs w:val="20"/>
                <w:color w:val="auto"/>
              </w:rPr>
            </w:pPr>
            <w:r>
              <w:rPr>
                <w:rFonts w:ascii="Arial" w:cs="Arial" w:eastAsia="Arial" w:hAnsi="Arial"/>
                <w:sz w:val="18"/>
                <w:szCs w:val="18"/>
                <w:color w:val="auto"/>
              </w:rPr>
              <w:t>100%</w:t>
            </w:r>
          </w:p>
        </w:tc>
        <w:tc>
          <w:tcPr>
            <w:tcW w:w="7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307,962</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75"/>
              </w:rPr>
              <w:t>29.19</w:t>
            </w:r>
          </w:p>
        </w:tc>
        <w:tc>
          <w:tcPr>
            <w:tcW w:w="620" w:type="dxa"/>
            <w:vAlign w:val="bottom"/>
            <w:gridSpan w:val="5"/>
            <w:shd w:val="clear" w:color="auto" w:fill="CCEEFF"/>
          </w:tcPr>
          <w:p>
            <w:pPr>
              <w:jc w:val="center"/>
              <w:ind w:left="32"/>
              <w:spacing w:after="0"/>
              <w:rPr>
                <w:sz w:val="20"/>
                <w:szCs w:val="20"/>
                <w:color w:val="auto"/>
              </w:rPr>
            </w:pPr>
            <w:r>
              <w:rPr>
                <w:rFonts w:ascii="Arial" w:cs="Arial" w:eastAsia="Arial" w:hAnsi="Arial"/>
                <w:sz w:val="18"/>
                <w:szCs w:val="18"/>
                <w:color w:val="auto"/>
                <w:w w:val="83"/>
              </w:rPr>
              <w:t>$ 25.11</w:t>
            </w:r>
          </w:p>
        </w:tc>
        <w:tc>
          <w:tcPr>
            <w:tcW w:w="920" w:type="dxa"/>
            <w:vAlign w:val="bottom"/>
            <w:tcBorders>
              <w:right w:val="single" w:sz="8" w:color="CCEEFF"/>
            </w:tcBorders>
            <w:gridSpan w:val="4"/>
            <w:shd w:val="clear" w:color="auto" w:fill="CCEEFF"/>
          </w:tcPr>
          <w:p>
            <w:pPr>
              <w:ind w:left="120"/>
              <w:spacing w:after="0"/>
              <w:rPr>
                <w:sz w:val="20"/>
                <w:szCs w:val="20"/>
                <w:color w:val="auto"/>
              </w:rPr>
            </w:pPr>
            <w:r>
              <w:rPr>
                <w:rFonts w:ascii="Arial" w:cs="Arial" w:eastAsia="Arial" w:hAnsi="Arial"/>
                <w:sz w:val="18"/>
                <w:szCs w:val="18"/>
                <w:color w:val="auto"/>
                <w:w w:val="84"/>
              </w:rPr>
              <w:t>$1,255,084</w:t>
            </w:r>
          </w:p>
        </w:tc>
        <w:tc>
          <w:tcPr>
            <w:tcW w:w="10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0" w:type="dxa"/>
            <w:vAlign w:val="bottom"/>
            <w:tcBorders>
              <w:right w:val="single" w:sz="8" w:color="CCEEFF"/>
            </w:tcBorders>
            <w:gridSpan w:val="6"/>
            <w:shd w:val="clear" w:color="auto" w:fill="CCEEFF"/>
          </w:tcPr>
          <w:p>
            <w:pPr>
              <w:jc w:val="right"/>
              <w:ind w:right="160"/>
              <w:spacing w:after="0"/>
              <w:rPr>
                <w:sz w:val="20"/>
                <w:szCs w:val="20"/>
                <w:color w:val="auto"/>
              </w:rPr>
            </w:pPr>
            <w:r>
              <w:rPr>
                <w:rFonts w:ascii="Arial" w:cs="Arial" w:eastAsia="Arial" w:hAnsi="Arial"/>
                <w:sz w:val="18"/>
                <w:szCs w:val="18"/>
                <w:color w:val="auto"/>
              </w:rPr>
              <w:t>27%</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6,909,627</w:t>
            </w:r>
          </w:p>
        </w:tc>
        <w:tc>
          <w:tcPr>
            <w:tcW w:w="280" w:type="dxa"/>
            <w:vAlign w:val="bottom"/>
            <w:tcBorders>
              <w:lef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gridSpan w:val="3"/>
          </w:tcPr>
          <w:p>
            <w:pPr>
              <w:spacing w:after="0"/>
              <w:rPr>
                <w:sz w:val="20"/>
                <w:szCs w:val="20"/>
                <w:color w:val="auto"/>
              </w:rPr>
            </w:pPr>
            <w:r>
              <w:rPr>
                <w:rFonts w:ascii="Arial" w:cs="Arial" w:eastAsia="Arial" w:hAnsi="Arial"/>
                <w:sz w:val="18"/>
                <w:szCs w:val="18"/>
                <w:color w:val="auto"/>
              </w:rPr>
              <w:t>4th Quarter 2009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gridSpan w:val="5"/>
          </w:tcPr>
          <w:p>
            <w:pPr>
              <w:ind w:left="460"/>
              <w:spacing w:after="0"/>
              <w:rPr>
                <w:sz w:val="20"/>
                <w:szCs w:val="20"/>
                <w:color w:val="auto"/>
              </w:rPr>
            </w:pPr>
            <w:r>
              <w:rPr>
                <w:rFonts w:ascii="Arial" w:cs="Arial" w:eastAsia="Arial" w:hAnsi="Arial"/>
                <w:sz w:val="18"/>
                <w:szCs w:val="18"/>
                <w:color w:val="auto"/>
              </w:rPr>
              <w:t>100%</w:t>
            </w:r>
          </w:p>
        </w:tc>
        <w:tc>
          <w:tcPr>
            <w:tcW w:w="700" w:type="dxa"/>
            <w:vAlign w:val="bottom"/>
            <w:gridSpan w:val="5"/>
          </w:tcPr>
          <w:p>
            <w:pPr>
              <w:jc w:val="right"/>
              <w:spacing w:after="0"/>
              <w:rPr>
                <w:sz w:val="20"/>
                <w:szCs w:val="20"/>
                <w:color w:val="auto"/>
              </w:rPr>
            </w:pPr>
            <w:r>
              <w:rPr>
                <w:rFonts w:ascii="Arial" w:cs="Arial" w:eastAsia="Arial" w:hAnsi="Arial"/>
                <w:sz w:val="18"/>
                <w:szCs w:val="18"/>
                <w:color w:val="auto"/>
              </w:rPr>
              <w:t>360,218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color w:val="auto"/>
                <w:w w:val="75"/>
              </w:rPr>
              <w:t>27.58</w:t>
            </w:r>
          </w:p>
        </w:tc>
        <w:tc>
          <w:tcPr>
            <w:tcW w:w="620" w:type="dxa"/>
            <w:vAlign w:val="bottom"/>
            <w:gridSpan w:val="5"/>
          </w:tcPr>
          <w:p>
            <w:pPr>
              <w:jc w:val="center"/>
              <w:ind w:left="32"/>
              <w:spacing w:after="0"/>
              <w:rPr>
                <w:sz w:val="20"/>
                <w:szCs w:val="20"/>
                <w:color w:val="auto"/>
              </w:rPr>
            </w:pPr>
            <w:r>
              <w:rPr>
                <w:rFonts w:ascii="Arial" w:cs="Arial" w:eastAsia="Arial" w:hAnsi="Arial"/>
                <w:sz w:val="18"/>
                <w:szCs w:val="18"/>
                <w:color w:val="auto"/>
                <w:w w:val="90"/>
              </w:rPr>
              <w:t>$26.64</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w w:val="82"/>
              </w:rPr>
              <w:t>337,501</w:t>
            </w:r>
          </w:p>
        </w:tc>
        <w:tc>
          <w:tcPr>
            <w:tcW w:w="100" w:type="dxa"/>
            <w:vAlign w:val="bottom"/>
          </w:tcPr>
          <w:p>
            <w:pPr>
              <w:spacing w:after="0"/>
              <w:rPr>
                <w:sz w:val="18"/>
                <w:szCs w:val="18"/>
                <w:color w:val="auto"/>
              </w:rPr>
            </w:pPr>
          </w:p>
        </w:tc>
        <w:tc>
          <w:tcPr>
            <w:tcW w:w="780" w:type="dxa"/>
            <w:vAlign w:val="bottom"/>
            <w:gridSpan w:val="5"/>
          </w:tcPr>
          <w:p>
            <w:pPr>
              <w:jc w:val="right"/>
              <w:spacing w:after="0"/>
              <w:rPr>
                <w:sz w:val="20"/>
                <w:szCs w:val="20"/>
                <w:color w:val="auto"/>
              </w:rPr>
            </w:pPr>
            <w:r>
              <w:rPr>
                <w:rFonts w:ascii="Arial" w:cs="Arial" w:eastAsia="Arial" w:hAnsi="Arial"/>
                <w:sz w:val="18"/>
                <w:szCs w:val="18"/>
                <w:color w:val="auto"/>
              </w:rPr>
              <w:t>4%</w:t>
            </w:r>
          </w:p>
        </w:tc>
        <w:tc>
          <w:tcPr>
            <w:tcW w:w="1000" w:type="dxa"/>
            <w:vAlign w:val="bottom"/>
            <w:gridSpan w:val="6"/>
          </w:tcPr>
          <w:p>
            <w:pPr>
              <w:jc w:val="right"/>
              <w:ind w:right="160"/>
              <w:spacing w:after="0"/>
              <w:rPr>
                <w:sz w:val="20"/>
                <w:szCs w:val="20"/>
                <w:color w:val="auto"/>
              </w:rPr>
            </w:pPr>
            <w:r>
              <w:rPr>
                <w:rFonts w:ascii="Arial" w:cs="Arial" w:eastAsia="Arial" w:hAnsi="Arial"/>
                <w:sz w:val="18"/>
                <w:szCs w:val="18"/>
                <w:color w:val="auto"/>
              </w:rPr>
              <w:t>13%</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7"/>
              </w:rPr>
              <w:t>4,550,199</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3rd Quarter 2009</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40" w:type="dxa"/>
            <w:vAlign w:val="bottom"/>
            <w:gridSpan w:val="5"/>
            <w:shd w:val="clear" w:color="auto" w:fill="CCEEFF"/>
          </w:tcPr>
          <w:p>
            <w:pPr>
              <w:ind w:left="460"/>
              <w:spacing w:after="0"/>
              <w:rPr>
                <w:sz w:val="20"/>
                <w:szCs w:val="20"/>
                <w:color w:val="auto"/>
              </w:rPr>
            </w:pPr>
            <w:r>
              <w:rPr>
                <w:rFonts w:ascii="Arial" w:cs="Arial" w:eastAsia="Arial" w:hAnsi="Arial"/>
                <w:sz w:val="18"/>
                <w:szCs w:val="18"/>
                <w:color w:val="auto"/>
              </w:rPr>
              <w:t>100%</w:t>
            </w:r>
          </w:p>
        </w:tc>
        <w:tc>
          <w:tcPr>
            <w:tcW w:w="7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334,690</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75"/>
              </w:rPr>
              <w:t>29.38</w:t>
            </w:r>
          </w:p>
        </w:tc>
        <w:tc>
          <w:tcPr>
            <w:tcW w:w="620" w:type="dxa"/>
            <w:vAlign w:val="bottom"/>
            <w:gridSpan w:val="5"/>
            <w:shd w:val="clear" w:color="auto" w:fill="CCEEFF"/>
          </w:tcPr>
          <w:p>
            <w:pPr>
              <w:jc w:val="center"/>
              <w:ind w:left="32"/>
              <w:spacing w:after="0"/>
              <w:rPr>
                <w:sz w:val="20"/>
                <w:szCs w:val="20"/>
                <w:color w:val="auto"/>
              </w:rPr>
            </w:pPr>
            <w:r>
              <w:rPr>
                <w:rFonts w:ascii="Arial" w:cs="Arial" w:eastAsia="Arial" w:hAnsi="Arial"/>
                <w:sz w:val="18"/>
                <w:szCs w:val="18"/>
                <w:color w:val="auto"/>
                <w:w w:val="90"/>
              </w:rPr>
              <w:t>$27.00</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680" w:type="dxa"/>
            <w:vAlign w:val="bottom"/>
            <w:tcBorders>
              <w:right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w w:val="82"/>
              </w:rPr>
              <w:t>794,017</w:t>
            </w:r>
          </w:p>
        </w:tc>
        <w:tc>
          <w:tcPr>
            <w:tcW w:w="10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0" w:type="dxa"/>
            <w:vAlign w:val="bottom"/>
            <w:tcBorders>
              <w:right w:val="single" w:sz="8" w:color="CCEEFF"/>
            </w:tcBorders>
            <w:gridSpan w:val="6"/>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3,684,641</w:t>
            </w:r>
          </w:p>
        </w:tc>
        <w:tc>
          <w:tcPr>
            <w:tcW w:w="280" w:type="dxa"/>
            <w:vAlign w:val="bottom"/>
            <w:tcBorders>
              <w:lef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gridSpan w:val="3"/>
          </w:tcPr>
          <w:p>
            <w:pPr>
              <w:spacing w:after="0"/>
              <w:rPr>
                <w:sz w:val="20"/>
                <w:szCs w:val="20"/>
                <w:color w:val="auto"/>
              </w:rPr>
            </w:pPr>
            <w:r>
              <w:rPr>
                <w:rFonts w:ascii="Arial" w:cs="Arial" w:eastAsia="Arial" w:hAnsi="Arial"/>
                <w:sz w:val="18"/>
                <w:szCs w:val="18"/>
                <w:color w:val="auto"/>
              </w:rPr>
              <w:t>2nd Quarter 2009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gridSpan w:val="5"/>
          </w:tcPr>
          <w:p>
            <w:pPr>
              <w:ind w:left="460"/>
              <w:spacing w:after="0"/>
              <w:rPr>
                <w:sz w:val="20"/>
                <w:szCs w:val="20"/>
                <w:color w:val="auto"/>
              </w:rPr>
            </w:pPr>
            <w:r>
              <w:rPr>
                <w:rFonts w:ascii="Arial" w:cs="Arial" w:eastAsia="Arial" w:hAnsi="Arial"/>
                <w:sz w:val="18"/>
                <w:szCs w:val="18"/>
                <w:color w:val="auto"/>
              </w:rPr>
              <w:t>100%</w:t>
            </w:r>
          </w:p>
        </w:tc>
        <w:tc>
          <w:tcPr>
            <w:tcW w:w="700" w:type="dxa"/>
            <w:vAlign w:val="bottom"/>
            <w:gridSpan w:val="5"/>
          </w:tcPr>
          <w:p>
            <w:pPr>
              <w:jc w:val="right"/>
              <w:spacing w:after="0"/>
              <w:rPr>
                <w:sz w:val="20"/>
                <w:szCs w:val="20"/>
                <w:color w:val="auto"/>
              </w:rPr>
            </w:pPr>
            <w:r>
              <w:rPr>
                <w:rFonts w:ascii="Arial" w:cs="Arial" w:eastAsia="Arial" w:hAnsi="Arial"/>
                <w:sz w:val="18"/>
                <w:szCs w:val="18"/>
                <w:color w:val="auto"/>
              </w:rPr>
              <w:t>315,214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color w:val="auto"/>
                <w:w w:val="75"/>
              </w:rPr>
              <w:t>26.87</w:t>
            </w:r>
          </w:p>
        </w:tc>
        <w:tc>
          <w:tcPr>
            <w:tcW w:w="620" w:type="dxa"/>
            <w:vAlign w:val="bottom"/>
            <w:gridSpan w:val="5"/>
          </w:tcPr>
          <w:p>
            <w:pPr>
              <w:jc w:val="center"/>
              <w:ind w:left="32"/>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23.25</w:t>
            </w:r>
          </w:p>
        </w:tc>
        <w:tc>
          <w:tcPr>
            <w:tcW w:w="920" w:type="dxa"/>
            <w:vAlign w:val="bottom"/>
            <w:gridSpan w:val="4"/>
          </w:tcPr>
          <w:p>
            <w:pPr>
              <w:ind w:left="12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1,141,114</w:t>
            </w:r>
          </w:p>
        </w:tc>
        <w:tc>
          <w:tcPr>
            <w:tcW w:w="100" w:type="dxa"/>
            <w:vAlign w:val="bottom"/>
          </w:tcPr>
          <w:p>
            <w:pPr>
              <w:spacing w:after="0"/>
              <w:rPr>
                <w:sz w:val="18"/>
                <w:szCs w:val="18"/>
                <w:color w:val="auto"/>
              </w:rPr>
            </w:pPr>
          </w:p>
        </w:tc>
        <w:tc>
          <w:tcPr>
            <w:tcW w:w="780" w:type="dxa"/>
            <w:vAlign w:val="bottom"/>
            <w:gridSpan w:val="5"/>
          </w:tcPr>
          <w:p>
            <w:pPr>
              <w:jc w:val="right"/>
              <w:spacing w:after="0"/>
              <w:rPr>
                <w:sz w:val="20"/>
                <w:szCs w:val="20"/>
                <w:color w:val="auto"/>
              </w:rPr>
            </w:pPr>
            <w:r>
              <w:rPr>
                <w:rFonts w:ascii="Arial" w:cs="Arial" w:eastAsia="Arial" w:hAnsi="Arial"/>
                <w:sz w:val="18"/>
                <w:szCs w:val="18"/>
                <w:color w:val="auto"/>
              </w:rPr>
              <w:t>16%</w:t>
            </w:r>
          </w:p>
        </w:tc>
        <w:tc>
          <w:tcPr>
            <w:tcW w:w="1000" w:type="dxa"/>
            <w:vAlign w:val="bottom"/>
            <w:gridSpan w:val="6"/>
          </w:tcPr>
          <w:p>
            <w:pPr>
              <w:jc w:val="right"/>
              <w:ind w:right="160"/>
              <w:spacing w:after="0"/>
              <w:rPr>
                <w:sz w:val="20"/>
                <w:szCs w:val="20"/>
                <w:color w:val="auto"/>
              </w:rPr>
            </w:pPr>
            <w:r>
              <w:rPr>
                <w:rFonts w:ascii="Arial" w:cs="Arial" w:eastAsia="Arial" w:hAnsi="Arial"/>
                <w:sz w:val="18"/>
                <w:szCs w:val="18"/>
                <w:color w:val="auto"/>
              </w:rPr>
              <w:t>29%</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7"/>
              </w:rPr>
              <w:t>1,194,192</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320" w:type="dxa"/>
            <w:vAlign w:val="bottom"/>
            <w:gridSpan w:val="6"/>
          </w:tcPr>
          <w:p>
            <w:pPr>
              <w:spacing w:after="0"/>
              <w:rPr>
                <w:sz w:val="2"/>
                <w:szCs w:val="2"/>
                <w:color w:val="auto"/>
              </w:rPr>
            </w:pPr>
          </w:p>
        </w:tc>
        <w:tc>
          <w:tcPr>
            <w:tcW w:w="180" w:type="dxa"/>
            <w:vAlign w:val="bottom"/>
            <w:tcBorders>
              <w:left w:val="single" w:sz="8" w:color="auto"/>
              <w:right w:val="single" w:sz="8" w:color="auto"/>
            </w:tcBorders>
            <w:shd w:val="clear" w:color="auto" w:fill="000000"/>
          </w:tcPr>
          <w:p>
            <w:pPr>
              <w:spacing w:after="0"/>
              <w:rPr>
                <w:sz w:val="2"/>
                <w:szCs w:val="2"/>
                <w:color w:val="auto"/>
              </w:rPr>
            </w:pPr>
          </w:p>
        </w:tc>
        <w:tc>
          <w:tcPr>
            <w:tcW w:w="700" w:type="dxa"/>
            <w:vAlign w:val="bottom"/>
            <w:tcBorders>
              <w:right w:val="single" w:sz="8" w:color="auto"/>
            </w:tcBorders>
            <w:gridSpan w:val="5"/>
            <w:shd w:val="clear" w:color="auto" w:fill="000000"/>
          </w:tcPr>
          <w:p>
            <w:pPr>
              <w:spacing w:after="0"/>
              <w:rPr>
                <w:sz w:val="2"/>
                <w:szCs w:val="2"/>
                <w:color w:val="auto"/>
              </w:rPr>
            </w:pPr>
          </w:p>
        </w:tc>
        <w:tc>
          <w:tcPr>
            <w:tcW w:w="1820" w:type="dxa"/>
            <w:vAlign w:val="bottom"/>
            <w:tcBorders>
              <w:left w:val="single" w:sz="8" w:color="auto"/>
              <w:right w:val="single" w:sz="8" w:color="auto"/>
            </w:tcBorders>
            <w:gridSpan w:val="13"/>
            <w:shd w:val="clear" w:color="auto" w:fill="000000"/>
          </w:tcPr>
          <w:p>
            <w:pPr>
              <w:spacing w:after="0"/>
              <w:rPr>
                <w:sz w:val="2"/>
                <w:szCs w:val="2"/>
                <w:color w:val="auto"/>
              </w:rPr>
            </w:pPr>
          </w:p>
        </w:tc>
        <w:tc>
          <w:tcPr>
            <w:tcW w:w="200" w:type="dxa"/>
            <w:vAlign w:val="bottom"/>
            <w:tcBorders>
              <w:right w:val="single" w:sz="8" w:color="auto"/>
            </w:tcBorders>
            <w:gridSpan w:val="2"/>
            <w:shd w:val="clear" w:color="auto" w:fill="000000"/>
          </w:tcPr>
          <w:p>
            <w:pPr>
              <w:spacing w:after="0"/>
              <w:rPr>
                <w:sz w:val="2"/>
                <w:szCs w:val="2"/>
                <w:color w:val="auto"/>
              </w:rPr>
            </w:pPr>
          </w:p>
        </w:tc>
        <w:tc>
          <w:tcPr>
            <w:tcW w:w="640" w:type="dxa"/>
            <w:vAlign w:val="bottom"/>
            <w:tcBorders>
              <w:right w:val="single" w:sz="8" w:color="auto"/>
            </w:tcBorders>
            <w:gridSpan w:val="5"/>
            <w:shd w:val="clear" w:color="auto" w:fill="000000"/>
          </w:tcPr>
          <w:p>
            <w:pPr>
              <w:spacing w:after="0"/>
              <w:rPr>
                <w:sz w:val="2"/>
                <w:szCs w:val="2"/>
                <w:color w:val="auto"/>
              </w:rPr>
            </w:pPr>
          </w:p>
        </w:tc>
        <w:tc>
          <w:tcPr>
            <w:tcW w:w="740" w:type="dxa"/>
            <w:vAlign w:val="bottom"/>
            <w:gridSpan w:val="4"/>
            <w:shd w:val="clear" w:color="auto" w:fill="000000"/>
          </w:tcPr>
          <w:p>
            <w:pPr>
              <w:spacing w:after="0"/>
              <w:rPr>
                <w:sz w:val="2"/>
                <w:szCs w:val="2"/>
                <w:color w:val="auto"/>
              </w:rPr>
            </w:pPr>
          </w:p>
        </w:tc>
        <w:tc>
          <w:tcPr>
            <w:tcW w:w="320" w:type="dxa"/>
            <w:vAlign w:val="bottom"/>
            <w:tcBorders>
              <w:left w:val="single" w:sz="8" w:color="auto"/>
              <w:right w:val="single" w:sz="8" w:color="auto"/>
            </w:tcBorders>
            <w:shd w:val="clear" w:color="auto" w:fill="000000"/>
          </w:tcPr>
          <w:p>
            <w:pPr>
              <w:spacing w:after="0"/>
              <w:rPr>
                <w:sz w:val="2"/>
                <w:szCs w:val="2"/>
                <w:color w:val="auto"/>
              </w:rPr>
            </w:pPr>
          </w:p>
        </w:tc>
        <w:tc>
          <w:tcPr>
            <w:tcW w:w="540" w:type="dxa"/>
            <w:vAlign w:val="bottom"/>
            <w:gridSpan w:val="4"/>
          </w:tcPr>
          <w:p>
            <w:pPr>
              <w:spacing w:after="0"/>
              <w:rPr>
                <w:sz w:val="2"/>
                <w:szCs w:val="2"/>
                <w:color w:val="auto"/>
              </w:rPr>
            </w:pPr>
          </w:p>
        </w:tc>
        <w:tc>
          <w:tcPr>
            <w:tcW w:w="880" w:type="dxa"/>
            <w:vAlign w:val="bottom"/>
            <w:tcBorders>
              <w:left w:val="single" w:sz="8" w:color="auto"/>
            </w:tcBorders>
            <w:gridSpan w:val="6"/>
            <w:shd w:val="clear" w:color="auto" w:fill="000000"/>
          </w:tcPr>
          <w:p>
            <w:pPr>
              <w:spacing w:after="0"/>
              <w:rPr>
                <w:sz w:val="2"/>
                <w:szCs w:val="2"/>
                <w:color w:val="auto"/>
              </w:rPr>
            </w:pPr>
          </w:p>
        </w:tc>
        <w:tc>
          <w:tcPr>
            <w:tcW w:w="920" w:type="dxa"/>
            <w:vAlign w:val="bottom"/>
            <w:tcBorders>
              <w:left w:val="single" w:sz="8" w:color="auto"/>
            </w:tcBorders>
            <w:gridSpan w:val="3"/>
            <w:shd w:val="clear" w:color="auto" w:fill="000000"/>
          </w:tcPr>
          <w:p>
            <w:pPr>
              <w:spacing w:after="0"/>
              <w:rPr>
                <w:sz w:val="2"/>
                <w:szCs w:val="2"/>
                <w:color w:val="auto"/>
              </w:rPr>
            </w:pPr>
          </w:p>
        </w:tc>
        <w:tc>
          <w:tcPr>
            <w:tcW w:w="1120" w:type="dxa"/>
            <w:vAlign w:val="bottom"/>
            <w:tcBorders>
              <w:left w:val="single" w:sz="8" w:color="auto"/>
            </w:tcBorders>
            <w:gridSpan w:val="4"/>
            <w:shd w:val="clear" w:color="auto" w:fill="000000"/>
          </w:tcPr>
          <w:p>
            <w:pPr>
              <w:spacing w:after="0"/>
              <w:rPr>
                <w:sz w:val="2"/>
                <w:szCs w:val="2"/>
                <w:color w:val="auto"/>
              </w:rPr>
            </w:pPr>
          </w:p>
        </w:tc>
        <w:tc>
          <w:tcPr>
            <w:tcW w:w="1020" w:type="dxa"/>
            <w:vAlign w:val="bottom"/>
            <w:tcBorders>
              <w:left w:val="single" w:sz="8" w:color="auto"/>
            </w:tcBorders>
            <w:gridSpan w:val="3"/>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-12 months</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40" w:type="dxa"/>
            <w:vAlign w:val="bottom"/>
            <w:gridSpan w:val="5"/>
            <w:shd w:val="clear" w:color="auto" w:fill="CCEEFF"/>
          </w:tcPr>
          <w:p>
            <w:pPr>
              <w:ind w:left="460"/>
              <w:spacing w:after="0"/>
              <w:rPr>
                <w:sz w:val="20"/>
                <w:szCs w:val="20"/>
                <w:color w:val="auto"/>
              </w:rPr>
            </w:pPr>
            <w:r>
              <w:rPr>
                <w:rFonts w:ascii="Arial" w:cs="Arial" w:eastAsia="Arial" w:hAnsi="Arial"/>
                <w:sz w:val="18"/>
                <w:szCs w:val="18"/>
                <w:color w:val="auto"/>
              </w:rPr>
              <w:t>100%</w:t>
            </w:r>
          </w:p>
        </w:tc>
        <w:tc>
          <w:tcPr>
            <w:tcW w:w="7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84"/>
              </w:rPr>
              <w:t>1,318,084</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75"/>
              </w:rPr>
              <w:t>28.</w:t>
            </w:r>
            <w:r>
              <w:rPr>
                <w:rFonts w:ascii="Arial" w:cs="Arial" w:eastAsia="Arial" w:hAnsi="Arial"/>
                <w:sz w:val="18"/>
                <w:szCs w:val="18"/>
                <w:u w:val="single" w:color="auto"/>
                <w:color w:val="auto"/>
                <w:w w:val="75"/>
              </w:rPr>
              <w:t>24</w:t>
            </w:r>
          </w:p>
        </w:tc>
        <w:tc>
          <w:tcPr>
            <w:tcW w:w="620" w:type="dxa"/>
            <w:vAlign w:val="bottom"/>
            <w:gridSpan w:val="5"/>
            <w:shd w:val="clear" w:color="auto" w:fill="CCEEFF"/>
          </w:tcPr>
          <w:p>
            <w:pPr>
              <w:jc w:val="center"/>
              <w:ind w:left="32"/>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25.56</w:t>
            </w:r>
          </w:p>
        </w:tc>
        <w:tc>
          <w:tcPr>
            <w:tcW w:w="920" w:type="dxa"/>
            <w:vAlign w:val="bottom"/>
            <w:tcBorders>
              <w:right w:val="single" w:sz="8" w:color="CCEEFF"/>
            </w:tcBorders>
            <w:gridSpan w:val="4"/>
            <w:shd w:val="clear" w:color="auto" w:fill="CCEEFF"/>
          </w:tcPr>
          <w:p>
            <w:pPr>
              <w:ind w:left="12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3,527,716</w:t>
            </w:r>
          </w:p>
        </w:tc>
        <w:tc>
          <w:tcPr>
            <w:tcW w:w="10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0" w:type="dxa"/>
            <w:vAlign w:val="bottom"/>
            <w:tcBorders>
              <w:right w:val="single" w:sz="8" w:color="CCEEFF"/>
            </w:tcBorders>
            <w:gridSpan w:val="6"/>
            <w:shd w:val="clear" w:color="auto" w:fill="CCEEFF"/>
          </w:tcPr>
          <w:p>
            <w:pPr>
              <w:jc w:val="right"/>
              <w:ind w:right="160"/>
              <w:spacing w:after="0"/>
              <w:rPr>
                <w:sz w:val="20"/>
                <w:szCs w:val="20"/>
                <w:color w:val="auto"/>
              </w:rPr>
            </w:pPr>
            <w:r>
              <w:rPr>
                <w:rFonts w:ascii="Arial" w:cs="Arial" w:eastAsia="Arial" w:hAnsi="Arial"/>
                <w:sz w:val="18"/>
                <w:szCs w:val="18"/>
                <w:color w:val="auto"/>
              </w:rPr>
              <w:t>21%</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$ 16,338,659</w:t>
            </w:r>
          </w:p>
        </w:tc>
        <w:tc>
          <w:tcPr>
            <w:tcW w:w="280" w:type="dxa"/>
            <w:vAlign w:val="bottom"/>
            <w:tcBorders>
              <w:lef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20" w:type="dxa"/>
            <w:vAlign w:val="bottom"/>
            <w:gridSpan w:val="6"/>
          </w:tcPr>
          <w:p>
            <w:pPr>
              <w:spacing w:after="0" w:line="20" w:lineRule="exact"/>
              <w:rPr>
                <w:sz w:val="1"/>
                <w:szCs w:val="1"/>
                <w:color w:val="auto"/>
              </w:rPr>
            </w:pPr>
          </w:p>
        </w:tc>
        <w:tc>
          <w:tcPr>
            <w:tcW w:w="480" w:type="dxa"/>
            <w:vAlign w:val="bottom"/>
            <w:tcBorders>
              <w:top w:val="single" w:sz="8" w:color="auto"/>
              <w:bottom w:val="single" w:sz="8" w:color="auto"/>
            </w:tcBorders>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20" w:type="dxa"/>
            <w:vAlign w:val="bottom"/>
            <w:tcBorders>
              <w:top w:val="single" w:sz="8" w:color="auto"/>
              <w:bottom w:val="single" w:sz="8" w:color="auto"/>
            </w:tcBorders>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00" w:type="dxa"/>
            <w:vAlign w:val="bottom"/>
            <w:tcBorders>
              <w:top w:val="single" w:sz="8" w:color="auto"/>
              <w:bottom w:val="single" w:sz="8" w:color="auto"/>
            </w:tcBorders>
            <w:gridSpan w:val="5"/>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700" w:type="dxa"/>
            <w:vAlign w:val="bottom"/>
            <w:tcBorders>
              <w:top w:val="single" w:sz="8" w:color="auto"/>
              <w:bottom w:val="single" w:sz="8" w:color="auto"/>
            </w:tcBorders>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20" w:type="dxa"/>
            <w:vAlign w:val="bottom"/>
            <w:tcBorders>
              <w:top w:val="single" w:sz="8" w:color="auto"/>
              <w:bottom w:val="single" w:sz="8" w:color="auto"/>
            </w:tcBorders>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540" w:type="dxa"/>
            <w:vAlign w:val="bottom"/>
            <w:tcBorders>
              <w:top w:val="single" w:sz="8" w:color="auto"/>
              <w:bottom w:val="single" w:sz="8" w:color="auto"/>
            </w:tcBorders>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3560" w:type="dxa"/>
            <w:vAlign w:val="bottom"/>
            <w:gridSpan w:val="14"/>
          </w:tcPr>
          <w:p>
            <w:pPr>
              <w:spacing w:after="0"/>
              <w:rPr>
                <w:sz w:val="20"/>
                <w:szCs w:val="20"/>
                <w:color w:val="auto"/>
              </w:rPr>
            </w:pPr>
            <w:r>
              <w:rPr>
                <w:rFonts w:ascii="Arial" w:cs="Arial" w:eastAsia="Arial" w:hAnsi="Arial"/>
                <w:sz w:val="18"/>
                <w:szCs w:val="18"/>
                <w:b w:val="1"/>
                <w:bCs w:val="1"/>
                <w:color w:val="auto"/>
              </w:rPr>
              <w:t>New Lease Summary - Comparable (2)</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83"/>
              </w:rPr>
              <w:t>Straight-</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5"/>
          </w:tcPr>
          <w:p>
            <w:pPr>
              <w:jc w:val="center"/>
              <w:ind w:right="500"/>
              <w:spacing w:after="0" w:line="149" w:lineRule="exact"/>
              <w:rPr>
                <w:sz w:val="20"/>
                <w:szCs w:val="20"/>
                <w:color w:val="auto"/>
              </w:rPr>
            </w:pPr>
            <w:r>
              <w:rPr>
                <w:rFonts w:ascii="Arial" w:cs="Arial" w:eastAsia="Arial" w:hAnsi="Arial"/>
                <w:sz w:val="14"/>
                <w:szCs w:val="14"/>
                <w:b w:val="1"/>
                <w:bCs w:val="1"/>
                <w:color w:val="auto"/>
                <w:w w:val="85"/>
              </w:rPr>
              <w:t>lined</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5"/>
          </w:tcPr>
          <w:p>
            <w:pPr>
              <w:jc w:val="center"/>
              <w:ind w:right="500"/>
              <w:spacing w:after="0" w:line="149" w:lineRule="exact"/>
              <w:rPr>
                <w:sz w:val="20"/>
                <w:szCs w:val="20"/>
                <w:color w:val="auto"/>
              </w:rPr>
            </w:pPr>
            <w:r>
              <w:rPr>
                <w:rFonts w:ascii="Arial" w:cs="Arial" w:eastAsia="Arial" w:hAnsi="Arial"/>
                <w:sz w:val="14"/>
                <w:szCs w:val="14"/>
                <w:b w:val="1"/>
                <w:bCs w:val="1"/>
                <w:color w:val="auto"/>
                <w:w w:val="81"/>
              </w:rPr>
              <w:t>Cash</w:t>
            </w:r>
          </w:p>
        </w:tc>
        <w:tc>
          <w:tcPr>
            <w:tcW w:w="60" w:type="dxa"/>
            <w:vAlign w:val="bottom"/>
          </w:tcPr>
          <w:p>
            <w:pPr>
              <w:spacing w:after="0"/>
              <w:rPr>
                <w:sz w:val="12"/>
                <w:szCs w:val="12"/>
                <w:color w:val="auto"/>
              </w:rPr>
            </w:pPr>
          </w:p>
        </w:tc>
        <w:tc>
          <w:tcPr>
            <w:tcW w:w="940" w:type="dxa"/>
            <w:vAlign w:val="bottom"/>
            <w:gridSpan w:val="5"/>
          </w:tcPr>
          <w:p>
            <w:pPr>
              <w:jc w:val="center"/>
              <w:ind w:right="480"/>
              <w:spacing w:after="0" w:line="149" w:lineRule="exact"/>
              <w:rPr>
                <w:sz w:val="20"/>
                <w:szCs w:val="20"/>
                <w:color w:val="auto"/>
              </w:rPr>
            </w:pPr>
            <w:r>
              <w:rPr>
                <w:rFonts w:ascii="Arial" w:cs="Arial" w:eastAsia="Arial" w:hAnsi="Arial"/>
                <w:sz w:val="14"/>
                <w:szCs w:val="14"/>
                <w:b w:val="1"/>
                <w:bCs w:val="1"/>
                <w:color w:val="auto"/>
                <w:w w:val="85"/>
              </w:rPr>
              <w:t>Basis %</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Number</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5"/>
          </w:tcPr>
          <w:p>
            <w:pPr>
              <w:jc w:val="center"/>
              <w:ind w:right="459"/>
              <w:spacing w:after="0" w:line="149" w:lineRule="exact"/>
              <w:rPr>
                <w:sz w:val="20"/>
                <w:szCs w:val="20"/>
                <w:color w:val="auto"/>
              </w:rPr>
            </w:pPr>
            <w:r>
              <w:rPr>
                <w:rFonts w:ascii="Arial" w:cs="Arial" w:eastAsia="Arial" w:hAnsi="Arial"/>
                <w:sz w:val="14"/>
                <w:szCs w:val="14"/>
                <w:b w:val="1"/>
                <w:bCs w:val="1"/>
                <w:color w:val="auto"/>
                <w:w w:val="94"/>
              </w:rPr>
              <w:t>% of</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5"/>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Prior</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gridSpan w:val="6"/>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Basis %</w:t>
            </w:r>
          </w:p>
        </w:tc>
        <w:tc>
          <w:tcPr>
            <w:tcW w:w="60" w:type="dxa"/>
            <w:vAlign w:val="bottom"/>
          </w:tcPr>
          <w:p>
            <w:pPr>
              <w:spacing w:after="0"/>
              <w:rPr>
                <w:sz w:val="12"/>
                <w:szCs w:val="12"/>
                <w:color w:val="auto"/>
              </w:rPr>
            </w:pPr>
          </w:p>
        </w:tc>
        <w:tc>
          <w:tcPr>
            <w:tcW w:w="940" w:type="dxa"/>
            <w:vAlign w:val="bottom"/>
            <w:gridSpan w:val="5"/>
          </w:tcPr>
          <w:p>
            <w:pPr>
              <w:jc w:val="center"/>
              <w:ind w:right="480"/>
              <w:spacing w:after="0" w:line="149" w:lineRule="exact"/>
              <w:rPr>
                <w:sz w:val="20"/>
                <w:szCs w:val="20"/>
                <w:color w:val="auto"/>
              </w:rPr>
            </w:pPr>
            <w:r>
              <w:rPr>
                <w:rFonts w:ascii="Arial" w:cs="Arial" w:eastAsia="Arial" w:hAnsi="Arial"/>
                <w:sz w:val="14"/>
                <w:szCs w:val="14"/>
                <w:b w:val="1"/>
                <w:bCs w:val="1"/>
                <w:color w:val="auto"/>
                <w:w w:val="80"/>
              </w:rPr>
              <w:t>Increase</w:t>
            </w:r>
          </w:p>
        </w:tc>
        <w:tc>
          <w:tcPr>
            <w:tcW w:w="56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w w:val="81"/>
              </w:rPr>
              <w:t>Weighted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Tenant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gridSpan w:val="2"/>
          </w:tcPr>
          <w:p>
            <w:pPr>
              <w:jc w:val="center"/>
              <w:ind w:right="92"/>
              <w:spacing w:after="0" w:line="149" w:lineRule="exact"/>
              <w:rPr>
                <w:sz w:val="20"/>
                <w:szCs w:val="20"/>
                <w:color w:val="auto"/>
              </w:rPr>
            </w:pPr>
            <w:r>
              <w:rPr>
                <w:rFonts w:ascii="Arial" w:cs="Arial" w:eastAsia="Arial" w:hAnsi="Arial"/>
                <w:sz w:val="14"/>
                <w:szCs w:val="14"/>
                <w:b w:val="1"/>
                <w:bCs w:val="1"/>
                <w:color w:val="auto"/>
                <w:w w:val="75"/>
              </w:rPr>
              <w:t>of</w:t>
            </w:r>
          </w:p>
        </w:tc>
        <w:tc>
          <w:tcPr>
            <w:tcW w:w="180" w:type="dxa"/>
            <w:vAlign w:val="bottom"/>
          </w:tcPr>
          <w:p>
            <w:pPr>
              <w:spacing w:after="0"/>
              <w:rPr>
                <w:sz w:val="12"/>
                <w:szCs w:val="12"/>
                <w:color w:val="auto"/>
              </w:rPr>
            </w:pPr>
          </w:p>
        </w:tc>
        <w:tc>
          <w:tcPr>
            <w:tcW w:w="1040" w:type="dxa"/>
            <w:vAlign w:val="bottom"/>
            <w:gridSpan w:val="6"/>
          </w:tcPr>
          <w:p>
            <w:pPr>
              <w:jc w:val="center"/>
              <w:ind w:right="259"/>
              <w:spacing w:after="0" w:line="149" w:lineRule="exact"/>
              <w:rPr>
                <w:sz w:val="20"/>
                <w:szCs w:val="20"/>
                <w:color w:val="auto"/>
              </w:rPr>
            </w:pPr>
            <w:r>
              <w:rPr>
                <w:rFonts w:ascii="Arial" w:cs="Arial" w:eastAsia="Arial" w:hAnsi="Arial"/>
                <w:sz w:val="14"/>
                <w:szCs w:val="14"/>
                <w:b w:val="1"/>
                <w:bCs w:val="1"/>
                <w:color w:val="auto"/>
                <w:w w:val="86"/>
              </w:rPr>
              <w:t>Comparable</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8"/>
          </w:tcPr>
          <w:p>
            <w:pPr>
              <w:ind w:left="20"/>
              <w:spacing w:after="0" w:line="149" w:lineRule="exact"/>
              <w:rPr>
                <w:sz w:val="20"/>
                <w:szCs w:val="20"/>
                <w:color w:val="auto"/>
              </w:rPr>
            </w:pPr>
            <w:r>
              <w:rPr>
                <w:rFonts w:ascii="Arial" w:cs="Arial" w:eastAsia="Arial" w:hAnsi="Arial"/>
                <w:sz w:val="14"/>
                <w:szCs w:val="14"/>
                <w:b w:val="1"/>
                <w:bCs w:val="1"/>
                <w:color w:val="auto"/>
                <w:w w:val="97"/>
              </w:rPr>
              <w:t>Contractual</w:t>
            </w:r>
          </w:p>
        </w:tc>
        <w:tc>
          <w:tcPr>
            <w:tcW w:w="120" w:type="dxa"/>
            <w:vAlign w:val="bottom"/>
          </w:tcPr>
          <w:p>
            <w:pPr>
              <w:spacing w:after="0"/>
              <w:rPr>
                <w:sz w:val="12"/>
                <w:szCs w:val="12"/>
                <w:color w:val="auto"/>
              </w:rPr>
            </w:pPr>
          </w:p>
        </w:tc>
        <w:tc>
          <w:tcPr>
            <w:tcW w:w="640" w:type="dxa"/>
            <w:vAlign w:val="bottom"/>
            <w:gridSpan w:val="5"/>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Rent (4)</w:t>
            </w:r>
          </w:p>
        </w:tc>
        <w:tc>
          <w:tcPr>
            <w:tcW w:w="140" w:type="dxa"/>
            <w:vAlign w:val="bottom"/>
          </w:tcPr>
          <w:p>
            <w:pPr>
              <w:spacing w:after="0"/>
              <w:rPr>
                <w:sz w:val="12"/>
                <w:szCs w:val="12"/>
                <w:color w:val="auto"/>
              </w:rPr>
            </w:pPr>
          </w:p>
        </w:tc>
        <w:tc>
          <w:tcPr>
            <w:tcW w:w="920" w:type="dxa"/>
            <w:vAlign w:val="bottom"/>
            <w:gridSpan w:val="4"/>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Annual</w:t>
            </w:r>
          </w:p>
        </w:tc>
        <w:tc>
          <w:tcPr>
            <w:tcW w:w="880" w:type="dxa"/>
            <w:vAlign w:val="bottom"/>
            <w:gridSpan w:val="6"/>
          </w:tcPr>
          <w:p>
            <w:pPr>
              <w:jc w:val="center"/>
              <w:ind w:right="400"/>
              <w:spacing w:after="0" w:line="149" w:lineRule="exact"/>
              <w:rPr>
                <w:sz w:val="20"/>
                <w:szCs w:val="20"/>
                <w:color w:val="auto"/>
              </w:rPr>
            </w:pPr>
            <w:r>
              <w:rPr>
                <w:rFonts w:ascii="Arial" w:cs="Arial" w:eastAsia="Arial" w:hAnsi="Arial"/>
                <w:sz w:val="14"/>
                <w:szCs w:val="14"/>
                <w:b w:val="1"/>
                <w:bCs w:val="1"/>
                <w:color w:val="auto"/>
                <w:w w:val="84"/>
              </w:rPr>
              <w:t>Increase</w:t>
            </w:r>
          </w:p>
        </w:tc>
        <w:tc>
          <w:tcPr>
            <w:tcW w:w="60" w:type="dxa"/>
            <w:vAlign w:val="bottom"/>
          </w:tcPr>
          <w:p>
            <w:pPr>
              <w:spacing w:after="0"/>
              <w:rPr>
                <w:sz w:val="12"/>
                <w:szCs w:val="12"/>
                <w:color w:val="auto"/>
              </w:rPr>
            </w:pPr>
          </w:p>
        </w:tc>
        <w:tc>
          <w:tcPr>
            <w:tcW w:w="940" w:type="dxa"/>
            <w:vAlign w:val="bottom"/>
            <w:gridSpan w:val="5"/>
          </w:tcPr>
          <w:p>
            <w:pPr>
              <w:jc w:val="center"/>
              <w:ind w:right="480"/>
              <w:spacing w:after="0" w:line="149" w:lineRule="exact"/>
              <w:rPr>
                <w:sz w:val="20"/>
                <w:szCs w:val="20"/>
                <w:color w:val="auto"/>
              </w:rPr>
            </w:pPr>
            <w:r>
              <w:rPr>
                <w:rFonts w:ascii="Arial" w:cs="Arial" w:eastAsia="Arial" w:hAnsi="Arial"/>
                <w:sz w:val="14"/>
                <w:szCs w:val="14"/>
                <w:b w:val="1"/>
                <w:bCs w:val="1"/>
                <w:color w:val="auto"/>
                <w:w w:val="93"/>
              </w:rPr>
              <w:t>Over</w:t>
            </w:r>
          </w:p>
        </w:tc>
        <w:tc>
          <w:tcPr>
            <w:tcW w:w="5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7"/>
              </w:rPr>
              <w:t>Average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ind w:right="196"/>
              <w:spacing w:after="0" w:line="149" w:lineRule="exact"/>
              <w:rPr>
                <w:sz w:val="20"/>
                <w:szCs w:val="20"/>
                <w:color w:val="auto"/>
              </w:rPr>
            </w:pPr>
            <w:r>
              <w:rPr>
                <w:rFonts w:ascii="Arial" w:cs="Arial" w:eastAsia="Arial" w:hAnsi="Arial"/>
                <w:sz w:val="14"/>
                <w:szCs w:val="14"/>
                <w:b w:val="1"/>
                <w:bCs w:val="1"/>
                <w:color w:val="auto"/>
              </w:rPr>
              <w:t>Tenant</w:t>
            </w:r>
          </w:p>
        </w:tc>
        <w:tc>
          <w:tcPr>
            <w:tcW w:w="160" w:type="dxa"/>
            <w:vAlign w:val="bottom"/>
          </w:tcPr>
          <w:p>
            <w:pPr>
              <w:spacing w:after="0"/>
              <w:rPr>
                <w:sz w:val="12"/>
                <w:szCs w:val="12"/>
                <w:color w:val="auto"/>
              </w:rPr>
            </w:pPr>
          </w:p>
        </w:tc>
        <w:tc>
          <w:tcPr>
            <w:tcW w:w="8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87"/>
              </w:rPr>
              <w:t>Improvements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79"/>
              </w:rPr>
              <w:t>Leases</w:t>
            </w:r>
          </w:p>
        </w:tc>
        <w:tc>
          <w:tcPr>
            <w:tcW w:w="180" w:type="dxa"/>
            <w:vAlign w:val="bottom"/>
          </w:tcPr>
          <w:p>
            <w:pPr>
              <w:spacing w:after="0"/>
              <w:rPr>
                <w:sz w:val="12"/>
                <w:szCs w:val="12"/>
                <w:color w:val="auto"/>
              </w:rPr>
            </w:pPr>
          </w:p>
        </w:tc>
        <w:tc>
          <w:tcPr>
            <w:tcW w:w="1040" w:type="dxa"/>
            <w:vAlign w:val="bottom"/>
            <w:gridSpan w:val="6"/>
          </w:tcPr>
          <w:p>
            <w:pPr>
              <w:jc w:val="center"/>
              <w:ind w:right="299"/>
              <w:spacing w:after="0" w:line="149" w:lineRule="exact"/>
              <w:rPr>
                <w:sz w:val="20"/>
                <w:szCs w:val="20"/>
                <w:color w:val="auto"/>
              </w:rPr>
            </w:pPr>
            <w:r>
              <w:rPr>
                <w:rFonts w:ascii="Arial" w:cs="Arial" w:eastAsia="Arial" w:hAnsi="Arial"/>
                <w:sz w:val="14"/>
                <w:szCs w:val="14"/>
                <w:b w:val="1"/>
                <w:bCs w:val="1"/>
                <w:color w:val="auto"/>
                <w:w w:val="79"/>
              </w:rPr>
              <w:t>Leases</w:t>
            </w:r>
          </w:p>
        </w:tc>
        <w:tc>
          <w:tcPr>
            <w:tcW w:w="60" w:type="dxa"/>
            <w:vAlign w:val="bottom"/>
          </w:tcPr>
          <w:p>
            <w:pPr>
              <w:spacing w:after="0"/>
              <w:rPr>
                <w:sz w:val="12"/>
                <w:szCs w:val="12"/>
                <w:color w:val="auto"/>
              </w:rPr>
            </w:pPr>
          </w:p>
        </w:tc>
        <w:tc>
          <w:tcPr>
            <w:tcW w:w="5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GLA</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6"/>
          </w:tcPr>
          <w:p>
            <w:pPr>
              <w:jc w:val="right"/>
              <w:ind w:right="120"/>
              <w:spacing w:after="0" w:line="149" w:lineRule="exact"/>
              <w:rPr>
                <w:sz w:val="20"/>
                <w:szCs w:val="20"/>
                <w:color w:val="auto"/>
              </w:rPr>
            </w:pPr>
            <w:r>
              <w:rPr>
                <w:rFonts w:ascii="Arial" w:cs="Arial" w:eastAsia="Arial" w:hAnsi="Arial"/>
                <w:sz w:val="14"/>
                <w:szCs w:val="14"/>
                <w:b w:val="1"/>
                <w:bCs w:val="1"/>
                <w:color w:val="auto"/>
                <w:w w:val="88"/>
              </w:rPr>
              <w:t>Rent (3)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5"/>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Per</w:t>
            </w:r>
          </w:p>
        </w:tc>
        <w:tc>
          <w:tcPr>
            <w:tcW w:w="1060" w:type="dxa"/>
            <w:vAlign w:val="bottom"/>
            <w:gridSpan w:val="5"/>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Increase</w:t>
            </w:r>
          </w:p>
        </w:tc>
        <w:tc>
          <w:tcPr>
            <w:tcW w:w="100" w:type="dxa"/>
            <w:vAlign w:val="bottom"/>
          </w:tcPr>
          <w:p>
            <w:pPr>
              <w:spacing w:after="0"/>
              <w:rPr>
                <w:sz w:val="12"/>
                <w:szCs w:val="12"/>
                <w:color w:val="auto"/>
              </w:rPr>
            </w:pPr>
          </w:p>
        </w:tc>
        <w:tc>
          <w:tcPr>
            <w:tcW w:w="780" w:type="dxa"/>
            <w:vAlign w:val="bottom"/>
            <w:gridSpan w:val="5"/>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Over</w:t>
            </w:r>
          </w:p>
        </w:tc>
        <w:tc>
          <w:tcPr>
            <w:tcW w:w="60" w:type="dxa"/>
            <w:vAlign w:val="bottom"/>
          </w:tcPr>
          <w:p>
            <w:pPr>
              <w:spacing w:after="0"/>
              <w:rPr>
                <w:sz w:val="12"/>
                <w:szCs w:val="12"/>
                <w:color w:val="auto"/>
              </w:rPr>
            </w:pPr>
          </w:p>
        </w:tc>
        <w:tc>
          <w:tcPr>
            <w:tcW w:w="940" w:type="dxa"/>
            <w:vAlign w:val="bottom"/>
            <w:gridSpan w:val="5"/>
          </w:tcPr>
          <w:p>
            <w:pPr>
              <w:jc w:val="center"/>
              <w:ind w:right="480"/>
              <w:spacing w:after="0" w:line="149" w:lineRule="exact"/>
              <w:rPr>
                <w:sz w:val="20"/>
                <w:szCs w:val="20"/>
                <w:color w:val="auto"/>
              </w:rPr>
            </w:pPr>
            <w:r>
              <w:rPr>
                <w:rFonts w:ascii="Arial" w:cs="Arial" w:eastAsia="Arial" w:hAnsi="Arial"/>
                <w:sz w:val="14"/>
                <w:szCs w:val="14"/>
                <w:b w:val="1"/>
                <w:bCs w:val="1"/>
                <w:color w:val="auto"/>
                <w:w w:val="91"/>
              </w:rPr>
              <w:t>Prior</w:t>
            </w:r>
          </w:p>
        </w:tc>
        <w:tc>
          <w:tcPr>
            <w:tcW w:w="5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5"/>
              </w:rPr>
              <w:t>Lease</w:t>
            </w:r>
          </w:p>
        </w:tc>
        <w:tc>
          <w:tcPr>
            <w:tcW w:w="120" w:type="dxa"/>
            <w:vAlign w:val="bottom"/>
          </w:tcPr>
          <w:p>
            <w:pPr>
              <w:spacing w:after="0"/>
              <w:rPr>
                <w:sz w:val="12"/>
                <w:szCs w:val="12"/>
                <w:color w:val="auto"/>
              </w:rPr>
            </w:pPr>
          </w:p>
        </w:tc>
        <w:tc>
          <w:tcPr>
            <w:tcW w:w="9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9"/>
              </w:rPr>
              <w:t>Improvements</w:t>
            </w:r>
          </w:p>
        </w:tc>
        <w:tc>
          <w:tcPr>
            <w:tcW w:w="160" w:type="dxa"/>
            <w:vAlign w:val="bottom"/>
          </w:tcPr>
          <w:p>
            <w:pPr>
              <w:spacing w:after="0"/>
              <w:rPr>
                <w:sz w:val="12"/>
                <w:szCs w:val="12"/>
                <w:color w:val="auto"/>
              </w:rPr>
            </w:pPr>
          </w:p>
        </w:tc>
        <w:tc>
          <w:tcPr>
            <w:tcW w:w="8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&amp; Incentives</w:t>
            </w:r>
          </w:p>
        </w:tc>
        <w:tc>
          <w:tcPr>
            <w:tcW w:w="0" w:type="dxa"/>
            <w:vAlign w:val="bottom"/>
          </w:tcPr>
          <w:p>
            <w:pPr>
              <w:spacing w:after="0"/>
              <w:rPr>
                <w:sz w:val="1"/>
                <w:szCs w:val="1"/>
                <w:color w:val="auto"/>
              </w:rPr>
            </w:pPr>
          </w:p>
        </w:tc>
      </w:tr>
      <w:tr>
        <w:trPr>
          <w:trHeight w:val="161"/>
        </w:trPr>
        <w:tc>
          <w:tcPr>
            <w:tcW w:w="1860" w:type="dxa"/>
            <w:vAlign w:val="bottom"/>
            <w:gridSpan w:val="4"/>
          </w:tcPr>
          <w:p>
            <w:pPr>
              <w:spacing w:after="0"/>
              <w:rPr>
                <w:sz w:val="20"/>
                <w:szCs w:val="20"/>
                <w:color w:val="auto"/>
              </w:rPr>
            </w:pPr>
            <w:r>
              <w:rPr>
                <w:rFonts w:ascii="Arial" w:cs="Arial" w:eastAsia="Arial" w:hAnsi="Arial"/>
                <w:sz w:val="14"/>
                <w:szCs w:val="14"/>
                <w:b w:val="1"/>
                <w:bCs w:val="1"/>
                <w:color w:val="auto"/>
              </w:rPr>
              <w:t>Quarter</w:t>
            </w:r>
          </w:p>
        </w:tc>
        <w:tc>
          <w:tcPr>
            <w:tcW w:w="4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1"/>
              </w:rPr>
              <w:t>Signed</w:t>
            </w:r>
          </w:p>
        </w:tc>
        <w:tc>
          <w:tcPr>
            <w:tcW w:w="180" w:type="dxa"/>
            <w:vAlign w:val="bottom"/>
          </w:tcPr>
          <w:p>
            <w:pPr>
              <w:spacing w:after="0"/>
              <w:rPr>
                <w:sz w:val="14"/>
                <w:szCs w:val="14"/>
                <w:color w:val="auto"/>
              </w:rPr>
            </w:pPr>
          </w:p>
        </w:tc>
        <w:tc>
          <w:tcPr>
            <w:tcW w:w="1040" w:type="dxa"/>
            <w:vAlign w:val="bottom"/>
            <w:gridSpan w:val="6"/>
          </w:tcPr>
          <w:p>
            <w:pPr>
              <w:jc w:val="center"/>
              <w:ind w:right="279"/>
              <w:spacing w:after="0"/>
              <w:rPr>
                <w:sz w:val="20"/>
                <w:szCs w:val="20"/>
                <w:color w:val="auto"/>
              </w:rPr>
            </w:pPr>
            <w:r>
              <w:rPr>
                <w:rFonts w:ascii="Arial" w:cs="Arial" w:eastAsia="Arial" w:hAnsi="Arial"/>
                <w:sz w:val="14"/>
                <w:szCs w:val="14"/>
                <w:b w:val="1"/>
                <w:bCs w:val="1"/>
                <w:color w:val="auto"/>
                <w:w w:val="85"/>
              </w:rPr>
              <w:t>Signed</w:t>
            </w:r>
          </w:p>
        </w:tc>
        <w:tc>
          <w:tcPr>
            <w:tcW w:w="60" w:type="dxa"/>
            <w:vAlign w:val="bottom"/>
          </w:tcPr>
          <w:p>
            <w:pPr>
              <w:spacing w:after="0"/>
              <w:rPr>
                <w:sz w:val="14"/>
                <w:szCs w:val="14"/>
                <w:color w:val="auto"/>
              </w:rPr>
            </w:pPr>
          </w:p>
        </w:tc>
        <w:tc>
          <w:tcPr>
            <w:tcW w:w="5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Signed</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7"/>
          </w:tcPr>
          <w:p>
            <w:pPr>
              <w:jc w:val="right"/>
              <w:ind w:right="60"/>
              <w:spacing w:after="0"/>
              <w:rPr>
                <w:sz w:val="20"/>
                <w:szCs w:val="20"/>
                <w:color w:val="auto"/>
              </w:rPr>
            </w:pPr>
            <w:r>
              <w:rPr>
                <w:rFonts w:ascii="Arial" w:cs="Arial" w:eastAsia="Arial" w:hAnsi="Arial"/>
                <w:sz w:val="14"/>
                <w:szCs w:val="14"/>
                <w:b w:val="1"/>
                <w:bCs w:val="1"/>
                <w:color w:val="auto"/>
                <w:w w:val="92"/>
              </w:rPr>
              <w:t>Per Sq. Ft.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8"/>
              </w:rPr>
              <w:t>Sq. Ft.</w:t>
            </w:r>
          </w:p>
        </w:tc>
        <w:tc>
          <w:tcPr>
            <w:tcW w:w="140" w:type="dxa"/>
            <w:vAlign w:val="bottom"/>
          </w:tcPr>
          <w:p>
            <w:pPr>
              <w:spacing w:after="0"/>
              <w:rPr>
                <w:sz w:val="14"/>
                <w:szCs w:val="14"/>
                <w:color w:val="auto"/>
              </w:rPr>
            </w:pPr>
          </w:p>
        </w:tc>
        <w:tc>
          <w:tcPr>
            <w:tcW w:w="92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88"/>
              </w:rPr>
              <w:t>in Rent</w:t>
            </w:r>
          </w:p>
        </w:tc>
        <w:tc>
          <w:tcPr>
            <w:tcW w:w="88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79"/>
              </w:rPr>
              <w:t>Prior Rent</w:t>
            </w:r>
          </w:p>
        </w:tc>
        <w:tc>
          <w:tcPr>
            <w:tcW w:w="60" w:type="dxa"/>
            <w:vAlign w:val="bottom"/>
          </w:tcPr>
          <w:p>
            <w:pPr>
              <w:spacing w:after="0"/>
              <w:rPr>
                <w:sz w:val="14"/>
                <w:szCs w:val="14"/>
                <w:color w:val="auto"/>
              </w:rPr>
            </w:pPr>
          </w:p>
        </w:tc>
        <w:tc>
          <w:tcPr>
            <w:tcW w:w="94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w w:val="89"/>
              </w:rPr>
              <w:t>Rent</w:t>
            </w:r>
          </w:p>
        </w:tc>
        <w:tc>
          <w:tcPr>
            <w:tcW w:w="1580" w:type="dxa"/>
            <w:vAlign w:val="bottom"/>
            <w:gridSpan w:val="5"/>
          </w:tcPr>
          <w:p>
            <w:pPr>
              <w:spacing w:after="0"/>
              <w:rPr>
                <w:sz w:val="20"/>
                <w:szCs w:val="20"/>
                <w:color w:val="auto"/>
              </w:rPr>
            </w:pPr>
            <w:r>
              <w:rPr>
                <w:rFonts w:ascii="Arial" w:cs="Arial" w:eastAsia="Arial" w:hAnsi="Arial"/>
                <w:sz w:val="14"/>
                <w:szCs w:val="14"/>
                <w:b w:val="1"/>
                <w:bCs w:val="1"/>
                <w:color w:val="auto"/>
                <w:w w:val="90"/>
              </w:rPr>
              <w:t>Term (5)   &amp; Incentives (6)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Per Sq. Ft.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840" w:type="dxa"/>
            <w:vAlign w:val="bottom"/>
            <w:tcBorders>
              <w:right w:val="single" w:sz="8" w:color="auto"/>
            </w:tcBorders>
            <w:gridSpan w:val="3"/>
            <w:shd w:val="clear" w:color="auto" w:fill="000000"/>
          </w:tcPr>
          <w:p>
            <w:pPr>
              <w:spacing w:after="0" w:line="20" w:lineRule="exact"/>
              <w:rPr>
                <w:sz w:val="1"/>
                <w:szCs w:val="1"/>
                <w:color w:val="auto"/>
              </w:rPr>
            </w:pPr>
          </w:p>
        </w:tc>
        <w:tc>
          <w:tcPr>
            <w:tcW w:w="660" w:type="dxa"/>
            <w:vAlign w:val="bottom"/>
            <w:tcBorders>
              <w:right w:val="single" w:sz="8" w:color="auto"/>
            </w:tcBorders>
            <w:gridSpan w:val="4"/>
            <w:shd w:val="clear" w:color="auto" w:fill="000000"/>
          </w:tcPr>
          <w:p>
            <w:pPr>
              <w:spacing w:after="0" w:line="20" w:lineRule="exact"/>
              <w:rPr>
                <w:sz w:val="1"/>
                <w:szCs w:val="1"/>
                <w:color w:val="auto"/>
              </w:rPr>
            </w:pPr>
          </w:p>
        </w:tc>
        <w:tc>
          <w:tcPr>
            <w:tcW w:w="700" w:type="dxa"/>
            <w:vAlign w:val="bottom"/>
            <w:tcBorders>
              <w:right w:val="single" w:sz="8" w:color="auto"/>
            </w:tcBorders>
            <w:gridSpan w:val="5"/>
            <w:shd w:val="clear" w:color="auto" w:fill="000000"/>
          </w:tcPr>
          <w:p>
            <w:pPr>
              <w:spacing w:after="0" w:line="20" w:lineRule="exact"/>
              <w:rPr>
                <w:sz w:val="1"/>
                <w:szCs w:val="1"/>
                <w:color w:val="auto"/>
              </w:rPr>
            </w:pPr>
          </w:p>
        </w:tc>
        <w:tc>
          <w:tcPr>
            <w:tcW w:w="400" w:type="dxa"/>
            <w:vAlign w:val="bottom"/>
            <w:tcBorders>
              <w:right w:val="single" w:sz="8" w:color="auto"/>
            </w:tcBorders>
            <w:gridSpan w:val="2"/>
          </w:tcPr>
          <w:p>
            <w:pPr>
              <w:spacing w:after="0" w:line="20" w:lineRule="exact"/>
              <w:rPr>
                <w:sz w:val="1"/>
                <w:szCs w:val="1"/>
                <w:color w:val="auto"/>
              </w:rPr>
            </w:pPr>
          </w:p>
        </w:tc>
        <w:tc>
          <w:tcPr>
            <w:tcW w:w="1420" w:type="dxa"/>
            <w:vAlign w:val="bottom"/>
            <w:tcBorders>
              <w:right w:val="single" w:sz="8" w:color="auto"/>
            </w:tcBorders>
            <w:gridSpan w:val="11"/>
            <w:shd w:val="clear" w:color="auto" w:fill="000000"/>
          </w:tcPr>
          <w:p>
            <w:pPr>
              <w:spacing w:after="0" w:line="20" w:lineRule="exact"/>
              <w:rPr>
                <w:sz w:val="1"/>
                <w:szCs w:val="1"/>
                <w:color w:val="auto"/>
              </w:rPr>
            </w:pPr>
          </w:p>
        </w:tc>
        <w:tc>
          <w:tcPr>
            <w:tcW w:w="200" w:type="dxa"/>
            <w:vAlign w:val="bottom"/>
            <w:tcBorders>
              <w:right w:val="single" w:sz="8" w:color="auto"/>
            </w:tcBorders>
            <w:gridSpan w:val="2"/>
          </w:tcPr>
          <w:p>
            <w:pPr>
              <w:spacing w:after="0" w:line="20" w:lineRule="exact"/>
              <w:rPr>
                <w:sz w:val="1"/>
                <w:szCs w:val="1"/>
                <w:color w:val="auto"/>
              </w:rPr>
            </w:pPr>
          </w:p>
        </w:tc>
        <w:tc>
          <w:tcPr>
            <w:tcW w:w="1700" w:type="dxa"/>
            <w:vAlign w:val="bottom"/>
            <w:tcBorders>
              <w:right w:val="single" w:sz="8" w:color="auto"/>
            </w:tcBorders>
            <w:gridSpan w:val="10"/>
            <w:shd w:val="clear" w:color="auto" w:fill="000000"/>
          </w:tcPr>
          <w:p>
            <w:pPr>
              <w:spacing w:after="0" w:line="20" w:lineRule="exact"/>
              <w:rPr>
                <w:sz w:val="1"/>
                <w:szCs w:val="1"/>
                <w:color w:val="auto"/>
              </w:rPr>
            </w:pPr>
          </w:p>
        </w:tc>
        <w:tc>
          <w:tcPr>
            <w:tcW w:w="940" w:type="dxa"/>
            <w:vAlign w:val="bottom"/>
            <w:tcBorders>
              <w:right w:val="single" w:sz="8" w:color="auto"/>
            </w:tcBorders>
            <w:gridSpan w:val="7"/>
            <w:shd w:val="clear" w:color="auto" w:fill="000000"/>
          </w:tcPr>
          <w:p>
            <w:pPr>
              <w:spacing w:after="0" w:line="20" w:lineRule="exact"/>
              <w:rPr>
                <w:sz w:val="1"/>
                <w:szCs w:val="1"/>
                <w:color w:val="auto"/>
              </w:rPr>
            </w:pPr>
          </w:p>
        </w:tc>
        <w:tc>
          <w:tcPr>
            <w:tcW w:w="940" w:type="dxa"/>
            <w:vAlign w:val="bottom"/>
            <w:tcBorders>
              <w:right w:val="single" w:sz="8" w:color="auto"/>
            </w:tcBorders>
            <w:gridSpan w:val="5"/>
            <w:shd w:val="clear" w:color="auto" w:fill="000000"/>
          </w:tcPr>
          <w:p>
            <w:pPr>
              <w:spacing w:after="0" w:line="20" w:lineRule="exact"/>
              <w:rPr>
                <w:sz w:val="1"/>
                <w:szCs w:val="1"/>
                <w:color w:val="auto"/>
              </w:rPr>
            </w:pPr>
          </w:p>
        </w:tc>
        <w:tc>
          <w:tcPr>
            <w:tcW w:w="680" w:type="dxa"/>
            <w:vAlign w:val="bottom"/>
            <w:tcBorders>
              <w:right w:val="single" w:sz="8" w:color="auto"/>
            </w:tcBorders>
            <w:gridSpan w:val="3"/>
            <w:shd w:val="clear" w:color="auto" w:fill="000000"/>
          </w:tcPr>
          <w:p>
            <w:pPr>
              <w:spacing w:after="0" w:line="20" w:lineRule="exact"/>
              <w:rPr>
                <w:sz w:val="1"/>
                <w:szCs w:val="1"/>
                <w:color w:val="auto"/>
              </w:rPr>
            </w:pPr>
          </w:p>
        </w:tc>
        <w:tc>
          <w:tcPr>
            <w:tcW w:w="1920" w:type="dxa"/>
            <w:vAlign w:val="bottom"/>
            <w:gridSpan w:val="5"/>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8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1st Quarter 2010</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42%</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157,619</w:t>
            </w:r>
          </w:p>
        </w:tc>
        <w:tc>
          <w:tcPr>
            <w:tcW w:w="2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8"/>
              </w:rPr>
              <w:t>23.00</w:t>
            </w:r>
          </w:p>
        </w:tc>
        <w:tc>
          <w:tcPr>
            <w:tcW w:w="5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$20.98</w:t>
            </w:r>
          </w:p>
        </w:tc>
        <w:tc>
          <w:tcPr>
            <w:tcW w:w="1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9"/>
              </w:rPr>
              <w:t>$ 318,458</w:t>
            </w:r>
          </w:p>
        </w:tc>
        <w:tc>
          <w:tcPr>
            <w:tcW w:w="32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0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left w:val="single" w:sz="8" w:color="CCEEFF"/>
            </w:tcBorders>
            <w:shd w:val="clear" w:color="auto" w:fill="CCEEFF"/>
          </w:tcPr>
          <w:p>
            <w:pPr>
              <w:spacing w:after="0"/>
              <w:rPr>
                <w:sz w:val="18"/>
                <w:szCs w:val="18"/>
                <w:color w:val="auto"/>
              </w:rPr>
            </w:pPr>
          </w:p>
        </w:tc>
        <w:tc>
          <w:tcPr>
            <w:tcW w:w="2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6,828,877</w:t>
            </w:r>
          </w:p>
        </w:tc>
        <w:tc>
          <w:tcPr>
            <w:tcW w:w="280" w:type="dxa"/>
            <w:vAlign w:val="bottom"/>
            <w:tcBorders>
              <w:lef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gridSpan w:val="3"/>
          </w:tcPr>
          <w:p>
            <w:pPr>
              <w:spacing w:after="0"/>
              <w:rPr>
                <w:sz w:val="20"/>
                <w:szCs w:val="20"/>
                <w:color w:val="auto"/>
              </w:rPr>
            </w:pPr>
            <w:r>
              <w:rPr>
                <w:rFonts w:ascii="Arial" w:cs="Arial" w:eastAsia="Arial" w:hAnsi="Arial"/>
                <w:sz w:val="18"/>
                <w:szCs w:val="18"/>
                <w:color w:val="auto"/>
              </w:rPr>
              <w:t>4th Quarter 2009</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gridSpan w:val="3"/>
          </w:tcPr>
          <w:p>
            <w:pPr>
              <w:ind w:left="200"/>
              <w:spacing w:after="0"/>
              <w:rPr>
                <w:sz w:val="20"/>
                <w:szCs w:val="20"/>
                <w:color w:val="auto"/>
              </w:rPr>
            </w:pPr>
            <w:r>
              <w:rPr>
                <w:rFonts w:ascii="Arial" w:cs="Arial" w:eastAsia="Arial" w:hAnsi="Arial"/>
                <w:sz w:val="18"/>
                <w:szCs w:val="18"/>
                <w:color w:val="auto"/>
              </w:rPr>
              <w:t>39%</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w w:val="89"/>
              </w:rPr>
              <w:t>176,966</w:t>
            </w:r>
          </w:p>
        </w:tc>
        <w:tc>
          <w:tcPr>
            <w:tcW w:w="280" w:type="dxa"/>
            <w:vAlign w:val="bottom"/>
            <w:gridSpan w:val="3"/>
          </w:tcPr>
          <w:p>
            <w:pPr>
              <w:ind w:left="16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gridSpan w:val="4"/>
          </w:tcPr>
          <w:p>
            <w:pPr>
              <w:jc w:val="right"/>
              <w:spacing w:after="0"/>
              <w:rPr>
                <w:sz w:val="20"/>
                <w:szCs w:val="20"/>
                <w:color w:val="auto"/>
              </w:rPr>
            </w:pPr>
            <w:r>
              <w:rPr>
                <w:rFonts w:ascii="Arial" w:cs="Arial" w:eastAsia="Arial" w:hAnsi="Arial"/>
                <w:sz w:val="18"/>
                <w:szCs w:val="18"/>
                <w:color w:val="auto"/>
                <w:w w:val="88"/>
              </w:rPr>
              <w:t>24.89</w:t>
            </w:r>
          </w:p>
        </w:tc>
        <w:tc>
          <w:tcPr>
            <w:tcW w:w="580" w:type="dxa"/>
            <w:vAlign w:val="bottom"/>
            <w:gridSpan w:val="4"/>
          </w:tcPr>
          <w:p>
            <w:pPr>
              <w:jc w:val="right"/>
              <w:spacing w:after="0"/>
              <w:rPr>
                <w:sz w:val="20"/>
                <w:szCs w:val="20"/>
                <w:color w:val="auto"/>
              </w:rPr>
            </w:pPr>
            <w:r>
              <w:rPr>
                <w:rFonts w:ascii="Arial" w:cs="Arial" w:eastAsia="Arial" w:hAnsi="Arial"/>
                <w:sz w:val="18"/>
                <w:szCs w:val="18"/>
                <w:color w:val="auto"/>
              </w:rPr>
              <w:t>$24.77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20,465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4"/>
          </w:tcPr>
          <w:p>
            <w:pPr>
              <w:jc w:val="right"/>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700" w:type="dxa"/>
            <w:vAlign w:val="bottom"/>
            <w:gridSpan w:val="5"/>
          </w:tcPr>
          <w:p>
            <w:pPr>
              <w:jc w:val="right"/>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8"/>
                <w:szCs w:val="18"/>
                <w:color w:val="auto"/>
              </w:rPr>
            </w:pPr>
          </w:p>
        </w:tc>
        <w:tc>
          <w:tcPr>
            <w:tcW w:w="26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4,328,199</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24.46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3rd Quarter 2009</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42%</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187,140</w:t>
            </w:r>
          </w:p>
        </w:tc>
        <w:tc>
          <w:tcPr>
            <w:tcW w:w="2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8"/>
              </w:rPr>
              <w:t>27.25</w:t>
            </w:r>
          </w:p>
        </w:tc>
        <w:tc>
          <w:tcPr>
            <w:tcW w:w="5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$22.62</w:t>
            </w:r>
          </w:p>
        </w:tc>
        <w:tc>
          <w:tcPr>
            <w:tcW w:w="1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9"/>
              </w:rPr>
              <w:t>$ 866,840</w:t>
            </w:r>
          </w:p>
        </w:tc>
        <w:tc>
          <w:tcPr>
            <w:tcW w:w="32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30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tcBorders>
              <w:left w:val="single" w:sz="8" w:color="CCEEFF"/>
            </w:tcBorders>
            <w:shd w:val="clear" w:color="auto" w:fill="CCEEFF"/>
          </w:tcPr>
          <w:p>
            <w:pPr>
              <w:spacing w:after="0"/>
              <w:rPr>
                <w:sz w:val="18"/>
                <w:szCs w:val="18"/>
                <w:color w:val="auto"/>
              </w:rPr>
            </w:pPr>
          </w:p>
        </w:tc>
        <w:tc>
          <w:tcPr>
            <w:tcW w:w="2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3,622,041</w:t>
            </w:r>
          </w:p>
        </w:tc>
        <w:tc>
          <w:tcPr>
            <w:tcW w:w="280" w:type="dxa"/>
            <w:vAlign w:val="bottom"/>
            <w:tcBorders>
              <w:lef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gridSpan w:val="3"/>
          </w:tcPr>
          <w:p>
            <w:pPr>
              <w:spacing w:after="0"/>
              <w:rPr>
                <w:sz w:val="20"/>
                <w:szCs w:val="20"/>
                <w:color w:val="auto"/>
              </w:rPr>
            </w:pPr>
            <w:r>
              <w:rPr>
                <w:rFonts w:ascii="Arial" w:cs="Arial" w:eastAsia="Arial" w:hAnsi="Arial"/>
                <w:sz w:val="18"/>
                <w:szCs w:val="18"/>
                <w:color w:val="auto"/>
              </w:rPr>
              <w:t>2nd Quarter 2009</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gridSpan w:val="3"/>
          </w:tcPr>
          <w:p>
            <w:pPr>
              <w:ind w:left="200"/>
              <w:spacing w:after="0"/>
              <w:rPr>
                <w:sz w:val="20"/>
                <w:szCs w:val="20"/>
                <w:color w:val="auto"/>
              </w:rPr>
            </w:pPr>
            <w:r>
              <w:rPr>
                <w:rFonts w:ascii="Arial" w:cs="Arial" w:eastAsia="Arial" w:hAnsi="Arial"/>
                <w:sz w:val="18"/>
                <w:szCs w:val="18"/>
                <w:color w:val="auto"/>
              </w:rPr>
              <w:t>38%</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73,693</w:t>
            </w:r>
          </w:p>
        </w:tc>
        <w:tc>
          <w:tcPr>
            <w:tcW w:w="280" w:type="dxa"/>
            <w:vAlign w:val="bottom"/>
            <w:gridSpan w:val="3"/>
          </w:tcPr>
          <w:p>
            <w:pPr>
              <w:ind w:left="16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gridSpan w:val="4"/>
          </w:tcPr>
          <w:p>
            <w:pPr>
              <w:jc w:val="right"/>
              <w:spacing w:after="0"/>
              <w:rPr>
                <w:sz w:val="20"/>
                <w:szCs w:val="20"/>
                <w:color w:val="auto"/>
              </w:rPr>
            </w:pPr>
            <w:r>
              <w:rPr>
                <w:rFonts w:ascii="Arial" w:cs="Arial" w:eastAsia="Arial" w:hAnsi="Arial"/>
                <w:sz w:val="18"/>
                <w:szCs w:val="18"/>
                <w:color w:val="auto"/>
                <w:w w:val="88"/>
              </w:rPr>
              <w:t>24.27</w:t>
            </w:r>
          </w:p>
        </w:tc>
        <w:tc>
          <w:tcPr>
            <w:tcW w:w="58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27.68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5"/>
          </w:tcPr>
          <w:p>
            <w:pPr>
              <w:jc w:val="right"/>
              <w:ind w:right="26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(251,200)</w:t>
            </w:r>
          </w:p>
        </w:tc>
        <w:tc>
          <w:tcPr>
            <w:tcW w:w="100" w:type="dxa"/>
            <w:vAlign w:val="bottom"/>
          </w:tcPr>
          <w:p>
            <w:pPr>
              <w:spacing w:after="0"/>
              <w:rPr>
                <w:sz w:val="18"/>
                <w:szCs w:val="18"/>
                <w:color w:val="auto"/>
              </w:rPr>
            </w:pPr>
          </w:p>
        </w:tc>
        <w:tc>
          <w:tcPr>
            <w:tcW w:w="640" w:type="dxa"/>
            <w:vAlign w:val="bottom"/>
            <w:gridSpan w:val="4"/>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8"/>
                <w:szCs w:val="18"/>
                <w:color w:val="auto"/>
              </w:rPr>
            </w:pPr>
          </w:p>
        </w:tc>
        <w:tc>
          <w:tcPr>
            <w:tcW w:w="700" w:type="dxa"/>
            <w:vAlign w:val="bottom"/>
            <w:gridSpan w:val="5"/>
          </w:tcPr>
          <w:p>
            <w:pPr>
              <w:jc w:val="right"/>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8"/>
                <w:szCs w:val="18"/>
                <w:color w:val="auto"/>
              </w:rPr>
            </w:pPr>
          </w:p>
        </w:tc>
        <w:tc>
          <w:tcPr>
            <w:tcW w:w="26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1,194,192</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840" w:type="dxa"/>
            <w:vAlign w:val="bottom"/>
            <w:tcBorders>
              <w:right w:val="single" w:sz="8" w:color="auto"/>
            </w:tcBorders>
            <w:gridSpan w:val="3"/>
          </w:tcPr>
          <w:p>
            <w:pPr>
              <w:spacing w:after="0"/>
              <w:rPr>
                <w:sz w:val="2"/>
                <w:szCs w:val="2"/>
                <w:color w:val="auto"/>
              </w:rPr>
            </w:pPr>
          </w:p>
        </w:tc>
        <w:tc>
          <w:tcPr>
            <w:tcW w:w="660" w:type="dxa"/>
            <w:vAlign w:val="bottom"/>
            <w:tcBorders>
              <w:right w:val="single" w:sz="8" w:color="auto"/>
            </w:tcBorders>
            <w:gridSpan w:val="4"/>
            <w:shd w:val="clear" w:color="auto" w:fill="000000"/>
          </w:tcPr>
          <w:p>
            <w:pPr>
              <w:spacing w:after="0"/>
              <w:rPr>
                <w:sz w:val="2"/>
                <w:szCs w:val="2"/>
                <w:color w:val="auto"/>
              </w:rPr>
            </w:pPr>
          </w:p>
        </w:tc>
        <w:tc>
          <w:tcPr>
            <w:tcW w:w="700" w:type="dxa"/>
            <w:vAlign w:val="bottom"/>
            <w:tcBorders>
              <w:right w:val="single" w:sz="8" w:color="auto"/>
            </w:tcBorders>
            <w:gridSpan w:val="5"/>
            <w:shd w:val="clear" w:color="auto" w:fill="000000"/>
          </w:tcPr>
          <w:p>
            <w:pPr>
              <w:spacing w:after="0"/>
              <w:rPr>
                <w:sz w:val="2"/>
                <w:szCs w:val="2"/>
                <w:color w:val="auto"/>
              </w:rPr>
            </w:pPr>
          </w:p>
        </w:tc>
        <w:tc>
          <w:tcPr>
            <w:tcW w:w="400" w:type="dxa"/>
            <w:vAlign w:val="bottom"/>
            <w:tcBorders>
              <w:right w:val="single" w:sz="8" w:color="auto"/>
            </w:tcBorders>
            <w:gridSpan w:val="2"/>
          </w:tcPr>
          <w:p>
            <w:pPr>
              <w:spacing w:after="0"/>
              <w:rPr>
                <w:sz w:val="2"/>
                <w:szCs w:val="2"/>
                <w:color w:val="auto"/>
              </w:rPr>
            </w:pPr>
          </w:p>
        </w:tc>
        <w:tc>
          <w:tcPr>
            <w:tcW w:w="1420" w:type="dxa"/>
            <w:vAlign w:val="bottom"/>
            <w:tcBorders>
              <w:right w:val="single" w:sz="8" w:color="auto"/>
            </w:tcBorders>
            <w:gridSpan w:val="11"/>
            <w:shd w:val="clear" w:color="auto" w:fill="000000"/>
          </w:tcPr>
          <w:p>
            <w:pPr>
              <w:spacing w:after="0"/>
              <w:rPr>
                <w:sz w:val="2"/>
                <w:szCs w:val="2"/>
                <w:color w:val="auto"/>
              </w:rPr>
            </w:pPr>
          </w:p>
        </w:tc>
        <w:tc>
          <w:tcPr>
            <w:tcW w:w="200" w:type="dxa"/>
            <w:vAlign w:val="bottom"/>
            <w:tcBorders>
              <w:right w:val="single" w:sz="8" w:color="auto"/>
            </w:tcBorders>
            <w:gridSpan w:val="2"/>
          </w:tcPr>
          <w:p>
            <w:pPr>
              <w:spacing w:after="0"/>
              <w:rPr>
                <w:sz w:val="2"/>
                <w:szCs w:val="2"/>
                <w:color w:val="auto"/>
              </w:rPr>
            </w:pPr>
          </w:p>
        </w:tc>
        <w:tc>
          <w:tcPr>
            <w:tcW w:w="1700" w:type="dxa"/>
            <w:vAlign w:val="bottom"/>
            <w:tcBorders>
              <w:right w:val="single" w:sz="8" w:color="auto"/>
            </w:tcBorders>
            <w:gridSpan w:val="10"/>
            <w:shd w:val="clear" w:color="auto" w:fill="000000"/>
          </w:tcPr>
          <w:p>
            <w:pPr>
              <w:spacing w:after="0"/>
              <w:rPr>
                <w:sz w:val="2"/>
                <w:szCs w:val="2"/>
                <w:color w:val="auto"/>
              </w:rPr>
            </w:pPr>
          </w:p>
        </w:tc>
        <w:tc>
          <w:tcPr>
            <w:tcW w:w="940" w:type="dxa"/>
            <w:vAlign w:val="bottom"/>
            <w:tcBorders>
              <w:right w:val="single" w:sz="8" w:color="auto"/>
            </w:tcBorders>
            <w:gridSpan w:val="7"/>
            <w:shd w:val="clear" w:color="auto" w:fill="000000"/>
          </w:tcPr>
          <w:p>
            <w:pPr>
              <w:spacing w:after="0"/>
              <w:rPr>
                <w:sz w:val="2"/>
                <w:szCs w:val="2"/>
                <w:color w:val="auto"/>
              </w:rPr>
            </w:pPr>
          </w:p>
        </w:tc>
        <w:tc>
          <w:tcPr>
            <w:tcW w:w="940" w:type="dxa"/>
            <w:vAlign w:val="bottom"/>
            <w:tcBorders>
              <w:right w:val="single" w:sz="8" w:color="auto"/>
            </w:tcBorders>
            <w:gridSpan w:val="5"/>
            <w:shd w:val="clear" w:color="auto" w:fill="000000"/>
          </w:tcPr>
          <w:p>
            <w:pPr>
              <w:spacing w:after="0"/>
              <w:rPr>
                <w:sz w:val="2"/>
                <w:szCs w:val="2"/>
                <w:color w:val="auto"/>
              </w:rPr>
            </w:pPr>
          </w:p>
        </w:tc>
        <w:tc>
          <w:tcPr>
            <w:tcW w:w="680" w:type="dxa"/>
            <w:vAlign w:val="bottom"/>
            <w:tcBorders>
              <w:right w:val="single" w:sz="8" w:color="auto"/>
            </w:tcBorders>
            <w:gridSpan w:val="3"/>
            <w:shd w:val="clear" w:color="auto" w:fill="000000"/>
          </w:tcPr>
          <w:p>
            <w:pPr>
              <w:spacing w:after="0"/>
              <w:rPr>
                <w:sz w:val="2"/>
                <w:szCs w:val="2"/>
                <w:color w:val="auto"/>
              </w:rPr>
            </w:pPr>
          </w:p>
        </w:tc>
        <w:tc>
          <w:tcPr>
            <w:tcW w:w="1920" w:type="dxa"/>
            <w:vAlign w:val="bottom"/>
            <w:gridSpan w:val="5"/>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-12 months</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40%</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595,418</w:t>
            </w:r>
          </w:p>
        </w:tc>
        <w:tc>
          <w:tcPr>
            <w:tcW w:w="2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8"/>
              </w:rPr>
              <w:t>25.05</w:t>
            </w:r>
          </w:p>
        </w:tc>
        <w:tc>
          <w:tcPr>
            <w:tcW w:w="58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23.45</w:t>
            </w:r>
          </w:p>
        </w:tc>
        <w:tc>
          <w:tcPr>
            <w:tcW w:w="1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9"/>
              </w:rPr>
              <w:t>$ 954,563</w:t>
            </w:r>
          </w:p>
        </w:tc>
        <w:tc>
          <w:tcPr>
            <w:tcW w:w="32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0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left w:val="single" w:sz="8" w:color="CCEEFF"/>
            </w:tcBorders>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5"/>
              </w:rPr>
              <w:t>$ 15,973,309</w:t>
            </w:r>
          </w:p>
        </w:tc>
        <w:tc>
          <w:tcPr>
            <w:tcW w:w="280" w:type="dxa"/>
            <w:vAlign w:val="bottom"/>
            <w:tcBorders>
              <w:lef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3880" w:type="dxa"/>
            <w:vAlign w:val="bottom"/>
            <w:gridSpan w:val="16"/>
          </w:tcPr>
          <w:p>
            <w:pPr>
              <w:spacing w:after="0"/>
              <w:rPr>
                <w:sz w:val="20"/>
                <w:szCs w:val="20"/>
                <w:color w:val="auto"/>
              </w:rPr>
            </w:pPr>
            <w:r>
              <w:rPr>
                <w:rFonts w:ascii="Arial" w:cs="Arial" w:eastAsia="Arial" w:hAnsi="Arial"/>
                <w:sz w:val="18"/>
                <w:szCs w:val="18"/>
                <w:b w:val="1"/>
                <w:bCs w:val="1"/>
                <w:color w:val="auto"/>
                <w:w w:val="96"/>
              </w:rPr>
              <w:t>Renewal Lease Summary - - Comparable (2) (7)</w:t>
            </w: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0"/>
              </w:rPr>
              <w:t>Straight-</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1440" w:type="dxa"/>
            <w:vAlign w:val="bottom"/>
            <w:gridSpan w:val="59"/>
          </w:tcPr>
          <w:p>
            <w:pPr>
              <w:spacing w:after="0"/>
              <w:rPr>
                <w:sz w:val="20"/>
                <w:szCs w:val="20"/>
                <w:color w:val="auto"/>
              </w:rPr>
            </w:pPr>
            <w:r>
              <w:rPr>
                <w:rFonts w:ascii="Arial" w:cs="Arial" w:eastAsia="Arial" w:hAnsi="Arial"/>
                <w:sz w:val="14"/>
                <w:szCs w:val="14"/>
                <w:b w:val="1"/>
                <w:bCs w:val="1"/>
                <w:color w:val="auto"/>
              </w:rPr>
              <w:t>lined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4"/>
          </w:tcPr>
          <w:p>
            <w:pPr>
              <w:jc w:val="right"/>
              <w:ind w:right="460"/>
              <w:spacing w:after="0" w:line="149" w:lineRule="exact"/>
              <w:rPr>
                <w:sz w:val="20"/>
                <w:szCs w:val="20"/>
                <w:color w:val="auto"/>
              </w:rPr>
            </w:pPr>
            <w:r>
              <w:rPr>
                <w:rFonts w:ascii="Arial" w:cs="Arial" w:eastAsia="Arial" w:hAnsi="Arial"/>
                <w:sz w:val="14"/>
                <w:szCs w:val="14"/>
                <w:b w:val="1"/>
                <w:bCs w:val="1"/>
                <w:color w:val="auto"/>
                <w:w w:val="81"/>
              </w:rPr>
              <w:t>Cash</w:t>
            </w:r>
          </w:p>
        </w:tc>
        <w:tc>
          <w:tcPr>
            <w:tcW w:w="60" w:type="dxa"/>
            <w:vAlign w:val="bottom"/>
          </w:tcPr>
          <w:p>
            <w:pPr>
              <w:spacing w:after="0"/>
              <w:rPr>
                <w:sz w:val="12"/>
                <w:szCs w:val="12"/>
                <w:color w:val="auto"/>
              </w:rPr>
            </w:pPr>
          </w:p>
        </w:tc>
        <w:tc>
          <w:tcPr>
            <w:tcW w:w="940" w:type="dxa"/>
            <w:vAlign w:val="bottom"/>
            <w:gridSpan w:val="5"/>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Basis %</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Number</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5"/>
          </w:tcPr>
          <w:p>
            <w:pPr>
              <w:jc w:val="center"/>
              <w:ind w:right="419"/>
              <w:spacing w:after="0" w:line="149" w:lineRule="exact"/>
              <w:rPr>
                <w:sz w:val="20"/>
                <w:szCs w:val="20"/>
                <w:color w:val="auto"/>
              </w:rPr>
            </w:pPr>
            <w:r>
              <w:rPr>
                <w:rFonts w:ascii="Arial" w:cs="Arial" w:eastAsia="Arial" w:hAnsi="Arial"/>
                <w:sz w:val="14"/>
                <w:szCs w:val="14"/>
                <w:b w:val="1"/>
                <w:bCs w:val="1"/>
                <w:color w:val="auto"/>
                <w:w w:val="94"/>
              </w:rPr>
              <w:t>% of</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5"/>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Prior</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gridSpan w:val="6"/>
          </w:tcPr>
          <w:p>
            <w:pPr>
              <w:jc w:val="right"/>
              <w:ind w:right="360"/>
              <w:spacing w:after="0" w:line="149" w:lineRule="exact"/>
              <w:rPr>
                <w:sz w:val="20"/>
                <w:szCs w:val="20"/>
                <w:color w:val="auto"/>
              </w:rPr>
            </w:pPr>
            <w:r>
              <w:rPr>
                <w:rFonts w:ascii="Arial" w:cs="Arial" w:eastAsia="Arial" w:hAnsi="Arial"/>
                <w:sz w:val="14"/>
                <w:szCs w:val="14"/>
                <w:b w:val="1"/>
                <w:bCs w:val="1"/>
                <w:color w:val="auto"/>
                <w:w w:val="93"/>
              </w:rPr>
              <w:t>Basis %</w:t>
            </w:r>
          </w:p>
        </w:tc>
        <w:tc>
          <w:tcPr>
            <w:tcW w:w="60" w:type="dxa"/>
            <w:vAlign w:val="bottom"/>
          </w:tcPr>
          <w:p>
            <w:pPr>
              <w:spacing w:after="0"/>
              <w:rPr>
                <w:sz w:val="12"/>
                <w:szCs w:val="12"/>
                <w:color w:val="auto"/>
              </w:rPr>
            </w:pPr>
          </w:p>
        </w:tc>
        <w:tc>
          <w:tcPr>
            <w:tcW w:w="940" w:type="dxa"/>
            <w:vAlign w:val="bottom"/>
            <w:gridSpan w:val="5"/>
          </w:tcPr>
          <w:p>
            <w:pPr>
              <w:jc w:val="center"/>
              <w:ind w:right="420"/>
              <w:spacing w:after="0" w:line="149" w:lineRule="exact"/>
              <w:rPr>
                <w:sz w:val="20"/>
                <w:szCs w:val="20"/>
                <w:color w:val="auto"/>
              </w:rPr>
            </w:pPr>
            <w:r>
              <w:rPr>
                <w:rFonts w:ascii="Arial" w:cs="Arial" w:eastAsia="Arial" w:hAnsi="Arial"/>
                <w:sz w:val="14"/>
                <w:szCs w:val="14"/>
                <w:b w:val="1"/>
                <w:bCs w:val="1"/>
                <w:color w:val="auto"/>
                <w:w w:val="84"/>
              </w:rPr>
              <w:t>Increase</w:t>
            </w: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w w:val="76"/>
              </w:rPr>
              <w:t>Weighted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Tenant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gridSpan w:val="2"/>
          </w:tcPr>
          <w:p>
            <w:pPr>
              <w:jc w:val="center"/>
              <w:ind w:right="72"/>
              <w:spacing w:after="0" w:line="149" w:lineRule="exact"/>
              <w:rPr>
                <w:sz w:val="20"/>
                <w:szCs w:val="20"/>
                <w:color w:val="auto"/>
              </w:rPr>
            </w:pPr>
            <w:r>
              <w:rPr>
                <w:rFonts w:ascii="Arial" w:cs="Arial" w:eastAsia="Arial" w:hAnsi="Arial"/>
                <w:sz w:val="14"/>
                <w:szCs w:val="14"/>
                <w:b w:val="1"/>
                <w:bCs w:val="1"/>
                <w:color w:val="auto"/>
                <w:w w:val="90"/>
              </w:rPr>
              <w:t>of</w:t>
            </w:r>
          </w:p>
        </w:tc>
        <w:tc>
          <w:tcPr>
            <w:tcW w:w="180" w:type="dxa"/>
            <w:vAlign w:val="bottom"/>
          </w:tcPr>
          <w:p>
            <w:pPr>
              <w:spacing w:after="0"/>
              <w:rPr>
                <w:sz w:val="12"/>
                <w:szCs w:val="12"/>
                <w:color w:val="auto"/>
              </w:rPr>
            </w:pPr>
          </w:p>
        </w:tc>
        <w:tc>
          <w:tcPr>
            <w:tcW w:w="1040" w:type="dxa"/>
            <w:vAlign w:val="bottom"/>
            <w:gridSpan w:val="6"/>
          </w:tcPr>
          <w:p>
            <w:pPr>
              <w:jc w:val="center"/>
              <w:ind w:right="239"/>
              <w:spacing w:after="0" w:line="149" w:lineRule="exact"/>
              <w:rPr>
                <w:sz w:val="20"/>
                <w:szCs w:val="20"/>
                <w:color w:val="auto"/>
              </w:rPr>
            </w:pPr>
            <w:r>
              <w:rPr>
                <w:rFonts w:ascii="Arial" w:cs="Arial" w:eastAsia="Arial" w:hAnsi="Arial"/>
                <w:sz w:val="14"/>
                <w:szCs w:val="14"/>
                <w:b w:val="1"/>
                <w:bCs w:val="1"/>
                <w:color w:val="auto"/>
                <w:w w:val="88"/>
              </w:rPr>
              <w:t>Comparable</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8"/>
          </w:tcPr>
          <w:p>
            <w:pPr>
              <w:ind w:left="20"/>
              <w:spacing w:after="0" w:line="149" w:lineRule="exact"/>
              <w:rPr>
                <w:sz w:val="20"/>
                <w:szCs w:val="20"/>
                <w:color w:val="auto"/>
              </w:rPr>
            </w:pPr>
            <w:r>
              <w:rPr>
                <w:rFonts w:ascii="Arial" w:cs="Arial" w:eastAsia="Arial" w:hAnsi="Arial"/>
                <w:sz w:val="14"/>
                <w:szCs w:val="14"/>
                <w:b w:val="1"/>
                <w:bCs w:val="1"/>
                <w:color w:val="auto"/>
                <w:w w:val="97"/>
              </w:rPr>
              <w:t>Contractual</w:t>
            </w:r>
          </w:p>
        </w:tc>
        <w:tc>
          <w:tcPr>
            <w:tcW w:w="120" w:type="dxa"/>
            <w:vAlign w:val="bottom"/>
          </w:tcPr>
          <w:p>
            <w:pPr>
              <w:spacing w:after="0"/>
              <w:rPr>
                <w:sz w:val="12"/>
                <w:szCs w:val="12"/>
                <w:color w:val="auto"/>
              </w:rPr>
            </w:pPr>
          </w:p>
        </w:tc>
        <w:tc>
          <w:tcPr>
            <w:tcW w:w="640" w:type="dxa"/>
            <w:vAlign w:val="bottom"/>
            <w:gridSpan w:val="5"/>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Rent (4)</w:t>
            </w:r>
          </w:p>
        </w:tc>
        <w:tc>
          <w:tcPr>
            <w:tcW w:w="140" w:type="dxa"/>
            <w:vAlign w:val="bottom"/>
          </w:tcPr>
          <w:p>
            <w:pPr>
              <w:spacing w:after="0"/>
              <w:rPr>
                <w:sz w:val="12"/>
                <w:szCs w:val="12"/>
                <w:color w:val="auto"/>
              </w:rPr>
            </w:pPr>
          </w:p>
        </w:tc>
        <w:tc>
          <w:tcPr>
            <w:tcW w:w="920" w:type="dxa"/>
            <w:vAlign w:val="bottom"/>
            <w:gridSpan w:val="4"/>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Annual</w:t>
            </w:r>
          </w:p>
        </w:tc>
        <w:tc>
          <w:tcPr>
            <w:tcW w:w="880" w:type="dxa"/>
            <w:vAlign w:val="bottom"/>
            <w:gridSpan w:val="6"/>
          </w:tcPr>
          <w:p>
            <w:pPr>
              <w:jc w:val="right"/>
              <w:ind w:right="360"/>
              <w:spacing w:after="0" w:line="149" w:lineRule="exact"/>
              <w:rPr>
                <w:sz w:val="20"/>
                <w:szCs w:val="20"/>
                <w:color w:val="auto"/>
              </w:rPr>
            </w:pPr>
            <w:r>
              <w:rPr>
                <w:rFonts w:ascii="Arial" w:cs="Arial" w:eastAsia="Arial" w:hAnsi="Arial"/>
                <w:sz w:val="14"/>
                <w:szCs w:val="14"/>
                <w:b w:val="1"/>
                <w:bCs w:val="1"/>
                <w:color w:val="auto"/>
                <w:w w:val="87"/>
              </w:rPr>
              <w:t>Increase</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4"/>
          </w:tcPr>
          <w:p>
            <w:pPr>
              <w:jc w:val="center"/>
              <w:ind w:right="500"/>
              <w:spacing w:after="0" w:line="149" w:lineRule="exact"/>
              <w:rPr>
                <w:sz w:val="20"/>
                <w:szCs w:val="20"/>
                <w:color w:val="auto"/>
              </w:rPr>
            </w:pPr>
            <w:r>
              <w:rPr>
                <w:rFonts w:ascii="Arial" w:cs="Arial" w:eastAsia="Arial" w:hAnsi="Arial"/>
                <w:sz w:val="14"/>
                <w:szCs w:val="14"/>
                <w:b w:val="1"/>
                <w:bCs w:val="1"/>
                <w:color w:val="auto"/>
                <w:w w:val="93"/>
              </w:rPr>
              <w:t>Over</w:t>
            </w:r>
          </w:p>
        </w:tc>
        <w:tc>
          <w:tcPr>
            <w:tcW w:w="5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79"/>
              </w:rPr>
              <w:t>Average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ind w:right="176"/>
              <w:spacing w:after="0" w:line="149" w:lineRule="exact"/>
              <w:rPr>
                <w:sz w:val="20"/>
                <w:szCs w:val="20"/>
                <w:color w:val="auto"/>
              </w:rPr>
            </w:pPr>
            <w:r>
              <w:rPr>
                <w:rFonts w:ascii="Arial" w:cs="Arial" w:eastAsia="Arial" w:hAnsi="Arial"/>
                <w:sz w:val="14"/>
                <w:szCs w:val="14"/>
                <w:b w:val="1"/>
                <w:bCs w:val="1"/>
                <w:color w:val="auto"/>
              </w:rPr>
              <w:t>Tenant</w:t>
            </w:r>
          </w:p>
        </w:tc>
        <w:tc>
          <w:tcPr>
            <w:tcW w:w="160" w:type="dxa"/>
            <w:vAlign w:val="bottom"/>
          </w:tcPr>
          <w:p>
            <w:pPr>
              <w:spacing w:after="0"/>
              <w:rPr>
                <w:sz w:val="12"/>
                <w:szCs w:val="12"/>
                <w:color w:val="auto"/>
              </w:rPr>
            </w:pPr>
          </w:p>
        </w:tc>
        <w:tc>
          <w:tcPr>
            <w:tcW w:w="8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87"/>
              </w:rPr>
              <w:t>Improvements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79"/>
              </w:rPr>
              <w:t>Leases</w:t>
            </w:r>
          </w:p>
        </w:tc>
        <w:tc>
          <w:tcPr>
            <w:tcW w:w="180" w:type="dxa"/>
            <w:vAlign w:val="bottom"/>
          </w:tcPr>
          <w:p>
            <w:pPr>
              <w:spacing w:after="0"/>
              <w:rPr>
                <w:sz w:val="12"/>
                <w:szCs w:val="12"/>
                <w:color w:val="auto"/>
              </w:rPr>
            </w:pPr>
          </w:p>
        </w:tc>
        <w:tc>
          <w:tcPr>
            <w:tcW w:w="1040" w:type="dxa"/>
            <w:vAlign w:val="bottom"/>
            <w:gridSpan w:val="6"/>
          </w:tcPr>
          <w:p>
            <w:pPr>
              <w:jc w:val="center"/>
              <w:ind w:right="259"/>
              <w:spacing w:after="0" w:line="149" w:lineRule="exact"/>
              <w:rPr>
                <w:sz w:val="20"/>
                <w:szCs w:val="20"/>
                <w:color w:val="auto"/>
              </w:rPr>
            </w:pPr>
            <w:r>
              <w:rPr>
                <w:rFonts w:ascii="Arial" w:cs="Arial" w:eastAsia="Arial" w:hAnsi="Arial"/>
                <w:sz w:val="14"/>
                <w:szCs w:val="14"/>
                <w:b w:val="1"/>
                <w:bCs w:val="1"/>
                <w:color w:val="auto"/>
                <w:w w:val="79"/>
              </w:rPr>
              <w:t>Leases</w:t>
            </w:r>
          </w:p>
        </w:tc>
        <w:tc>
          <w:tcPr>
            <w:tcW w:w="60" w:type="dxa"/>
            <w:vAlign w:val="bottom"/>
          </w:tcPr>
          <w:p>
            <w:pPr>
              <w:spacing w:after="0"/>
              <w:rPr>
                <w:sz w:val="12"/>
                <w:szCs w:val="12"/>
                <w:color w:val="auto"/>
              </w:rPr>
            </w:pPr>
          </w:p>
        </w:tc>
        <w:tc>
          <w:tcPr>
            <w:tcW w:w="5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GLA</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6"/>
          </w:tcPr>
          <w:p>
            <w:pPr>
              <w:jc w:val="right"/>
              <w:ind w:right="120"/>
              <w:spacing w:after="0" w:line="149" w:lineRule="exact"/>
              <w:rPr>
                <w:sz w:val="20"/>
                <w:szCs w:val="20"/>
                <w:color w:val="auto"/>
              </w:rPr>
            </w:pPr>
            <w:r>
              <w:rPr>
                <w:rFonts w:ascii="Arial" w:cs="Arial" w:eastAsia="Arial" w:hAnsi="Arial"/>
                <w:sz w:val="14"/>
                <w:szCs w:val="14"/>
                <w:b w:val="1"/>
                <w:bCs w:val="1"/>
                <w:color w:val="auto"/>
                <w:w w:val="88"/>
              </w:rPr>
              <w:t>Rent (3)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5"/>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Per Sq.</w:t>
            </w:r>
          </w:p>
        </w:tc>
        <w:tc>
          <w:tcPr>
            <w:tcW w:w="1060" w:type="dxa"/>
            <w:vAlign w:val="bottom"/>
            <w:gridSpan w:val="5"/>
          </w:tcPr>
          <w:p>
            <w:pPr>
              <w:jc w:val="center"/>
              <w:ind w:right="300"/>
              <w:spacing w:after="0" w:line="149" w:lineRule="exact"/>
              <w:rPr>
                <w:sz w:val="20"/>
                <w:szCs w:val="20"/>
                <w:color w:val="auto"/>
              </w:rPr>
            </w:pPr>
            <w:r>
              <w:rPr>
                <w:rFonts w:ascii="Arial" w:cs="Arial" w:eastAsia="Arial" w:hAnsi="Arial"/>
                <w:sz w:val="14"/>
                <w:szCs w:val="14"/>
                <w:b w:val="1"/>
                <w:bCs w:val="1"/>
                <w:color w:val="auto"/>
                <w:w w:val="84"/>
              </w:rPr>
              <w:t>Increase</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4"/>
          </w:tcPr>
          <w:p>
            <w:pPr>
              <w:jc w:val="right"/>
              <w:ind w:right="460"/>
              <w:spacing w:after="0" w:line="149" w:lineRule="exact"/>
              <w:rPr>
                <w:sz w:val="20"/>
                <w:szCs w:val="20"/>
                <w:color w:val="auto"/>
              </w:rPr>
            </w:pPr>
            <w:r>
              <w:rPr>
                <w:rFonts w:ascii="Arial" w:cs="Arial" w:eastAsia="Arial" w:hAnsi="Arial"/>
                <w:sz w:val="14"/>
                <w:szCs w:val="14"/>
                <w:b w:val="1"/>
                <w:bCs w:val="1"/>
                <w:color w:val="auto"/>
                <w:w w:val="87"/>
              </w:rPr>
              <w:t>Over</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4"/>
          </w:tcPr>
          <w:p>
            <w:pPr>
              <w:jc w:val="center"/>
              <w:ind w:right="500"/>
              <w:spacing w:after="0" w:line="149" w:lineRule="exact"/>
              <w:rPr>
                <w:sz w:val="20"/>
                <w:szCs w:val="20"/>
                <w:color w:val="auto"/>
              </w:rPr>
            </w:pPr>
            <w:r>
              <w:rPr>
                <w:rFonts w:ascii="Arial" w:cs="Arial" w:eastAsia="Arial" w:hAnsi="Arial"/>
                <w:sz w:val="14"/>
                <w:szCs w:val="14"/>
                <w:b w:val="1"/>
                <w:bCs w:val="1"/>
                <w:color w:val="auto"/>
                <w:w w:val="91"/>
              </w:rPr>
              <w:t>Prior</w:t>
            </w:r>
          </w:p>
        </w:tc>
        <w:tc>
          <w:tcPr>
            <w:tcW w:w="5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Lease</w:t>
            </w:r>
          </w:p>
        </w:tc>
        <w:tc>
          <w:tcPr>
            <w:tcW w:w="120" w:type="dxa"/>
            <w:vAlign w:val="bottom"/>
          </w:tcPr>
          <w:p>
            <w:pPr>
              <w:spacing w:after="0"/>
              <w:rPr>
                <w:sz w:val="12"/>
                <w:szCs w:val="12"/>
                <w:color w:val="auto"/>
              </w:rPr>
            </w:pPr>
          </w:p>
        </w:tc>
        <w:tc>
          <w:tcPr>
            <w:tcW w:w="9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7"/>
              </w:rPr>
              <w:t>Improvements</w:t>
            </w:r>
          </w:p>
        </w:tc>
        <w:tc>
          <w:tcPr>
            <w:tcW w:w="160" w:type="dxa"/>
            <w:vAlign w:val="bottom"/>
          </w:tcPr>
          <w:p>
            <w:pPr>
              <w:spacing w:after="0"/>
              <w:rPr>
                <w:sz w:val="12"/>
                <w:szCs w:val="12"/>
                <w:color w:val="auto"/>
              </w:rPr>
            </w:pPr>
          </w:p>
        </w:tc>
        <w:tc>
          <w:tcPr>
            <w:tcW w:w="8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&amp; Incentives</w:t>
            </w:r>
          </w:p>
        </w:tc>
        <w:tc>
          <w:tcPr>
            <w:tcW w:w="0" w:type="dxa"/>
            <w:vAlign w:val="bottom"/>
          </w:tcPr>
          <w:p>
            <w:pPr>
              <w:spacing w:after="0"/>
              <w:rPr>
                <w:sz w:val="1"/>
                <w:szCs w:val="1"/>
                <w:color w:val="auto"/>
              </w:rPr>
            </w:pPr>
          </w:p>
        </w:tc>
      </w:tr>
      <w:tr>
        <w:trPr>
          <w:trHeight w:val="161"/>
        </w:trPr>
        <w:tc>
          <w:tcPr>
            <w:tcW w:w="1860" w:type="dxa"/>
            <w:vAlign w:val="bottom"/>
            <w:gridSpan w:val="4"/>
          </w:tcPr>
          <w:p>
            <w:pPr>
              <w:spacing w:after="0"/>
              <w:rPr>
                <w:sz w:val="20"/>
                <w:szCs w:val="20"/>
                <w:color w:val="auto"/>
              </w:rPr>
            </w:pPr>
            <w:r>
              <w:rPr>
                <w:rFonts w:ascii="Arial" w:cs="Arial" w:eastAsia="Arial" w:hAnsi="Arial"/>
                <w:sz w:val="14"/>
                <w:szCs w:val="14"/>
                <w:b w:val="1"/>
                <w:bCs w:val="1"/>
                <w:color w:val="auto"/>
              </w:rPr>
              <w:t>Quarter</w:t>
            </w:r>
          </w:p>
        </w:tc>
        <w:tc>
          <w:tcPr>
            <w:tcW w:w="4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Signed</w:t>
            </w:r>
          </w:p>
        </w:tc>
        <w:tc>
          <w:tcPr>
            <w:tcW w:w="180" w:type="dxa"/>
            <w:vAlign w:val="bottom"/>
          </w:tcPr>
          <w:p>
            <w:pPr>
              <w:spacing w:after="0"/>
              <w:rPr>
                <w:sz w:val="14"/>
                <w:szCs w:val="14"/>
                <w:color w:val="auto"/>
              </w:rPr>
            </w:pPr>
          </w:p>
        </w:tc>
        <w:tc>
          <w:tcPr>
            <w:tcW w:w="1040" w:type="dxa"/>
            <w:vAlign w:val="bottom"/>
            <w:gridSpan w:val="6"/>
          </w:tcPr>
          <w:p>
            <w:pPr>
              <w:jc w:val="center"/>
              <w:ind w:right="259"/>
              <w:spacing w:after="0"/>
              <w:rPr>
                <w:sz w:val="20"/>
                <w:szCs w:val="20"/>
                <w:color w:val="auto"/>
              </w:rPr>
            </w:pPr>
            <w:r>
              <w:rPr>
                <w:rFonts w:ascii="Arial" w:cs="Arial" w:eastAsia="Arial" w:hAnsi="Arial"/>
                <w:sz w:val="14"/>
                <w:szCs w:val="14"/>
                <w:b w:val="1"/>
                <w:bCs w:val="1"/>
                <w:color w:val="auto"/>
                <w:w w:val="81"/>
              </w:rPr>
              <w:t>Signed</w:t>
            </w:r>
          </w:p>
        </w:tc>
        <w:tc>
          <w:tcPr>
            <w:tcW w:w="60" w:type="dxa"/>
            <w:vAlign w:val="bottom"/>
          </w:tcPr>
          <w:p>
            <w:pPr>
              <w:spacing w:after="0"/>
              <w:rPr>
                <w:sz w:val="14"/>
                <w:szCs w:val="14"/>
                <w:color w:val="auto"/>
              </w:rPr>
            </w:pPr>
          </w:p>
        </w:tc>
        <w:tc>
          <w:tcPr>
            <w:tcW w:w="5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Signed</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7"/>
          </w:tcPr>
          <w:p>
            <w:pPr>
              <w:jc w:val="right"/>
              <w:ind w:right="60"/>
              <w:spacing w:after="0"/>
              <w:rPr>
                <w:sz w:val="20"/>
                <w:szCs w:val="20"/>
                <w:color w:val="auto"/>
              </w:rPr>
            </w:pPr>
            <w:r>
              <w:rPr>
                <w:rFonts w:ascii="Arial" w:cs="Arial" w:eastAsia="Arial" w:hAnsi="Arial"/>
                <w:sz w:val="14"/>
                <w:szCs w:val="14"/>
                <w:b w:val="1"/>
                <w:bCs w:val="1"/>
                <w:color w:val="auto"/>
                <w:w w:val="92"/>
              </w:rPr>
              <w:t>Per Sq. Ft.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3"/>
              </w:rPr>
              <w:t>Ft.</w:t>
            </w:r>
          </w:p>
        </w:tc>
        <w:tc>
          <w:tcPr>
            <w:tcW w:w="140" w:type="dxa"/>
            <w:vAlign w:val="bottom"/>
          </w:tcPr>
          <w:p>
            <w:pPr>
              <w:spacing w:after="0"/>
              <w:rPr>
                <w:sz w:val="14"/>
                <w:szCs w:val="14"/>
                <w:color w:val="auto"/>
              </w:rPr>
            </w:pPr>
          </w:p>
        </w:tc>
        <w:tc>
          <w:tcPr>
            <w:tcW w:w="92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88"/>
              </w:rPr>
              <w:t>in Rent</w:t>
            </w:r>
          </w:p>
        </w:tc>
        <w:tc>
          <w:tcPr>
            <w:tcW w:w="88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82"/>
              </w:rPr>
              <w:t>Prior Rent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89"/>
              </w:rPr>
              <w:t>Rent</w:t>
            </w:r>
          </w:p>
        </w:tc>
        <w:tc>
          <w:tcPr>
            <w:tcW w:w="1580" w:type="dxa"/>
            <w:vAlign w:val="bottom"/>
            <w:gridSpan w:val="5"/>
          </w:tcPr>
          <w:p>
            <w:pPr>
              <w:spacing w:after="0"/>
              <w:rPr>
                <w:sz w:val="20"/>
                <w:szCs w:val="20"/>
                <w:color w:val="auto"/>
              </w:rPr>
            </w:pPr>
            <w:r>
              <w:rPr>
                <w:rFonts w:ascii="Arial" w:cs="Arial" w:eastAsia="Arial" w:hAnsi="Arial"/>
                <w:sz w:val="14"/>
                <w:szCs w:val="14"/>
                <w:b w:val="1"/>
                <w:bCs w:val="1"/>
                <w:color w:val="auto"/>
                <w:w w:val="90"/>
              </w:rPr>
              <w:t>Term (5)   &amp; Incentives (6)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Per Sq. Ft.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20" w:type="dxa"/>
            <w:vAlign w:val="bottom"/>
            <w:gridSpan w:val="6"/>
            <w:shd w:val="clear" w:color="auto" w:fill="000000"/>
          </w:tcPr>
          <w:p>
            <w:pPr>
              <w:spacing w:after="0" w:line="20" w:lineRule="exact"/>
              <w:rPr>
                <w:sz w:val="1"/>
                <w:szCs w:val="1"/>
                <w:color w:val="auto"/>
              </w:rPr>
            </w:pPr>
          </w:p>
        </w:tc>
        <w:tc>
          <w:tcPr>
            <w:tcW w:w="880" w:type="dxa"/>
            <w:vAlign w:val="bottom"/>
            <w:tcBorders>
              <w:left w:val="single" w:sz="8" w:color="auto"/>
              <w:right w:val="single" w:sz="8" w:color="auto"/>
            </w:tcBorders>
            <w:gridSpan w:val="6"/>
          </w:tcPr>
          <w:p>
            <w:pPr>
              <w:spacing w:after="0" w:line="20" w:lineRule="exact"/>
              <w:rPr>
                <w:sz w:val="1"/>
                <w:szCs w:val="1"/>
                <w:color w:val="auto"/>
              </w:rPr>
            </w:pPr>
          </w:p>
        </w:tc>
        <w:tc>
          <w:tcPr>
            <w:tcW w:w="400" w:type="dxa"/>
            <w:vAlign w:val="bottom"/>
            <w:tcBorders>
              <w:left w:val="single" w:sz="8" w:color="auto"/>
              <w:right w:val="single" w:sz="8" w:color="auto"/>
            </w:tcBorders>
            <w:gridSpan w:val="2"/>
          </w:tcPr>
          <w:p>
            <w:pPr>
              <w:spacing w:after="0" w:line="20" w:lineRule="exact"/>
              <w:rPr>
                <w:sz w:val="1"/>
                <w:szCs w:val="1"/>
                <w:color w:val="auto"/>
              </w:rPr>
            </w:pPr>
          </w:p>
        </w:tc>
        <w:tc>
          <w:tcPr>
            <w:tcW w:w="1420" w:type="dxa"/>
            <w:vAlign w:val="bottom"/>
            <w:tcBorders>
              <w:right w:val="single" w:sz="8" w:color="auto"/>
            </w:tcBorders>
            <w:gridSpan w:val="11"/>
            <w:shd w:val="clear" w:color="auto" w:fill="000000"/>
          </w:tcPr>
          <w:p>
            <w:pPr>
              <w:spacing w:after="0" w:line="20" w:lineRule="exact"/>
              <w:rPr>
                <w:sz w:val="1"/>
                <w:szCs w:val="1"/>
                <w:color w:val="auto"/>
              </w:rPr>
            </w:pPr>
          </w:p>
        </w:tc>
        <w:tc>
          <w:tcPr>
            <w:tcW w:w="200" w:type="dxa"/>
            <w:vAlign w:val="bottom"/>
            <w:tcBorders>
              <w:right w:val="single" w:sz="8" w:color="auto"/>
            </w:tcBorders>
            <w:gridSpan w:val="2"/>
          </w:tcPr>
          <w:p>
            <w:pPr>
              <w:spacing w:after="0" w:line="20" w:lineRule="exact"/>
              <w:rPr>
                <w:sz w:val="1"/>
                <w:szCs w:val="1"/>
                <w:color w:val="auto"/>
              </w:rPr>
            </w:pPr>
          </w:p>
        </w:tc>
        <w:tc>
          <w:tcPr>
            <w:tcW w:w="640" w:type="dxa"/>
            <w:vAlign w:val="bottom"/>
            <w:tcBorders>
              <w:right w:val="single" w:sz="8" w:color="auto"/>
            </w:tcBorders>
            <w:gridSpan w:val="5"/>
            <w:shd w:val="clear" w:color="auto" w:fill="000000"/>
          </w:tcPr>
          <w:p>
            <w:pPr>
              <w:spacing w:after="0" w:line="20" w:lineRule="exact"/>
              <w:rPr>
                <w:sz w:val="1"/>
                <w:szCs w:val="1"/>
                <w:color w:val="auto"/>
              </w:rPr>
            </w:pPr>
          </w:p>
        </w:tc>
        <w:tc>
          <w:tcPr>
            <w:tcW w:w="740" w:type="dxa"/>
            <w:vAlign w:val="bottom"/>
            <w:gridSpan w:val="4"/>
            <w:shd w:val="clear" w:color="auto" w:fill="000000"/>
          </w:tcPr>
          <w:p>
            <w:pPr>
              <w:spacing w:after="0" w:line="20" w:lineRule="exact"/>
              <w:rPr>
                <w:sz w:val="1"/>
                <w:szCs w:val="1"/>
                <w:color w:val="auto"/>
              </w:rPr>
            </w:pPr>
          </w:p>
        </w:tc>
        <w:tc>
          <w:tcPr>
            <w:tcW w:w="320" w:type="dxa"/>
            <w:vAlign w:val="bottom"/>
            <w:tcBorders>
              <w:left w:val="single" w:sz="8" w:color="auto"/>
              <w:right w:val="single" w:sz="8" w:color="auto"/>
            </w:tcBorders>
          </w:tcPr>
          <w:p>
            <w:pPr>
              <w:spacing w:after="0" w:line="20" w:lineRule="exact"/>
              <w:rPr>
                <w:sz w:val="1"/>
                <w:szCs w:val="1"/>
                <w:color w:val="auto"/>
              </w:rPr>
            </w:pPr>
          </w:p>
        </w:tc>
        <w:tc>
          <w:tcPr>
            <w:tcW w:w="540" w:type="dxa"/>
            <w:vAlign w:val="bottom"/>
            <w:gridSpan w:val="4"/>
            <w:shd w:val="clear" w:color="auto" w:fill="000000"/>
          </w:tcPr>
          <w:p>
            <w:pPr>
              <w:spacing w:after="0" w:line="20" w:lineRule="exact"/>
              <w:rPr>
                <w:sz w:val="1"/>
                <w:szCs w:val="1"/>
                <w:color w:val="auto"/>
              </w:rPr>
            </w:pPr>
          </w:p>
        </w:tc>
        <w:tc>
          <w:tcPr>
            <w:tcW w:w="880" w:type="dxa"/>
            <w:vAlign w:val="bottom"/>
            <w:tcBorders>
              <w:left w:val="single" w:sz="8" w:color="auto"/>
            </w:tcBorders>
            <w:gridSpan w:val="6"/>
          </w:tcPr>
          <w:p>
            <w:pPr>
              <w:spacing w:after="0" w:line="20" w:lineRule="exact"/>
              <w:rPr>
                <w:sz w:val="1"/>
                <w:szCs w:val="1"/>
                <w:color w:val="auto"/>
              </w:rPr>
            </w:pPr>
          </w:p>
        </w:tc>
        <w:tc>
          <w:tcPr>
            <w:tcW w:w="460" w:type="dxa"/>
            <w:vAlign w:val="bottom"/>
            <w:tcBorders>
              <w:left w:val="single" w:sz="8" w:color="auto"/>
              <w:right w:val="single" w:sz="8" w:color="auto"/>
            </w:tcBorders>
            <w:gridSpan w:val="2"/>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Borders>
              <w:left w:val="single" w:sz="8" w:color="auto"/>
              <w:right w:val="single" w:sz="8" w:color="auto"/>
            </w:tcBorders>
            <w:gridSpan w:val="2"/>
          </w:tcPr>
          <w:p>
            <w:pPr>
              <w:spacing w:after="0" w:line="20" w:lineRule="exact"/>
              <w:rPr>
                <w:sz w:val="1"/>
                <w:szCs w:val="1"/>
                <w:color w:val="auto"/>
              </w:rPr>
            </w:pPr>
          </w:p>
        </w:tc>
        <w:tc>
          <w:tcPr>
            <w:tcW w:w="1920" w:type="dxa"/>
            <w:vAlign w:val="bottom"/>
            <w:gridSpan w:val="5"/>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8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1st Quarter 2010</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58%</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150,343</w:t>
            </w:r>
          </w:p>
        </w:tc>
        <w:tc>
          <w:tcPr>
            <w:tcW w:w="2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8"/>
              </w:rPr>
              <w:t>35.67</w:t>
            </w:r>
          </w:p>
        </w:tc>
        <w:tc>
          <w:tcPr>
            <w:tcW w:w="5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$29.44</w:t>
            </w:r>
          </w:p>
        </w:tc>
        <w:tc>
          <w:tcPr>
            <w:tcW w:w="1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ind w:right="5"/>
              <w:spacing w:after="0"/>
              <w:rPr>
                <w:sz w:val="20"/>
                <w:szCs w:val="20"/>
                <w:color w:val="auto"/>
              </w:rPr>
            </w:pPr>
            <w:r>
              <w:rPr>
                <w:rFonts w:ascii="Arial" w:cs="Arial" w:eastAsia="Arial" w:hAnsi="Arial"/>
                <w:sz w:val="10"/>
                <w:szCs w:val="10"/>
                <w:color w:val="auto"/>
                <w:w w:val="71"/>
              </w:rPr>
              <w:t>$</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5"/>
              </w:rPr>
              <w:t>936,626</w:t>
            </w:r>
          </w:p>
        </w:tc>
        <w:tc>
          <w:tcPr>
            <w:tcW w:w="32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6"/>
            <w:shd w:val="clear" w:color="auto" w:fill="CCEEFF"/>
          </w:tcPr>
          <w:p>
            <w:pPr>
              <w:jc w:val="right"/>
              <w:ind w:right="260"/>
              <w:spacing w:after="0"/>
              <w:rPr>
                <w:sz w:val="20"/>
                <w:szCs w:val="20"/>
                <w:color w:val="auto"/>
              </w:rPr>
            </w:pPr>
            <w:r>
              <w:rPr>
                <w:rFonts w:ascii="Arial" w:cs="Arial" w:eastAsia="Arial" w:hAnsi="Arial"/>
                <w:sz w:val="18"/>
                <w:szCs w:val="18"/>
                <w:color w:val="auto"/>
              </w:rPr>
              <w:t>35%</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w:t>
            </w:r>
          </w:p>
        </w:tc>
        <w:tc>
          <w:tcPr>
            <w:tcW w:w="2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80,750</w:t>
            </w:r>
          </w:p>
        </w:tc>
        <w:tc>
          <w:tcPr>
            <w:tcW w:w="280" w:type="dxa"/>
            <w:vAlign w:val="bottom"/>
            <w:tcBorders>
              <w:lef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gridSpan w:val="3"/>
          </w:tcPr>
          <w:p>
            <w:pPr>
              <w:spacing w:after="0"/>
              <w:rPr>
                <w:sz w:val="20"/>
                <w:szCs w:val="20"/>
                <w:color w:val="auto"/>
              </w:rPr>
            </w:pPr>
            <w:r>
              <w:rPr>
                <w:rFonts w:ascii="Arial" w:cs="Arial" w:eastAsia="Arial" w:hAnsi="Arial"/>
                <w:sz w:val="18"/>
                <w:szCs w:val="18"/>
                <w:color w:val="auto"/>
              </w:rPr>
              <w:t>4th Quarter 2009</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gridSpan w:val="3"/>
          </w:tcPr>
          <w:p>
            <w:pPr>
              <w:ind w:left="220"/>
              <w:spacing w:after="0"/>
              <w:rPr>
                <w:sz w:val="20"/>
                <w:szCs w:val="20"/>
                <w:color w:val="auto"/>
              </w:rPr>
            </w:pPr>
            <w:r>
              <w:rPr>
                <w:rFonts w:ascii="Arial" w:cs="Arial" w:eastAsia="Arial" w:hAnsi="Arial"/>
                <w:sz w:val="18"/>
                <w:szCs w:val="18"/>
                <w:color w:val="auto"/>
              </w:rPr>
              <w:t>61%</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w w:val="89"/>
              </w:rPr>
              <w:t>183,252</w:t>
            </w:r>
          </w:p>
        </w:tc>
        <w:tc>
          <w:tcPr>
            <w:tcW w:w="280" w:type="dxa"/>
            <w:vAlign w:val="bottom"/>
            <w:gridSpan w:val="3"/>
          </w:tcPr>
          <w:p>
            <w:pPr>
              <w:ind w:left="16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gridSpan w:val="4"/>
          </w:tcPr>
          <w:p>
            <w:pPr>
              <w:jc w:val="right"/>
              <w:spacing w:after="0"/>
              <w:rPr>
                <w:sz w:val="20"/>
                <w:szCs w:val="20"/>
                <w:color w:val="auto"/>
              </w:rPr>
            </w:pPr>
            <w:r>
              <w:rPr>
                <w:rFonts w:ascii="Arial" w:cs="Arial" w:eastAsia="Arial" w:hAnsi="Arial"/>
                <w:sz w:val="18"/>
                <w:szCs w:val="18"/>
                <w:color w:val="auto"/>
                <w:w w:val="88"/>
              </w:rPr>
              <w:t>30.17</w:t>
            </w:r>
          </w:p>
        </w:tc>
        <w:tc>
          <w:tcPr>
            <w:tcW w:w="580" w:type="dxa"/>
            <w:vAlign w:val="bottom"/>
            <w:gridSpan w:val="4"/>
          </w:tcPr>
          <w:p>
            <w:pPr>
              <w:jc w:val="right"/>
              <w:spacing w:after="0"/>
              <w:rPr>
                <w:sz w:val="20"/>
                <w:szCs w:val="20"/>
                <w:color w:val="auto"/>
              </w:rPr>
            </w:pPr>
            <w:r>
              <w:rPr>
                <w:rFonts w:ascii="Arial" w:cs="Arial" w:eastAsia="Arial" w:hAnsi="Arial"/>
                <w:sz w:val="18"/>
                <w:szCs w:val="18"/>
                <w:color w:val="auto"/>
              </w:rPr>
              <w:t>$28.44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jc w:val="right"/>
              <w:ind w:right="5"/>
              <w:spacing w:after="0"/>
              <w:rPr>
                <w:sz w:val="20"/>
                <w:szCs w:val="20"/>
                <w:color w:val="auto"/>
              </w:rPr>
            </w:pPr>
            <w:r>
              <w:rPr>
                <w:rFonts w:ascii="Arial" w:cs="Arial" w:eastAsia="Arial" w:hAnsi="Arial"/>
                <w:sz w:val="10"/>
                <w:szCs w:val="10"/>
                <w:color w:val="auto"/>
                <w:w w:val="71"/>
              </w:rPr>
              <w:t>$</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w w:val="95"/>
              </w:rPr>
              <w:t>317,036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4"/>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1000" w:type="dxa"/>
            <w:vAlign w:val="bottom"/>
            <w:gridSpan w:val="6"/>
          </w:tcPr>
          <w:p>
            <w:pPr>
              <w:jc w:val="right"/>
              <w:ind w:right="260"/>
              <w:spacing w:after="0"/>
              <w:rPr>
                <w:sz w:val="20"/>
                <w:szCs w:val="20"/>
                <w:color w:val="auto"/>
              </w:rPr>
            </w:pPr>
            <w:r>
              <w:rPr>
                <w:rFonts w:ascii="Arial" w:cs="Arial" w:eastAsia="Arial" w:hAnsi="Arial"/>
                <w:sz w:val="18"/>
                <w:szCs w:val="18"/>
                <w:color w:val="auto"/>
              </w:rPr>
              <w:t>16%</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4.1</w:t>
            </w:r>
          </w:p>
        </w:tc>
        <w:tc>
          <w:tcPr>
            <w:tcW w:w="26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222,000</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3rd Quarter 2009</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58%</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147,550</w:t>
            </w:r>
          </w:p>
        </w:tc>
        <w:tc>
          <w:tcPr>
            <w:tcW w:w="2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8"/>
              </w:rPr>
              <w:t>32.08</w:t>
            </w:r>
          </w:p>
        </w:tc>
        <w:tc>
          <w:tcPr>
            <w:tcW w:w="5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$32.57</w:t>
            </w:r>
          </w:p>
        </w:tc>
        <w:tc>
          <w:tcPr>
            <w:tcW w:w="1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ind w:right="5"/>
              <w:spacing w:after="0"/>
              <w:rPr>
                <w:sz w:val="20"/>
                <w:szCs w:val="20"/>
                <w:color w:val="auto"/>
              </w:rPr>
            </w:pPr>
            <w:r>
              <w:rPr>
                <w:rFonts w:ascii="Arial" w:cs="Arial" w:eastAsia="Arial" w:hAnsi="Arial"/>
                <w:sz w:val="10"/>
                <w:szCs w:val="10"/>
                <w:color w:val="auto"/>
                <w:w w:val="71"/>
              </w:rPr>
              <w:t>$</w:t>
            </w:r>
          </w:p>
        </w:tc>
        <w:tc>
          <w:tcPr>
            <w:tcW w:w="920" w:type="dxa"/>
            <w:vAlign w:val="bottom"/>
            <w:tcBorders>
              <w:right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(72,823)</w:t>
            </w:r>
          </w:p>
        </w:tc>
        <w:tc>
          <w:tcPr>
            <w:tcW w:w="10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6"/>
            <w:shd w:val="clear" w:color="auto" w:fill="CCEEFF"/>
          </w:tcPr>
          <w:p>
            <w:pPr>
              <w:jc w:val="right"/>
              <w:ind w:right="260"/>
              <w:spacing w:after="0"/>
              <w:rPr>
                <w:sz w:val="20"/>
                <w:szCs w:val="20"/>
                <w:color w:val="auto"/>
              </w:rPr>
            </w:pPr>
            <w:r>
              <w:rPr>
                <w:rFonts w:ascii="Arial" w:cs="Arial" w:eastAsia="Arial" w:hAnsi="Arial"/>
                <w:sz w:val="18"/>
                <w:szCs w:val="18"/>
                <w:color w:val="auto"/>
              </w:rPr>
              <w:t>5%</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c>
          <w:tcPr>
            <w:tcW w:w="2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62,600</w:t>
            </w:r>
          </w:p>
        </w:tc>
        <w:tc>
          <w:tcPr>
            <w:tcW w:w="280" w:type="dxa"/>
            <w:vAlign w:val="bottom"/>
            <w:tcBorders>
              <w:lef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gridSpan w:val="3"/>
          </w:tcPr>
          <w:p>
            <w:pPr>
              <w:spacing w:after="0"/>
              <w:rPr>
                <w:sz w:val="20"/>
                <w:szCs w:val="20"/>
                <w:color w:val="auto"/>
              </w:rPr>
            </w:pPr>
            <w:r>
              <w:rPr>
                <w:rFonts w:ascii="Arial" w:cs="Arial" w:eastAsia="Arial" w:hAnsi="Arial"/>
                <w:sz w:val="18"/>
                <w:szCs w:val="18"/>
                <w:color w:val="auto"/>
              </w:rPr>
              <w:t>2nd Quarter 2009</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gridSpan w:val="3"/>
          </w:tcPr>
          <w:p>
            <w:pPr>
              <w:ind w:left="220"/>
              <w:spacing w:after="0"/>
              <w:rPr>
                <w:sz w:val="20"/>
                <w:szCs w:val="20"/>
                <w:color w:val="auto"/>
              </w:rPr>
            </w:pPr>
            <w:r>
              <w:rPr>
                <w:rFonts w:ascii="Arial" w:cs="Arial" w:eastAsia="Arial" w:hAnsi="Arial"/>
                <w:sz w:val="18"/>
                <w:szCs w:val="18"/>
                <w:color w:val="auto"/>
              </w:rPr>
              <w:t>62%</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w w:val="89"/>
              </w:rPr>
              <w:t>241,521</w:t>
            </w:r>
          </w:p>
        </w:tc>
        <w:tc>
          <w:tcPr>
            <w:tcW w:w="280" w:type="dxa"/>
            <w:vAlign w:val="bottom"/>
            <w:gridSpan w:val="3"/>
          </w:tcPr>
          <w:p>
            <w:pPr>
              <w:ind w:left="16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gridSpan w:val="4"/>
          </w:tcPr>
          <w:p>
            <w:pPr>
              <w:jc w:val="right"/>
              <w:spacing w:after="0"/>
              <w:rPr>
                <w:sz w:val="20"/>
                <w:szCs w:val="20"/>
                <w:color w:val="auto"/>
              </w:rPr>
            </w:pPr>
            <w:r>
              <w:rPr>
                <w:rFonts w:ascii="Arial" w:cs="Arial" w:eastAsia="Arial" w:hAnsi="Arial"/>
                <w:sz w:val="18"/>
                <w:szCs w:val="18"/>
                <w:color w:val="auto"/>
                <w:w w:val="88"/>
              </w:rPr>
              <w:t>27.66</w:t>
            </w:r>
          </w:p>
        </w:tc>
        <w:tc>
          <w:tcPr>
            <w:tcW w:w="58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21.89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4"/>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1,392,314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4"/>
          </w:tcPr>
          <w:p>
            <w:pPr>
              <w:jc w:val="right"/>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8"/>
                <w:szCs w:val="18"/>
                <w:color w:val="auto"/>
              </w:rPr>
            </w:pPr>
          </w:p>
        </w:tc>
        <w:tc>
          <w:tcPr>
            <w:tcW w:w="1000" w:type="dxa"/>
            <w:vAlign w:val="bottom"/>
            <w:gridSpan w:val="6"/>
          </w:tcPr>
          <w:p>
            <w:pPr>
              <w:jc w:val="right"/>
              <w:ind w:right="260"/>
              <w:spacing w:after="0"/>
              <w:rPr>
                <w:sz w:val="20"/>
                <w:szCs w:val="20"/>
                <w:color w:val="auto"/>
              </w:rPr>
            </w:pPr>
            <w:r>
              <w:rPr>
                <w:rFonts w:ascii="Arial" w:cs="Arial" w:eastAsia="Arial" w:hAnsi="Arial"/>
                <w:sz w:val="18"/>
                <w:szCs w:val="18"/>
                <w:color w:val="auto"/>
              </w:rPr>
              <w:t>38%</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5.6</w:t>
            </w:r>
          </w:p>
        </w:tc>
        <w:tc>
          <w:tcPr>
            <w:tcW w:w="26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320" w:type="dxa"/>
            <w:vAlign w:val="bottom"/>
            <w:gridSpan w:val="6"/>
          </w:tcPr>
          <w:p>
            <w:pPr>
              <w:spacing w:after="0"/>
              <w:rPr>
                <w:sz w:val="2"/>
                <w:szCs w:val="2"/>
                <w:color w:val="auto"/>
              </w:rPr>
            </w:pPr>
          </w:p>
        </w:tc>
        <w:tc>
          <w:tcPr>
            <w:tcW w:w="880" w:type="dxa"/>
            <w:vAlign w:val="bottom"/>
            <w:tcBorders>
              <w:left w:val="single" w:sz="8" w:color="auto"/>
              <w:right w:val="single" w:sz="8" w:color="auto"/>
            </w:tcBorders>
            <w:gridSpan w:val="6"/>
          </w:tcPr>
          <w:p>
            <w:pPr>
              <w:spacing w:after="0"/>
              <w:rPr>
                <w:sz w:val="2"/>
                <w:szCs w:val="2"/>
                <w:color w:val="auto"/>
              </w:rPr>
            </w:pPr>
          </w:p>
        </w:tc>
        <w:tc>
          <w:tcPr>
            <w:tcW w:w="400" w:type="dxa"/>
            <w:vAlign w:val="bottom"/>
            <w:tcBorders>
              <w:left w:val="single" w:sz="8" w:color="auto"/>
              <w:right w:val="single" w:sz="8" w:color="auto"/>
            </w:tcBorders>
            <w:gridSpan w:val="2"/>
          </w:tcPr>
          <w:p>
            <w:pPr>
              <w:spacing w:after="0"/>
              <w:rPr>
                <w:sz w:val="2"/>
                <w:szCs w:val="2"/>
                <w:color w:val="auto"/>
              </w:rPr>
            </w:pPr>
          </w:p>
        </w:tc>
        <w:tc>
          <w:tcPr>
            <w:tcW w:w="1420" w:type="dxa"/>
            <w:vAlign w:val="bottom"/>
            <w:tcBorders>
              <w:right w:val="single" w:sz="8" w:color="auto"/>
            </w:tcBorders>
            <w:gridSpan w:val="11"/>
            <w:shd w:val="clear" w:color="auto" w:fill="000000"/>
          </w:tcPr>
          <w:p>
            <w:pPr>
              <w:spacing w:after="0"/>
              <w:rPr>
                <w:sz w:val="2"/>
                <w:szCs w:val="2"/>
                <w:color w:val="auto"/>
              </w:rPr>
            </w:pPr>
          </w:p>
        </w:tc>
        <w:tc>
          <w:tcPr>
            <w:tcW w:w="200" w:type="dxa"/>
            <w:vAlign w:val="bottom"/>
            <w:tcBorders>
              <w:right w:val="single" w:sz="8" w:color="auto"/>
            </w:tcBorders>
            <w:gridSpan w:val="2"/>
          </w:tcPr>
          <w:p>
            <w:pPr>
              <w:spacing w:after="0"/>
              <w:rPr>
                <w:sz w:val="2"/>
                <w:szCs w:val="2"/>
                <w:color w:val="auto"/>
              </w:rPr>
            </w:pPr>
          </w:p>
        </w:tc>
        <w:tc>
          <w:tcPr>
            <w:tcW w:w="640" w:type="dxa"/>
            <w:vAlign w:val="bottom"/>
            <w:tcBorders>
              <w:right w:val="single" w:sz="8" w:color="auto"/>
            </w:tcBorders>
            <w:gridSpan w:val="5"/>
            <w:shd w:val="clear" w:color="auto" w:fill="000000"/>
          </w:tcPr>
          <w:p>
            <w:pPr>
              <w:spacing w:after="0"/>
              <w:rPr>
                <w:sz w:val="2"/>
                <w:szCs w:val="2"/>
                <w:color w:val="auto"/>
              </w:rPr>
            </w:pPr>
          </w:p>
        </w:tc>
        <w:tc>
          <w:tcPr>
            <w:tcW w:w="740" w:type="dxa"/>
            <w:vAlign w:val="bottom"/>
            <w:gridSpan w:val="4"/>
            <w:shd w:val="clear" w:color="auto" w:fill="000000"/>
          </w:tcPr>
          <w:p>
            <w:pPr>
              <w:spacing w:after="0"/>
              <w:rPr>
                <w:sz w:val="2"/>
                <w:szCs w:val="2"/>
                <w:color w:val="auto"/>
              </w:rPr>
            </w:pPr>
          </w:p>
        </w:tc>
        <w:tc>
          <w:tcPr>
            <w:tcW w:w="320" w:type="dxa"/>
            <w:vAlign w:val="bottom"/>
            <w:tcBorders>
              <w:left w:val="single" w:sz="8" w:color="auto"/>
              <w:right w:val="single" w:sz="8" w:color="auto"/>
            </w:tcBorders>
          </w:tcPr>
          <w:p>
            <w:pPr>
              <w:spacing w:after="0"/>
              <w:rPr>
                <w:sz w:val="2"/>
                <w:szCs w:val="2"/>
                <w:color w:val="auto"/>
              </w:rPr>
            </w:pPr>
          </w:p>
        </w:tc>
        <w:tc>
          <w:tcPr>
            <w:tcW w:w="540" w:type="dxa"/>
            <w:vAlign w:val="bottom"/>
            <w:gridSpan w:val="4"/>
            <w:shd w:val="clear" w:color="auto" w:fill="000000"/>
          </w:tcPr>
          <w:p>
            <w:pPr>
              <w:spacing w:after="0"/>
              <w:rPr>
                <w:sz w:val="2"/>
                <w:szCs w:val="2"/>
                <w:color w:val="auto"/>
              </w:rPr>
            </w:pPr>
          </w:p>
        </w:tc>
        <w:tc>
          <w:tcPr>
            <w:tcW w:w="880" w:type="dxa"/>
            <w:vAlign w:val="bottom"/>
            <w:tcBorders>
              <w:left w:val="single" w:sz="8" w:color="auto"/>
            </w:tcBorders>
            <w:gridSpan w:val="6"/>
          </w:tcPr>
          <w:p>
            <w:pPr>
              <w:spacing w:after="0"/>
              <w:rPr>
                <w:sz w:val="2"/>
                <w:szCs w:val="2"/>
                <w:color w:val="auto"/>
              </w:rPr>
            </w:pPr>
          </w:p>
        </w:tc>
        <w:tc>
          <w:tcPr>
            <w:tcW w:w="460" w:type="dxa"/>
            <w:vAlign w:val="bottom"/>
            <w:tcBorders>
              <w:left w:val="single" w:sz="8" w:color="auto"/>
              <w:right w:val="single" w:sz="8" w:color="auto"/>
            </w:tcBorders>
            <w:gridSpan w:val="2"/>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Borders>
              <w:left w:val="single" w:sz="8" w:color="auto"/>
              <w:right w:val="single" w:sz="8" w:color="auto"/>
            </w:tcBorders>
            <w:gridSpan w:val="2"/>
          </w:tcPr>
          <w:p>
            <w:pPr>
              <w:spacing w:after="0"/>
              <w:rPr>
                <w:sz w:val="2"/>
                <w:szCs w:val="2"/>
                <w:color w:val="auto"/>
              </w:rPr>
            </w:pPr>
          </w:p>
        </w:tc>
        <w:tc>
          <w:tcPr>
            <w:tcW w:w="1920" w:type="dxa"/>
            <w:vAlign w:val="bottom"/>
            <w:gridSpan w:val="5"/>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-12 months</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60%</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722,666</w:t>
            </w:r>
          </w:p>
        </w:tc>
        <w:tc>
          <w:tcPr>
            <w:tcW w:w="2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8"/>
              </w:rPr>
              <w:t>30.87</w:t>
            </w:r>
          </w:p>
        </w:tc>
        <w:tc>
          <w:tcPr>
            <w:tcW w:w="58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27.30</w:t>
            </w:r>
          </w:p>
        </w:tc>
        <w:tc>
          <w:tcPr>
            <w:tcW w:w="1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2,573,153</w:t>
            </w:r>
          </w:p>
        </w:tc>
        <w:tc>
          <w:tcPr>
            <w:tcW w:w="32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6"/>
            <w:shd w:val="clear" w:color="auto" w:fill="CCEEFF"/>
          </w:tcPr>
          <w:p>
            <w:pPr>
              <w:jc w:val="right"/>
              <w:ind w:right="260"/>
              <w:spacing w:after="0"/>
              <w:rPr>
                <w:sz w:val="20"/>
                <w:szCs w:val="20"/>
                <w:color w:val="auto"/>
              </w:rPr>
            </w:pPr>
            <w:r>
              <w:rPr>
                <w:rFonts w:ascii="Arial" w:cs="Arial" w:eastAsia="Arial" w:hAnsi="Arial"/>
                <w:sz w:val="18"/>
                <w:szCs w:val="18"/>
                <w:color w:val="auto"/>
              </w:rPr>
              <w:t>23%</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2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365,350</w:t>
            </w:r>
          </w:p>
        </w:tc>
        <w:tc>
          <w:tcPr>
            <w:tcW w:w="280" w:type="dxa"/>
            <w:vAlign w:val="bottom"/>
            <w:tcBorders>
              <w:lef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gridSpan w:val="3"/>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4620" w:type="dxa"/>
            <w:vAlign w:val="bottom"/>
            <w:gridSpan w:val="23"/>
          </w:tcPr>
          <w:p>
            <w:pPr>
              <w:spacing w:after="0"/>
              <w:rPr>
                <w:sz w:val="20"/>
                <w:szCs w:val="20"/>
                <w:color w:val="auto"/>
              </w:rPr>
            </w:pPr>
            <w:r>
              <w:rPr>
                <w:rFonts w:ascii="Arial" w:cs="Arial" w:eastAsia="Arial" w:hAnsi="Arial"/>
                <w:sz w:val="18"/>
                <w:szCs w:val="18"/>
                <w:b w:val="1"/>
                <w:bCs w:val="1"/>
                <w:color w:val="auto"/>
                <w:w w:val="88"/>
              </w:rPr>
              <w:t>Total Lease Summary - Comparable and Non-comparable (2)</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gridSpan w:val="5"/>
          </w:tcPr>
          <w:p>
            <w:pPr>
              <w:jc w:val="right"/>
              <w:ind w:right="80"/>
              <w:spacing w:after="0"/>
              <w:rPr>
                <w:sz w:val="20"/>
                <w:szCs w:val="20"/>
                <w:color w:val="auto"/>
              </w:rPr>
            </w:pPr>
            <w:r>
              <w:rPr>
                <w:rFonts w:ascii="Arial" w:cs="Arial" w:eastAsia="Arial" w:hAnsi="Arial"/>
                <w:sz w:val="14"/>
                <w:szCs w:val="14"/>
                <w:b w:val="1"/>
                <w:bCs w:val="1"/>
                <w:color w:val="auto"/>
                <w:w w:val="85"/>
              </w:rPr>
              <w:t>Weighted</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gridSpan w:val="2"/>
          </w:tcPr>
          <w:p>
            <w:pPr>
              <w:ind w:left="120"/>
              <w:spacing w:after="0"/>
              <w:rPr>
                <w:sz w:val="20"/>
                <w:szCs w:val="20"/>
                <w:color w:val="auto"/>
              </w:rPr>
            </w:pPr>
            <w:r>
              <w:rPr>
                <w:rFonts w:ascii="Arial" w:cs="Arial" w:eastAsia="Arial" w:hAnsi="Arial"/>
                <w:sz w:val="14"/>
                <w:szCs w:val="14"/>
                <w:b w:val="1"/>
                <w:bCs w:val="1"/>
                <w:color w:val="auto"/>
              </w:rPr>
              <w:t>Tenant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8"/>
          </w:tcPr>
          <w:p>
            <w:pPr>
              <w:jc w:val="center"/>
              <w:ind w:right="700"/>
              <w:spacing w:after="0"/>
              <w:rPr>
                <w:sz w:val="20"/>
                <w:szCs w:val="20"/>
                <w:color w:val="auto"/>
              </w:rPr>
            </w:pPr>
            <w:r>
              <w:rPr>
                <w:rFonts w:ascii="Arial" w:cs="Arial" w:eastAsia="Arial" w:hAnsi="Arial"/>
                <w:sz w:val="14"/>
                <w:szCs w:val="14"/>
                <w:b w:val="1"/>
                <w:bCs w:val="1"/>
                <w:color w:val="auto"/>
                <w:w w:val="87"/>
              </w:rPr>
              <w:t>Tenant</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8"/>
          </w:tcPr>
          <w:p>
            <w:pPr>
              <w:ind w:left="20"/>
              <w:spacing w:after="0" w:line="149" w:lineRule="exact"/>
              <w:rPr>
                <w:sz w:val="20"/>
                <w:szCs w:val="20"/>
                <w:color w:val="auto"/>
              </w:rPr>
            </w:pPr>
            <w:r>
              <w:rPr>
                <w:rFonts w:ascii="Arial" w:cs="Arial" w:eastAsia="Arial" w:hAnsi="Arial"/>
                <w:sz w:val="14"/>
                <w:szCs w:val="14"/>
                <w:b w:val="1"/>
                <w:bCs w:val="1"/>
                <w:color w:val="auto"/>
              </w:rPr>
              <w:t>Contractual</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5"/>
          </w:tcPr>
          <w:p>
            <w:pPr>
              <w:jc w:val="center"/>
              <w:ind w:right="60"/>
              <w:spacing w:after="0" w:line="149" w:lineRule="exact"/>
              <w:rPr>
                <w:sz w:val="20"/>
                <w:szCs w:val="20"/>
                <w:color w:val="auto"/>
              </w:rPr>
            </w:pPr>
            <w:r>
              <w:rPr>
                <w:rFonts w:ascii="Arial" w:cs="Arial" w:eastAsia="Arial" w:hAnsi="Arial"/>
                <w:sz w:val="14"/>
                <w:szCs w:val="14"/>
                <w:b w:val="1"/>
                <w:bCs w:val="1"/>
                <w:color w:val="auto"/>
                <w:w w:val="83"/>
              </w:rPr>
              <w:t>Average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7"/>
              </w:rPr>
              <w:t>Improvements</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60" w:type="dxa"/>
            <w:vAlign w:val="bottom"/>
            <w:gridSpan w:val="9"/>
          </w:tcPr>
          <w:p>
            <w:pPr>
              <w:jc w:val="center"/>
              <w:ind w:right="580"/>
              <w:spacing w:after="0" w:line="149" w:lineRule="exact"/>
              <w:rPr>
                <w:sz w:val="20"/>
                <w:szCs w:val="20"/>
                <w:color w:val="auto"/>
              </w:rPr>
            </w:pPr>
            <w:r>
              <w:rPr>
                <w:rFonts w:ascii="Arial" w:cs="Arial" w:eastAsia="Arial" w:hAnsi="Arial"/>
                <w:sz w:val="14"/>
                <w:szCs w:val="14"/>
                <w:b w:val="1"/>
                <w:bCs w:val="1"/>
                <w:color w:val="auto"/>
                <w:w w:val="87"/>
              </w:rPr>
              <w:t>Improvements</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6"/>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Number of</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8"/>
          </w:tcPr>
          <w:p>
            <w:pPr>
              <w:ind w:left="120"/>
              <w:spacing w:after="0" w:line="149" w:lineRule="exact"/>
              <w:rPr>
                <w:sz w:val="20"/>
                <w:szCs w:val="20"/>
                <w:color w:val="auto"/>
              </w:rPr>
            </w:pPr>
            <w:r>
              <w:rPr>
                <w:rFonts w:ascii="Arial" w:cs="Arial" w:eastAsia="Arial" w:hAnsi="Arial"/>
                <w:sz w:val="14"/>
                <w:szCs w:val="14"/>
                <w:b w:val="1"/>
                <w:bCs w:val="1"/>
                <w:color w:val="auto"/>
              </w:rPr>
              <w:t>Rent (3)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5"/>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Lease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9"/>
              </w:rPr>
              <w:t>&amp; Incentives</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60" w:type="dxa"/>
            <w:vAlign w:val="bottom"/>
            <w:gridSpan w:val="9"/>
          </w:tcPr>
          <w:p>
            <w:pPr>
              <w:jc w:val="center"/>
              <w:ind w:right="600"/>
              <w:spacing w:after="0" w:line="149" w:lineRule="exact"/>
              <w:rPr>
                <w:sz w:val="20"/>
                <w:szCs w:val="20"/>
                <w:color w:val="auto"/>
              </w:rPr>
            </w:pPr>
            <w:r>
              <w:rPr>
                <w:rFonts w:ascii="Arial" w:cs="Arial" w:eastAsia="Arial" w:hAnsi="Arial"/>
                <w:sz w:val="14"/>
                <w:szCs w:val="14"/>
                <w:b w:val="1"/>
                <w:bCs w:val="1"/>
                <w:color w:val="auto"/>
                <w:w w:val="89"/>
              </w:rPr>
              <w:t>&amp; Incentives</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860" w:type="dxa"/>
            <w:vAlign w:val="bottom"/>
            <w:gridSpan w:val="4"/>
          </w:tcPr>
          <w:p>
            <w:pPr>
              <w:spacing w:after="0"/>
              <w:rPr>
                <w:sz w:val="20"/>
                <w:szCs w:val="20"/>
                <w:color w:val="auto"/>
              </w:rPr>
            </w:pPr>
            <w:r>
              <w:rPr>
                <w:rFonts w:ascii="Arial" w:cs="Arial" w:eastAsia="Arial" w:hAnsi="Arial"/>
                <w:sz w:val="14"/>
                <w:szCs w:val="14"/>
                <w:b w:val="1"/>
                <w:bCs w:val="1"/>
                <w:color w:val="auto"/>
              </w:rPr>
              <w:t>Quarter</w:t>
            </w:r>
          </w:p>
        </w:tc>
        <w:tc>
          <w:tcPr>
            <w:tcW w:w="140" w:type="dxa"/>
            <w:vAlign w:val="bottom"/>
          </w:tcPr>
          <w:p>
            <w:pPr>
              <w:spacing w:after="0"/>
              <w:rPr>
                <w:sz w:val="14"/>
                <w:szCs w:val="14"/>
                <w:color w:val="auto"/>
              </w:rPr>
            </w:pPr>
          </w:p>
        </w:tc>
        <w:tc>
          <w:tcPr>
            <w:tcW w:w="840" w:type="dxa"/>
            <w:vAlign w:val="bottom"/>
            <w:gridSpan w:val="6"/>
          </w:tcPr>
          <w:p>
            <w:pPr>
              <w:jc w:val="center"/>
              <w:ind w:right="20"/>
              <w:spacing w:after="0"/>
              <w:rPr>
                <w:sz w:val="20"/>
                <w:szCs w:val="20"/>
                <w:color w:val="auto"/>
              </w:rPr>
            </w:pPr>
            <w:r>
              <w:rPr>
                <w:rFonts w:ascii="Arial" w:cs="Arial" w:eastAsia="Arial" w:hAnsi="Arial"/>
                <w:sz w:val="14"/>
                <w:szCs w:val="14"/>
                <w:b w:val="1"/>
                <w:bCs w:val="1"/>
                <w:color w:val="auto"/>
                <w:w w:val="83"/>
              </w:rPr>
              <w:t>Leases Signed</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gridSpan w:val="3"/>
          </w:tcPr>
          <w:p>
            <w:pPr>
              <w:jc w:val="right"/>
              <w:spacing w:after="0"/>
              <w:rPr>
                <w:sz w:val="20"/>
                <w:szCs w:val="20"/>
                <w:color w:val="auto"/>
              </w:rPr>
            </w:pPr>
            <w:r>
              <w:rPr>
                <w:rFonts w:ascii="Arial" w:cs="Arial" w:eastAsia="Arial" w:hAnsi="Arial"/>
                <w:sz w:val="14"/>
                <w:szCs w:val="14"/>
                <w:b w:val="1"/>
                <w:bCs w:val="1"/>
                <w:color w:val="auto"/>
                <w:w w:val="77"/>
              </w:rPr>
              <w:t>GLA Signed</w:t>
            </w: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gridSpan w:val="8"/>
          </w:tcPr>
          <w:p>
            <w:pPr>
              <w:jc w:val="right"/>
              <w:ind w:right="180"/>
              <w:spacing w:after="0"/>
              <w:rPr>
                <w:sz w:val="20"/>
                <w:szCs w:val="20"/>
                <w:color w:val="auto"/>
              </w:rPr>
            </w:pPr>
            <w:r>
              <w:rPr>
                <w:rFonts w:ascii="Arial" w:cs="Arial" w:eastAsia="Arial" w:hAnsi="Arial"/>
                <w:sz w:val="14"/>
                <w:szCs w:val="14"/>
                <w:b w:val="1"/>
                <w:bCs w:val="1"/>
                <w:color w:val="auto"/>
                <w:w w:val="92"/>
              </w:rPr>
              <w:t>Per Sq. Ft.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0"/>
              </w:rPr>
              <w:t>Term (5)</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(6)</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gridSpan w:val="9"/>
          </w:tcPr>
          <w:p>
            <w:pPr>
              <w:jc w:val="center"/>
              <w:ind w:right="600"/>
              <w:spacing w:after="0"/>
              <w:rPr>
                <w:sz w:val="20"/>
                <w:szCs w:val="20"/>
                <w:color w:val="auto"/>
              </w:rPr>
            </w:pPr>
            <w:r>
              <w:rPr>
                <w:rFonts w:ascii="Arial" w:cs="Arial" w:eastAsia="Arial" w:hAnsi="Arial"/>
                <w:sz w:val="14"/>
                <w:szCs w:val="14"/>
                <w:b w:val="1"/>
                <w:bCs w:val="1"/>
                <w:color w:val="auto"/>
                <w:w w:val="89"/>
              </w:rPr>
              <w:t>Per Sq. Ft.</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20" w:type="dxa"/>
            <w:vAlign w:val="bottom"/>
            <w:gridSpan w:val="6"/>
            <w:shd w:val="clear" w:color="auto" w:fill="000000"/>
          </w:tcPr>
          <w:p>
            <w:pPr>
              <w:spacing w:after="0" w:line="20" w:lineRule="exact"/>
              <w:rPr>
                <w:sz w:val="1"/>
                <w:szCs w:val="1"/>
                <w:color w:val="auto"/>
              </w:rPr>
            </w:pPr>
          </w:p>
        </w:tc>
        <w:tc>
          <w:tcPr>
            <w:tcW w:w="1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700" w:type="dxa"/>
            <w:vAlign w:val="bottom"/>
            <w:tcBorders>
              <w:right w:val="single" w:sz="8" w:color="auto"/>
            </w:tcBorders>
            <w:gridSpan w:val="5"/>
            <w:shd w:val="clear" w:color="auto" w:fill="000000"/>
          </w:tcPr>
          <w:p>
            <w:pPr>
              <w:spacing w:after="0" w:line="20" w:lineRule="exact"/>
              <w:rPr>
                <w:sz w:val="1"/>
                <w:szCs w:val="1"/>
                <w:color w:val="auto"/>
              </w:rPr>
            </w:pPr>
          </w:p>
        </w:tc>
        <w:tc>
          <w:tcPr>
            <w:tcW w:w="40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3000" w:type="dxa"/>
            <w:vAlign w:val="bottom"/>
            <w:gridSpan w:val="22"/>
            <w:shd w:val="clear" w:color="auto" w:fill="000000"/>
          </w:tcPr>
          <w:p>
            <w:pPr>
              <w:spacing w:after="0" w:line="20" w:lineRule="exact"/>
              <w:rPr>
                <w:sz w:val="1"/>
                <w:szCs w:val="1"/>
                <w:color w:val="auto"/>
              </w:rPr>
            </w:pPr>
          </w:p>
        </w:tc>
        <w:tc>
          <w:tcPr>
            <w:tcW w:w="3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540" w:type="dxa"/>
            <w:vAlign w:val="bottom"/>
            <w:gridSpan w:val="4"/>
            <w:shd w:val="clear" w:color="auto" w:fill="000000"/>
          </w:tcPr>
          <w:p>
            <w:pPr>
              <w:spacing w:after="0" w:line="20" w:lineRule="exact"/>
              <w:rPr>
                <w:sz w:val="1"/>
                <w:szCs w:val="1"/>
                <w:color w:val="auto"/>
              </w:rPr>
            </w:pPr>
          </w:p>
        </w:tc>
        <w:tc>
          <w:tcPr>
            <w:tcW w:w="400" w:type="dxa"/>
            <w:vAlign w:val="bottom"/>
            <w:tcBorders>
              <w:left w:val="single" w:sz="8" w:color="auto"/>
              <w:right w:val="single" w:sz="8" w:color="auto"/>
            </w:tcBorders>
            <w:gridSpan w:val="3"/>
            <w:shd w:val="clear" w:color="auto" w:fill="000000"/>
          </w:tcPr>
          <w:p>
            <w:pPr>
              <w:spacing w:after="0" w:line="20" w:lineRule="exact"/>
              <w:rPr>
                <w:sz w:val="1"/>
                <w:szCs w:val="1"/>
                <w:color w:val="auto"/>
              </w:rPr>
            </w:pPr>
          </w:p>
        </w:tc>
        <w:tc>
          <w:tcPr>
            <w:tcW w:w="3560" w:type="dxa"/>
            <w:vAlign w:val="bottom"/>
            <w:gridSpan w:val="14"/>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8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1st Quarter 2010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tcBorders>
              <w:left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72</w:t>
            </w:r>
          </w:p>
        </w:tc>
        <w:tc>
          <w:tcPr>
            <w:tcW w:w="1040" w:type="dxa"/>
            <w:vAlign w:val="bottom"/>
            <w:gridSpan w:val="5"/>
            <w:shd w:val="clear" w:color="auto" w:fill="CCEEFF"/>
          </w:tcPr>
          <w:p>
            <w:pPr>
              <w:ind w:left="460"/>
              <w:spacing w:after="0"/>
              <w:rPr>
                <w:sz w:val="20"/>
                <w:szCs w:val="20"/>
                <w:color w:val="auto"/>
              </w:rPr>
            </w:pPr>
            <w:r>
              <w:rPr>
                <w:rFonts w:ascii="Arial" w:cs="Arial" w:eastAsia="Arial" w:hAnsi="Arial"/>
                <w:sz w:val="18"/>
                <w:szCs w:val="18"/>
                <w:color w:val="auto"/>
                <w:w w:val="86"/>
              </w:rPr>
              <w:t>317,932</w:t>
            </w:r>
          </w:p>
        </w:tc>
        <w:tc>
          <w:tcPr>
            <w:tcW w:w="2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4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28.62</w:t>
            </w: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tcBorders>
              <w:right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6.5</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78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w w:val="87"/>
              </w:rPr>
              <w:t>6,986,698</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4"/>
              </w:rPr>
              <w:t>21.98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gridSpan w:val="3"/>
          </w:tcPr>
          <w:p>
            <w:pPr>
              <w:spacing w:after="0"/>
              <w:rPr>
                <w:sz w:val="20"/>
                <w:szCs w:val="20"/>
                <w:color w:val="auto"/>
              </w:rPr>
            </w:pPr>
            <w:r>
              <w:rPr>
                <w:rFonts w:ascii="Arial" w:cs="Arial" w:eastAsia="Arial" w:hAnsi="Arial"/>
                <w:sz w:val="18"/>
                <w:szCs w:val="18"/>
                <w:color w:val="auto"/>
              </w:rPr>
              <w:t>4th Quarter 2009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4"/>
          </w:tcPr>
          <w:p>
            <w:pPr>
              <w:jc w:val="right"/>
              <w:ind w:right="20"/>
              <w:spacing w:after="0"/>
              <w:rPr>
                <w:sz w:val="20"/>
                <w:szCs w:val="20"/>
                <w:color w:val="auto"/>
              </w:rPr>
            </w:pPr>
            <w:r>
              <w:rPr>
                <w:rFonts w:ascii="Arial" w:cs="Arial" w:eastAsia="Arial" w:hAnsi="Arial"/>
                <w:sz w:val="18"/>
                <w:szCs w:val="18"/>
                <w:color w:val="auto"/>
              </w:rPr>
              <w:t>89</w:t>
            </w:r>
          </w:p>
        </w:tc>
        <w:tc>
          <w:tcPr>
            <w:tcW w:w="1040" w:type="dxa"/>
            <w:vAlign w:val="bottom"/>
            <w:gridSpan w:val="5"/>
          </w:tcPr>
          <w:p>
            <w:pPr>
              <w:ind w:left="460"/>
              <w:spacing w:after="0"/>
              <w:rPr>
                <w:sz w:val="20"/>
                <w:szCs w:val="20"/>
                <w:color w:val="auto"/>
              </w:rPr>
            </w:pPr>
            <w:r>
              <w:rPr>
                <w:rFonts w:ascii="Arial" w:cs="Arial" w:eastAsia="Arial" w:hAnsi="Arial"/>
                <w:sz w:val="18"/>
                <w:szCs w:val="18"/>
                <w:color w:val="auto"/>
                <w:w w:val="86"/>
              </w:rPr>
              <w:t>396,709</w:t>
            </w:r>
          </w:p>
        </w:tc>
        <w:tc>
          <w:tcPr>
            <w:tcW w:w="280" w:type="dxa"/>
            <w:vAlign w:val="bottom"/>
          </w:tcPr>
          <w:p>
            <w:pPr>
              <w:spacing w:after="0"/>
              <w:rPr>
                <w:sz w:val="18"/>
                <w:szCs w:val="18"/>
                <w:color w:val="auto"/>
              </w:rPr>
            </w:pPr>
          </w:p>
        </w:tc>
        <w:tc>
          <w:tcPr>
            <w:tcW w:w="160" w:type="dxa"/>
            <w:vAlign w:val="bottom"/>
            <w:gridSpan w:val="2"/>
          </w:tcPr>
          <w:p>
            <w:pPr>
              <w:ind w:left="4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480" w:type="dxa"/>
            <w:vAlign w:val="bottom"/>
            <w:gridSpan w:val="5"/>
          </w:tcPr>
          <w:p>
            <w:pPr>
              <w:jc w:val="right"/>
              <w:spacing w:after="0"/>
              <w:rPr>
                <w:sz w:val="20"/>
                <w:szCs w:val="20"/>
                <w:color w:val="auto"/>
              </w:rPr>
            </w:pPr>
            <w:r>
              <w:rPr>
                <w:rFonts w:ascii="Arial" w:cs="Arial" w:eastAsia="Arial" w:hAnsi="Arial"/>
                <w:sz w:val="18"/>
                <w:szCs w:val="18"/>
                <w:color w:val="auto"/>
              </w:rPr>
              <w:t>27.12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gridSpan w:val="4"/>
          </w:tcPr>
          <w:p>
            <w:pPr>
              <w:jc w:val="right"/>
              <w:ind w:right="80"/>
              <w:spacing w:after="0"/>
              <w:rPr>
                <w:sz w:val="20"/>
                <w:szCs w:val="20"/>
                <w:color w:val="auto"/>
              </w:rPr>
            </w:pPr>
            <w:r>
              <w:rPr>
                <w:rFonts w:ascii="Arial" w:cs="Arial" w:eastAsia="Arial" w:hAnsi="Arial"/>
                <w:sz w:val="18"/>
                <w:szCs w:val="18"/>
                <w:color w:val="auto"/>
              </w:rPr>
              <w:t>7.4</w:t>
            </w:r>
          </w:p>
        </w:tc>
        <w:tc>
          <w:tcPr>
            <w:tcW w:w="140" w:type="dxa"/>
            <w:vAlign w:val="bottom"/>
          </w:tcPr>
          <w:p>
            <w:pPr>
              <w:spacing w:after="0"/>
              <w:rPr>
                <w:sz w:val="18"/>
                <w:szCs w:val="18"/>
                <w:color w:val="auto"/>
              </w:rPr>
            </w:pP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780" w:type="dxa"/>
            <w:vAlign w:val="bottom"/>
            <w:gridSpan w:val="3"/>
          </w:tcPr>
          <w:p>
            <w:pPr>
              <w:ind w:left="60"/>
              <w:spacing w:after="0"/>
              <w:rPr>
                <w:sz w:val="20"/>
                <w:szCs w:val="20"/>
                <w:color w:val="auto"/>
              </w:rPr>
            </w:pPr>
            <w:r>
              <w:rPr>
                <w:rFonts w:ascii="Arial" w:cs="Arial" w:eastAsia="Arial" w:hAnsi="Arial"/>
                <w:sz w:val="18"/>
                <w:szCs w:val="18"/>
                <w:color w:val="auto"/>
                <w:w w:val="87"/>
              </w:rPr>
              <w:t>4,900,788</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w w:val="84"/>
              </w:rPr>
              <w:t>12.35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3rd Quarter 2009</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tcBorders>
              <w:left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94</w:t>
            </w:r>
          </w:p>
        </w:tc>
        <w:tc>
          <w:tcPr>
            <w:tcW w:w="1040" w:type="dxa"/>
            <w:vAlign w:val="bottom"/>
            <w:gridSpan w:val="5"/>
            <w:shd w:val="clear" w:color="auto" w:fill="CCEEFF"/>
          </w:tcPr>
          <w:p>
            <w:pPr>
              <w:ind w:left="460"/>
              <w:spacing w:after="0"/>
              <w:rPr>
                <w:sz w:val="20"/>
                <w:szCs w:val="20"/>
                <w:color w:val="auto"/>
              </w:rPr>
            </w:pPr>
            <w:r>
              <w:rPr>
                <w:rFonts w:ascii="Arial" w:cs="Arial" w:eastAsia="Arial" w:hAnsi="Arial"/>
                <w:sz w:val="18"/>
                <w:szCs w:val="18"/>
                <w:color w:val="auto"/>
                <w:w w:val="86"/>
              </w:rPr>
              <w:t>356,624</w:t>
            </w:r>
          </w:p>
        </w:tc>
        <w:tc>
          <w:tcPr>
            <w:tcW w:w="2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4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28.76</w:t>
            </w: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tcBorders>
              <w:right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7.6</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78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w w:val="87"/>
              </w:rPr>
              <w:t>4,703,184</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4"/>
              </w:rPr>
              <w:t>13.19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gridSpan w:val="3"/>
          </w:tcPr>
          <w:p>
            <w:pPr>
              <w:spacing w:after="0"/>
              <w:rPr>
                <w:sz w:val="20"/>
                <w:szCs w:val="20"/>
                <w:color w:val="auto"/>
              </w:rPr>
            </w:pPr>
            <w:r>
              <w:rPr>
                <w:rFonts w:ascii="Arial" w:cs="Arial" w:eastAsia="Arial" w:hAnsi="Arial"/>
                <w:sz w:val="18"/>
                <w:szCs w:val="18"/>
                <w:color w:val="auto"/>
              </w:rPr>
              <w:t>2nd Quarter 2009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8"/>
                <w:szCs w:val="18"/>
                <w:color w:val="auto"/>
              </w:rPr>
            </w:pPr>
          </w:p>
        </w:tc>
        <w:tc>
          <w:tcPr>
            <w:tcW w:w="380" w:type="dxa"/>
            <w:vAlign w:val="bottom"/>
            <w:gridSpan w:val="2"/>
          </w:tcPr>
          <w:p>
            <w:pPr>
              <w:spacing w:after="0"/>
              <w:rPr>
                <w:sz w:val="18"/>
                <w:szCs w:val="18"/>
                <w:color w:val="auto"/>
              </w:rPr>
            </w:pPr>
          </w:p>
        </w:tc>
        <w:tc>
          <w:tcPr>
            <w:tcW w:w="660" w:type="dxa"/>
            <w:vAlign w:val="bottom"/>
            <w:gridSpan w:val="3"/>
          </w:tcPr>
          <w:p>
            <w:pPr>
              <w:ind w:left="80"/>
              <w:spacing w:after="0"/>
              <w:rPr>
                <w:sz w:val="20"/>
                <w:szCs w:val="20"/>
                <w:color w:val="auto"/>
              </w:rPr>
            </w:pPr>
            <w:r>
              <w:rPr>
                <w:rFonts w:ascii="Arial" w:cs="Arial" w:eastAsia="Arial" w:hAnsi="Arial"/>
                <w:sz w:val="18"/>
                <w:szCs w:val="18"/>
                <w:color w:val="auto"/>
                <w:w w:val="86"/>
              </w:rPr>
              <w:t>318,703</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480" w:type="dxa"/>
            <w:vAlign w:val="bottom"/>
            <w:gridSpan w:val="5"/>
          </w:tcPr>
          <w:p>
            <w:pPr>
              <w:jc w:val="right"/>
              <w:spacing w:after="0"/>
              <w:rPr>
                <w:sz w:val="20"/>
                <w:szCs w:val="20"/>
                <w:color w:val="auto"/>
              </w:rPr>
            </w:pPr>
            <w:r>
              <w:rPr>
                <w:rFonts w:ascii="Arial" w:cs="Arial" w:eastAsia="Arial" w:hAnsi="Arial"/>
                <w:sz w:val="18"/>
                <w:szCs w:val="18"/>
                <w:color w:val="auto"/>
              </w:rPr>
              <w:t>27.03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gridSpan w:val="4"/>
          </w:tcPr>
          <w:p>
            <w:pPr>
              <w:jc w:val="right"/>
              <w:ind w:right="80"/>
              <w:spacing w:after="0"/>
              <w:rPr>
                <w:sz w:val="20"/>
                <w:szCs w:val="20"/>
                <w:color w:val="auto"/>
              </w:rPr>
            </w:pPr>
            <w:r>
              <w:rPr>
                <w:rFonts w:ascii="Arial" w:cs="Arial" w:eastAsia="Arial" w:hAnsi="Arial"/>
                <w:sz w:val="18"/>
                <w:szCs w:val="18"/>
                <w:color w:val="auto"/>
              </w:rPr>
              <w:t>5.9</w:t>
            </w:r>
          </w:p>
        </w:tc>
        <w:tc>
          <w:tcPr>
            <w:tcW w:w="140" w:type="dxa"/>
            <w:vAlign w:val="bottom"/>
          </w:tcPr>
          <w:p>
            <w:pPr>
              <w:spacing w:after="0"/>
              <w:rPr>
                <w:sz w:val="18"/>
                <w:szCs w:val="18"/>
                <w:color w:val="auto"/>
              </w:rPr>
            </w:pP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780" w:type="dxa"/>
            <w:vAlign w:val="bottom"/>
            <w:gridSpan w:val="3"/>
          </w:tcPr>
          <w:p>
            <w:pPr>
              <w:ind w:left="60"/>
              <w:spacing w:after="0"/>
              <w:rPr>
                <w:sz w:val="20"/>
                <w:szCs w:val="20"/>
                <w:color w:val="auto"/>
              </w:rPr>
            </w:pPr>
            <w:r>
              <w:rPr>
                <w:rFonts w:ascii="Arial" w:cs="Arial" w:eastAsia="Arial" w:hAnsi="Arial"/>
                <w:sz w:val="18"/>
                <w:szCs w:val="18"/>
                <w:color w:val="auto"/>
                <w:w w:val="87"/>
              </w:rPr>
              <w:t>1,503,836</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4.72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320" w:type="dxa"/>
            <w:vAlign w:val="bottom"/>
            <w:gridSpan w:val="6"/>
          </w:tcPr>
          <w:p>
            <w:pPr>
              <w:spacing w:after="0"/>
              <w:rPr>
                <w:sz w:val="2"/>
                <w:szCs w:val="2"/>
                <w:color w:val="auto"/>
              </w:rPr>
            </w:pPr>
          </w:p>
        </w:tc>
        <w:tc>
          <w:tcPr>
            <w:tcW w:w="180" w:type="dxa"/>
            <w:vAlign w:val="bottom"/>
            <w:tcBorders>
              <w:left w:val="single" w:sz="8" w:color="auto"/>
              <w:right w:val="single" w:sz="8" w:color="auto"/>
            </w:tcBorders>
            <w:shd w:val="clear" w:color="auto" w:fill="000000"/>
          </w:tcPr>
          <w:p>
            <w:pPr>
              <w:spacing w:after="0"/>
              <w:rPr>
                <w:sz w:val="2"/>
                <w:szCs w:val="2"/>
                <w:color w:val="auto"/>
              </w:rPr>
            </w:pPr>
          </w:p>
        </w:tc>
        <w:tc>
          <w:tcPr>
            <w:tcW w:w="700" w:type="dxa"/>
            <w:vAlign w:val="bottom"/>
            <w:tcBorders>
              <w:right w:val="single" w:sz="8" w:color="auto"/>
            </w:tcBorders>
            <w:gridSpan w:val="5"/>
            <w:shd w:val="clear" w:color="auto" w:fill="000000"/>
          </w:tcPr>
          <w:p>
            <w:pPr>
              <w:spacing w:after="0"/>
              <w:rPr>
                <w:sz w:val="2"/>
                <w:szCs w:val="2"/>
                <w:color w:val="auto"/>
              </w:rPr>
            </w:pPr>
          </w:p>
        </w:tc>
        <w:tc>
          <w:tcPr>
            <w:tcW w:w="400" w:type="dxa"/>
            <w:vAlign w:val="bottom"/>
            <w:tcBorders>
              <w:left w:val="single" w:sz="8" w:color="auto"/>
              <w:right w:val="single" w:sz="8" w:color="auto"/>
            </w:tcBorders>
            <w:gridSpan w:val="2"/>
            <w:shd w:val="clear" w:color="auto" w:fill="000000"/>
          </w:tcPr>
          <w:p>
            <w:pPr>
              <w:spacing w:after="0"/>
              <w:rPr>
                <w:sz w:val="2"/>
                <w:szCs w:val="2"/>
                <w:color w:val="auto"/>
              </w:rPr>
            </w:pPr>
          </w:p>
        </w:tc>
        <w:tc>
          <w:tcPr>
            <w:tcW w:w="3000" w:type="dxa"/>
            <w:vAlign w:val="bottom"/>
            <w:gridSpan w:val="22"/>
            <w:shd w:val="clear" w:color="auto" w:fill="000000"/>
          </w:tcPr>
          <w:p>
            <w:pPr>
              <w:spacing w:after="0"/>
              <w:rPr>
                <w:sz w:val="2"/>
                <w:szCs w:val="2"/>
                <w:color w:val="auto"/>
              </w:rPr>
            </w:pPr>
          </w:p>
        </w:tc>
        <w:tc>
          <w:tcPr>
            <w:tcW w:w="320" w:type="dxa"/>
            <w:vAlign w:val="bottom"/>
            <w:tcBorders>
              <w:left w:val="single" w:sz="8" w:color="auto"/>
              <w:right w:val="single" w:sz="8" w:color="auto"/>
            </w:tcBorders>
            <w:shd w:val="clear" w:color="auto" w:fill="000000"/>
          </w:tcPr>
          <w:p>
            <w:pPr>
              <w:spacing w:after="0"/>
              <w:rPr>
                <w:sz w:val="2"/>
                <w:szCs w:val="2"/>
                <w:color w:val="auto"/>
              </w:rPr>
            </w:pPr>
          </w:p>
        </w:tc>
        <w:tc>
          <w:tcPr>
            <w:tcW w:w="540" w:type="dxa"/>
            <w:vAlign w:val="bottom"/>
            <w:gridSpan w:val="4"/>
            <w:shd w:val="clear" w:color="auto" w:fill="000000"/>
          </w:tcPr>
          <w:p>
            <w:pPr>
              <w:spacing w:after="0"/>
              <w:rPr>
                <w:sz w:val="2"/>
                <w:szCs w:val="2"/>
                <w:color w:val="auto"/>
              </w:rPr>
            </w:pPr>
          </w:p>
        </w:tc>
        <w:tc>
          <w:tcPr>
            <w:tcW w:w="400" w:type="dxa"/>
            <w:vAlign w:val="bottom"/>
            <w:tcBorders>
              <w:left w:val="single" w:sz="8" w:color="auto"/>
              <w:right w:val="single" w:sz="8" w:color="auto"/>
            </w:tcBorders>
            <w:gridSpan w:val="3"/>
            <w:shd w:val="clear" w:color="auto" w:fill="000000"/>
          </w:tcPr>
          <w:p>
            <w:pPr>
              <w:spacing w:after="0"/>
              <w:rPr>
                <w:sz w:val="2"/>
                <w:szCs w:val="2"/>
                <w:color w:val="auto"/>
              </w:rPr>
            </w:pPr>
          </w:p>
        </w:tc>
        <w:tc>
          <w:tcPr>
            <w:tcW w:w="3560" w:type="dxa"/>
            <w:vAlign w:val="bottom"/>
            <w:gridSpan w:val="14"/>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- 12 months</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tcBorders>
              <w:lef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20" w:type="dxa"/>
            <w:vAlign w:val="bottom"/>
            <w:shd w:val="clear" w:color="auto" w:fill="CCEEFF"/>
          </w:tcPr>
          <w:p>
            <w:pPr>
              <w:spacing w:after="0"/>
              <w:rPr>
                <w:sz w:val="18"/>
                <w:szCs w:val="18"/>
                <w:color w:val="auto"/>
              </w:rPr>
            </w:pPr>
          </w:p>
        </w:tc>
        <w:tc>
          <w:tcPr>
            <w:tcW w:w="380" w:type="dxa"/>
            <w:vAlign w:val="bottom"/>
            <w:tcBorders>
              <w:right w:val="single" w:sz="8" w:color="CCEEFF"/>
            </w:tcBorders>
            <w:gridSpan w:val="2"/>
            <w:shd w:val="clear" w:color="auto" w:fill="CCEEFF"/>
          </w:tcPr>
          <w:p>
            <w:pPr>
              <w:spacing w:after="0"/>
              <w:rPr>
                <w:sz w:val="18"/>
                <w:szCs w:val="18"/>
                <w:color w:val="auto"/>
              </w:rPr>
            </w:pPr>
          </w:p>
        </w:tc>
        <w:tc>
          <w:tcPr>
            <w:tcW w:w="660" w:type="dxa"/>
            <w:vAlign w:val="bottom"/>
            <w:tcBorders>
              <w:lef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79"/>
              </w:rPr>
              <w:t>1,389,968</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4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27.86</w:t>
            </w: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tcBorders>
              <w:right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6.9</w:t>
            </w:r>
          </w:p>
        </w:tc>
        <w:tc>
          <w:tcPr>
            <w:tcW w:w="14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ind w:left="1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18,094,506</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4"/>
              </w:rPr>
              <w:t>13.02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0" w:type="dxa"/>
            <w:vAlign w:val="bottom"/>
            <w:gridSpan w:val="5"/>
          </w:tcPr>
          <w:p>
            <w:pPr>
              <w:spacing w:after="0" w:line="20" w:lineRule="exact"/>
              <w:rPr>
                <w:sz w:val="1"/>
                <w:szCs w:val="1"/>
                <w:color w:val="auto"/>
              </w:rPr>
            </w:pPr>
          </w:p>
        </w:tc>
        <w:tc>
          <w:tcPr>
            <w:tcW w:w="820" w:type="dxa"/>
            <w:vAlign w:val="bottom"/>
            <w:tcBorders>
              <w:top w:val="single" w:sz="8" w:color="auto"/>
              <w:bottom w:val="single" w:sz="8" w:color="auto"/>
            </w:tcBorders>
            <w:gridSpan w:val="5"/>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60" w:type="dxa"/>
            <w:vAlign w:val="bottom"/>
            <w:tcBorders>
              <w:top w:val="single" w:sz="8" w:color="auto"/>
              <w:bottom w:val="single" w:sz="8" w:color="auto"/>
            </w:tcBorders>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20" w:type="dxa"/>
            <w:vAlign w:val="bottom"/>
            <w:tcBorders>
              <w:top w:val="single" w:sz="8" w:color="auto"/>
              <w:bottom w:val="single" w:sz="8" w:color="auto"/>
            </w:tcBorders>
            <w:gridSpan w:val="7"/>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560" w:type="dxa"/>
            <w:vAlign w:val="bottom"/>
            <w:tcBorders>
              <w:top w:val="single" w:sz="8" w:color="auto"/>
              <w:bottom w:val="single" w:sz="8" w:color="auto"/>
            </w:tcBorders>
            <w:gridSpan w:val="4"/>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900" w:type="dxa"/>
            <w:vAlign w:val="bottom"/>
            <w:tcBorders>
              <w:top w:val="single" w:sz="8" w:color="auto"/>
              <w:bottom w:val="single" w:sz="8" w:color="auto"/>
            </w:tcBorders>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60" w:type="dxa"/>
            <w:vAlign w:val="bottom"/>
            <w:tcBorders>
              <w:top w:val="single" w:sz="8" w:color="auto"/>
              <w:bottom w:val="single" w:sz="8" w:color="auto"/>
            </w:tcBorders>
            <w:gridSpan w:val="6"/>
          </w:tcPr>
          <w:p>
            <w:pPr>
              <w:spacing w:after="0" w:line="20" w:lineRule="exact"/>
              <w:rPr>
                <w:sz w:val="1"/>
                <w:szCs w:val="1"/>
                <w:color w:val="auto"/>
              </w:rPr>
            </w:pPr>
          </w:p>
        </w:tc>
        <w:tc>
          <w:tcPr>
            <w:tcW w:w="322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1140" w:type="dxa"/>
            <w:vAlign w:val="bottom"/>
            <w:tcBorders>
              <w:bottom w:val="single" w:sz="8" w:color="auto"/>
            </w:tcBorders>
            <w:gridSpan w:val="2"/>
          </w:tcPr>
          <w:p>
            <w:pPr>
              <w:spacing w:after="0"/>
              <w:rPr>
                <w:sz w:val="7"/>
                <w:szCs w:val="7"/>
                <w:color w:val="auto"/>
              </w:rPr>
            </w:pPr>
          </w:p>
        </w:tc>
        <w:tc>
          <w:tcPr>
            <w:tcW w:w="10280" w:type="dxa"/>
            <w:vAlign w:val="bottom"/>
            <w:gridSpan w:val="56"/>
          </w:tcPr>
          <w:p>
            <w:pPr>
              <w:spacing w:after="0"/>
              <w:rPr>
                <w:sz w:val="7"/>
                <w:szCs w:val="7"/>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15"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Leases on this report represent retail activity only; office and residential leases are not included.</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Comparable leases represent those leases signed on spaces for which there was a former tenant.</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Contractual rent represents contractual minimum rent under the new lease for the first 12 months of the term.</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Prior rent represents minimum rent and percentage rent, if any, paid by the prior tenant in the final 12 months of the term.</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Weighted average is determined on the basis of square footage.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See Glossary of Terms.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Renewal leases represent expiring leases rolling over with the same tenant in the same location. All other leases are categorized as new.</w:t>
      </w:r>
    </w:p>
    <w:p>
      <w:pPr>
        <w:sectPr>
          <w:pgSz w:w="11900" w:h="16838" w:orient="portrait"/>
          <w:cols w:equalWidth="0" w:num="1">
            <w:col w:w="11420"/>
          </w:cols>
          <w:pgMar w:left="240" w:top="274" w:right="239"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274" w:right="2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Expirations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Assumes no exercise of lease options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Anchor Tenants (1)</w:t>
            </w: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94"/>
              </w:rPr>
              <w:t>Small Shop Tenants</w:t>
            </w: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gridSpan w:val="2"/>
          </w:tcPr>
          <w:p>
            <w:pPr>
              <w:jc w:val="center"/>
              <w:ind w:right="480"/>
              <w:spacing w:after="0" w:line="129" w:lineRule="exact"/>
              <w:rPr>
                <w:sz w:val="20"/>
                <w:szCs w:val="20"/>
                <w:color w:val="auto"/>
              </w:rPr>
            </w:pPr>
            <w:r>
              <w:rPr>
                <w:rFonts w:ascii="Arial" w:cs="Arial" w:eastAsia="Arial" w:hAnsi="Arial"/>
                <w:sz w:val="14"/>
                <w:szCs w:val="14"/>
                <w:b w:val="1"/>
                <w:bCs w:val="1"/>
                <w:color w:val="auto"/>
                <w:w w:val="94"/>
              </w:rPr>
              <w:t>% of</w:t>
            </w:r>
          </w:p>
        </w:tc>
        <w:tc>
          <w:tcPr>
            <w:tcW w:w="40" w:type="dxa"/>
            <w:vAlign w:val="bottom"/>
          </w:tcPr>
          <w:p>
            <w:pPr>
              <w:spacing w:after="0"/>
              <w:rPr>
                <w:sz w:val="11"/>
                <w:szCs w:val="11"/>
                <w:color w:val="auto"/>
              </w:rPr>
            </w:pPr>
          </w:p>
        </w:tc>
        <w:tc>
          <w:tcPr>
            <w:tcW w:w="9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91"/>
              </w:rPr>
              <w:t>Minimum Rent</w:t>
            </w: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2"/>
          </w:tcPr>
          <w:p>
            <w:pPr>
              <w:jc w:val="center"/>
              <w:ind w:right="460"/>
              <w:spacing w:after="0" w:line="129" w:lineRule="exact"/>
              <w:rPr>
                <w:sz w:val="20"/>
                <w:szCs w:val="20"/>
                <w:color w:val="auto"/>
              </w:rPr>
            </w:pPr>
            <w:r>
              <w:rPr>
                <w:rFonts w:ascii="Arial" w:cs="Arial" w:eastAsia="Arial" w:hAnsi="Arial"/>
                <w:sz w:val="14"/>
                <w:szCs w:val="14"/>
                <w:b w:val="1"/>
                <w:bCs w:val="1"/>
                <w:color w:val="auto"/>
                <w:w w:val="90"/>
              </w:rPr>
              <w:t>% of Small</w:t>
            </w:r>
          </w:p>
        </w:tc>
        <w:tc>
          <w:tcPr>
            <w:tcW w:w="40" w:type="dxa"/>
            <w:vAlign w:val="bottom"/>
          </w:tcPr>
          <w:p>
            <w:pPr>
              <w:spacing w:after="0"/>
              <w:rPr>
                <w:sz w:val="11"/>
                <w:szCs w:val="11"/>
                <w:color w:val="auto"/>
              </w:rPr>
            </w:pPr>
          </w:p>
        </w:tc>
        <w:tc>
          <w:tcPr>
            <w:tcW w:w="9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91"/>
              </w:rPr>
              <w:t>Minimum Rent</w:t>
            </w: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gridSpan w:val="2"/>
          </w:tcPr>
          <w:p>
            <w:pPr>
              <w:jc w:val="right"/>
              <w:ind w:right="460"/>
              <w:spacing w:after="0" w:line="129"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1"/>
                <w:szCs w:val="11"/>
                <w:color w:val="auto"/>
              </w:rPr>
            </w:pPr>
          </w:p>
        </w:tc>
        <w:tc>
          <w:tcPr>
            <w:tcW w:w="9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91"/>
              </w:rPr>
              <w:t>Minimum Rent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440" w:type="dxa"/>
            <w:vAlign w:val="bottom"/>
            <w:gridSpan w:val="4"/>
          </w:tcPr>
          <w:p>
            <w:pPr>
              <w:spacing w:after="0"/>
              <w:rPr>
                <w:sz w:val="20"/>
                <w:szCs w:val="20"/>
                <w:color w:val="auto"/>
              </w:rPr>
            </w:pPr>
            <w:r>
              <w:rPr>
                <w:rFonts w:ascii="Arial" w:cs="Arial" w:eastAsia="Arial" w:hAnsi="Arial"/>
                <w:sz w:val="14"/>
                <w:szCs w:val="14"/>
                <w:b w:val="1"/>
                <w:bCs w:val="1"/>
                <w:color w:val="auto"/>
              </w:rPr>
              <w:t>Year</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87"/>
              </w:rPr>
              <w:t>Expiring SF</w:t>
            </w:r>
          </w:p>
        </w:tc>
        <w:tc>
          <w:tcPr>
            <w:tcW w:w="320" w:type="dxa"/>
            <w:vAlign w:val="bottom"/>
          </w:tcPr>
          <w:p>
            <w:pPr>
              <w:spacing w:after="0"/>
              <w:rPr>
                <w:sz w:val="14"/>
                <w:szCs w:val="14"/>
                <w:color w:val="auto"/>
              </w:rPr>
            </w:pPr>
          </w:p>
        </w:tc>
        <w:tc>
          <w:tcPr>
            <w:tcW w:w="11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7"/>
              </w:rPr>
              <w:t>Anchor SF</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PSF (2)</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7"/>
              </w:rPr>
              <w:t>Expiring SF</w:t>
            </w:r>
          </w:p>
        </w:tc>
        <w:tc>
          <w:tcPr>
            <w:tcW w:w="180" w:type="dxa"/>
            <w:vAlign w:val="bottom"/>
          </w:tcPr>
          <w:p>
            <w:pPr>
              <w:spacing w:after="0"/>
              <w:rPr>
                <w:sz w:val="14"/>
                <w:szCs w:val="14"/>
                <w:color w:val="auto"/>
              </w:rPr>
            </w:pPr>
          </w:p>
        </w:tc>
        <w:tc>
          <w:tcPr>
            <w:tcW w:w="11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4"/>
              </w:rPr>
              <w:t>Shop SF</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ind w:right="154"/>
              <w:spacing w:after="0"/>
              <w:rPr>
                <w:sz w:val="20"/>
                <w:szCs w:val="20"/>
                <w:color w:val="auto"/>
              </w:rPr>
            </w:pPr>
            <w:r>
              <w:rPr>
                <w:rFonts w:ascii="Arial" w:cs="Arial" w:eastAsia="Arial" w:hAnsi="Arial"/>
                <w:sz w:val="14"/>
                <w:szCs w:val="14"/>
                <w:b w:val="1"/>
                <w:bCs w:val="1"/>
                <w:color w:val="auto"/>
                <w:w w:val="99"/>
              </w:rPr>
              <w:t>PSF (2)</w:t>
            </w:r>
          </w:p>
        </w:tc>
        <w:tc>
          <w:tcPr>
            <w:tcW w:w="3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w w:val="86"/>
              </w:rPr>
              <w:t>Expiring SF (4)</w:t>
            </w:r>
          </w:p>
        </w:tc>
        <w:tc>
          <w:tcPr>
            <w:tcW w:w="320" w:type="dxa"/>
            <w:vAlign w:val="bottom"/>
          </w:tcPr>
          <w:p>
            <w:pPr>
              <w:spacing w:after="0"/>
              <w:rPr>
                <w:sz w:val="14"/>
                <w:szCs w:val="14"/>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6"/>
              </w:rPr>
              <w:t>Total SF</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PSF (2)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2010</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181,000</w:t>
            </w:r>
          </w:p>
        </w:tc>
        <w:tc>
          <w:tcPr>
            <w:tcW w:w="14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11.49</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483,000</w:t>
            </w:r>
          </w:p>
        </w:tc>
        <w:tc>
          <w:tcPr>
            <w:tcW w:w="13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7%</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28.08</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665,000</w:t>
            </w:r>
          </w:p>
        </w:tc>
        <w:tc>
          <w:tcPr>
            <w:tcW w:w="11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2011</w:t>
            </w: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938,000</w:t>
            </w:r>
          </w:p>
        </w:tc>
        <w:tc>
          <w:tcPr>
            <w:tcW w:w="1440" w:type="dxa"/>
            <w:vAlign w:val="bottom"/>
            <w:gridSpan w:val="3"/>
          </w:tcPr>
          <w:p>
            <w:pPr>
              <w:jc w:val="right"/>
              <w:ind w:right="340"/>
              <w:spacing w:after="0"/>
              <w:rPr>
                <w:sz w:val="20"/>
                <w:szCs w:val="20"/>
                <w:color w:val="auto"/>
              </w:rPr>
            </w:pPr>
            <w:r>
              <w:rPr>
                <w:rFonts w:ascii="Arial" w:cs="Arial" w:eastAsia="Arial" w:hAnsi="Arial"/>
                <w:sz w:val="18"/>
                <w:szCs w:val="18"/>
                <w:color w:val="auto"/>
              </w:rPr>
              <w:t>10%</w:t>
            </w:r>
          </w:p>
        </w:tc>
        <w:tc>
          <w:tcPr>
            <w:tcW w:w="2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14.30</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w w:val="84"/>
              </w:rPr>
              <w:t>1,144,000</w:t>
            </w:r>
          </w:p>
        </w:tc>
        <w:tc>
          <w:tcPr>
            <w:tcW w:w="1320" w:type="dxa"/>
            <w:vAlign w:val="bottom"/>
            <w:gridSpan w:val="3"/>
          </w:tcPr>
          <w:p>
            <w:pPr>
              <w:jc w:val="right"/>
              <w:ind w:right="340"/>
              <w:spacing w:after="0"/>
              <w:rPr>
                <w:sz w:val="20"/>
                <w:szCs w:val="20"/>
                <w:color w:val="auto"/>
              </w:rPr>
            </w:pPr>
            <w:r>
              <w:rPr>
                <w:rFonts w:ascii="Arial" w:cs="Arial" w:eastAsia="Arial" w:hAnsi="Arial"/>
                <w:sz w:val="18"/>
                <w:szCs w:val="18"/>
                <w:color w:val="auto"/>
              </w:rPr>
              <w:t>16%</w:t>
            </w:r>
          </w:p>
        </w:tc>
        <w:tc>
          <w:tcPr>
            <w:tcW w:w="2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29.37</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2,082,000</w:t>
            </w:r>
          </w:p>
        </w:tc>
        <w:tc>
          <w:tcPr>
            <w:tcW w:w="1180" w:type="dxa"/>
            <w:vAlign w:val="bottom"/>
            <w:gridSpan w:val="3"/>
          </w:tcPr>
          <w:p>
            <w:pPr>
              <w:jc w:val="right"/>
              <w:ind w:right="200"/>
              <w:spacing w:after="0"/>
              <w:rPr>
                <w:sz w:val="20"/>
                <w:szCs w:val="20"/>
                <w:color w:val="auto"/>
              </w:rPr>
            </w:pPr>
            <w:r>
              <w:rPr>
                <w:rFonts w:ascii="Arial" w:cs="Arial" w:eastAsia="Arial" w:hAnsi="Arial"/>
                <w:sz w:val="18"/>
                <w:szCs w:val="18"/>
                <w:color w:val="auto"/>
              </w:rPr>
              <w:t>12%</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22.58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2012</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978,000</w:t>
            </w:r>
          </w:p>
        </w:tc>
        <w:tc>
          <w:tcPr>
            <w:tcW w:w="14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10%</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13.17</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4"/>
              </w:rPr>
              <w:t>1,146,000</w:t>
            </w:r>
          </w:p>
        </w:tc>
        <w:tc>
          <w:tcPr>
            <w:tcW w:w="13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16%</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31.02</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2,124,000</w:t>
            </w:r>
          </w:p>
        </w:tc>
        <w:tc>
          <w:tcPr>
            <w:tcW w:w="11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13%</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2013</w:t>
            </w: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1,040,000</w:t>
            </w:r>
          </w:p>
        </w:tc>
        <w:tc>
          <w:tcPr>
            <w:tcW w:w="1440" w:type="dxa"/>
            <w:vAlign w:val="bottom"/>
            <w:gridSpan w:val="3"/>
          </w:tcPr>
          <w:p>
            <w:pPr>
              <w:jc w:val="right"/>
              <w:ind w:right="340"/>
              <w:spacing w:after="0"/>
              <w:rPr>
                <w:sz w:val="20"/>
                <w:szCs w:val="20"/>
                <w:color w:val="auto"/>
              </w:rPr>
            </w:pPr>
            <w:r>
              <w:rPr>
                <w:rFonts w:ascii="Arial" w:cs="Arial" w:eastAsia="Arial" w:hAnsi="Arial"/>
                <w:sz w:val="18"/>
                <w:szCs w:val="18"/>
                <w:color w:val="auto"/>
              </w:rPr>
              <w:t>11%</w:t>
            </w:r>
          </w:p>
        </w:tc>
        <w:tc>
          <w:tcPr>
            <w:tcW w:w="2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15.30</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w w:val="84"/>
              </w:rPr>
              <w:t>1,008,000</w:t>
            </w:r>
          </w:p>
        </w:tc>
        <w:tc>
          <w:tcPr>
            <w:tcW w:w="1320" w:type="dxa"/>
            <w:vAlign w:val="bottom"/>
            <w:gridSpan w:val="3"/>
          </w:tcPr>
          <w:p>
            <w:pPr>
              <w:jc w:val="right"/>
              <w:ind w:right="340"/>
              <w:spacing w:after="0"/>
              <w:rPr>
                <w:sz w:val="20"/>
                <w:szCs w:val="20"/>
                <w:color w:val="auto"/>
              </w:rPr>
            </w:pPr>
            <w:r>
              <w:rPr>
                <w:rFonts w:ascii="Arial" w:cs="Arial" w:eastAsia="Arial" w:hAnsi="Arial"/>
                <w:sz w:val="18"/>
                <w:szCs w:val="18"/>
                <w:color w:val="auto"/>
              </w:rPr>
              <w:t>13%</w:t>
            </w:r>
          </w:p>
        </w:tc>
        <w:tc>
          <w:tcPr>
            <w:tcW w:w="2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32.33</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2,048,000</w:t>
            </w:r>
          </w:p>
        </w:tc>
        <w:tc>
          <w:tcPr>
            <w:tcW w:w="1180" w:type="dxa"/>
            <w:vAlign w:val="bottom"/>
            <w:gridSpan w:val="3"/>
          </w:tcPr>
          <w:p>
            <w:pPr>
              <w:jc w:val="right"/>
              <w:ind w:right="200"/>
              <w:spacing w:after="0"/>
              <w:rPr>
                <w:sz w:val="20"/>
                <w:szCs w:val="20"/>
                <w:color w:val="auto"/>
              </w:rPr>
            </w:pPr>
            <w:r>
              <w:rPr>
                <w:rFonts w:ascii="Arial" w:cs="Arial" w:eastAsia="Arial" w:hAnsi="Arial"/>
                <w:sz w:val="18"/>
                <w:szCs w:val="18"/>
                <w:color w:val="auto"/>
              </w:rPr>
              <w:t>12%</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23.68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2014</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1,398,000</w:t>
            </w:r>
          </w:p>
        </w:tc>
        <w:tc>
          <w:tcPr>
            <w:tcW w:w="14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15%</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16.08</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877,000</w:t>
            </w:r>
          </w:p>
        </w:tc>
        <w:tc>
          <w:tcPr>
            <w:tcW w:w="13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12%</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2,276,000</w:t>
            </w:r>
          </w:p>
        </w:tc>
        <w:tc>
          <w:tcPr>
            <w:tcW w:w="11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13%</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2015</w:t>
            </w: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778,000</w:t>
            </w:r>
          </w:p>
        </w:tc>
        <w:tc>
          <w:tcPr>
            <w:tcW w:w="1440" w:type="dxa"/>
            <w:vAlign w:val="bottom"/>
            <w:gridSpan w:val="3"/>
          </w:tcPr>
          <w:p>
            <w:pPr>
              <w:jc w:val="right"/>
              <w:ind w:right="340"/>
              <w:spacing w:after="0"/>
              <w:rPr>
                <w:sz w:val="20"/>
                <w:szCs w:val="20"/>
                <w:color w:val="auto"/>
              </w:rPr>
            </w:pPr>
            <w:r>
              <w:rPr>
                <w:rFonts w:ascii="Arial" w:cs="Arial" w:eastAsia="Arial" w:hAnsi="Arial"/>
                <w:sz w:val="18"/>
                <w:szCs w:val="18"/>
                <w:color w:val="auto"/>
              </w:rPr>
              <w:t>8%</w:t>
            </w:r>
          </w:p>
        </w:tc>
        <w:tc>
          <w:tcPr>
            <w:tcW w:w="2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14.21</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766,000</w:t>
            </w:r>
          </w:p>
        </w:tc>
        <w:tc>
          <w:tcPr>
            <w:tcW w:w="1320" w:type="dxa"/>
            <w:vAlign w:val="bottom"/>
            <w:gridSpan w:val="3"/>
          </w:tcPr>
          <w:p>
            <w:pPr>
              <w:jc w:val="right"/>
              <w:ind w:right="340"/>
              <w:spacing w:after="0"/>
              <w:rPr>
                <w:sz w:val="20"/>
                <w:szCs w:val="20"/>
                <w:color w:val="auto"/>
              </w:rPr>
            </w:pPr>
            <w:r>
              <w:rPr>
                <w:rFonts w:ascii="Arial" w:cs="Arial" w:eastAsia="Arial" w:hAnsi="Arial"/>
                <w:sz w:val="18"/>
                <w:szCs w:val="18"/>
                <w:color w:val="auto"/>
              </w:rPr>
              <w:t>10%</w:t>
            </w:r>
          </w:p>
        </w:tc>
        <w:tc>
          <w:tcPr>
            <w:tcW w:w="2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29.43</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1,544,000</w:t>
            </w:r>
          </w:p>
        </w:tc>
        <w:tc>
          <w:tcPr>
            <w:tcW w:w="1180" w:type="dxa"/>
            <w:vAlign w:val="bottom"/>
            <w:gridSpan w:val="3"/>
          </w:tcPr>
          <w:p>
            <w:pPr>
              <w:jc w:val="right"/>
              <w:ind w:right="200"/>
              <w:spacing w:after="0"/>
              <w:rPr>
                <w:sz w:val="20"/>
                <w:szCs w:val="20"/>
                <w:color w:val="auto"/>
              </w:rPr>
            </w:pPr>
            <w:r>
              <w:rPr>
                <w:rFonts w:ascii="Arial" w:cs="Arial" w:eastAsia="Arial" w:hAnsi="Arial"/>
                <w:sz w:val="18"/>
                <w:szCs w:val="18"/>
                <w:color w:val="auto"/>
              </w:rPr>
              <w:t>9%</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21.76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2016</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508,000</w:t>
            </w:r>
          </w:p>
        </w:tc>
        <w:tc>
          <w:tcPr>
            <w:tcW w:w="14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17.52</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536,000</w:t>
            </w:r>
          </w:p>
        </w:tc>
        <w:tc>
          <w:tcPr>
            <w:tcW w:w="13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7%</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30.49</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1,044,000</w:t>
            </w:r>
          </w:p>
        </w:tc>
        <w:tc>
          <w:tcPr>
            <w:tcW w:w="11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2017</w:t>
            </w: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620,000</w:t>
            </w:r>
          </w:p>
        </w:tc>
        <w:tc>
          <w:tcPr>
            <w:tcW w:w="1440" w:type="dxa"/>
            <w:vAlign w:val="bottom"/>
            <w:gridSpan w:val="3"/>
          </w:tcPr>
          <w:p>
            <w:pPr>
              <w:jc w:val="right"/>
              <w:ind w:right="340"/>
              <w:spacing w:after="0"/>
              <w:rPr>
                <w:sz w:val="20"/>
                <w:szCs w:val="20"/>
                <w:color w:val="auto"/>
              </w:rPr>
            </w:pPr>
            <w:r>
              <w:rPr>
                <w:rFonts w:ascii="Arial" w:cs="Arial" w:eastAsia="Arial" w:hAnsi="Arial"/>
                <w:sz w:val="18"/>
                <w:szCs w:val="18"/>
                <w:color w:val="auto"/>
              </w:rPr>
              <w:t>6%</w:t>
            </w:r>
          </w:p>
        </w:tc>
        <w:tc>
          <w:tcPr>
            <w:tcW w:w="2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17.25</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429,000</w:t>
            </w:r>
          </w:p>
        </w:tc>
        <w:tc>
          <w:tcPr>
            <w:tcW w:w="1320" w:type="dxa"/>
            <w:vAlign w:val="bottom"/>
            <w:gridSpan w:val="3"/>
          </w:tcPr>
          <w:p>
            <w:pPr>
              <w:jc w:val="right"/>
              <w:ind w:right="340"/>
              <w:spacing w:after="0"/>
              <w:rPr>
                <w:sz w:val="20"/>
                <w:szCs w:val="20"/>
                <w:color w:val="auto"/>
              </w:rPr>
            </w:pPr>
            <w:r>
              <w:rPr>
                <w:rFonts w:ascii="Arial" w:cs="Arial" w:eastAsia="Arial" w:hAnsi="Arial"/>
                <w:sz w:val="18"/>
                <w:szCs w:val="18"/>
                <w:color w:val="auto"/>
              </w:rPr>
              <w:t>6%</w:t>
            </w:r>
          </w:p>
        </w:tc>
        <w:tc>
          <w:tcPr>
            <w:tcW w:w="2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29.92</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1,048,000</w:t>
            </w:r>
          </w:p>
        </w:tc>
        <w:tc>
          <w:tcPr>
            <w:tcW w:w="1180" w:type="dxa"/>
            <w:vAlign w:val="bottom"/>
            <w:gridSpan w:val="3"/>
          </w:tcPr>
          <w:p>
            <w:pPr>
              <w:jc w:val="right"/>
              <w:ind w:right="200"/>
              <w:spacing w:after="0"/>
              <w:rPr>
                <w:sz w:val="20"/>
                <w:szCs w:val="20"/>
                <w:color w:val="auto"/>
              </w:rPr>
            </w:pPr>
            <w:r>
              <w:rPr>
                <w:rFonts w:ascii="Arial" w:cs="Arial" w:eastAsia="Arial" w:hAnsi="Arial"/>
                <w:sz w:val="18"/>
                <w:szCs w:val="18"/>
                <w:color w:val="auto"/>
              </w:rPr>
              <w:t>6%</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22.45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2018</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672,000</w:t>
            </w:r>
          </w:p>
        </w:tc>
        <w:tc>
          <w:tcPr>
            <w:tcW w:w="14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7%</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11.60</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297,000</w:t>
            </w:r>
          </w:p>
        </w:tc>
        <w:tc>
          <w:tcPr>
            <w:tcW w:w="13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34.58</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969,000</w:t>
            </w:r>
          </w:p>
        </w:tc>
        <w:tc>
          <w:tcPr>
            <w:tcW w:w="11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2019</w:t>
            </w: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487,000</w:t>
            </w:r>
          </w:p>
        </w:tc>
        <w:tc>
          <w:tcPr>
            <w:tcW w:w="1440" w:type="dxa"/>
            <w:vAlign w:val="bottom"/>
            <w:gridSpan w:val="3"/>
          </w:tcPr>
          <w:p>
            <w:pPr>
              <w:jc w:val="right"/>
              <w:ind w:right="340"/>
              <w:spacing w:after="0"/>
              <w:rPr>
                <w:sz w:val="20"/>
                <w:szCs w:val="20"/>
                <w:color w:val="auto"/>
              </w:rPr>
            </w:pPr>
            <w:r>
              <w:rPr>
                <w:rFonts w:ascii="Arial" w:cs="Arial" w:eastAsia="Arial" w:hAnsi="Arial"/>
                <w:sz w:val="18"/>
                <w:szCs w:val="18"/>
                <w:color w:val="auto"/>
              </w:rPr>
              <w:t>5%</w:t>
            </w:r>
          </w:p>
        </w:tc>
        <w:tc>
          <w:tcPr>
            <w:tcW w:w="2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17.27</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202,000</w:t>
            </w:r>
          </w:p>
        </w:tc>
        <w:tc>
          <w:tcPr>
            <w:tcW w:w="1320" w:type="dxa"/>
            <w:vAlign w:val="bottom"/>
            <w:gridSpan w:val="3"/>
          </w:tcPr>
          <w:p>
            <w:pPr>
              <w:jc w:val="right"/>
              <w:ind w:right="340"/>
              <w:spacing w:after="0"/>
              <w:rPr>
                <w:sz w:val="20"/>
                <w:szCs w:val="20"/>
                <w:color w:val="auto"/>
              </w:rPr>
            </w:pPr>
            <w:r>
              <w:rPr>
                <w:rFonts w:ascii="Arial" w:cs="Arial" w:eastAsia="Arial" w:hAnsi="Arial"/>
                <w:sz w:val="18"/>
                <w:szCs w:val="18"/>
                <w:color w:val="auto"/>
              </w:rPr>
              <w:t>3%</w:t>
            </w:r>
          </w:p>
        </w:tc>
        <w:tc>
          <w:tcPr>
            <w:tcW w:w="2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41.62</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690,000</w:t>
            </w:r>
          </w:p>
        </w:tc>
        <w:tc>
          <w:tcPr>
            <w:tcW w:w="1180" w:type="dxa"/>
            <w:vAlign w:val="bottom"/>
            <w:gridSpan w:val="3"/>
          </w:tcPr>
          <w:p>
            <w:pPr>
              <w:jc w:val="right"/>
              <w:ind w:right="200"/>
              <w:spacing w:after="0"/>
              <w:rPr>
                <w:sz w:val="20"/>
                <w:szCs w:val="20"/>
                <w:color w:val="auto"/>
              </w:rPr>
            </w:pPr>
            <w:r>
              <w:rPr>
                <w:rFonts w:ascii="Arial" w:cs="Arial" w:eastAsia="Arial" w:hAnsi="Arial"/>
                <w:sz w:val="18"/>
                <w:szCs w:val="18"/>
                <w:color w:val="auto"/>
              </w:rPr>
              <w:t>4%</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24.38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Thereafter</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2,010,000</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17.11</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461,000</w:t>
            </w:r>
          </w:p>
        </w:tc>
        <w:tc>
          <w:tcPr>
            <w:tcW w:w="13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2,469,000</w:t>
            </w:r>
          </w:p>
        </w:tc>
        <w:tc>
          <w:tcPr>
            <w:tcW w:w="11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15%</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40" w:type="dxa"/>
            <w:vAlign w:val="bottom"/>
            <w:gridSpan w:val="4"/>
            <w:vMerge w:val="restart"/>
          </w:tcPr>
          <w:p>
            <w:pPr>
              <w:spacing w:after="0"/>
              <w:rPr>
                <w:sz w:val="20"/>
                <w:szCs w:val="20"/>
                <w:color w:val="auto"/>
              </w:rPr>
            </w:pPr>
            <w:r>
              <w:rPr>
                <w:rFonts w:ascii="Arial" w:cs="Arial" w:eastAsia="Arial" w:hAnsi="Arial"/>
                <w:sz w:val="18"/>
                <w:szCs w:val="18"/>
                <w:color w:val="auto"/>
              </w:rPr>
              <w:t>Total (3)</w:t>
            </w: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440" w:type="dxa"/>
            <w:vAlign w:val="bottom"/>
            <w:gridSpan w:val="4"/>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9,610,000</w:t>
            </w:r>
          </w:p>
        </w:tc>
        <w:tc>
          <w:tcPr>
            <w:tcW w:w="320" w:type="dxa"/>
            <w:vAlign w:val="bottom"/>
          </w:tcPr>
          <w:p>
            <w:pPr>
              <w:spacing w:after="0"/>
              <w:rPr>
                <w:sz w:val="19"/>
                <w:szCs w:val="19"/>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100%</w:t>
            </w:r>
          </w:p>
        </w:tc>
        <w:tc>
          <w:tcPr>
            <w:tcW w:w="2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15.40</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w w:val="84"/>
              </w:rPr>
              <w:t>7,349,000</w:t>
            </w:r>
          </w:p>
        </w:tc>
        <w:tc>
          <w:tcPr>
            <w:tcW w:w="1320" w:type="dxa"/>
            <w:vAlign w:val="bottom"/>
            <w:gridSpan w:val="3"/>
          </w:tcPr>
          <w:p>
            <w:pPr>
              <w:jc w:val="right"/>
              <w:ind w:right="340"/>
              <w:spacing w:after="0"/>
              <w:rPr>
                <w:sz w:val="20"/>
                <w:szCs w:val="20"/>
                <w:color w:val="auto"/>
              </w:rPr>
            </w:pPr>
            <w:r>
              <w:rPr>
                <w:rFonts w:ascii="Arial" w:cs="Arial" w:eastAsia="Arial" w:hAnsi="Arial"/>
                <w:sz w:val="18"/>
                <w:szCs w:val="18"/>
                <w:color w:val="auto"/>
              </w:rPr>
              <w:t>100%</w:t>
            </w:r>
          </w:p>
        </w:tc>
        <w:tc>
          <w:tcPr>
            <w:tcW w:w="2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31.50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16,959,000</w:t>
            </w:r>
          </w:p>
        </w:tc>
        <w:tc>
          <w:tcPr>
            <w:tcW w:w="1180" w:type="dxa"/>
            <w:vAlign w:val="bottom"/>
            <w:gridSpan w:val="3"/>
          </w:tcPr>
          <w:p>
            <w:pPr>
              <w:jc w:val="right"/>
              <w:ind w:right="200"/>
              <w:spacing w:after="0"/>
              <w:rPr>
                <w:sz w:val="20"/>
                <w:szCs w:val="20"/>
                <w:color w:val="auto"/>
              </w:rPr>
            </w:pPr>
            <w:r>
              <w:rPr>
                <w:rFonts w:ascii="Arial" w:cs="Arial" w:eastAsia="Arial" w:hAnsi="Arial"/>
                <w:sz w:val="18"/>
                <w:szCs w:val="18"/>
                <w:color w:val="auto"/>
              </w:rPr>
              <w:t>100%</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22.38</w:t>
            </w:r>
          </w:p>
        </w:tc>
        <w:tc>
          <w:tcPr>
            <w:tcW w:w="0" w:type="dxa"/>
            <w:vAlign w:val="bottom"/>
          </w:tcPr>
          <w:p>
            <w:pPr>
              <w:spacing w:after="0"/>
              <w:rPr>
                <w:sz w:val="1"/>
                <w:szCs w:val="1"/>
                <w:color w:val="auto"/>
              </w:rPr>
            </w:pPr>
          </w:p>
        </w:tc>
      </w:tr>
      <w:tr>
        <w:trPr>
          <w:trHeight w:val="20"/>
        </w:trPr>
        <w:tc>
          <w:tcPr>
            <w:tcW w:w="11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3580" w:type="dxa"/>
            <w:vAlign w:val="bottom"/>
            <w:gridSpan w:val="8"/>
          </w:tcPr>
          <w:p>
            <w:pPr>
              <w:spacing w:after="0"/>
              <w:rPr>
                <w:sz w:val="20"/>
                <w:szCs w:val="20"/>
                <w:color w:val="auto"/>
              </w:rPr>
            </w:pPr>
            <w:r>
              <w:rPr>
                <w:rFonts w:ascii="Arial" w:cs="Arial" w:eastAsia="Arial" w:hAnsi="Arial"/>
                <w:sz w:val="18"/>
                <w:szCs w:val="18"/>
                <w:b w:val="1"/>
                <w:bCs w:val="1"/>
                <w:color w:val="auto"/>
              </w:rPr>
              <w:t>Assumes all lease options are exercised</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Anchor Tenants (1)</w:t>
            </w: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94"/>
              </w:rPr>
              <w:t>Small Shop Tenants</w:t>
            </w: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gridSpan w:val="2"/>
          </w:tcPr>
          <w:p>
            <w:pPr>
              <w:jc w:val="center"/>
              <w:ind w:right="480"/>
              <w:spacing w:after="0" w:line="129" w:lineRule="exact"/>
              <w:rPr>
                <w:sz w:val="20"/>
                <w:szCs w:val="20"/>
                <w:color w:val="auto"/>
              </w:rPr>
            </w:pPr>
            <w:r>
              <w:rPr>
                <w:rFonts w:ascii="Arial" w:cs="Arial" w:eastAsia="Arial" w:hAnsi="Arial"/>
                <w:sz w:val="14"/>
                <w:szCs w:val="14"/>
                <w:b w:val="1"/>
                <w:bCs w:val="1"/>
                <w:color w:val="auto"/>
                <w:w w:val="94"/>
              </w:rPr>
              <w:t>% of</w:t>
            </w:r>
          </w:p>
        </w:tc>
        <w:tc>
          <w:tcPr>
            <w:tcW w:w="40" w:type="dxa"/>
            <w:vAlign w:val="bottom"/>
          </w:tcPr>
          <w:p>
            <w:pPr>
              <w:spacing w:after="0"/>
              <w:rPr>
                <w:sz w:val="11"/>
                <w:szCs w:val="11"/>
                <w:color w:val="auto"/>
              </w:rPr>
            </w:pPr>
          </w:p>
        </w:tc>
        <w:tc>
          <w:tcPr>
            <w:tcW w:w="9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91"/>
              </w:rPr>
              <w:t>Minimum Rent</w:t>
            </w: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2"/>
          </w:tcPr>
          <w:p>
            <w:pPr>
              <w:jc w:val="center"/>
              <w:ind w:right="460"/>
              <w:spacing w:after="0" w:line="129" w:lineRule="exact"/>
              <w:rPr>
                <w:sz w:val="20"/>
                <w:szCs w:val="20"/>
                <w:color w:val="auto"/>
              </w:rPr>
            </w:pPr>
            <w:r>
              <w:rPr>
                <w:rFonts w:ascii="Arial" w:cs="Arial" w:eastAsia="Arial" w:hAnsi="Arial"/>
                <w:sz w:val="14"/>
                <w:szCs w:val="14"/>
                <w:b w:val="1"/>
                <w:bCs w:val="1"/>
                <w:color w:val="auto"/>
                <w:w w:val="90"/>
              </w:rPr>
              <w:t>% of Small</w:t>
            </w:r>
          </w:p>
        </w:tc>
        <w:tc>
          <w:tcPr>
            <w:tcW w:w="40" w:type="dxa"/>
            <w:vAlign w:val="bottom"/>
          </w:tcPr>
          <w:p>
            <w:pPr>
              <w:spacing w:after="0"/>
              <w:rPr>
                <w:sz w:val="11"/>
                <w:szCs w:val="11"/>
                <w:color w:val="auto"/>
              </w:rPr>
            </w:pPr>
          </w:p>
        </w:tc>
        <w:tc>
          <w:tcPr>
            <w:tcW w:w="9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91"/>
              </w:rPr>
              <w:t>Minimum Rent</w:t>
            </w: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gridSpan w:val="2"/>
          </w:tcPr>
          <w:p>
            <w:pPr>
              <w:jc w:val="right"/>
              <w:ind w:right="460"/>
              <w:spacing w:after="0" w:line="129"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1"/>
                <w:szCs w:val="11"/>
                <w:color w:val="auto"/>
              </w:rPr>
            </w:pPr>
          </w:p>
        </w:tc>
        <w:tc>
          <w:tcPr>
            <w:tcW w:w="9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91"/>
              </w:rPr>
              <w:t>Minimum Rent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440" w:type="dxa"/>
            <w:vAlign w:val="bottom"/>
            <w:gridSpan w:val="4"/>
          </w:tcPr>
          <w:p>
            <w:pPr>
              <w:spacing w:after="0"/>
              <w:rPr>
                <w:sz w:val="20"/>
                <w:szCs w:val="20"/>
                <w:color w:val="auto"/>
              </w:rPr>
            </w:pPr>
            <w:r>
              <w:rPr>
                <w:rFonts w:ascii="Arial" w:cs="Arial" w:eastAsia="Arial" w:hAnsi="Arial"/>
                <w:sz w:val="14"/>
                <w:szCs w:val="14"/>
                <w:b w:val="1"/>
                <w:bCs w:val="1"/>
                <w:color w:val="auto"/>
              </w:rPr>
              <w:t>Year</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87"/>
              </w:rPr>
              <w:t>Expiring SF</w:t>
            </w:r>
          </w:p>
        </w:tc>
        <w:tc>
          <w:tcPr>
            <w:tcW w:w="320" w:type="dxa"/>
            <w:vAlign w:val="bottom"/>
          </w:tcPr>
          <w:p>
            <w:pPr>
              <w:spacing w:after="0"/>
              <w:rPr>
                <w:sz w:val="14"/>
                <w:szCs w:val="14"/>
                <w:color w:val="auto"/>
              </w:rPr>
            </w:pPr>
          </w:p>
        </w:tc>
        <w:tc>
          <w:tcPr>
            <w:tcW w:w="11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7"/>
              </w:rPr>
              <w:t>Anchor SF</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PSF (2)</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7"/>
              </w:rPr>
              <w:t>Expiring SF</w:t>
            </w:r>
          </w:p>
        </w:tc>
        <w:tc>
          <w:tcPr>
            <w:tcW w:w="180" w:type="dxa"/>
            <w:vAlign w:val="bottom"/>
          </w:tcPr>
          <w:p>
            <w:pPr>
              <w:spacing w:after="0"/>
              <w:rPr>
                <w:sz w:val="14"/>
                <w:szCs w:val="14"/>
                <w:color w:val="auto"/>
              </w:rPr>
            </w:pPr>
          </w:p>
        </w:tc>
        <w:tc>
          <w:tcPr>
            <w:tcW w:w="11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4"/>
              </w:rPr>
              <w:t>Shop SF</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ind w:right="154"/>
              <w:spacing w:after="0"/>
              <w:rPr>
                <w:sz w:val="20"/>
                <w:szCs w:val="20"/>
                <w:color w:val="auto"/>
              </w:rPr>
            </w:pPr>
            <w:r>
              <w:rPr>
                <w:rFonts w:ascii="Arial" w:cs="Arial" w:eastAsia="Arial" w:hAnsi="Arial"/>
                <w:sz w:val="14"/>
                <w:szCs w:val="14"/>
                <w:b w:val="1"/>
                <w:bCs w:val="1"/>
                <w:color w:val="auto"/>
                <w:w w:val="99"/>
              </w:rPr>
              <w:t>PSF (2)</w:t>
            </w:r>
          </w:p>
        </w:tc>
        <w:tc>
          <w:tcPr>
            <w:tcW w:w="3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w w:val="86"/>
              </w:rPr>
              <w:t>Expiring SF (4)</w:t>
            </w:r>
          </w:p>
        </w:tc>
        <w:tc>
          <w:tcPr>
            <w:tcW w:w="320" w:type="dxa"/>
            <w:vAlign w:val="bottom"/>
          </w:tcPr>
          <w:p>
            <w:pPr>
              <w:spacing w:after="0"/>
              <w:rPr>
                <w:sz w:val="14"/>
                <w:szCs w:val="14"/>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6"/>
              </w:rPr>
              <w:t>Total SF</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PSF (2)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2010</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107,000</w:t>
            </w:r>
          </w:p>
        </w:tc>
        <w:tc>
          <w:tcPr>
            <w:tcW w:w="14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13.21</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368,000</w:t>
            </w:r>
          </w:p>
        </w:tc>
        <w:tc>
          <w:tcPr>
            <w:tcW w:w="13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27.57</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476,000</w:t>
            </w:r>
          </w:p>
        </w:tc>
        <w:tc>
          <w:tcPr>
            <w:tcW w:w="11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2011</w:t>
            </w: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278,000</w:t>
            </w:r>
          </w:p>
        </w:tc>
        <w:tc>
          <w:tcPr>
            <w:tcW w:w="1440" w:type="dxa"/>
            <w:vAlign w:val="bottom"/>
            <w:gridSpan w:val="3"/>
          </w:tcPr>
          <w:p>
            <w:pPr>
              <w:jc w:val="right"/>
              <w:ind w:right="340"/>
              <w:spacing w:after="0"/>
              <w:rPr>
                <w:sz w:val="20"/>
                <w:szCs w:val="20"/>
                <w:color w:val="auto"/>
              </w:rPr>
            </w:pPr>
            <w:r>
              <w:rPr>
                <w:rFonts w:ascii="Arial" w:cs="Arial" w:eastAsia="Arial" w:hAnsi="Arial"/>
                <w:sz w:val="18"/>
                <w:szCs w:val="18"/>
                <w:color w:val="auto"/>
              </w:rPr>
              <w:t>3%</w:t>
            </w:r>
          </w:p>
        </w:tc>
        <w:tc>
          <w:tcPr>
            <w:tcW w:w="2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12.25</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658,000</w:t>
            </w:r>
          </w:p>
        </w:tc>
        <w:tc>
          <w:tcPr>
            <w:tcW w:w="1320" w:type="dxa"/>
            <w:vAlign w:val="bottom"/>
            <w:gridSpan w:val="3"/>
          </w:tcPr>
          <w:p>
            <w:pPr>
              <w:jc w:val="right"/>
              <w:ind w:right="340"/>
              <w:spacing w:after="0"/>
              <w:rPr>
                <w:sz w:val="20"/>
                <w:szCs w:val="20"/>
                <w:color w:val="auto"/>
              </w:rPr>
            </w:pPr>
            <w:r>
              <w:rPr>
                <w:rFonts w:ascii="Arial" w:cs="Arial" w:eastAsia="Arial" w:hAnsi="Arial"/>
                <w:sz w:val="18"/>
                <w:szCs w:val="18"/>
                <w:color w:val="auto"/>
              </w:rPr>
              <w:t>9%</w:t>
            </w:r>
          </w:p>
        </w:tc>
        <w:tc>
          <w:tcPr>
            <w:tcW w:w="2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28.77</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935,000</w:t>
            </w:r>
          </w:p>
        </w:tc>
        <w:tc>
          <w:tcPr>
            <w:tcW w:w="1180" w:type="dxa"/>
            <w:vAlign w:val="bottom"/>
            <w:gridSpan w:val="3"/>
          </w:tcPr>
          <w:p>
            <w:pPr>
              <w:jc w:val="right"/>
              <w:ind w:right="200"/>
              <w:spacing w:after="0"/>
              <w:rPr>
                <w:sz w:val="20"/>
                <w:szCs w:val="20"/>
                <w:color w:val="auto"/>
              </w:rPr>
            </w:pPr>
            <w:r>
              <w:rPr>
                <w:rFonts w:ascii="Arial" w:cs="Arial" w:eastAsia="Arial" w:hAnsi="Arial"/>
                <w:sz w:val="18"/>
                <w:szCs w:val="18"/>
                <w:color w:val="auto"/>
              </w:rPr>
              <w:t>6%</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23.89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2012</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185,000</w:t>
            </w:r>
          </w:p>
        </w:tc>
        <w:tc>
          <w:tcPr>
            <w:tcW w:w="14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14.24</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651,000</w:t>
            </w:r>
          </w:p>
        </w:tc>
        <w:tc>
          <w:tcPr>
            <w:tcW w:w="13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9%</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837,000</w:t>
            </w:r>
          </w:p>
        </w:tc>
        <w:tc>
          <w:tcPr>
            <w:tcW w:w="11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2013</w:t>
            </w: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156,000</w:t>
            </w:r>
          </w:p>
        </w:tc>
        <w:tc>
          <w:tcPr>
            <w:tcW w:w="1440" w:type="dxa"/>
            <w:vAlign w:val="bottom"/>
            <w:gridSpan w:val="3"/>
          </w:tcPr>
          <w:p>
            <w:pPr>
              <w:jc w:val="right"/>
              <w:ind w:right="340"/>
              <w:spacing w:after="0"/>
              <w:rPr>
                <w:sz w:val="20"/>
                <w:szCs w:val="20"/>
                <w:color w:val="auto"/>
              </w:rPr>
            </w:pPr>
            <w:r>
              <w:rPr>
                <w:rFonts w:ascii="Arial" w:cs="Arial" w:eastAsia="Arial" w:hAnsi="Arial"/>
                <w:sz w:val="18"/>
                <w:szCs w:val="18"/>
                <w:color w:val="auto"/>
              </w:rPr>
              <w:t>2%</w:t>
            </w:r>
          </w:p>
        </w:tc>
        <w:tc>
          <w:tcPr>
            <w:tcW w:w="2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15.34</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526,000</w:t>
            </w:r>
          </w:p>
        </w:tc>
        <w:tc>
          <w:tcPr>
            <w:tcW w:w="1320" w:type="dxa"/>
            <w:vAlign w:val="bottom"/>
            <w:gridSpan w:val="3"/>
          </w:tcPr>
          <w:p>
            <w:pPr>
              <w:jc w:val="right"/>
              <w:ind w:right="340"/>
              <w:spacing w:after="0"/>
              <w:rPr>
                <w:sz w:val="20"/>
                <w:szCs w:val="20"/>
                <w:color w:val="auto"/>
              </w:rPr>
            </w:pPr>
            <w:r>
              <w:rPr>
                <w:rFonts w:ascii="Arial" w:cs="Arial" w:eastAsia="Arial" w:hAnsi="Arial"/>
                <w:sz w:val="18"/>
                <w:szCs w:val="18"/>
                <w:color w:val="auto"/>
              </w:rPr>
              <w:t>7%</w:t>
            </w:r>
          </w:p>
        </w:tc>
        <w:tc>
          <w:tcPr>
            <w:tcW w:w="2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32.89</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682,000</w:t>
            </w:r>
          </w:p>
        </w:tc>
        <w:tc>
          <w:tcPr>
            <w:tcW w:w="1180" w:type="dxa"/>
            <w:vAlign w:val="bottom"/>
            <w:gridSpan w:val="3"/>
          </w:tcPr>
          <w:p>
            <w:pPr>
              <w:jc w:val="right"/>
              <w:ind w:right="200"/>
              <w:spacing w:after="0"/>
              <w:rPr>
                <w:sz w:val="20"/>
                <w:szCs w:val="20"/>
                <w:color w:val="auto"/>
              </w:rPr>
            </w:pPr>
            <w:r>
              <w:rPr>
                <w:rFonts w:ascii="Arial" w:cs="Arial" w:eastAsia="Arial" w:hAnsi="Arial"/>
                <w:sz w:val="18"/>
                <w:szCs w:val="18"/>
                <w:color w:val="auto"/>
              </w:rPr>
              <w:t>4%</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28.88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2014</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225,000</w:t>
            </w:r>
          </w:p>
        </w:tc>
        <w:tc>
          <w:tcPr>
            <w:tcW w:w="14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10.24</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513,000</w:t>
            </w:r>
          </w:p>
        </w:tc>
        <w:tc>
          <w:tcPr>
            <w:tcW w:w="13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7%</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35.98</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739,000</w:t>
            </w:r>
          </w:p>
        </w:tc>
        <w:tc>
          <w:tcPr>
            <w:tcW w:w="11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2015</w:t>
            </w: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134,000</w:t>
            </w:r>
          </w:p>
        </w:tc>
        <w:tc>
          <w:tcPr>
            <w:tcW w:w="1440" w:type="dxa"/>
            <w:vAlign w:val="bottom"/>
            <w:gridSpan w:val="3"/>
          </w:tcPr>
          <w:p>
            <w:pPr>
              <w:jc w:val="right"/>
              <w:ind w:right="340"/>
              <w:spacing w:after="0"/>
              <w:rPr>
                <w:sz w:val="20"/>
                <w:szCs w:val="20"/>
                <w:color w:val="auto"/>
              </w:rPr>
            </w:pPr>
            <w:r>
              <w:rPr>
                <w:rFonts w:ascii="Arial" w:cs="Arial" w:eastAsia="Arial" w:hAnsi="Arial"/>
                <w:sz w:val="18"/>
                <w:szCs w:val="18"/>
                <w:color w:val="auto"/>
              </w:rPr>
              <w:t>1%</w:t>
            </w:r>
          </w:p>
        </w:tc>
        <w:tc>
          <w:tcPr>
            <w:tcW w:w="2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18.90</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465,000</w:t>
            </w:r>
          </w:p>
        </w:tc>
        <w:tc>
          <w:tcPr>
            <w:tcW w:w="1320" w:type="dxa"/>
            <w:vAlign w:val="bottom"/>
            <w:gridSpan w:val="3"/>
          </w:tcPr>
          <w:p>
            <w:pPr>
              <w:jc w:val="right"/>
              <w:ind w:right="340"/>
              <w:spacing w:after="0"/>
              <w:rPr>
                <w:sz w:val="20"/>
                <w:szCs w:val="20"/>
                <w:color w:val="auto"/>
              </w:rPr>
            </w:pPr>
            <w:r>
              <w:rPr>
                <w:rFonts w:ascii="Arial" w:cs="Arial" w:eastAsia="Arial" w:hAnsi="Arial"/>
                <w:sz w:val="18"/>
                <w:szCs w:val="18"/>
                <w:color w:val="auto"/>
              </w:rPr>
              <w:t>6%</w:t>
            </w:r>
          </w:p>
        </w:tc>
        <w:tc>
          <w:tcPr>
            <w:tcW w:w="2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29.73</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599,000</w:t>
            </w:r>
          </w:p>
        </w:tc>
        <w:tc>
          <w:tcPr>
            <w:tcW w:w="1180" w:type="dxa"/>
            <w:vAlign w:val="bottom"/>
            <w:gridSpan w:val="3"/>
          </w:tcPr>
          <w:p>
            <w:pPr>
              <w:jc w:val="right"/>
              <w:ind w:right="200"/>
              <w:spacing w:after="0"/>
              <w:rPr>
                <w:sz w:val="20"/>
                <w:szCs w:val="20"/>
                <w:color w:val="auto"/>
              </w:rPr>
            </w:pPr>
            <w:r>
              <w:rPr>
                <w:rFonts w:ascii="Arial" w:cs="Arial" w:eastAsia="Arial" w:hAnsi="Arial"/>
                <w:sz w:val="18"/>
                <w:szCs w:val="18"/>
                <w:color w:val="auto"/>
              </w:rPr>
              <w:t>4%</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27.31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2016</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205,000</w:t>
            </w:r>
          </w:p>
        </w:tc>
        <w:tc>
          <w:tcPr>
            <w:tcW w:w="14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18.70</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453,000</w:t>
            </w:r>
          </w:p>
        </w:tc>
        <w:tc>
          <w:tcPr>
            <w:tcW w:w="13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29.74</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658,000</w:t>
            </w:r>
          </w:p>
        </w:tc>
        <w:tc>
          <w:tcPr>
            <w:tcW w:w="11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2017</w:t>
            </w: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152,000</w:t>
            </w:r>
          </w:p>
        </w:tc>
        <w:tc>
          <w:tcPr>
            <w:tcW w:w="1440" w:type="dxa"/>
            <w:vAlign w:val="bottom"/>
            <w:gridSpan w:val="3"/>
          </w:tcPr>
          <w:p>
            <w:pPr>
              <w:jc w:val="right"/>
              <w:ind w:right="340"/>
              <w:spacing w:after="0"/>
              <w:rPr>
                <w:sz w:val="20"/>
                <w:szCs w:val="20"/>
                <w:color w:val="auto"/>
              </w:rPr>
            </w:pPr>
            <w:r>
              <w:rPr>
                <w:rFonts w:ascii="Arial" w:cs="Arial" w:eastAsia="Arial" w:hAnsi="Arial"/>
                <w:sz w:val="18"/>
                <w:szCs w:val="18"/>
                <w:color w:val="auto"/>
              </w:rPr>
              <w:t>2%</w:t>
            </w:r>
          </w:p>
        </w:tc>
        <w:tc>
          <w:tcPr>
            <w:tcW w:w="2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24.97</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534,000</w:t>
            </w:r>
          </w:p>
        </w:tc>
        <w:tc>
          <w:tcPr>
            <w:tcW w:w="1320" w:type="dxa"/>
            <w:vAlign w:val="bottom"/>
            <w:gridSpan w:val="3"/>
          </w:tcPr>
          <w:p>
            <w:pPr>
              <w:jc w:val="right"/>
              <w:ind w:right="340"/>
              <w:spacing w:after="0"/>
              <w:rPr>
                <w:sz w:val="20"/>
                <w:szCs w:val="20"/>
                <w:color w:val="auto"/>
              </w:rPr>
            </w:pPr>
            <w:r>
              <w:rPr>
                <w:rFonts w:ascii="Arial" w:cs="Arial" w:eastAsia="Arial" w:hAnsi="Arial"/>
                <w:sz w:val="18"/>
                <w:szCs w:val="18"/>
                <w:color w:val="auto"/>
              </w:rPr>
              <w:t>7%</w:t>
            </w:r>
          </w:p>
        </w:tc>
        <w:tc>
          <w:tcPr>
            <w:tcW w:w="2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31.37</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686,000</w:t>
            </w:r>
          </w:p>
        </w:tc>
        <w:tc>
          <w:tcPr>
            <w:tcW w:w="1180" w:type="dxa"/>
            <w:vAlign w:val="bottom"/>
            <w:gridSpan w:val="3"/>
          </w:tcPr>
          <w:p>
            <w:pPr>
              <w:jc w:val="right"/>
              <w:ind w:right="200"/>
              <w:spacing w:after="0"/>
              <w:rPr>
                <w:sz w:val="20"/>
                <w:szCs w:val="20"/>
                <w:color w:val="auto"/>
              </w:rPr>
            </w:pPr>
            <w:r>
              <w:rPr>
                <w:rFonts w:ascii="Arial" w:cs="Arial" w:eastAsia="Arial" w:hAnsi="Arial"/>
                <w:sz w:val="18"/>
                <w:szCs w:val="18"/>
                <w:color w:val="auto"/>
              </w:rPr>
              <w:t>4%</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29.96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2018</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305,000</w:t>
            </w:r>
          </w:p>
        </w:tc>
        <w:tc>
          <w:tcPr>
            <w:tcW w:w="14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13.91</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426,000</w:t>
            </w:r>
          </w:p>
        </w:tc>
        <w:tc>
          <w:tcPr>
            <w:tcW w:w="13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36.64</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731,000</w:t>
            </w:r>
          </w:p>
        </w:tc>
        <w:tc>
          <w:tcPr>
            <w:tcW w:w="11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2019</w:t>
            </w: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353,000</w:t>
            </w:r>
          </w:p>
        </w:tc>
        <w:tc>
          <w:tcPr>
            <w:tcW w:w="1440" w:type="dxa"/>
            <w:vAlign w:val="bottom"/>
            <w:gridSpan w:val="3"/>
          </w:tcPr>
          <w:p>
            <w:pPr>
              <w:jc w:val="right"/>
              <w:ind w:right="340"/>
              <w:spacing w:after="0"/>
              <w:rPr>
                <w:sz w:val="20"/>
                <w:szCs w:val="20"/>
                <w:color w:val="auto"/>
              </w:rPr>
            </w:pPr>
            <w:r>
              <w:rPr>
                <w:rFonts w:ascii="Arial" w:cs="Arial" w:eastAsia="Arial" w:hAnsi="Arial"/>
                <w:sz w:val="18"/>
                <w:szCs w:val="18"/>
                <w:color w:val="auto"/>
              </w:rPr>
              <w:t>4%</w:t>
            </w:r>
          </w:p>
        </w:tc>
        <w:tc>
          <w:tcPr>
            <w:tcW w:w="2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19.06</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353,000</w:t>
            </w:r>
          </w:p>
        </w:tc>
        <w:tc>
          <w:tcPr>
            <w:tcW w:w="1320" w:type="dxa"/>
            <w:vAlign w:val="bottom"/>
            <w:gridSpan w:val="3"/>
          </w:tcPr>
          <w:p>
            <w:pPr>
              <w:jc w:val="right"/>
              <w:ind w:right="340"/>
              <w:spacing w:after="0"/>
              <w:rPr>
                <w:sz w:val="20"/>
                <w:szCs w:val="20"/>
                <w:color w:val="auto"/>
              </w:rPr>
            </w:pPr>
            <w:r>
              <w:rPr>
                <w:rFonts w:ascii="Arial" w:cs="Arial" w:eastAsia="Arial" w:hAnsi="Arial"/>
                <w:sz w:val="18"/>
                <w:szCs w:val="18"/>
                <w:color w:val="auto"/>
              </w:rPr>
              <w:t>5%</w:t>
            </w:r>
          </w:p>
        </w:tc>
        <w:tc>
          <w:tcPr>
            <w:tcW w:w="2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34.02</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706,000</w:t>
            </w:r>
          </w:p>
        </w:tc>
        <w:tc>
          <w:tcPr>
            <w:tcW w:w="1180" w:type="dxa"/>
            <w:vAlign w:val="bottom"/>
            <w:gridSpan w:val="3"/>
          </w:tcPr>
          <w:p>
            <w:pPr>
              <w:jc w:val="right"/>
              <w:ind w:right="200"/>
              <w:spacing w:after="0"/>
              <w:rPr>
                <w:sz w:val="20"/>
                <w:szCs w:val="20"/>
                <w:color w:val="auto"/>
              </w:rPr>
            </w:pPr>
            <w:r>
              <w:rPr>
                <w:rFonts w:ascii="Arial" w:cs="Arial" w:eastAsia="Arial" w:hAnsi="Arial"/>
                <w:sz w:val="18"/>
                <w:szCs w:val="18"/>
                <w:color w:val="auto"/>
              </w:rPr>
              <w:t>4%</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26.54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Thereafter</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7,510,000</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78%</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15.28</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4"/>
              </w:rPr>
              <w:t>2,402,000</w:t>
            </w:r>
          </w:p>
        </w:tc>
        <w:tc>
          <w:tcPr>
            <w:tcW w:w="13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33%</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30.96</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9,910,000</w:t>
            </w:r>
          </w:p>
        </w:tc>
        <w:tc>
          <w:tcPr>
            <w:tcW w:w="11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58%</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40" w:type="dxa"/>
            <w:vAlign w:val="bottom"/>
            <w:gridSpan w:val="4"/>
            <w:vMerge w:val="restart"/>
          </w:tcPr>
          <w:p>
            <w:pPr>
              <w:spacing w:after="0"/>
              <w:rPr>
                <w:sz w:val="20"/>
                <w:szCs w:val="20"/>
                <w:color w:val="auto"/>
              </w:rPr>
            </w:pPr>
            <w:r>
              <w:rPr>
                <w:rFonts w:ascii="Arial" w:cs="Arial" w:eastAsia="Arial" w:hAnsi="Arial"/>
                <w:sz w:val="18"/>
                <w:szCs w:val="18"/>
                <w:color w:val="auto"/>
              </w:rPr>
              <w:t>Total (3)</w:t>
            </w: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440" w:type="dxa"/>
            <w:vAlign w:val="bottom"/>
            <w:gridSpan w:val="4"/>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9,610,000</w:t>
            </w:r>
          </w:p>
        </w:tc>
        <w:tc>
          <w:tcPr>
            <w:tcW w:w="320" w:type="dxa"/>
            <w:vAlign w:val="bottom"/>
          </w:tcPr>
          <w:p>
            <w:pPr>
              <w:spacing w:after="0"/>
              <w:rPr>
                <w:sz w:val="19"/>
                <w:szCs w:val="19"/>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100%</w:t>
            </w:r>
          </w:p>
        </w:tc>
        <w:tc>
          <w:tcPr>
            <w:tcW w:w="2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15.40</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w w:val="84"/>
              </w:rPr>
              <w:t>7,349,000</w:t>
            </w:r>
          </w:p>
        </w:tc>
        <w:tc>
          <w:tcPr>
            <w:tcW w:w="1320" w:type="dxa"/>
            <w:vAlign w:val="bottom"/>
            <w:gridSpan w:val="3"/>
          </w:tcPr>
          <w:p>
            <w:pPr>
              <w:jc w:val="right"/>
              <w:ind w:right="340"/>
              <w:spacing w:after="0"/>
              <w:rPr>
                <w:sz w:val="20"/>
                <w:szCs w:val="20"/>
                <w:color w:val="auto"/>
              </w:rPr>
            </w:pPr>
            <w:r>
              <w:rPr>
                <w:rFonts w:ascii="Arial" w:cs="Arial" w:eastAsia="Arial" w:hAnsi="Arial"/>
                <w:sz w:val="18"/>
                <w:szCs w:val="18"/>
                <w:color w:val="auto"/>
              </w:rPr>
              <w:t>100%</w:t>
            </w:r>
          </w:p>
        </w:tc>
        <w:tc>
          <w:tcPr>
            <w:tcW w:w="2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31.50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16,959,000</w:t>
            </w:r>
          </w:p>
        </w:tc>
        <w:tc>
          <w:tcPr>
            <w:tcW w:w="1180" w:type="dxa"/>
            <w:vAlign w:val="bottom"/>
            <w:gridSpan w:val="3"/>
          </w:tcPr>
          <w:p>
            <w:pPr>
              <w:jc w:val="right"/>
              <w:ind w:right="200"/>
              <w:spacing w:after="0"/>
              <w:rPr>
                <w:sz w:val="20"/>
                <w:szCs w:val="20"/>
                <w:color w:val="auto"/>
              </w:rPr>
            </w:pPr>
            <w:r>
              <w:rPr>
                <w:rFonts w:ascii="Arial" w:cs="Arial" w:eastAsia="Arial" w:hAnsi="Arial"/>
                <w:sz w:val="18"/>
                <w:szCs w:val="18"/>
                <w:color w:val="auto"/>
              </w:rPr>
              <w:t>100%</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22.38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2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Pr>
          <w:p>
            <w:pPr>
              <w:spacing w:after="0"/>
              <w:rPr>
                <w:sz w:val="7"/>
                <w:szCs w:val="7"/>
                <w:color w:val="auto"/>
              </w:rPr>
            </w:pPr>
          </w:p>
        </w:tc>
        <w:tc>
          <w:tcPr>
            <w:tcW w:w="3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Pr>
          <w:p>
            <w:pPr>
              <w:spacing w:after="0"/>
              <w:rPr>
                <w:sz w:val="7"/>
                <w:szCs w:val="7"/>
                <w:color w:val="auto"/>
              </w:rPr>
            </w:pPr>
          </w:p>
        </w:tc>
        <w:tc>
          <w:tcPr>
            <w:tcW w:w="320" w:type="dxa"/>
            <w:vAlign w:val="bottom"/>
          </w:tcPr>
          <w:p>
            <w:pPr>
              <w:spacing w:after="0"/>
              <w:rPr>
                <w:sz w:val="7"/>
                <w:szCs w:val="7"/>
                <w:color w:val="auto"/>
              </w:rPr>
            </w:pPr>
          </w:p>
        </w:tc>
        <w:tc>
          <w:tcPr>
            <w:tcW w:w="900" w:type="dxa"/>
            <w:vAlign w:val="bottom"/>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15"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Anchor is defined as a tenant leasing 15,000 square feet or more.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Minimum Rent reflects in-place contractual (cash-basis) rent as of March 31, 2010.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occupied square footage as of March 31, 2010.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Individual items may not add up to total due to rounding.</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4"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Leased Statistics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Overall Portfolio Statistics (1)</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Type</w:t>
            </w:r>
          </w:p>
        </w:tc>
        <w:tc>
          <w:tcPr>
            <w:tcW w:w="2000" w:type="dxa"/>
            <w:vAlign w:val="bottom"/>
            <w:tcBorders>
              <w:bottom w:val="single" w:sz="8" w:color="auto"/>
            </w:tcBorders>
            <w:gridSpan w:val="4"/>
          </w:tcPr>
          <w:p>
            <w:pPr>
              <w:ind w:left="740"/>
              <w:spacing w:after="0"/>
              <w:rPr>
                <w:sz w:val="20"/>
                <w:szCs w:val="20"/>
                <w:color w:val="auto"/>
              </w:rPr>
            </w:pPr>
            <w:r>
              <w:rPr>
                <w:rFonts w:ascii="Arial" w:cs="Arial" w:eastAsia="Arial" w:hAnsi="Arial"/>
                <w:sz w:val="14"/>
                <w:szCs w:val="14"/>
                <w:b w:val="1"/>
                <w:bCs w:val="1"/>
                <w:color w:val="auto"/>
              </w:rPr>
              <w:t>At March 31, 2010</w:t>
            </w:r>
          </w:p>
        </w:tc>
        <w:tc>
          <w:tcPr>
            <w:tcW w:w="58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2000" w:type="dxa"/>
            <w:vAlign w:val="bottom"/>
            <w:tcBorders>
              <w:bottom w:val="single" w:sz="8" w:color="auto"/>
            </w:tcBorders>
            <w:gridSpan w:val="4"/>
          </w:tcPr>
          <w:p>
            <w:pPr>
              <w:ind w:left="760"/>
              <w:spacing w:after="0"/>
              <w:rPr>
                <w:sz w:val="20"/>
                <w:szCs w:val="20"/>
                <w:color w:val="auto"/>
              </w:rPr>
            </w:pPr>
            <w:r>
              <w:rPr>
                <w:rFonts w:ascii="Arial" w:cs="Arial" w:eastAsia="Arial" w:hAnsi="Arial"/>
                <w:sz w:val="14"/>
                <w:szCs w:val="14"/>
                <w:b w:val="1"/>
                <w:bCs w:val="1"/>
                <w:color w:val="auto"/>
              </w:rPr>
              <w:t>At March 31, 2009</w:t>
            </w: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60" w:type="dxa"/>
            <w:vAlign w:val="bottom"/>
            <w:gridSpan w:val="4"/>
            <w:vMerge w:val="continue"/>
          </w:tcPr>
          <w:p>
            <w:pPr>
              <w:spacing w:after="0"/>
              <w:rPr>
                <w:sz w:val="12"/>
                <w:szCs w:val="12"/>
                <w:color w:val="auto"/>
              </w:rPr>
            </w:pPr>
          </w:p>
        </w:tc>
        <w:tc>
          <w:tcPr>
            <w:tcW w:w="800" w:type="dxa"/>
            <w:vAlign w:val="bottom"/>
          </w:tcPr>
          <w:p>
            <w:pPr>
              <w:jc w:val="right"/>
              <w:ind w:right="222"/>
              <w:spacing w:after="0" w:line="142" w:lineRule="exact"/>
              <w:rPr>
                <w:sz w:val="20"/>
                <w:szCs w:val="20"/>
                <w:color w:val="auto"/>
              </w:rPr>
            </w:pPr>
            <w:r>
              <w:rPr>
                <w:rFonts w:ascii="Arial" w:cs="Arial" w:eastAsia="Arial" w:hAnsi="Arial"/>
                <w:sz w:val="14"/>
                <w:szCs w:val="14"/>
                <w:b w:val="1"/>
                <w:bCs w:val="1"/>
                <w:color w:val="auto"/>
              </w:rPr>
              <w:t>Size</w:t>
            </w:r>
          </w:p>
        </w:tc>
        <w:tc>
          <w:tcPr>
            <w:tcW w:w="200" w:type="dxa"/>
            <w:vAlign w:val="bottom"/>
          </w:tcPr>
          <w:p>
            <w:pPr>
              <w:spacing w:after="0"/>
              <w:rPr>
                <w:sz w:val="12"/>
                <w:szCs w:val="12"/>
                <w:color w:val="auto"/>
              </w:rPr>
            </w:pPr>
          </w:p>
        </w:tc>
        <w:tc>
          <w:tcPr>
            <w:tcW w:w="1000" w:type="dxa"/>
            <w:vAlign w:val="bottom"/>
            <w:gridSpan w:val="2"/>
          </w:tcPr>
          <w:p>
            <w:pPr>
              <w:ind w:left="180"/>
              <w:spacing w:after="0" w:line="142" w:lineRule="exact"/>
              <w:rPr>
                <w:sz w:val="20"/>
                <w:szCs w:val="20"/>
                <w:color w:val="auto"/>
              </w:rPr>
            </w:pPr>
            <w:r>
              <w:rPr>
                <w:rFonts w:ascii="Arial" w:cs="Arial" w:eastAsia="Arial" w:hAnsi="Arial"/>
                <w:sz w:val="14"/>
                <w:szCs w:val="14"/>
                <w:b w:val="1"/>
                <w:bCs w:val="1"/>
                <w:color w:val="auto"/>
              </w:rPr>
              <w:t>Leased</w:t>
            </w:r>
          </w:p>
        </w:tc>
        <w:tc>
          <w:tcPr>
            <w:tcW w:w="580" w:type="dxa"/>
            <w:vAlign w:val="bottom"/>
          </w:tcPr>
          <w:p>
            <w:pPr>
              <w:spacing w:after="0" w:line="142" w:lineRule="exact"/>
              <w:rPr>
                <w:sz w:val="20"/>
                <w:szCs w:val="20"/>
                <w:color w:val="auto"/>
              </w:rPr>
            </w:pPr>
            <w:r>
              <w:rPr>
                <w:rFonts w:ascii="Arial" w:cs="Arial" w:eastAsia="Arial" w:hAnsi="Arial"/>
                <w:sz w:val="14"/>
                <w:szCs w:val="14"/>
                <w:b w:val="1"/>
                <w:bCs w:val="1"/>
                <w:color w:val="auto"/>
                <w:w w:val="86"/>
              </w:rPr>
              <w:t>Leased %</w:t>
            </w:r>
          </w:p>
        </w:tc>
        <w:tc>
          <w:tcPr>
            <w:tcW w:w="400" w:type="dxa"/>
            <w:vAlign w:val="bottom"/>
          </w:tcPr>
          <w:p>
            <w:pPr>
              <w:spacing w:after="0"/>
              <w:rPr>
                <w:sz w:val="12"/>
                <w:szCs w:val="12"/>
                <w:color w:val="auto"/>
              </w:rPr>
            </w:pPr>
          </w:p>
        </w:tc>
        <w:tc>
          <w:tcPr>
            <w:tcW w:w="800" w:type="dxa"/>
            <w:vAlign w:val="bottom"/>
          </w:tcPr>
          <w:p>
            <w:pPr>
              <w:jc w:val="right"/>
              <w:ind w:right="202"/>
              <w:spacing w:after="0" w:line="142" w:lineRule="exact"/>
              <w:rPr>
                <w:sz w:val="20"/>
                <w:szCs w:val="20"/>
                <w:color w:val="auto"/>
              </w:rPr>
            </w:pPr>
            <w:r>
              <w:rPr>
                <w:rFonts w:ascii="Arial" w:cs="Arial" w:eastAsia="Arial" w:hAnsi="Arial"/>
                <w:sz w:val="14"/>
                <w:szCs w:val="14"/>
                <w:b w:val="1"/>
                <w:bCs w:val="1"/>
                <w:color w:val="auto"/>
              </w:rPr>
              <w:t>Size</w:t>
            </w:r>
          </w:p>
        </w:tc>
        <w:tc>
          <w:tcPr>
            <w:tcW w:w="200" w:type="dxa"/>
            <w:vAlign w:val="bottom"/>
          </w:tcPr>
          <w:p>
            <w:pPr>
              <w:spacing w:after="0"/>
              <w:rPr>
                <w:sz w:val="12"/>
                <w:szCs w:val="12"/>
                <w:color w:val="auto"/>
              </w:rPr>
            </w:pPr>
          </w:p>
        </w:tc>
        <w:tc>
          <w:tcPr>
            <w:tcW w:w="1000" w:type="dxa"/>
            <w:vAlign w:val="bottom"/>
            <w:gridSpan w:val="2"/>
          </w:tcPr>
          <w:p>
            <w:pPr>
              <w:ind w:left="200"/>
              <w:spacing w:after="0" w:line="142" w:lineRule="exact"/>
              <w:rPr>
                <w:sz w:val="20"/>
                <w:szCs w:val="20"/>
                <w:color w:val="auto"/>
              </w:rPr>
            </w:pPr>
            <w:r>
              <w:rPr>
                <w:rFonts w:ascii="Arial" w:cs="Arial" w:eastAsia="Arial" w:hAnsi="Arial"/>
                <w:sz w:val="14"/>
                <w:szCs w:val="14"/>
                <w:b w:val="1"/>
                <w:bCs w:val="1"/>
                <w:color w:val="auto"/>
              </w:rPr>
              <w:t>Leased</w:t>
            </w:r>
          </w:p>
        </w:tc>
        <w:tc>
          <w:tcPr>
            <w:tcW w:w="580" w:type="dxa"/>
            <w:vAlign w:val="bottom"/>
          </w:tcPr>
          <w:p>
            <w:pPr>
              <w:spacing w:after="0" w:line="142" w:lineRule="exact"/>
              <w:rPr>
                <w:sz w:val="20"/>
                <w:szCs w:val="20"/>
                <w:color w:val="auto"/>
              </w:rPr>
            </w:pPr>
            <w:r>
              <w:rPr>
                <w:rFonts w:ascii="Arial" w:cs="Arial" w:eastAsia="Arial" w:hAnsi="Arial"/>
                <w:sz w:val="14"/>
                <w:szCs w:val="14"/>
                <w:b w:val="1"/>
                <w:bCs w:val="1"/>
                <w:color w:val="auto"/>
                <w:w w:val="86"/>
              </w:rPr>
              <w:t>Leased %</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Retail Properties (2) (sf)</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18,155,000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17,092,000</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94.1%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18,142,000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17,098,000</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40" w:type="dxa"/>
            <w:vAlign w:val="bottom"/>
            <w:gridSpan w:val="3"/>
          </w:tcPr>
          <w:p>
            <w:pPr>
              <w:spacing w:after="0"/>
              <w:rPr>
                <w:sz w:val="20"/>
                <w:szCs w:val="20"/>
                <w:color w:val="auto"/>
              </w:rPr>
            </w:pPr>
            <w:r>
              <w:rPr>
                <w:rFonts w:ascii="Arial" w:cs="Arial" w:eastAsia="Arial" w:hAnsi="Arial"/>
                <w:sz w:val="18"/>
                <w:szCs w:val="18"/>
                <w:color w:val="auto"/>
              </w:rPr>
              <w:t>Residential Properties (3) (units)</w:t>
            </w:r>
          </w:p>
        </w:tc>
        <w:tc>
          <w:tcPr>
            <w:tcW w:w="800" w:type="dxa"/>
            <w:vAlign w:val="bottom"/>
          </w:tcPr>
          <w:p>
            <w:pPr>
              <w:jc w:val="right"/>
              <w:spacing w:after="0"/>
              <w:rPr>
                <w:sz w:val="20"/>
                <w:szCs w:val="20"/>
                <w:color w:val="auto"/>
              </w:rPr>
            </w:pPr>
            <w:r>
              <w:rPr>
                <w:rFonts w:ascii="Arial" w:cs="Arial" w:eastAsia="Arial" w:hAnsi="Arial"/>
                <w:sz w:val="18"/>
                <w:szCs w:val="18"/>
                <w:color w:val="auto"/>
              </w:rPr>
              <w:t>903</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880</w:t>
            </w:r>
          </w:p>
        </w:tc>
        <w:tc>
          <w:tcPr>
            <w:tcW w:w="22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97.5%</w:t>
            </w:r>
          </w:p>
        </w:tc>
        <w:tc>
          <w:tcPr>
            <w:tcW w:w="800" w:type="dxa"/>
            <w:vAlign w:val="bottom"/>
          </w:tcPr>
          <w:p>
            <w:pPr>
              <w:jc w:val="right"/>
              <w:spacing w:after="0"/>
              <w:rPr>
                <w:sz w:val="20"/>
                <w:szCs w:val="20"/>
                <w:color w:val="auto"/>
              </w:rPr>
            </w:pPr>
            <w:r>
              <w:rPr>
                <w:rFonts w:ascii="Arial" w:cs="Arial" w:eastAsia="Arial" w:hAnsi="Arial"/>
                <w:sz w:val="18"/>
                <w:szCs w:val="18"/>
                <w:color w:val="auto"/>
              </w:rPr>
              <w:t>903</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850</w:t>
            </w:r>
          </w:p>
        </w:tc>
        <w:tc>
          <w:tcPr>
            <w:tcW w:w="20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412"/>
        </w:trPr>
        <w:tc>
          <w:tcPr>
            <w:tcW w:w="5660" w:type="dxa"/>
            <w:vAlign w:val="bottom"/>
            <w:gridSpan w:val="4"/>
          </w:tcPr>
          <w:p>
            <w:pPr>
              <w:spacing w:after="0"/>
              <w:rPr>
                <w:sz w:val="20"/>
                <w:szCs w:val="20"/>
                <w:color w:val="auto"/>
              </w:rPr>
            </w:pPr>
            <w:r>
              <w:rPr>
                <w:rFonts w:ascii="Arial" w:cs="Arial" w:eastAsia="Arial" w:hAnsi="Arial"/>
                <w:sz w:val="18"/>
                <w:szCs w:val="18"/>
                <w:b w:val="1"/>
                <w:bCs w:val="1"/>
                <w:color w:val="auto"/>
              </w:rPr>
              <w:t>Same Center Statistics (1)</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000" w:type="dxa"/>
            <w:vAlign w:val="bottom"/>
            <w:gridSpan w:val="4"/>
            <w:vMerge w:val="restart"/>
          </w:tcPr>
          <w:p>
            <w:pPr>
              <w:ind w:left="740"/>
              <w:spacing w:after="0"/>
              <w:rPr>
                <w:sz w:val="20"/>
                <w:szCs w:val="20"/>
                <w:color w:val="auto"/>
              </w:rPr>
            </w:pPr>
            <w:r>
              <w:rPr>
                <w:rFonts w:ascii="Arial" w:cs="Arial" w:eastAsia="Arial" w:hAnsi="Arial"/>
                <w:sz w:val="14"/>
                <w:szCs w:val="14"/>
                <w:b w:val="1"/>
                <w:bCs w:val="1"/>
                <w:color w:val="auto"/>
              </w:rPr>
              <w:t>At March 31, 2010</w:t>
            </w: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0" w:type="dxa"/>
            <w:vAlign w:val="bottom"/>
            <w:gridSpan w:val="4"/>
            <w:vMerge w:val="restart"/>
          </w:tcPr>
          <w:p>
            <w:pPr>
              <w:ind w:left="760"/>
              <w:spacing w:after="0"/>
              <w:rPr>
                <w:sz w:val="20"/>
                <w:szCs w:val="20"/>
                <w:color w:val="auto"/>
              </w:rPr>
            </w:pPr>
            <w:r>
              <w:rPr>
                <w:rFonts w:ascii="Arial" w:cs="Arial" w:eastAsia="Arial" w:hAnsi="Arial"/>
                <w:sz w:val="14"/>
                <w:szCs w:val="14"/>
                <w:b w:val="1"/>
                <w:bCs w:val="1"/>
                <w:color w:val="auto"/>
              </w:rPr>
              <w:t>At March 31, 2009</w:t>
            </w: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6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Type</w:t>
            </w:r>
          </w:p>
        </w:tc>
        <w:tc>
          <w:tcPr>
            <w:tcW w:w="2000" w:type="dxa"/>
            <w:vAlign w:val="bottom"/>
            <w:tcBorders>
              <w:bottom w:val="single" w:sz="8" w:color="auto"/>
            </w:tcBorders>
            <w:gridSpan w:val="4"/>
            <w:vMerge w:val="continue"/>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2000" w:type="dxa"/>
            <w:vAlign w:val="bottom"/>
            <w:tcBorders>
              <w:bottom w:val="single" w:sz="8" w:color="auto"/>
            </w:tcBorders>
            <w:gridSpan w:val="4"/>
            <w:vMerge w:val="continue"/>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660" w:type="dxa"/>
            <w:vAlign w:val="bottom"/>
            <w:gridSpan w:val="4"/>
            <w:vMerge w:val="continue"/>
          </w:tcPr>
          <w:p>
            <w:pPr>
              <w:spacing w:after="0"/>
              <w:rPr>
                <w:sz w:val="12"/>
                <w:szCs w:val="12"/>
                <w:color w:val="auto"/>
              </w:rPr>
            </w:pPr>
          </w:p>
        </w:tc>
        <w:tc>
          <w:tcPr>
            <w:tcW w:w="800" w:type="dxa"/>
            <w:vAlign w:val="bottom"/>
          </w:tcPr>
          <w:p>
            <w:pPr>
              <w:jc w:val="right"/>
              <w:ind w:right="222"/>
              <w:spacing w:after="0" w:line="142" w:lineRule="exact"/>
              <w:rPr>
                <w:sz w:val="20"/>
                <w:szCs w:val="20"/>
                <w:color w:val="auto"/>
              </w:rPr>
            </w:pPr>
            <w:r>
              <w:rPr>
                <w:rFonts w:ascii="Arial" w:cs="Arial" w:eastAsia="Arial" w:hAnsi="Arial"/>
                <w:sz w:val="14"/>
                <w:szCs w:val="14"/>
                <w:b w:val="1"/>
                <w:bCs w:val="1"/>
                <w:color w:val="auto"/>
              </w:rPr>
              <w:t>Size</w:t>
            </w:r>
          </w:p>
        </w:tc>
        <w:tc>
          <w:tcPr>
            <w:tcW w:w="200" w:type="dxa"/>
            <w:vAlign w:val="bottom"/>
          </w:tcPr>
          <w:p>
            <w:pPr>
              <w:spacing w:after="0"/>
              <w:rPr>
                <w:sz w:val="12"/>
                <w:szCs w:val="12"/>
                <w:color w:val="auto"/>
              </w:rPr>
            </w:pPr>
          </w:p>
        </w:tc>
        <w:tc>
          <w:tcPr>
            <w:tcW w:w="1000" w:type="dxa"/>
            <w:vAlign w:val="bottom"/>
            <w:gridSpan w:val="2"/>
          </w:tcPr>
          <w:p>
            <w:pPr>
              <w:ind w:left="180"/>
              <w:spacing w:after="0" w:line="142" w:lineRule="exact"/>
              <w:rPr>
                <w:sz w:val="20"/>
                <w:szCs w:val="20"/>
                <w:color w:val="auto"/>
              </w:rPr>
            </w:pPr>
            <w:r>
              <w:rPr>
                <w:rFonts w:ascii="Arial" w:cs="Arial" w:eastAsia="Arial" w:hAnsi="Arial"/>
                <w:sz w:val="14"/>
                <w:szCs w:val="14"/>
                <w:b w:val="1"/>
                <w:bCs w:val="1"/>
                <w:color w:val="auto"/>
              </w:rPr>
              <w:t>Leased</w:t>
            </w:r>
          </w:p>
        </w:tc>
        <w:tc>
          <w:tcPr>
            <w:tcW w:w="580" w:type="dxa"/>
            <w:vAlign w:val="bottom"/>
          </w:tcPr>
          <w:p>
            <w:pPr>
              <w:spacing w:after="0" w:line="142" w:lineRule="exact"/>
              <w:rPr>
                <w:sz w:val="20"/>
                <w:szCs w:val="20"/>
                <w:color w:val="auto"/>
              </w:rPr>
            </w:pPr>
            <w:r>
              <w:rPr>
                <w:rFonts w:ascii="Arial" w:cs="Arial" w:eastAsia="Arial" w:hAnsi="Arial"/>
                <w:sz w:val="14"/>
                <w:szCs w:val="14"/>
                <w:b w:val="1"/>
                <w:bCs w:val="1"/>
                <w:color w:val="auto"/>
                <w:w w:val="86"/>
              </w:rPr>
              <w:t>Leased %</w:t>
            </w:r>
          </w:p>
        </w:tc>
        <w:tc>
          <w:tcPr>
            <w:tcW w:w="400" w:type="dxa"/>
            <w:vAlign w:val="bottom"/>
          </w:tcPr>
          <w:p>
            <w:pPr>
              <w:spacing w:after="0"/>
              <w:rPr>
                <w:sz w:val="12"/>
                <w:szCs w:val="12"/>
                <w:color w:val="auto"/>
              </w:rPr>
            </w:pPr>
          </w:p>
        </w:tc>
        <w:tc>
          <w:tcPr>
            <w:tcW w:w="800" w:type="dxa"/>
            <w:vAlign w:val="bottom"/>
          </w:tcPr>
          <w:p>
            <w:pPr>
              <w:jc w:val="right"/>
              <w:ind w:right="202"/>
              <w:spacing w:after="0" w:line="142" w:lineRule="exact"/>
              <w:rPr>
                <w:sz w:val="20"/>
                <w:szCs w:val="20"/>
                <w:color w:val="auto"/>
              </w:rPr>
            </w:pPr>
            <w:r>
              <w:rPr>
                <w:rFonts w:ascii="Arial" w:cs="Arial" w:eastAsia="Arial" w:hAnsi="Arial"/>
                <w:sz w:val="14"/>
                <w:szCs w:val="14"/>
                <w:b w:val="1"/>
                <w:bCs w:val="1"/>
                <w:color w:val="auto"/>
              </w:rPr>
              <w:t>Size</w:t>
            </w:r>
          </w:p>
        </w:tc>
        <w:tc>
          <w:tcPr>
            <w:tcW w:w="200" w:type="dxa"/>
            <w:vAlign w:val="bottom"/>
          </w:tcPr>
          <w:p>
            <w:pPr>
              <w:spacing w:after="0"/>
              <w:rPr>
                <w:sz w:val="12"/>
                <w:szCs w:val="12"/>
                <w:color w:val="auto"/>
              </w:rPr>
            </w:pPr>
          </w:p>
        </w:tc>
        <w:tc>
          <w:tcPr>
            <w:tcW w:w="1000" w:type="dxa"/>
            <w:vAlign w:val="bottom"/>
            <w:gridSpan w:val="2"/>
          </w:tcPr>
          <w:p>
            <w:pPr>
              <w:ind w:left="200"/>
              <w:spacing w:after="0" w:line="142" w:lineRule="exact"/>
              <w:rPr>
                <w:sz w:val="20"/>
                <w:szCs w:val="20"/>
                <w:color w:val="auto"/>
              </w:rPr>
            </w:pPr>
            <w:r>
              <w:rPr>
                <w:rFonts w:ascii="Arial" w:cs="Arial" w:eastAsia="Arial" w:hAnsi="Arial"/>
                <w:sz w:val="14"/>
                <w:szCs w:val="14"/>
                <w:b w:val="1"/>
                <w:bCs w:val="1"/>
                <w:color w:val="auto"/>
              </w:rPr>
              <w:t>Leased</w:t>
            </w:r>
          </w:p>
        </w:tc>
        <w:tc>
          <w:tcPr>
            <w:tcW w:w="580" w:type="dxa"/>
            <w:vAlign w:val="bottom"/>
          </w:tcPr>
          <w:p>
            <w:pPr>
              <w:spacing w:after="0" w:line="142" w:lineRule="exact"/>
              <w:rPr>
                <w:sz w:val="20"/>
                <w:szCs w:val="20"/>
                <w:color w:val="auto"/>
              </w:rPr>
            </w:pPr>
            <w:r>
              <w:rPr>
                <w:rFonts w:ascii="Arial" w:cs="Arial" w:eastAsia="Arial" w:hAnsi="Arial"/>
                <w:sz w:val="14"/>
                <w:szCs w:val="14"/>
                <w:b w:val="1"/>
                <w:bCs w:val="1"/>
                <w:color w:val="auto"/>
                <w:w w:val="86"/>
              </w:rPr>
              <w:t>Leased %</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Retail Properties (2) (4) (sf)</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17,498,000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16,545,000</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94.6%</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17,500,000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16,542,000</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40" w:type="dxa"/>
            <w:vAlign w:val="bottom"/>
            <w:gridSpan w:val="3"/>
          </w:tcPr>
          <w:p>
            <w:pPr>
              <w:spacing w:after="0"/>
              <w:rPr>
                <w:sz w:val="20"/>
                <w:szCs w:val="20"/>
                <w:color w:val="auto"/>
              </w:rPr>
            </w:pPr>
            <w:r>
              <w:rPr>
                <w:rFonts w:ascii="Arial" w:cs="Arial" w:eastAsia="Arial" w:hAnsi="Arial"/>
                <w:sz w:val="18"/>
                <w:szCs w:val="18"/>
                <w:color w:val="auto"/>
              </w:rPr>
              <w:t>Residential Properties (3) (units)</w:t>
            </w:r>
          </w:p>
        </w:tc>
        <w:tc>
          <w:tcPr>
            <w:tcW w:w="800" w:type="dxa"/>
            <w:vAlign w:val="bottom"/>
          </w:tcPr>
          <w:p>
            <w:pPr>
              <w:jc w:val="right"/>
              <w:spacing w:after="0"/>
              <w:rPr>
                <w:sz w:val="20"/>
                <w:szCs w:val="20"/>
                <w:color w:val="auto"/>
              </w:rPr>
            </w:pPr>
            <w:r>
              <w:rPr>
                <w:rFonts w:ascii="Arial" w:cs="Arial" w:eastAsia="Arial" w:hAnsi="Arial"/>
                <w:sz w:val="18"/>
                <w:szCs w:val="18"/>
                <w:color w:val="auto"/>
              </w:rPr>
              <w:t>903</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880</w:t>
            </w:r>
          </w:p>
        </w:tc>
        <w:tc>
          <w:tcPr>
            <w:tcW w:w="22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97.5%</w:t>
            </w:r>
          </w:p>
        </w:tc>
        <w:tc>
          <w:tcPr>
            <w:tcW w:w="800" w:type="dxa"/>
            <w:vAlign w:val="bottom"/>
          </w:tcPr>
          <w:p>
            <w:pPr>
              <w:jc w:val="right"/>
              <w:spacing w:after="0"/>
              <w:rPr>
                <w:sz w:val="20"/>
                <w:szCs w:val="20"/>
                <w:color w:val="auto"/>
              </w:rPr>
            </w:pPr>
            <w:r>
              <w:rPr>
                <w:rFonts w:ascii="Arial" w:cs="Arial" w:eastAsia="Arial" w:hAnsi="Arial"/>
                <w:sz w:val="18"/>
                <w:szCs w:val="18"/>
                <w:color w:val="auto"/>
              </w:rPr>
              <w:t>903</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850</w:t>
            </w:r>
          </w:p>
        </w:tc>
        <w:tc>
          <w:tcPr>
            <w:tcW w:w="20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289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15"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See Glossary of Terms.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Leasable square feet; excludes redevelopment square footage not yet placed in service.</w:t>
      </w:r>
    </w:p>
    <w:p>
      <w:pPr>
        <w:spacing w:after="0" w:line="9" w:lineRule="exact"/>
        <w:rPr>
          <w:rFonts w:ascii="Arial" w:cs="Arial" w:eastAsia="Arial" w:hAnsi="Arial"/>
          <w:sz w:val="18"/>
          <w:szCs w:val="18"/>
          <w:color w:val="auto"/>
        </w:rPr>
      </w:pPr>
    </w:p>
    <w:p>
      <w:pPr>
        <w:ind w:left="460" w:right="20" w:hanging="452"/>
        <w:spacing w:after="0" w:line="250"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Overall portfolio and Same Center statistics at March 31, 2010 and 2009 include Rollingwood, The Crest at Congressional and the residential rental units at Santana Row and Bethesda Row.</w:t>
      </w: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Excludes properties purchased, sold or under redevelopment.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Top 25 Tenants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5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4"/>
              </w:rPr>
              <w:t>Percentage of</w:t>
            </w: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32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rPr>
              <w:t>Tenant Name</w:t>
            </w:r>
          </w:p>
        </w:tc>
        <w:tc>
          <w:tcPr>
            <w:tcW w:w="340" w:type="dxa"/>
            <w:vAlign w:val="bottom"/>
          </w:tcPr>
          <w:p>
            <w:pPr>
              <w:spacing w:after="0"/>
              <w:rPr>
                <w:sz w:val="12"/>
                <w:szCs w:val="12"/>
                <w:color w:val="auto"/>
              </w:rPr>
            </w:pPr>
          </w:p>
        </w:tc>
        <w:tc>
          <w:tcPr>
            <w:tcW w:w="15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Annualized Base</w:t>
            </w:r>
          </w:p>
        </w:tc>
        <w:tc>
          <w:tcPr>
            <w:tcW w:w="15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7"/>
              </w:rPr>
              <w:t>Total Annualized</w:t>
            </w:r>
          </w:p>
        </w:tc>
        <w:tc>
          <w:tcPr>
            <w:tcW w:w="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4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6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2"/>
              </w:rPr>
              <w:t>Stores</w:t>
            </w:r>
          </w:p>
        </w:tc>
        <w:tc>
          <w:tcPr>
            <w:tcW w:w="0" w:type="dxa"/>
            <w:vAlign w:val="bottom"/>
          </w:tcPr>
          <w:p>
            <w:pPr>
              <w:spacing w:after="0"/>
              <w:rPr>
                <w:sz w:val="1"/>
                <w:szCs w:val="1"/>
                <w:color w:val="auto"/>
              </w:rPr>
            </w:pPr>
          </w:p>
        </w:tc>
      </w:tr>
      <w:tr>
        <w:trPr>
          <w:trHeight w:val="161"/>
        </w:trPr>
        <w:tc>
          <w:tcPr>
            <w:tcW w:w="340" w:type="dxa"/>
            <w:vAlign w:val="bottom"/>
            <w:gridSpan w:val="2"/>
          </w:tcPr>
          <w:p>
            <w:pPr>
              <w:spacing w:after="0"/>
              <w:rPr>
                <w:sz w:val="20"/>
                <w:szCs w:val="20"/>
                <w:color w:val="auto"/>
              </w:rPr>
            </w:pPr>
            <w:r>
              <w:rPr>
                <w:rFonts w:ascii="Arial" w:cs="Arial" w:eastAsia="Arial" w:hAnsi="Arial"/>
                <w:sz w:val="14"/>
                <w:szCs w:val="14"/>
                <w:b w:val="1"/>
                <w:bCs w:val="1"/>
                <w:color w:val="auto"/>
                <w:w w:val="93"/>
              </w:rPr>
              <w:t>Rank</w:t>
            </w:r>
          </w:p>
        </w:tc>
        <w:tc>
          <w:tcPr>
            <w:tcW w:w="432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rPr>
              <w:t>Rent</w:t>
            </w:r>
          </w:p>
        </w:tc>
        <w:tc>
          <w:tcPr>
            <w:tcW w:w="15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7"/>
              </w:rPr>
              <w:t>Base Rent (4)</w:t>
            </w:r>
          </w:p>
        </w:tc>
        <w:tc>
          <w:tcPr>
            <w:tcW w:w="1360" w:type="dxa"/>
            <w:vAlign w:val="bottom"/>
            <w:gridSpan w:val="2"/>
          </w:tcPr>
          <w:p>
            <w:pPr>
              <w:ind w:left="20"/>
              <w:spacing w:after="0"/>
              <w:rPr>
                <w:sz w:val="20"/>
                <w:szCs w:val="20"/>
                <w:color w:val="auto"/>
              </w:rPr>
            </w:pPr>
            <w:r>
              <w:rPr>
                <w:rFonts w:ascii="Arial" w:cs="Arial" w:eastAsia="Arial" w:hAnsi="Arial"/>
                <w:sz w:val="14"/>
                <w:szCs w:val="14"/>
                <w:b w:val="1"/>
                <w:bCs w:val="1"/>
                <w:color w:val="auto"/>
              </w:rPr>
              <w:t>Tenant GLA</w:t>
            </w:r>
          </w:p>
        </w:tc>
        <w:tc>
          <w:tcPr>
            <w:tcW w:w="13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0"/>
              </w:rPr>
              <w:t>Total GLA (4)</w:t>
            </w:r>
          </w:p>
        </w:tc>
        <w:tc>
          <w:tcPr>
            <w:tcW w:w="6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2"/>
              </w:rPr>
              <w:t>Leased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43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Bed, Bath &amp; Beyond, Inc.</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9,960,000</w:t>
            </w:r>
          </w:p>
        </w:tc>
        <w:tc>
          <w:tcPr>
            <w:tcW w:w="15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658,000</w:t>
            </w:r>
          </w:p>
        </w:tc>
        <w:tc>
          <w:tcPr>
            <w:tcW w:w="5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2</w:t>
            </w:r>
          </w:p>
        </w:tc>
        <w:tc>
          <w:tcPr>
            <w:tcW w:w="4320" w:type="dxa"/>
            <w:vAlign w:val="bottom"/>
            <w:gridSpan w:val="3"/>
          </w:tcPr>
          <w:p>
            <w:pPr>
              <w:ind w:left="320"/>
              <w:spacing w:after="0"/>
              <w:rPr>
                <w:sz w:val="20"/>
                <w:szCs w:val="20"/>
                <w:color w:val="auto"/>
              </w:rPr>
            </w:pPr>
            <w:r>
              <w:rPr>
                <w:rFonts w:ascii="Arial" w:cs="Arial" w:eastAsia="Arial" w:hAnsi="Arial"/>
                <w:sz w:val="18"/>
                <w:szCs w:val="18"/>
                <w:color w:val="auto"/>
              </w:rPr>
              <w:t>Ahold USA, Inc.</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8,818,000</w:t>
            </w:r>
          </w:p>
        </w:tc>
        <w:tc>
          <w:tcPr>
            <w:tcW w:w="1520" w:type="dxa"/>
            <w:vAlign w:val="bottom"/>
            <w:gridSpan w:val="2"/>
          </w:tcPr>
          <w:p>
            <w:pPr>
              <w:jc w:val="right"/>
              <w:ind w:right="380"/>
              <w:spacing w:after="0"/>
              <w:rPr>
                <w:sz w:val="20"/>
                <w:szCs w:val="20"/>
                <w:color w:val="auto"/>
              </w:rPr>
            </w:pPr>
            <w:r>
              <w:rPr>
                <w:rFonts w:ascii="Arial" w:cs="Arial" w:eastAsia="Arial" w:hAnsi="Arial"/>
                <w:sz w:val="18"/>
                <w:szCs w:val="18"/>
                <w:color w:val="auto"/>
              </w:rPr>
              <w:t>2.32%</w:t>
            </w:r>
          </w:p>
        </w:tc>
        <w:tc>
          <w:tcPr>
            <w:tcW w:w="780" w:type="dxa"/>
            <w:vAlign w:val="bottom"/>
          </w:tcPr>
          <w:p>
            <w:pPr>
              <w:jc w:val="right"/>
              <w:spacing w:after="0"/>
              <w:rPr>
                <w:sz w:val="20"/>
                <w:szCs w:val="20"/>
                <w:color w:val="auto"/>
              </w:rPr>
            </w:pPr>
            <w:r>
              <w:rPr>
                <w:rFonts w:ascii="Arial" w:cs="Arial" w:eastAsia="Arial" w:hAnsi="Arial"/>
                <w:sz w:val="18"/>
                <w:szCs w:val="18"/>
                <w:color w:val="auto"/>
              </w:rPr>
              <w:t>592,000</w:t>
            </w:r>
          </w:p>
        </w:tc>
        <w:tc>
          <w:tcPr>
            <w:tcW w:w="58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3.26%</w:t>
            </w:r>
          </w:p>
        </w:tc>
        <w:tc>
          <w:tcPr>
            <w:tcW w:w="64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43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TJX Companies, The</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7,649,000</w:t>
            </w:r>
          </w:p>
        </w:tc>
        <w:tc>
          <w:tcPr>
            <w:tcW w:w="15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540,000</w:t>
            </w:r>
          </w:p>
        </w:tc>
        <w:tc>
          <w:tcPr>
            <w:tcW w:w="5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4</w:t>
            </w:r>
          </w:p>
        </w:tc>
        <w:tc>
          <w:tcPr>
            <w:tcW w:w="4320" w:type="dxa"/>
            <w:vAlign w:val="bottom"/>
            <w:gridSpan w:val="3"/>
          </w:tcPr>
          <w:p>
            <w:pPr>
              <w:ind w:left="320"/>
              <w:spacing w:after="0"/>
              <w:rPr>
                <w:sz w:val="20"/>
                <w:szCs w:val="20"/>
                <w:color w:val="auto"/>
              </w:rPr>
            </w:pPr>
            <w:r>
              <w:rPr>
                <w:rFonts w:ascii="Arial" w:cs="Arial" w:eastAsia="Arial" w:hAnsi="Arial"/>
                <w:sz w:val="18"/>
                <w:szCs w:val="18"/>
                <w:color w:val="auto"/>
              </w:rPr>
              <w:t>Safeway, Inc.</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6,971,000</w:t>
            </w:r>
          </w:p>
        </w:tc>
        <w:tc>
          <w:tcPr>
            <w:tcW w:w="1520" w:type="dxa"/>
            <w:vAlign w:val="bottom"/>
            <w:gridSpan w:val="2"/>
          </w:tcPr>
          <w:p>
            <w:pPr>
              <w:jc w:val="right"/>
              <w:ind w:right="380"/>
              <w:spacing w:after="0"/>
              <w:rPr>
                <w:sz w:val="20"/>
                <w:szCs w:val="20"/>
                <w:color w:val="auto"/>
              </w:rPr>
            </w:pPr>
            <w:r>
              <w:rPr>
                <w:rFonts w:ascii="Arial" w:cs="Arial" w:eastAsia="Arial" w:hAnsi="Arial"/>
                <w:sz w:val="18"/>
                <w:szCs w:val="18"/>
                <w:color w:val="auto"/>
              </w:rPr>
              <w:t>1.84%</w:t>
            </w:r>
          </w:p>
        </w:tc>
        <w:tc>
          <w:tcPr>
            <w:tcW w:w="780" w:type="dxa"/>
            <w:vAlign w:val="bottom"/>
          </w:tcPr>
          <w:p>
            <w:pPr>
              <w:jc w:val="right"/>
              <w:spacing w:after="0"/>
              <w:rPr>
                <w:sz w:val="20"/>
                <w:szCs w:val="20"/>
                <w:color w:val="auto"/>
              </w:rPr>
            </w:pPr>
            <w:r>
              <w:rPr>
                <w:rFonts w:ascii="Arial" w:cs="Arial" w:eastAsia="Arial" w:hAnsi="Arial"/>
                <w:sz w:val="18"/>
                <w:szCs w:val="18"/>
                <w:color w:val="auto"/>
              </w:rPr>
              <w:t>481,000</w:t>
            </w:r>
          </w:p>
        </w:tc>
        <w:tc>
          <w:tcPr>
            <w:tcW w:w="58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2.65%</w:t>
            </w:r>
          </w:p>
        </w:tc>
        <w:tc>
          <w:tcPr>
            <w:tcW w:w="64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43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Gap, Inc., The</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6,737,000</w:t>
            </w:r>
          </w:p>
        </w:tc>
        <w:tc>
          <w:tcPr>
            <w:tcW w:w="15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1.78%</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220,000</w:t>
            </w:r>
          </w:p>
        </w:tc>
        <w:tc>
          <w:tcPr>
            <w:tcW w:w="5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6</w:t>
            </w:r>
          </w:p>
        </w:tc>
        <w:tc>
          <w:tcPr>
            <w:tcW w:w="4320" w:type="dxa"/>
            <w:vAlign w:val="bottom"/>
            <w:gridSpan w:val="3"/>
          </w:tcPr>
          <w:p>
            <w:pPr>
              <w:ind w:left="320"/>
              <w:spacing w:after="0"/>
              <w:rPr>
                <w:sz w:val="20"/>
                <w:szCs w:val="20"/>
                <w:color w:val="auto"/>
              </w:rPr>
            </w:pPr>
            <w:r>
              <w:rPr>
                <w:rFonts w:ascii="Arial" w:cs="Arial" w:eastAsia="Arial" w:hAnsi="Arial"/>
                <w:sz w:val="18"/>
                <w:szCs w:val="18"/>
                <w:color w:val="auto"/>
              </w:rPr>
              <w:t>CVS Corporation</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6,255,000</w:t>
            </w:r>
          </w:p>
        </w:tc>
        <w:tc>
          <w:tcPr>
            <w:tcW w:w="1520" w:type="dxa"/>
            <w:vAlign w:val="bottom"/>
            <w:gridSpan w:val="2"/>
          </w:tcPr>
          <w:p>
            <w:pPr>
              <w:jc w:val="right"/>
              <w:ind w:right="380"/>
              <w:spacing w:after="0"/>
              <w:rPr>
                <w:sz w:val="20"/>
                <w:szCs w:val="20"/>
                <w:color w:val="auto"/>
              </w:rPr>
            </w:pPr>
            <w:r>
              <w:rPr>
                <w:rFonts w:ascii="Arial" w:cs="Arial" w:eastAsia="Arial" w:hAnsi="Arial"/>
                <w:sz w:val="18"/>
                <w:szCs w:val="18"/>
                <w:color w:val="auto"/>
              </w:rPr>
              <w:t>1.65%</w:t>
            </w:r>
          </w:p>
        </w:tc>
        <w:tc>
          <w:tcPr>
            <w:tcW w:w="780" w:type="dxa"/>
            <w:vAlign w:val="bottom"/>
          </w:tcPr>
          <w:p>
            <w:pPr>
              <w:jc w:val="right"/>
              <w:spacing w:after="0"/>
              <w:rPr>
                <w:sz w:val="20"/>
                <w:szCs w:val="20"/>
                <w:color w:val="auto"/>
              </w:rPr>
            </w:pPr>
            <w:r>
              <w:rPr>
                <w:rFonts w:ascii="Arial" w:cs="Arial" w:eastAsia="Arial" w:hAnsi="Arial"/>
                <w:sz w:val="18"/>
                <w:szCs w:val="18"/>
                <w:color w:val="auto"/>
              </w:rPr>
              <w:t>205,000</w:t>
            </w:r>
          </w:p>
        </w:tc>
        <w:tc>
          <w:tcPr>
            <w:tcW w:w="58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1.13%</w:t>
            </w:r>
          </w:p>
        </w:tc>
        <w:tc>
          <w:tcPr>
            <w:tcW w:w="64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7</w:t>
            </w:r>
          </w:p>
        </w:tc>
        <w:tc>
          <w:tcPr>
            <w:tcW w:w="43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Barnes &amp; Noble, Inc.</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4,725,000</w:t>
            </w:r>
          </w:p>
        </w:tc>
        <w:tc>
          <w:tcPr>
            <w:tcW w:w="15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1.24%</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201,000</w:t>
            </w:r>
          </w:p>
        </w:tc>
        <w:tc>
          <w:tcPr>
            <w:tcW w:w="5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8</w:t>
            </w:r>
          </w:p>
        </w:tc>
        <w:tc>
          <w:tcPr>
            <w:tcW w:w="4320" w:type="dxa"/>
            <w:vAlign w:val="bottom"/>
            <w:gridSpan w:val="3"/>
          </w:tcPr>
          <w:p>
            <w:pPr>
              <w:ind w:left="320"/>
              <w:spacing w:after="0"/>
              <w:rPr>
                <w:sz w:val="20"/>
                <w:szCs w:val="20"/>
                <w:color w:val="auto"/>
              </w:rPr>
            </w:pPr>
            <w:r>
              <w:rPr>
                <w:rFonts w:ascii="Arial" w:cs="Arial" w:eastAsia="Arial" w:hAnsi="Arial"/>
                <w:sz w:val="18"/>
                <w:szCs w:val="18"/>
                <w:color w:val="auto"/>
              </w:rPr>
              <w:t>OPNET Technologies, Inc.</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3,840,000</w:t>
            </w:r>
          </w:p>
        </w:tc>
        <w:tc>
          <w:tcPr>
            <w:tcW w:w="1520" w:type="dxa"/>
            <w:vAlign w:val="bottom"/>
            <w:gridSpan w:val="2"/>
          </w:tcPr>
          <w:p>
            <w:pPr>
              <w:jc w:val="right"/>
              <w:ind w:right="380"/>
              <w:spacing w:after="0"/>
              <w:rPr>
                <w:sz w:val="20"/>
                <w:szCs w:val="20"/>
                <w:color w:val="auto"/>
              </w:rPr>
            </w:pPr>
            <w:r>
              <w:rPr>
                <w:rFonts w:ascii="Arial" w:cs="Arial" w:eastAsia="Arial" w:hAnsi="Arial"/>
                <w:sz w:val="18"/>
                <w:szCs w:val="18"/>
                <w:color w:val="auto"/>
              </w:rPr>
              <w:t>1.01%</w:t>
            </w:r>
          </w:p>
        </w:tc>
        <w:tc>
          <w:tcPr>
            <w:tcW w:w="780" w:type="dxa"/>
            <w:vAlign w:val="bottom"/>
          </w:tcPr>
          <w:p>
            <w:pPr>
              <w:jc w:val="right"/>
              <w:spacing w:after="0"/>
              <w:rPr>
                <w:sz w:val="20"/>
                <w:szCs w:val="20"/>
                <w:color w:val="auto"/>
              </w:rPr>
            </w:pPr>
            <w:r>
              <w:rPr>
                <w:rFonts w:ascii="Arial" w:cs="Arial" w:eastAsia="Arial" w:hAnsi="Arial"/>
                <w:sz w:val="18"/>
                <w:szCs w:val="18"/>
                <w:color w:val="auto"/>
              </w:rPr>
              <w:t>83,000</w:t>
            </w:r>
          </w:p>
        </w:tc>
        <w:tc>
          <w:tcPr>
            <w:tcW w:w="58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0.46%</w:t>
            </w: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9</w:t>
            </w:r>
          </w:p>
        </w:tc>
        <w:tc>
          <w:tcPr>
            <w:tcW w:w="43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L.A. Fitness International LLC</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3,817,000</w:t>
            </w:r>
          </w:p>
        </w:tc>
        <w:tc>
          <w:tcPr>
            <w:tcW w:w="15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178,000</w:t>
            </w:r>
          </w:p>
        </w:tc>
        <w:tc>
          <w:tcPr>
            <w:tcW w:w="5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0.98%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10</w:t>
            </w:r>
          </w:p>
        </w:tc>
        <w:tc>
          <w:tcPr>
            <w:tcW w:w="4320" w:type="dxa"/>
            <w:vAlign w:val="bottom"/>
            <w:gridSpan w:val="3"/>
          </w:tcPr>
          <w:p>
            <w:pPr>
              <w:ind w:left="320"/>
              <w:spacing w:after="0"/>
              <w:rPr>
                <w:sz w:val="20"/>
                <w:szCs w:val="20"/>
                <w:color w:val="auto"/>
              </w:rPr>
            </w:pPr>
            <w:r>
              <w:rPr>
                <w:rFonts w:ascii="Arial" w:cs="Arial" w:eastAsia="Arial" w:hAnsi="Arial"/>
                <w:sz w:val="18"/>
                <w:szCs w:val="18"/>
                <w:color w:val="auto"/>
              </w:rPr>
              <w:t>Best Buy Stores, L.P.</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3,502,000</w:t>
            </w:r>
          </w:p>
        </w:tc>
        <w:tc>
          <w:tcPr>
            <w:tcW w:w="1520" w:type="dxa"/>
            <w:vAlign w:val="bottom"/>
            <w:gridSpan w:val="2"/>
          </w:tcPr>
          <w:p>
            <w:pPr>
              <w:jc w:val="right"/>
              <w:ind w:right="380"/>
              <w:spacing w:after="0"/>
              <w:rPr>
                <w:sz w:val="20"/>
                <w:szCs w:val="20"/>
                <w:color w:val="auto"/>
              </w:rPr>
            </w:pPr>
            <w:r>
              <w:rPr>
                <w:rFonts w:ascii="Arial" w:cs="Arial" w:eastAsia="Arial" w:hAnsi="Arial"/>
                <w:sz w:val="18"/>
                <w:szCs w:val="18"/>
                <w:color w:val="auto"/>
              </w:rPr>
              <w:t>0.92%</w:t>
            </w:r>
          </w:p>
        </w:tc>
        <w:tc>
          <w:tcPr>
            <w:tcW w:w="780" w:type="dxa"/>
            <w:vAlign w:val="bottom"/>
          </w:tcPr>
          <w:p>
            <w:pPr>
              <w:jc w:val="right"/>
              <w:spacing w:after="0"/>
              <w:rPr>
                <w:sz w:val="20"/>
                <w:szCs w:val="20"/>
                <w:color w:val="auto"/>
              </w:rPr>
            </w:pPr>
            <w:r>
              <w:rPr>
                <w:rFonts w:ascii="Arial" w:cs="Arial" w:eastAsia="Arial" w:hAnsi="Arial"/>
                <w:sz w:val="18"/>
                <w:szCs w:val="18"/>
                <w:color w:val="auto"/>
              </w:rPr>
              <w:t>99,000</w:t>
            </w:r>
          </w:p>
        </w:tc>
        <w:tc>
          <w:tcPr>
            <w:tcW w:w="58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0.55%</w:t>
            </w: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11</w:t>
            </w:r>
          </w:p>
        </w:tc>
        <w:tc>
          <w:tcPr>
            <w:tcW w:w="43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Staples, Inc.</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3,479,000</w:t>
            </w:r>
          </w:p>
        </w:tc>
        <w:tc>
          <w:tcPr>
            <w:tcW w:w="15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0.92%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187,000</w:t>
            </w:r>
          </w:p>
        </w:tc>
        <w:tc>
          <w:tcPr>
            <w:tcW w:w="5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12</w:t>
            </w:r>
          </w:p>
        </w:tc>
        <w:tc>
          <w:tcPr>
            <w:tcW w:w="4320" w:type="dxa"/>
            <w:vAlign w:val="bottom"/>
            <w:gridSpan w:val="3"/>
          </w:tcPr>
          <w:p>
            <w:pPr>
              <w:ind w:left="320"/>
              <w:spacing w:after="0"/>
              <w:rPr>
                <w:sz w:val="20"/>
                <w:szCs w:val="20"/>
                <w:color w:val="auto"/>
              </w:rPr>
            </w:pPr>
            <w:r>
              <w:rPr>
                <w:rFonts w:ascii="Arial" w:cs="Arial" w:eastAsia="Arial" w:hAnsi="Arial"/>
                <w:sz w:val="18"/>
                <w:szCs w:val="18"/>
                <w:color w:val="auto"/>
              </w:rPr>
              <w:t>DSW, Inc</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3,294,000</w:t>
            </w:r>
          </w:p>
        </w:tc>
        <w:tc>
          <w:tcPr>
            <w:tcW w:w="1520" w:type="dxa"/>
            <w:vAlign w:val="bottom"/>
            <w:gridSpan w:val="2"/>
          </w:tcPr>
          <w:p>
            <w:pPr>
              <w:jc w:val="right"/>
              <w:ind w:right="380"/>
              <w:spacing w:after="0"/>
              <w:rPr>
                <w:sz w:val="20"/>
                <w:szCs w:val="20"/>
                <w:color w:val="auto"/>
              </w:rPr>
            </w:pPr>
            <w:r>
              <w:rPr>
                <w:rFonts w:ascii="Arial" w:cs="Arial" w:eastAsia="Arial" w:hAnsi="Arial"/>
                <w:sz w:val="18"/>
                <w:szCs w:val="18"/>
                <w:color w:val="auto"/>
              </w:rPr>
              <w:t>0.87%</w:t>
            </w:r>
          </w:p>
        </w:tc>
        <w:tc>
          <w:tcPr>
            <w:tcW w:w="780" w:type="dxa"/>
            <w:vAlign w:val="bottom"/>
          </w:tcPr>
          <w:p>
            <w:pPr>
              <w:jc w:val="right"/>
              <w:spacing w:after="0"/>
              <w:rPr>
                <w:sz w:val="20"/>
                <w:szCs w:val="20"/>
                <w:color w:val="auto"/>
              </w:rPr>
            </w:pPr>
            <w:r>
              <w:rPr>
                <w:rFonts w:ascii="Arial" w:cs="Arial" w:eastAsia="Arial" w:hAnsi="Arial"/>
                <w:sz w:val="18"/>
                <w:szCs w:val="18"/>
                <w:color w:val="auto"/>
              </w:rPr>
              <w:t>125,000</w:t>
            </w:r>
          </w:p>
        </w:tc>
        <w:tc>
          <w:tcPr>
            <w:tcW w:w="58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0.69%</w:t>
            </w:r>
          </w:p>
        </w:tc>
        <w:tc>
          <w:tcPr>
            <w:tcW w:w="64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13</w:t>
            </w:r>
          </w:p>
        </w:tc>
        <w:tc>
          <w:tcPr>
            <w:tcW w:w="43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Wells Fargo Bank, N.A. (includes Wachovia</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Corporation)</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3,265,000</w:t>
            </w:r>
          </w:p>
        </w:tc>
        <w:tc>
          <w:tcPr>
            <w:tcW w:w="15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0.86%</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w:t>
            </w:r>
          </w:p>
        </w:tc>
        <w:tc>
          <w:tcPr>
            <w:tcW w:w="5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0.39%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14</w:t>
            </w:r>
          </w:p>
        </w:tc>
        <w:tc>
          <w:tcPr>
            <w:tcW w:w="4320" w:type="dxa"/>
            <w:vAlign w:val="bottom"/>
            <w:gridSpan w:val="3"/>
          </w:tcPr>
          <w:p>
            <w:pPr>
              <w:ind w:left="320"/>
              <w:spacing w:after="0"/>
              <w:rPr>
                <w:sz w:val="20"/>
                <w:szCs w:val="20"/>
                <w:color w:val="auto"/>
              </w:rPr>
            </w:pPr>
            <w:r>
              <w:rPr>
                <w:rFonts w:ascii="Arial" w:cs="Arial" w:eastAsia="Arial" w:hAnsi="Arial"/>
                <w:sz w:val="18"/>
                <w:szCs w:val="18"/>
                <w:color w:val="auto"/>
                <w:w w:val="96"/>
              </w:rPr>
              <w:t>Supervalu Inc. (Acme/Sav-A-Lot/Star Mkt/Shoppers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0" w:type="dxa"/>
            <w:vAlign w:val="bottom"/>
            <w:gridSpan w:val="2"/>
          </w:tcPr>
          <w:p>
            <w:pPr>
              <w:ind w:left="220"/>
              <w:spacing w:after="0"/>
              <w:rPr>
                <w:sz w:val="20"/>
                <w:szCs w:val="20"/>
                <w:color w:val="auto"/>
              </w:rPr>
            </w:pPr>
            <w:r>
              <w:rPr>
                <w:rFonts w:ascii="Arial" w:cs="Arial" w:eastAsia="Arial" w:hAnsi="Arial"/>
                <w:sz w:val="18"/>
                <w:szCs w:val="18"/>
                <w:color w:val="auto"/>
              </w:rPr>
              <w:t>Food)</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3,227,000</w:t>
            </w:r>
          </w:p>
        </w:tc>
        <w:tc>
          <w:tcPr>
            <w:tcW w:w="1520" w:type="dxa"/>
            <w:vAlign w:val="bottom"/>
            <w:gridSpan w:val="2"/>
          </w:tcPr>
          <w:p>
            <w:pPr>
              <w:jc w:val="right"/>
              <w:ind w:right="380"/>
              <w:spacing w:after="0"/>
              <w:rPr>
                <w:sz w:val="20"/>
                <w:szCs w:val="20"/>
                <w:color w:val="auto"/>
              </w:rPr>
            </w:pPr>
            <w:r>
              <w:rPr>
                <w:rFonts w:ascii="Arial" w:cs="Arial" w:eastAsia="Arial" w:hAnsi="Arial"/>
                <w:sz w:val="18"/>
                <w:szCs w:val="18"/>
                <w:color w:val="auto"/>
              </w:rPr>
              <w:t>0.85%</w:t>
            </w:r>
          </w:p>
        </w:tc>
        <w:tc>
          <w:tcPr>
            <w:tcW w:w="780" w:type="dxa"/>
            <w:vAlign w:val="bottom"/>
          </w:tcPr>
          <w:p>
            <w:pPr>
              <w:jc w:val="right"/>
              <w:spacing w:after="0"/>
              <w:rPr>
                <w:sz w:val="20"/>
                <w:szCs w:val="20"/>
                <w:color w:val="auto"/>
              </w:rPr>
            </w:pPr>
            <w:r>
              <w:rPr>
                <w:rFonts w:ascii="Arial" w:cs="Arial" w:eastAsia="Arial" w:hAnsi="Arial"/>
                <w:sz w:val="18"/>
                <w:szCs w:val="18"/>
                <w:color w:val="auto"/>
              </w:rPr>
              <w:t>338,000</w:t>
            </w:r>
          </w:p>
        </w:tc>
        <w:tc>
          <w:tcPr>
            <w:tcW w:w="580" w:type="dxa"/>
            <w:vAlign w:val="bottom"/>
          </w:tcPr>
          <w:p>
            <w:pPr>
              <w:spacing w:after="0"/>
              <w:rPr>
                <w:sz w:val="19"/>
                <w:szCs w:val="19"/>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1.86%</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15</w:t>
            </w:r>
          </w:p>
        </w:tc>
        <w:tc>
          <w:tcPr>
            <w:tcW w:w="43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Bank of America, N.A.</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2,989,000</w:t>
            </w:r>
          </w:p>
        </w:tc>
        <w:tc>
          <w:tcPr>
            <w:tcW w:w="15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0.79%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68,000</w:t>
            </w:r>
          </w:p>
        </w:tc>
        <w:tc>
          <w:tcPr>
            <w:tcW w:w="5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0.37%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16</w:t>
            </w:r>
          </w:p>
        </w:tc>
        <w:tc>
          <w:tcPr>
            <w:tcW w:w="4320" w:type="dxa"/>
            <w:vAlign w:val="bottom"/>
            <w:gridSpan w:val="3"/>
          </w:tcPr>
          <w:p>
            <w:pPr>
              <w:ind w:left="320"/>
              <w:spacing w:after="0"/>
              <w:rPr>
                <w:sz w:val="20"/>
                <w:szCs w:val="20"/>
                <w:color w:val="auto"/>
              </w:rPr>
            </w:pPr>
            <w:r>
              <w:rPr>
                <w:rFonts w:ascii="Arial" w:cs="Arial" w:eastAsia="Arial" w:hAnsi="Arial"/>
                <w:sz w:val="18"/>
                <w:szCs w:val="18"/>
                <w:color w:val="auto"/>
              </w:rPr>
              <w:t>Ross Stores, Inc.</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2,895,000</w:t>
            </w:r>
          </w:p>
        </w:tc>
        <w:tc>
          <w:tcPr>
            <w:tcW w:w="1520" w:type="dxa"/>
            <w:vAlign w:val="bottom"/>
            <w:gridSpan w:val="2"/>
          </w:tcPr>
          <w:p>
            <w:pPr>
              <w:jc w:val="right"/>
              <w:ind w:right="380"/>
              <w:spacing w:after="0"/>
              <w:rPr>
                <w:sz w:val="20"/>
                <w:szCs w:val="20"/>
                <w:color w:val="auto"/>
              </w:rPr>
            </w:pPr>
            <w:r>
              <w:rPr>
                <w:rFonts w:ascii="Arial" w:cs="Arial" w:eastAsia="Arial" w:hAnsi="Arial"/>
                <w:sz w:val="18"/>
                <w:szCs w:val="18"/>
                <w:color w:val="auto"/>
              </w:rPr>
              <w:t>0.76%</w:t>
            </w:r>
          </w:p>
        </w:tc>
        <w:tc>
          <w:tcPr>
            <w:tcW w:w="780" w:type="dxa"/>
            <w:vAlign w:val="bottom"/>
          </w:tcPr>
          <w:p>
            <w:pPr>
              <w:jc w:val="right"/>
              <w:spacing w:after="0"/>
              <w:rPr>
                <w:sz w:val="20"/>
                <w:szCs w:val="20"/>
                <w:color w:val="auto"/>
              </w:rPr>
            </w:pPr>
            <w:r>
              <w:rPr>
                <w:rFonts w:ascii="Arial" w:cs="Arial" w:eastAsia="Arial" w:hAnsi="Arial"/>
                <w:sz w:val="18"/>
                <w:szCs w:val="18"/>
                <w:color w:val="auto"/>
              </w:rPr>
              <w:t>149,000</w:t>
            </w:r>
          </w:p>
        </w:tc>
        <w:tc>
          <w:tcPr>
            <w:tcW w:w="58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0.82%</w:t>
            </w:r>
          </w:p>
        </w:tc>
        <w:tc>
          <w:tcPr>
            <w:tcW w:w="64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17</w:t>
            </w:r>
          </w:p>
        </w:tc>
        <w:tc>
          <w:tcPr>
            <w:tcW w:w="43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Home Depot, Inc.</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2,832,000</w:t>
            </w:r>
          </w:p>
        </w:tc>
        <w:tc>
          <w:tcPr>
            <w:tcW w:w="15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0.75%</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335,000</w:t>
            </w:r>
          </w:p>
        </w:tc>
        <w:tc>
          <w:tcPr>
            <w:tcW w:w="5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18</w:t>
            </w:r>
          </w:p>
        </w:tc>
        <w:tc>
          <w:tcPr>
            <w:tcW w:w="4320" w:type="dxa"/>
            <w:vAlign w:val="bottom"/>
            <w:gridSpan w:val="3"/>
          </w:tcPr>
          <w:p>
            <w:pPr>
              <w:ind w:left="320"/>
              <w:spacing w:after="0"/>
              <w:rPr>
                <w:sz w:val="20"/>
                <w:szCs w:val="20"/>
                <w:color w:val="auto"/>
              </w:rPr>
            </w:pPr>
            <w:r>
              <w:rPr>
                <w:rFonts w:ascii="Arial" w:cs="Arial" w:eastAsia="Arial" w:hAnsi="Arial"/>
                <w:sz w:val="18"/>
                <w:szCs w:val="18"/>
                <w:color w:val="auto"/>
              </w:rPr>
              <w:t>Kohl’s Corporation</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2,793,000</w:t>
            </w:r>
          </w:p>
        </w:tc>
        <w:tc>
          <w:tcPr>
            <w:tcW w:w="1520" w:type="dxa"/>
            <w:vAlign w:val="bottom"/>
            <w:gridSpan w:val="2"/>
          </w:tcPr>
          <w:p>
            <w:pPr>
              <w:jc w:val="right"/>
              <w:ind w:right="380"/>
              <w:spacing w:after="0"/>
              <w:rPr>
                <w:sz w:val="20"/>
                <w:szCs w:val="20"/>
                <w:color w:val="auto"/>
              </w:rPr>
            </w:pPr>
            <w:r>
              <w:rPr>
                <w:rFonts w:ascii="Arial" w:cs="Arial" w:eastAsia="Arial" w:hAnsi="Arial"/>
                <w:sz w:val="18"/>
                <w:szCs w:val="18"/>
                <w:color w:val="auto"/>
              </w:rPr>
              <w:t>0.74%</w:t>
            </w:r>
          </w:p>
        </w:tc>
        <w:tc>
          <w:tcPr>
            <w:tcW w:w="780" w:type="dxa"/>
            <w:vAlign w:val="bottom"/>
          </w:tcPr>
          <w:p>
            <w:pPr>
              <w:jc w:val="right"/>
              <w:spacing w:after="0"/>
              <w:rPr>
                <w:sz w:val="20"/>
                <w:szCs w:val="20"/>
                <w:color w:val="auto"/>
              </w:rPr>
            </w:pPr>
            <w:r>
              <w:rPr>
                <w:rFonts w:ascii="Arial" w:cs="Arial" w:eastAsia="Arial" w:hAnsi="Arial"/>
                <w:sz w:val="18"/>
                <w:szCs w:val="18"/>
                <w:color w:val="auto"/>
              </w:rPr>
              <w:t>322,000</w:t>
            </w:r>
          </w:p>
        </w:tc>
        <w:tc>
          <w:tcPr>
            <w:tcW w:w="58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1.77%</w:t>
            </w: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19</w:t>
            </w:r>
          </w:p>
        </w:tc>
        <w:tc>
          <w:tcPr>
            <w:tcW w:w="43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Wakefern Food Corporation</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2,783,000</w:t>
            </w:r>
          </w:p>
        </w:tc>
        <w:tc>
          <w:tcPr>
            <w:tcW w:w="15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0.73%</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136,000</w:t>
            </w:r>
          </w:p>
        </w:tc>
        <w:tc>
          <w:tcPr>
            <w:tcW w:w="5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0.75%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20</w:t>
            </w:r>
          </w:p>
        </w:tc>
        <w:tc>
          <w:tcPr>
            <w:tcW w:w="4320" w:type="dxa"/>
            <w:vAlign w:val="bottom"/>
            <w:gridSpan w:val="3"/>
          </w:tcPr>
          <w:p>
            <w:pPr>
              <w:ind w:left="320"/>
              <w:spacing w:after="0"/>
              <w:rPr>
                <w:sz w:val="20"/>
                <w:szCs w:val="20"/>
                <w:color w:val="auto"/>
              </w:rPr>
            </w:pPr>
            <w:r>
              <w:rPr>
                <w:rFonts w:ascii="Arial" w:cs="Arial" w:eastAsia="Arial" w:hAnsi="Arial"/>
                <w:sz w:val="18"/>
                <w:szCs w:val="18"/>
                <w:color w:val="auto"/>
              </w:rPr>
              <w:t>Toys R Us, Inc.</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2,708,000</w:t>
            </w:r>
          </w:p>
        </w:tc>
        <w:tc>
          <w:tcPr>
            <w:tcW w:w="1520" w:type="dxa"/>
            <w:vAlign w:val="bottom"/>
            <w:gridSpan w:val="2"/>
          </w:tcPr>
          <w:p>
            <w:pPr>
              <w:jc w:val="right"/>
              <w:ind w:right="380"/>
              <w:spacing w:after="0"/>
              <w:rPr>
                <w:sz w:val="20"/>
                <w:szCs w:val="20"/>
                <w:color w:val="auto"/>
              </w:rPr>
            </w:pPr>
            <w:r>
              <w:rPr>
                <w:rFonts w:ascii="Arial" w:cs="Arial" w:eastAsia="Arial" w:hAnsi="Arial"/>
                <w:sz w:val="18"/>
                <w:szCs w:val="18"/>
                <w:color w:val="auto"/>
              </w:rPr>
              <w:t>0.71%</w:t>
            </w:r>
          </w:p>
        </w:tc>
        <w:tc>
          <w:tcPr>
            <w:tcW w:w="780" w:type="dxa"/>
            <w:vAlign w:val="bottom"/>
          </w:tcPr>
          <w:p>
            <w:pPr>
              <w:jc w:val="right"/>
              <w:spacing w:after="0"/>
              <w:rPr>
                <w:sz w:val="20"/>
                <w:szCs w:val="20"/>
                <w:color w:val="auto"/>
              </w:rPr>
            </w:pPr>
            <w:r>
              <w:rPr>
                <w:rFonts w:ascii="Arial" w:cs="Arial" w:eastAsia="Arial" w:hAnsi="Arial"/>
                <w:sz w:val="18"/>
                <w:szCs w:val="18"/>
                <w:color w:val="auto"/>
              </w:rPr>
              <w:t>198,000</w:t>
            </w:r>
          </w:p>
        </w:tc>
        <w:tc>
          <w:tcPr>
            <w:tcW w:w="58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1.09%</w:t>
            </w:r>
          </w:p>
        </w:tc>
        <w:tc>
          <w:tcPr>
            <w:tcW w:w="64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21</w:t>
            </w:r>
          </w:p>
        </w:tc>
        <w:tc>
          <w:tcPr>
            <w:tcW w:w="43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Bally Total Fitness Corporation</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2,608,000</w:t>
            </w:r>
          </w:p>
        </w:tc>
        <w:tc>
          <w:tcPr>
            <w:tcW w:w="15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0.69%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156,000</w:t>
            </w:r>
          </w:p>
        </w:tc>
        <w:tc>
          <w:tcPr>
            <w:tcW w:w="5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0.86%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22</w:t>
            </w:r>
          </w:p>
        </w:tc>
        <w:tc>
          <w:tcPr>
            <w:tcW w:w="4320" w:type="dxa"/>
            <w:vAlign w:val="bottom"/>
            <w:gridSpan w:val="3"/>
          </w:tcPr>
          <w:p>
            <w:pPr>
              <w:ind w:left="320"/>
              <w:spacing w:after="0"/>
              <w:rPr>
                <w:sz w:val="20"/>
                <w:szCs w:val="20"/>
                <w:color w:val="auto"/>
              </w:rPr>
            </w:pPr>
            <w:r>
              <w:rPr>
                <w:rFonts w:ascii="Arial" w:cs="Arial" w:eastAsia="Arial" w:hAnsi="Arial"/>
                <w:sz w:val="18"/>
                <w:szCs w:val="18"/>
                <w:color w:val="auto"/>
              </w:rPr>
              <w:t>Great Atlantic &amp; Pacific Tea Co</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2,517,000</w:t>
            </w:r>
          </w:p>
        </w:tc>
        <w:tc>
          <w:tcPr>
            <w:tcW w:w="1520" w:type="dxa"/>
            <w:vAlign w:val="bottom"/>
            <w:gridSpan w:val="2"/>
          </w:tcPr>
          <w:p>
            <w:pPr>
              <w:jc w:val="right"/>
              <w:ind w:right="380"/>
              <w:spacing w:after="0"/>
              <w:rPr>
                <w:sz w:val="20"/>
                <w:szCs w:val="20"/>
                <w:color w:val="auto"/>
              </w:rPr>
            </w:pPr>
            <w:r>
              <w:rPr>
                <w:rFonts w:ascii="Arial" w:cs="Arial" w:eastAsia="Arial" w:hAnsi="Arial"/>
                <w:sz w:val="18"/>
                <w:szCs w:val="18"/>
                <w:color w:val="auto"/>
              </w:rPr>
              <w:t>0.66%</w:t>
            </w:r>
          </w:p>
        </w:tc>
        <w:tc>
          <w:tcPr>
            <w:tcW w:w="780" w:type="dxa"/>
            <w:vAlign w:val="bottom"/>
          </w:tcPr>
          <w:p>
            <w:pPr>
              <w:jc w:val="right"/>
              <w:spacing w:after="0"/>
              <w:rPr>
                <w:sz w:val="20"/>
                <w:szCs w:val="20"/>
                <w:color w:val="auto"/>
              </w:rPr>
            </w:pPr>
            <w:r>
              <w:rPr>
                <w:rFonts w:ascii="Arial" w:cs="Arial" w:eastAsia="Arial" w:hAnsi="Arial"/>
                <w:sz w:val="18"/>
                <w:szCs w:val="18"/>
                <w:color w:val="auto"/>
              </w:rPr>
              <w:t>217,000</w:t>
            </w:r>
          </w:p>
        </w:tc>
        <w:tc>
          <w:tcPr>
            <w:tcW w:w="58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1.20%</w:t>
            </w:r>
          </w:p>
        </w:tc>
        <w:tc>
          <w:tcPr>
            <w:tcW w:w="64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23</w:t>
            </w:r>
          </w:p>
        </w:tc>
        <w:tc>
          <w:tcPr>
            <w:tcW w:w="43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Container Store, Inc., The</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2,496,000</w:t>
            </w:r>
          </w:p>
        </w:tc>
        <w:tc>
          <w:tcPr>
            <w:tcW w:w="15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0.66%</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52,000</w:t>
            </w:r>
          </w:p>
        </w:tc>
        <w:tc>
          <w:tcPr>
            <w:tcW w:w="5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0.29%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24</w:t>
            </w:r>
          </w:p>
        </w:tc>
        <w:tc>
          <w:tcPr>
            <w:tcW w:w="4320" w:type="dxa"/>
            <w:vAlign w:val="bottom"/>
            <w:gridSpan w:val="3"/>
          </w:tcPr>
          <w:p>
            <w:pPr>
              <w:ind w:left="320"/>
              <w:spacing w:after="0"/>
              <w:rPr>
                <w:sz w:val="20"/>
                <w:szCs w:val="20"/>
                <w:color w:val="auto"/>
              </w:rPr>
            </w:pPr>
            <w:r>
              <w:rPr>
                <w:rFonts w:ascii="Arial" w:cs="Arial" w:eastAsia="Arial" w:hAnsi="Arial"/>
                <w:sz w:val="18"/>
                <w:szCs w:val="18"/>
                <w:color w:val="auto"/>
              </w:rPr>
              <w:t>A.C. Moore, Inc.</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2,483,000</w:t>
            </w:r>
          </w:p>
        </w:tc>
        <w:tc>
          <w:tcPr>
            <w:tcW w:w="1520" w:type="dxa"/>
            <w:vAlign w:val="bottom"/>
            <w:gridSpan w:val="2"/>
          </w:tcPr>
          <w:p>
            <w:pPr>
              <w:jc w:val="right"/>
              <w:ind w:right="380"/>
              <w:spacing w:after="0"/>
              <w:rPr>
                <w:sz w:val="20"/>
                <w:szCs w:val="20"/>
                <w:color w:val="auto"/>
              </w:rPr>
            </w:pPr>
            <w:r>
              <w:rPr>
                <w:rFonts w:ascii="Arial" w:cs="Arial" w:eastAsia="Arial" w:hAnsi="Arial"/>
                <w:sz w:val="18"/>
                <w:szCs w:val="18"/>
                <w:color w:val="auto"/>
              </w:rPr>
              <w:t>0.65%</w:t>
            </w:r>
          </w:p>
        </w:tc>
        <w:tc>
          <w:tcPr>
            <w:tcW w:w="780" w:type="dxa"/>
            <w:vAlign w:val="bottom"/>
          </w:tcPr>
          <w:p>
            <w:pPr>
              <w:jc w:val="right"/>
              <w:spacing w:after="0"/>
              <w:rPr>
                <w:sz w:val="20"/>
                <w:szCs w:val="20"/>
                <w:color w:val="auto"/>
              </w:rPr>
            </w:pPr>
            <w:r>
              <w:rPr>
                <w:rFonts w:ascii="Arial" w:cs="Arial" w:eastAsia="Arial" w:hAnsi="Arial"/>
                <w:sz w:val="18"/>
                <w:szCs w:val="18"/>
                <w:color w:val="auto"/>
              </w:rPr>
              <w:t>141,000</w:t>
            </w:r>
          </w:p>
        </w:tc>
        <w:tc>
          <w:tcPr>
            <w:tcW w:w="58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0.78%</w:t>
            </w:r>
          </w:p>
        </w:tc>
        <w:tc>
          <w:tcPr>
            <w:tcW w:w="64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25</w:t>
            </w:r>
          </w:p>
        </w:tc>
        <w:tc>
          <w:tcPr>
            <w:tcW w:w="43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AMC Entertainment Inc.</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2,378,000</w:t>
            </w:r>
          </w:p>
        </w:tc>
        <w:tc>
          <w:tcPr>
            <w:tcW w:w="5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0.63%</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166,000</w:t>
            </w:r>
          </w:p>
        </w:tc>
        <w:tc>
          <w:tcPr>
            <w:tcW w:w="5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0.91%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320" w:type="dxa"/>
            <w:vAlign w:val="bottom"/>
            <w:gridSpan w:val="3"/>
            <w:vMerge w:val="restart"/>
          </w:tcPr>
          <w:p>
            <w:pPr>
              <w:ind w:left="320"/>
              <w:spacing w:after="0"/>
              <w:rPr>
                <w:sz w:val="20"/>
                <w:szCs w:val="20"/>
                <w:color w:val="auto"/>
              </w:rPr>
            </w:pPr>
            <w:r>
              <w:rPr>
                <w:rFonts w:ascii="Arial" w:cs="Arial" w:eastAsia="Arial" w:hAnsi="Arial"/>
                <w:sz w:val="18"/>
                <w:szCs w:val="18"/>
                <w:color w:val="auto"/>
              </w:rPr>
              <w:t>Totals - Top 25 Tenants</w:t>
            </w: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320" w:type="dxa"/>
            <w:vAlign w:val="bottom"/>
            <w:gridSpan w:val="3"/>
            <w:vMerge w:val="continue"/>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105,021,000</w:t>
            </w:r>
          </w:p>
        </w:tc>
        <w:tc>
          <w:tcPr>
            <w:tcW w:w="580" w:type="dxa"/>
            <w:vAlign w:val="bottom"/>
          </w:tcPr>
          <w:p>
            <w:pPr>
              <w:spacing w:after="0"/>
              <w:rPr>
                <w:sz w:val="19"/>
                <w:szCs w:val="19"/>
                <w:color w:val="auto"/>
              </w:rPr>
            </w:pPr>
          </w:p>
        </w:tc>
        <w:tc>
          <w:tcPr>
            <w:tcW w:w="1520" w:type="dxa"/>
            <w:vAlign w:val="bottom"/>
            <w:gridSpan w:val="2"/>
          </w:tcPr>
          <w:p>
            <w:pPr>
              <w:jc w:val="right"/>
              <w:ind w:right="380"/>
              <w:spacing w:after="0"/>
              <w:rPr>
                <w:sz w:val="20"/>
                <w:szCs w:val="20"/>
                <w:color w:val="auto"/>
              </w:rPr>
            </w:pPr>
            <w:r>
              <w:rPr>
                <w:rFonts w:ascii="Arial" w:cs="Arial" w:eastAsia="Arial" w:hAnsi="Arial"/>
                <w:sz w:val="18"/>
                <w:szCs w:val="18"/>
                <w:color w:val="auto"/>
              </w:rPr>
              <w:t>27.68%</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5,917,000</w:t>
            </w:r>
          </w:p>
        </w:tc>
        <w:tc>
          <w:tcPr>
            <w:tcW w:w="580" w:type="dxa"/>
            <w:vAlign w:val="bottom"/>
          </w:tcPr>
          <w:p>
            <w:pPr>
              <w:spacing w:after="0"/>
              <w:rPr>
                <w:sz w:val="19"/>
                <w:szCs w:val="19"/>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32.60%</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3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Total: (1)</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379,525,000(2)</w:t>
            </w: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18,155,000(3)</w:t>
            </w:r>
          </w:p>
        </w:tc>
        <w:tc>
          <w:tcPr>
            <w:tcW w:w="8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580" w:type="dxa"/>
            <w:vAlign w:val="bottom"/>
          </w:tcPr>
          <w:p>
            <w:pPr>
              <w:spacing w:after="0"/>
              <w:rPr>
                <w:sz w:val="8"/>
                <w:szCs w:val="8"/>
                <w:color w:val="auto"/>
              </w:rPr>
            </w:pPr>
          </w:p>
        </w:tc>
        <w:tc>
          <w:tcPr>
            <w:tcW w:w="9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90"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Does not include amounts related to leases these tenants have with our partnership with a discretionary fund created and advised by ING Clarion Partners.</w:t>
      </w:r>
    </w:p>
    <w:p>
      <w:pPr>
        <w:spacing w:after="0" w:line="38" w:lineRule="exact"/>
        <w:rPr>
          <w:rFonts w:ascii="Arial" w:cs="Arial" w:eastAsia="Arial" w:hAnsi="Arial"/>
          <w:sz w:val="16"/>
          <w:szCs w:val="16"/>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Reflects annual in-place contractual (cash-basis) rent as of March 31, 2010.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Excludes redevelopment square footage not yet placed in service.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Individual items may not add up to total due to rounding.</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Net Income to FFO Guidance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center"/>
              <w:ind w:left="195"/>
              <w:spacing w:after="0"/>
              <w:rPr>
                <w:sz w:val="20"/>
                <w:szCs w:val="20"/>
                <w:color w:val="auto"/>
              </w:rPr>
            </w:pPr>
            <w:r>
              <w:rPr>
                <w:rFonts w:ascii="Arial" w:cs="Arial" w:eastAsia="Arial" w:hAnsi="Arial"/>
                <w:sz w:val="14"/>
                <w:szCs w:val="14"/>
                <w:b w:val="1"/>
                <w:bCs w:val="1"/>
                <w:color w:val="auto"/>
                <w:w w:val="86"/>
              </w:rPr>
              <w:t>2010 Guidance</w:t>
            </w: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4"/>
          </w:tcPr>
          <w:p>
            <w:pPr>
              <w:jc w:val="center"/>
              <w:ind w:right="32"/>
              <w:spacing w:after="0" w:line="129" w:lineRule="exact"/>
              <w:rPr>
                <w:sz w:val="20"/>
                <w:szCs w:val="20"/>
                <w:color w:val="auto"/>
              </w:rPr>
            </w:pPr>
            <w:r>
              <w:rPr>
                <w:rFonts w:ascii="Arial" w:cs="Arial" w:eastAsia="Arial" w:hAnsi="Arial"/>
                <w:sz w:val="14"/>
                <w:szCs w:val="14"/>
                <w:b w:val="1"/>
                <w:bCs w:val="1"/>
                <w:color w:val="auto"/>
                <w:w w:val="87"/>
              </w:rPr>
              <w:t>(Dollars in millions except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7"/>
              </w:rPr>
              <w:t>per share amounts) (1)</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86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Funds from Operations available for common shareholders (FFO)</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9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Net income</w:t>
            </w:r>
          </w:p>
        </w:tc>
        <w:tc>
          <w:tcPr>
            <w:tcW w:w="37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CCEEFF"/>
            </w:tcBorders>
            <w:gridSpan w:val="2"/>
          </w:tcPr>
          <w:p>
            <w:pPr>
              <w:jc w:val="right"/>
              <w:ind w:right="460"/>
              <w:spacing w:after="0"/>
              <w:rPr>
                <w:sz w:val="20"/>
                <w:szCs w:val="20"/>
                <w:color w:val="auto"/>
              </w:rPr>
            </w:pPr>
            <w:r>
              <w:rPr>
                <w:rFonts w:ascii="Arial" w:cs="Arial" w:eastAsia="Arial" w:hAnsi="Arial"/>
                <w:sz w:val="18"/>
                <w:szCs w:val="18"/>
                <w:color w:val="auto"/>
              </w:rPr>
              <w:t>124</w:t>
            </w:r>
          </w:p>
        </w:tc>
        <w:tc>
          <w:tcPr>
            <w:tcW w:w="280" w:type="dxa"/>
            <w:vAlign w:val="bottom"/>
            <w:tcBorders>
              <w:top w:val="single" w:sz="8" w:color="CCEEFF"/>
            </w:tcBorders>
          </w:tcPr>
          <w:p>
            <w:pPr>
              <w:jc w:val="right"/>
              <w:ind w:right="123"/>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660" w:type="dxa"/>
            <w:vAlign w:val="bottom"/>
            <w:gridSpan w:val="3"/>
          </w:tcPr>
          <w:p>
            <w:pPr>
              <w:spacing w:after="0"/>
              <w:rPr>
                <w:sz w:val="20"/>
                <w:szCs w:val="20"/>
                <w:color w:val="auto"/>
              </w:rPr>
            </w:pPr>
            <w:r>
              <w:rPr>
                <w:rFonts w:ascii="Arial" w:cs="Arial" w:eastAsia="Arial" w:hAnsi="Arial"/>
                <w:sz w:val="18"/>
                <w:szCs w:val="18"/>
                <w:color w:val="auto"/>
              </w:rPr>
              <w:t>Gain on sale of real estate</w:t>
            </w:r>
          </w:p>
        </w:tc>
        <w:tc>
          <w:tcPr>
            <w:tcW w:w="100" w:type="dxa"/>
            <w:vAlign w:val="bottom"/>
          </w:tcPr>
          <w:p>
            <w:pPr>
              <w:spacing w:after="0"/>
              <w:rPr>
                <w:sz w:val="18"/>
                <w:szCs w:val="18"/>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Depreciation and amortization of real estate &amp; real estate partnership assets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108</w:t>
            </w:r>
          </w:p>
        </w:tc>
        <w:tc>
          <w:tcPr>
            <w:tcW w:w="2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660" w:type="dxa"/>
            <w:vAlign w:val="bottom"/>
            <w:gridSpan w:val="3"/>
          </w:tcPr>
          <w:p>
            <w:pPr>
              <w:spacing w:after="0"/>
              <w:rPr>
                <w:sz w:val="20"/>
                <w:szCs w:val="20"/>
                <w:color w:val="auto"/>
              </w:rPr>
            </w:pPr>
            <w:r>
              <w:rPr>
                <w:rFonts w:ascii="Arial" w:cs="Arial" w:eastAsia="Arial" w:hAnsi="Arial"/>
                <w:sz w:val="18"/>
                <w:szCs w:val="18"/>
                <w:color w:val="auto"/>
              </w:rPr>
              <w:t>Amortization of initial direct costs of leases</w:t>
            </w:r>
          </w:p>
        </w:tc>
        <w:tc>
          <w:tcPr>
            <w:tcW w:w="100" w:type="dxa"/>
            <w:vAlign w:val="bottom"/>
          </w:tcPr>
          <w:p>
            <w:pPr>
              <w:spacing w:after="0"/>
              <w:rPr>
                <w:sz w:val="18"/>
                <w:szCs w:val="18"/>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9</w:t>
            </w:r>
          </w:p>
        </w:tc>
        <w:tc>
          <w:tcPr>
            <w:tcW w:w="28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426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8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Funds from operations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235</w:t>
            </w:r>
          </w:p>
        </w:tc>
        <w:tc>
          <w:tcPr>
            <w:tcW w:w="2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660" w:type="dxa"/>
            <w:vAlign w:val="bottom"/>
            <w:gridSpan w:val="3"/>
          </w:tcPr>
          <w:p>
            <w:pPr>
              <w:spacing w:after="0"/>
              <w:rPr>
                <w:sz w:val="20"/>
                <w:szCs w:val="20"/>
                <w:color w:val="auto"/>
              </w:rPr>
            </w:pPr>
            <w:r>
              <w:rPr>
                <w:rFonts w:ascii="Arial" w:cs="Arial" w:eastAsia="Arial" w:hAnsi="Arial"/>
                <w:sz w:val="18"/>
                <w:szCs w:val="18"/>
                <w:color w:val="auto"/>
              </w:rPr>
              <w:t>Dividends on preferred stock</w:t>
            </w: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attributable to operating partnership units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660" w:type="dxa"/>
            <w:vAlign w:val="bottom"/>
            <w:gridSpan w:val="3"/>
          </w:tcPr>
          <w:p>
            <w:pPr>
              <w:spacing w:after="0"/>
              <w:rPr>
                <w:sz w:val="20"/>
                <w:szCs w:val="20"/>
                <w:color w:val="auto"/>
              </w:rPr>
            </w:pPr>
            <w:r>
              <w:rPr>
                <w:rFonts w:ascii="Arial" w:cs="Arial" w:eastAsia="Arial" w:hAnsi="Arial"/>
                <w:sz w:val="18"/>
                <w:szCs w:val="18"/>
                <w:color w:val="auto"/>
              </w:rPr>
              <w:t>Income attributable to unvested shares</w:t>
            </w: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426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8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FFO</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235</w:t>
            </w:r>
          </w:p>
        </w:tc>
        <w:tc>
          <w:tcPr>
            <w:tcW w:w="2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660" w:type="dxa"/>
            <w:vAlign w:val="bottom"/>
            <w:gridSpan w:val="3"/>
          </w:tcPr>
          <w:p>
            <w:pPr>
              <w:spacing w:after="0"/>
              <w:rPr>
                <w:sz w:val="20"/>
                <w:szCs w:val="20"/>
                <w:color w:val="auto"/>
              </w:rPr>
            </w:pPr>
            <w:r>
              <w:rPr>
                <w:rFonts w:ascii="Arial" w:cs="Arial" w:eastAsia="Arial" w:hAnsi="Arial"/>
                <w:sz w:val="18"/>
                <w:szCs w:val="18"/>
                <w:color w:val="auto"/>
              </w:rPr>
              <w:t>Litigation provision (2)</w:t>
            </w:r>
          </w:p>
        </w:tc>
        <w:tc>
          <w:tcPr>
            <w:tcW w:w="100" w:type="dxa"/>
            <w:vAlign w:val="bottom"/>
          </w:tcPr>
          <w:p>
            <w:pPr>
              <w:spacing w:after="0"/>
              <w:rPr>
                <w:sz w:val="18"/>
                <w:szCs w:val="18"/>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426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8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FFO excluding litigation provision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236</w:t>
            </w: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9120" w:type="dxa"/>
            <w:vAlign w:val="bottom"/>
            <w:gridSpan w:val="4"/>
          </w:tcPr>
          <w:p>
            <w:pPr>
              <w:ind w:left="460"/>
              <w:spacing w:after="0"/>
              <w:rPr>
                <w:sz w:val="20"/>
                <w:szCs w:val="20"/>
                <w:color w:val="auto"/>
              </w:rPr>
            </w:pPr>
            <w:r>
              <w:rPr>
                <w:rFonts w:ascii="Arial" w:cs="Arial" w:eastAsia="Arial" w:hAnsi="Arial"/>
                <w:sz w:val="18"/>
                <w:szCs w:val="18"/>
                <w:color w:val="auto"/>
              </w:rPr>
              <w:t>Weighted average number of common shares, diluted</w:t>
            </w:r>
          </w:p>
        </w:tc>
        <w:tc>
          <w:tcPr>
            <w:tcW w:w="100" w:type="dxa"/>
            <w:vAlign w:val="bottom"/>
          </w:tcPr>
          <w:p>
            <w:pPr>
              <w:spacing w:after="0"/>
              <w:rPr>
                <w:sz w:val="24"/>
                <w:szCs w:val="24"/>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61.7</w:t>
            </w:r>
          </w:p>
        </w:tc>
        <w:tc>
          <w:tcPr>
            <w:tcW w:w="280" w:type="dxa"/>
            <w:vAlign w:val="bottom"/>
          </w:tcPr>
          <w:p>
            <w:pPr>
              <w:spacing w:after="0"/>
              <w:rPr>
                <w:sz w:val="24"/>
                <w:szCs w:val="24"/>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110"/>
        </w:trPr>
        <w:tc>
          <w:tcPr>
            <w:tcW w:w="460" w:type="dxa"/>
            <w:vAlign w:val="bottom"/>
            <w:vMerge w:val="restart"/>
          </w:tcPr>
          <w:p>
            <w:pPr>
              <w:spacing w:after="0"/>
              <w:rPr>
                <w:sz w:val="9"/>
                <w:szCs w:val="9"/>
                <w:color w:val="auto"/>
              </w:rPr>
            </w:pPr>
          </w:p>
        </w:tc>
        <w:tc>
          <w:tcPr>
            <w:tcW w:w="700" w:type="dxa"/>
            <w:vAlign w:val="bottom"/>
          </w:tcPr>
          <w:p>
            <w:pPr>
              <w:spacing w:after="0"/>
              <w:rPr>
                <w:sz w:val="9"/>
                <w:szCs w:val="9"/>
                <w:color w:val="auto"/>
              </w:rPr>
            </w:pPr>
          </w:p>
        </w:tc>
        <w:tc>
          <w:tcPr>
            <w:tcW w:w="4260" w:type="dxa"/>
            <w:vAlign w:val="bottom"/>
          </w:tcPr>
          <w:p>
            <w:pPr>
              <w:spacing w:after="0"/>
              <w:rPr>
                <w:sz w:val="9"/>
                <w:szCs w:val="9"/>
                <w:color w:val="auto"/>
              </w:rPr>
            </w:pPr>
          </w:p>
        </w:tc>
        <w:tc>
          <w:tcPr>
            <w:tcW w:w="3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60" w:type="dxa"/>
            <w:vAlign w:val="bottom"/>
            <w:vMerge w:val="continue"/>
          </w:tcPr>
          <w:p>
            <w:pPr>
              <w:spacing w:after="0"/>
              <w:rPr>
                <w:sz w:val="18"/>
                <w:szCs w:val="18"/>
                <w:color w:val="auto"/>
              </w:rPr>
            </w:pPr>
          </w:p>
        </w:tc>
        <w:tc>
          <w:tcPr>
            <w:tcW w:w="8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FFO per diluted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3.81</w:t>
            </w: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660" w:type="dxa"/>
            <w:vAlign w:val="bottom"/>
            <w:gridSpan w:val="3"/>
          </w:tcPr>
          <w:p>
            <w:pPr>
              <w:spacing w:after="0"/>
              <w:rPr>
                <w:sz w:val="20"/>
                <w:szCs w:val="20"/>
                <w:color w:val="auto"/>
              </w:rPr>
            </w:pPr>
            <w:r>
              <w:rPr>
                <w:rFonts w:ascii="Arial" w:cs="Arial" w:eastAsia="Arial" w:hAnsi="Arial"/>
                <w:sz w:val="18"/>
                <w:szCs w:val="18"/>
                <w:color w:val="auto"/>
              </w:rPr>
              <w:t>Litigation provision (2)</w:t>
            </w:r>
          </w:p>
        </w:tc>
        <w:tc>
          <w:tcPr>
            <w:tcW w:w="100" w:type="dxa"/>
            <w:vAlign w:val="bottom"/>
          </w:tcPr>
          <w:p>
            <w:pPr>
              <w:spacing w:after="0"/>
              <w:rPr>
                <w:sz w:val="18"/>
                <w:szCs w:val="18"/>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0.01</w:t>
            </w:r>
          </w:p>
        </w:tc>
        <w:tc>
          <w:tcPr>
            <w:tcW w:w="28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426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8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FFO per diluted share excluding litigation provision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3.82</w:t>
            </w: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46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4260" w:type="dxa"/>
            <w:vAlign w:val="bottom"/>
          </w:tcPr>
          <w:p>
            <w:pPr>
              <w:spacing w:after="0"/>
              <w:rPr>
                <w:sz w:val="7"/>
                <w:szCs w:val="7"/>
                <w:color w:val="auto"/>
              </w:rPr>
            </w:pPr>
          </w:p>
        </w:tc>
        <w:tc>
          <w:tcPr>
            <w:tcW w:w="3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15"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Individual items may not add up to total due to rounding.</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Amount represents certain costs related to the litigation and appeal process over a parcel of land located adjacent to Santana Row.</w:t>
      </w:r>
    </w:p>
    <w:p>
      <w:pPr>
        <w:spacing w:after="0" w:line="151"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60"/>
          </w:cols>
          <w:pgMar w:left="240" w:top="274" w:right="69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Summarized Income Statements and Balance Sheets - Joint Venture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CONSOLIDATED INCOME STATEMENTS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8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0"/>
              </w:rPr>
              <w:t>Three months ended March 31,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w w:val="96"/>
              </w:rPr>
              <w:t>2009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4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ind w:left="420"/>
              <w:spacing w:after="0"/>
              <w:rPr>
                <w:sz w:val="20"/>
                <w:szCs w:val="20"/>
                <w:color w:val="auto"/>
              </w:rPr>
            </w:pPr>
            <w:r>
              <w:rPr>
                <w:rFonts w:ascii="Arial" w:cs="Arial" w:eastAsia="Arial" w:hAnsi="Arial"/>
                <w:sz w:val="18"/>
                <w:szCs w:val="18"/>
                <w:color w:val="auto"/>
              </w:rPr>
              <w:t>Rental income</w:t>
            </w:r>
          </w:p>
        </w:tc>
        <w:tc>
          <w:tcPr>
            <w:tcW w:w="4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4,643</w:t>
            </w:r>
          </w:p>
        </w:tc>
        <w:tc>
          <w:tcPr>
            <w:tcW w:w="52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property income</w:t>
            </w:r>
          </w:p>
        </w:tc>
        <w:tc>
          <w:tcPr>
            <w:tcW w:w="43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4,655</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4,688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Expenses</w:t>
            </w:r>
          </w:p>
        </w:tc>
        <w:tc>
          <w:tcPr>
            <w:tcW w:w="4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ind w:left="420"/>
              <w:spacing w:after="0"/>
              <w:rPr>
                <w:sz w:val="20"/>
                <w:szCs w:val="20"/>
                <w:color w:val="auto"/>
              </w:rPr>
            </w:pPr>
            <w:r>
              <w:rPr>
                <w:rFonts w:ascii="Arial" w:cs="Arial" w:eastAsia="Arial" w:hAnsi="Arial"/>
                <w:sz w:val="18"/>
                <w:szCs w:val="18"/>
                <w:color w:val="auto"/>
              </w:rPr>
              <w:t>Rental</w:t>
            </w:r>
          </w:p>
        </w:tc>
        <w:tc>
          <w:tcPr>
            <w:tcW w:w="4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1,355</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Real estate taxes</w:t>
            </w:r>
          </w:p>
        </w:tc>
        <w:tc>
          <w:tcPr>
            <w:tcW w:w="4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607</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gridSpan w:val="2"/>
          </w:tcPr>
          <w:p>
            <w:pPr>
              <w:ind w:left="420"/>
              <w:spacing w:after="0"/>
              <w:rPr>
                <w:sz w:val="20"/>
                <w:szCs w:val="20"/>
                <w:color w:val="auto"/>
              </w:rPr>
            </w:pPr>
            <w:r>
              <w:rPr>
                <w:rFonts w:ascii="Arial" w:cs="Arial" w:eastAsia="Arial" w:hAnsi="Arial"/>
                <w:sz w:val="18"/>
                <w:szCs w:val="18"/>
                <w:color w:val="auto"/>
              </w:rPr>
              <w:t>Depreciation and amortization</w:t>
            </w:r>
          </w:p>
        </w:tc>
        <w:tc>
          <w:tcPr>
            <w:tcW w:w="4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1,268</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720" w:type="dxa"/>
            <w:vAlign w:val="bottom"/>
            <w:gridSpan w:val="2"/>
          </w:tcPr>
          <w:p>
            <w:pPr>
              <w:ind w:left="420"/>
              <w:spacing w:after="0"/>
              <w:rPr>
                <w:sz w:val="20"/>
                <w:szCs w:val="20"/>
                <w:color w:val="auto"/>
              </w:rPr>
            </w:pPr>
            <w:r>
              <w:rPr>
                <w:rFonts w:ascii="Arial" w:cs="Arial" w:eastAsia="Arial" w:hAnsi="Arial"/>
                <w:sz w:val="18"/>
                <w:szCs w:val="18"/>
                <w:color w:val="auto"/>
              </w:rPr>
              <w:t>Operating income</w:t>
            </w:r>
          </w:p>
        </w:tc>
        <w:tc>
          <w:tcPr>
            <w:tcW w:w="4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1,425</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1,761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4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(852)</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(1,133)</w:t>
            </w:r>
          </w:p>
        </w:tc>
        <w:tc>
          <w:tcPr>
            <w:tcW w:w="0" w:type="dxa"/>
            <w:vAlign w:val="bottom"/>
          </w:tcPr>
          <w:p>
            <w:pPr>
              <w:spacing w:after="0"/>
              <w:rPr>
                <w:sz w:val="1"/>
                <w:szCs w:val="1"/>
                <w:color w:val="auto"/>
              </w:rPr>
            </w:pPr>
          </w:p>
        </w:tc>
      </w:tr>
      <w:tr>
        <w:trPr>
          <w:trHeight w:val="20"/>
        </w:trPr>
        <w:tc>
          <w:tcPr>
            <w:tcW w:w="4740" w:type="dxa"/>
            <w:vAlign w:val="bottom"/>
            <w:gridSpan w:val="3"/>
            <w:vMerge w:val="restart"/>
          </w:tcPr>
          <w:p>
            <w:pPr>
              <w:spacing w:after="0"/>
              <w:rPr>
                <w:sz w:val="20"/>
                <w:szCs w:val="20"/>
                <w:color w:val="auto"/>
              </w:rPr>
            </w:pPr>
            <w:r>
              <w:rPr>
                <w:rFonts w:ascii="Arial" w:cs="Arial" w:eastAsia="Arial" w:hAnsi="Arial"/>
                <w:sz w:val="18"/>
                <w:szCs w:val="18"/>
                <w:color w:val="auto"/>
              </w:rPr>
              <w:t>Net income</w:t>
            </w:r>
          </w:p>
        </w:tc>
        <w:tc>
          <w:tcPr>
            <w:tcW w:w="4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740" w:type="dxa"/>
            <w:vAlign w:val="bottom"/>
            <w:gridSpan w:val="3"/>
            <w:vMerge w:val="continue"/>
          </w:tcPr>
          <w:p>
            <w:pPr>
              <w:spacing w:after="0"/>
              <w:rPr>
                <w:sz w:val="19"/>
                <w:szCs w:val="19"/>
                <w:color w:val="auto"/>
              </w:rPr>
            </w:pPr>
          </w:p>
        </w:tc>
        <w:tc>
          <w:tcPr>
            <w:tcW w:w="4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573</w:t>
            </w:r>
          </w:p>
        </w:tc>
        <w:tc>
          <w:tcPr>
            <w:tcW w:w="52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0"/>
        </w:trPr>
        <w:tc>
          <w:tcPr>
            <w:tcW w:w="4740" w:type="dxa"/>
            <w:vAlign w:val="bottom"/>
            <w:gridSpan w:val="3"/>
            <w:vMerge w:val="restart"/>
          </w:tcPr>
          <w:p>
            <w:pPr>
              <w:spacing w:after="0"/>
              <w:rPr>
                <w:sz w:val="20"/>
                <w:szCs w:val="20"/>
                <w:color w:val="auto"/>
              </w:rPr>
            </w:pPr>
            <w:r>
              <w:rPr>
                <w:rFonts w:ascii="Arial" w:cs="Arial" w:eastAsia="Arial" w:hAnsi="Arial"/>
                <w:sz w:val="18"/>
                <w:szCs w:val="18"/>
                <w:color w:val="auto"/>
              </w:rPr>
              <w:t>CONSOLIDATED BALANCE SHEETS</w:t>
            </w:r>
          </w:p>
        </w:tc>
        <w:tc>
          <w:tcPr>
            <w:tcW w:w="4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8"/>
        </w:trPr>
        <w:tc>
          <w:tcPr>
            <w:tcW w:w="4740" w:type="dxa"/>
            <w:vAlign w:val="bottom"/>
            <w:gridSpan w:val="3"/>
            <w:vMerge w:val="continue"/>
          </w:tcPr>
          <w:p>
            <w:pPr>
              <w:spacing w:after="0"/>
              <w:rPr>
                <w:sz w:val="24"/>
                <w:szCs w:val="24"/>
                <w:color w:val="auto"/>
              </w:rPr>
            </w:pPr>
          </w:p>
        </w:tc>
        <w:tc>
          <w:tcPr>
            <w:tcW w:w="4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2880" w:type="dxa"/>
            <w:vAlign w:val="bottom"/>
            <w:tcBorders>
              <w:top w:val="single" w:sz="8" w:color="auto"/>
            </w:tcBorders>
          </w:tcPr>
          <w:p>
            <w:pPr>
              <w:spacing w:after="0"/>
              <w:rPr>
                <w:sz w:val="24"/>
                <w:szCs w:val="24"/>
                <w:color w:val="auto"/>
              </w:rPr>
            </w:pPr>
          </w:p>
        </w:tc>
        <w:tc>
          <w:tcPr>
            <w:tcW w:w="184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04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9"/>
              </w:rPr>
              <w:t>March 31,</w:t>
            </w:r>
          </w:p>
        </w:tc>
        <w:tc>
          <w:tcPr>
            <w:tcW w:w="240" w:type="dxa"/>
            <w:vAlign w:val="bottom"/>
          </w:tcPr>
          <w:p>
            <w:pPr>
              <w:spacing w:after="0"/>
              <w:rPr>
                <w:sz w:val="24"/>
                <w:szCs w:val="24"/>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w w:val="96"/>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4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Real estate, at cost</w:t>
            </w:r>
          </w:p>
        </w:tc>
        <w:tc>
          <w:tcPr>
            <w:tcW w:w="4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203,399</w:t>
            </w:r>
          </w:p>
        </w:tc>
        <w:tc>
          <w:tcPr>
            <w:tcW w:w="52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203,122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Less accumulated depreciation and amortization</w:t>
            </w:r>
          </w:p>
        </w:tc>
        <w:tc>
          <w:tcPr>
            <w:tcW w:w="4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(20,604)</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(19,365)</w:t>
            </w:r>
          </w:p>
        </w:tc>
        <w:tc>
          <w:tcPr>
            <w:tcW w:w="0" w:type="dxa"/>
            <w:vAlign w:val="bottom"/>
          </w:tcPr>
          <w:p>
            <w:pPr>
              <w:spacing w:after="0"/>
              <w:rPr>
                <w:sz w:val="1"/>
                <w:szCs w:val="1"/>
                <w:color w:val="auto"/>
              </w:rPr>
            </w:pPr>
          </w:p>
        </w:tc>
      </w:tr>
      <w:tr>
        <w:trPr>
          <w:trHeight w:val="221"/>
        </w:trPr>
        <w:tc>
          <w:tcPr>
            <w:tcW w:w="4740" w:type="dxa"/>
            <w:vAlign w:val="bottom"/>
            <w:gridSpan w:val="3"/>
          </w:tcPr>
          <w:p>
            <w:pPr>
              <w:spacing w:after="0"/>
              <w:rPr>
                <w:sz w:val="20"/>
                <w:szCs w:val="20"/>
                <w:color w:val="auto"/>
              </w:rPr>
            </w:pPr>
            <w:r>
              <w:rPr>
                <w:rFonts w:ascii="Arial" w:cs="Arial" w:eastAsia="Arial" w:hAnsi="Arial"/>
                <w:sz w:val="18"/>
                <w:szCs w:val="18"/>
                <w:color w:val="auto"/>
              </w:rPr>
              <w:t>Net real estate</w:t>
            </w:r>
          </w:p>
        </w:tc>
        <w:tc>
          <w:tcPr>
            <w:tcW w:w="43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182,795</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183,757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3,614</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4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6,574</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4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192,983</w:t>
            </w:r>
          </w:p>
        </w:tc>
        <w:tc>
          <w:tcPr>
            <w:tcW w:w="52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193,569</w:t>
            </w:r>
          </w:p>
        </w:tc>
        <w:tc>
          <w:tcPr>
            <w:tcW w:w="0" w:type="dxa"/>
            <w:vAlign w:val="bottom"/>
          </w:tcPr>
          <w:p>
            <w:pPr>
              <w:spacing w:after="0"/>
              <w:rPr>
                <w:sz w:val="1"/>
                <w:szCs w:val="1"/>
                <w:color w:val="auto"/>
              </w:rPr>
            </w:pPr>
          </w:p>
        </w:tc>
      </w:tr>
      <w:tr>
        <w:trPr>
          <w:trHeight w:val="20"/>
        </w:trPr>
        <w:tc>
          <w:tcPr>
            <w:tcW w:w="4740" w:type="dxa"/>
            <w:vAlign w:val="bottom"/>
            <w:gridSpan w:val="3"/>
            <w:vMerge w:val="restart"/>
          </w:tcPr>
          <w:p>
            <w:pPr>
              <w:spacing w:after="0"/>
              <w:rPr>
                <w:sz w:val="20"/>
                <w:szCs w:val="20"/>
                <w:color w:val="auto"/>
              </w:rPr>
            </w:pPr>
            <w:r>
              <w:rPr>
                <w:rFonts w:ascii="Arial" w:cs="Arial" w:eastAsia="Arial" w:hAnsi="Arial"/>
                <w:sz w:val="18"/>
                <w:szCs w:val="18"/>
                <w:color w:val="auto"/>
              </w:rPr>
              <w:t>LIABILITIES AND PARTNERS’ CAPITAL</w:t>
            </w:r>
          </w:p>
        </w:tc>
        <w:tc>
          <w:tcPr>
            <w:tcW w:w="4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740" w:type="dxa"/>
            <w:vAlign w:val="bottom"/>
            <w:gridSpan w:val="3"/>
            <w:vMerge w:val="continue"/>
          </w:tcPr>
          <w:p>
            <w:pPr>
              <w:spacing w:after="0"/>
              <w:rPr>
                <w:sz w:val="18"/>
                <w:szCs w:val="18"/>
                <w:color w:val="auto"/>
              </w:rPr>
            </w:pPr>
          </w:p>
        </w:tc>
        <w:tc>
          <w:tcPr>
            <w:tcW w:w="4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w:t>
            </w:r>
          </w:p>
        </w:tc>
        <w:tc>
          <w:tcPr>
            <w:tcW w:w="4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ind w:left="420"/>
              <w:spacing w:after="0"/>
              <w:rPr>
                <w:sz w:val="20"/>
                <w:szCs w:val="20"/>
                <w:color w:val="auto"/>
              </w:rPr>
            </w:pPr>
            <w:r>
              <w:rPr>
                <w:rFonts w:ascii="Arial" w:cs="Arial" w:eastAsia="Arial" w:hAnsi="Arial"/>
                <w:sz w:val="18"/>
                <w:szCs w:val="18"/>
                <w:color w:val="auto"/>
              </w:rPr>
              <w:t>Mortgages payable</w:t>
            </w:r>
          </w:p>
        </w:tc>
        <w:tc>
          <w:tcPr>
            <w:tcW w:w="4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57,732</w:t>
            </w:r>
          </w:p>
        </w:tc>
        <w:tc>
          <w:tcPr>
            <w:tcW w:w="52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57,780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liabilities</w:t>
            </w:r>
          </w:p>
        </w:tc>
        <w:tc>
          <w:tcPr>
            <w:tcW w:w="43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740" w:type="dxa"/>
            <w:vAlign w:val="bottom"/>
            <w:gridSpan w:val="3"/>
          </w:tcPr>
          <w:p>
            <w:pPr>
              <w:spacing w:after="0"/>
              <w:rPr>
                <w:sz w:val="20"/>
                <w:szCs w:val="20"/>
                <w:color w:val="auto"/>
              </w:rPr>
            </w:pPr>
            <w:r>
              <w:rPr>
                <w:rFonts w:ascii="Arial" w:cs="Arial" w:eastAsia="Arial" w:hAnsi="Arial"/>
                <w:sz w:val="18"/>
                <w:szCs w:val="18"/>
                <w:color w:val="auto"/>
              </w:rPr>
              <w:t>Total liabilities</w:t>
            </w:r>
          </w:p>
        </w:tc>
        <w:tc>
          <w:tcPr>
            <w:tcW w:w="4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63,840</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63,881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Partners’ capital</w:t>
            </w:r>
          </w:p>
        </w:tc>
        <w:tc>
          <w:tcPr>
            <w:tcW w:w="43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129,143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129,688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740" w:type="dxa"/>
            <w:vAlign w:val="bottom"/>
            <w:gridSpan w:val="3"/>
          </w:tcPr>
          <w:p>
            <w:pPr>
              <w:spacing w:after="0"/>
              <w:rPr>
                <w:sz w:val="20"/>
                <w:szCs w:val="20"/>
                <w:color w:val="auto"/>
              </w:rPr>
            </w:pPr>
            <w:r>
              <w:rPr>
                <w:rFonts w:ascii="Arial" w:cs="Arial" w:eastAsia="Arial" w:hAnsi="Arial"/>
                <w:sz w:val="18"/>
                <w:szCs w:val="18"/>
                <w:color w:val="auto"/>
              </w:rPr>
              <w:t>TOTAL LIABILITIES AND PARTNERS’ CAPITAL</w:t>
            </w:r>
          </w:p>
        </w:tc>
        <w:tc>
          <w:tcPr>
            <w:tcW w:w="4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192,983</w:t>
            </w:r>
          </w:p>
        </w:tc>
        <w:tc>
          <w:tcPr>
            <w:tcW w:w="52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193,569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380" w:type="dxa"/>
            <w:vAlign w:val="bottom"/>
            <w:vMerge w:val="restart"/>
          </w:tcPr>
          <w:p>
            <w:pPr>
              <w:jc w:val="right"/>
              <w:ind w:right="3232"/>
              <w:spacing w:after="0"/>
              <w:rPr>
                <w:sz w:val="20"/>
                <w:szCs w:val="20"/>
                <w:color w:val="auto"/>
              </w:rPr>
            </w:pPr>
            <w:r>
              <w:rPr>
                <w:rFonts w:ascii="Arial" w:cs="Arial" w:eastAsia="Arial" w:hAnsi="Arial"/>
                <w:sz w:val="18"/>
                <w:szCs w:val="18"/>
                <w:color w:val="auto"/>
              </w:rPr>
              <w:t>22</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3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Outstanding Debt and Debt Maturities - Joint Venture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color w:val="auto"/>
        </w:rPr>
        <w:t>OUTSTANDING DEBT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Stated</w:t>
            </w: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116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Interest Rate as of</w:t>
            </w: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1"/>
        </w:trPr>
        <w:tc>
          <w:tcPr>
            <w:tcW w:w="116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21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5"/>
              </w:rPr>
              <w:t>Maturity</w:t>
            </w: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March 31, 2010</w:t>
            </w: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ind w:left="40"/>
              <w:spacing w:after="0"/>
              <w:rPr>
                <w:sz w:val="20"/>
                <w:szCs w:val="20"/>
                <w:color w:val="auto"/>
              </w:rPr>
            </w:pPr>
            <w:r>
              <w:rPr>
                <w:rFonts w:ascii="Arial" w:cs="Arial" w:eastAsia="Arial" w:hAnsi="Arial"/>
                <w:sz w:val="14"/>
                <w:szCs w:val="14"/>
                <w:b w:val="1"/>
                <w:bCs w:val="1"/>
                <w:color w:val="auto"/>
              </w:rPr>
              <w:t>Balance</w:t>
            </w:r>
          </w:p>
        </w:tc>
      </w:tr>
      <w:tr>
        <w:trPr>
          <w:trHeight w:val="142"/>
        </w:trPr>
        <w:tc>
          <w:tcPr>
            <w:tcW w:w="116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560" w:type="dxa"/>
            <w:vAlign w:val="bottom"/>
            <w:tcBorders>
              <w:top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2"/>
              </w:rPr>
              <w:t>(in thousands)</w:t>
            </w:r>
          </w:p>
        </w:tc>
        <w:tc>
          <w:tcPr>
            <w:tcW w:w="20" w:type="dxa"/>
            <w:vAlign w:val="bottom"/>
          </w:tcPr>
          <w:p>
            <w:pPr>
              <w:spacing w:after="0"/>
              <w:rPr>
                <w:sz w:val="12"/>
                <w:szCs w:val="12"/>
                <w:color w:val="auto"/>
              </w:rPr>
            </w:pPr>
          </w:p>
        </w:tc>
      </w:tr>
      <w:tr>
        <w:trPr>
          <w:trHeight w:val="176"/>
        </w:trPr>
        <w:tc>
          <w:tcPr>
            <w:tcW w:w="62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Mortgage Loans</w:t>
            </w:r>
          </w:p>
        </w:tc>
        <w:tc>
          <w:tcPr>
            <w:tcW w:w="15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1"/>
        </w:trPr>
        <w:tc>
          <w:tcPr>
            <w:tcW w:w="1160" w:type="dxa"/>
            <w:vAlign w:val="bottom"/>
            <w:tcBorders>
              <w:top w:val="single" w:sz="8" w:color="auto"/>
            </w:tcBorders>
            <w:shd w:val="clear" w:color="auto" w:fill="CCEEFF"/>
          </w:tcPr>
          <w:p>
            <w:pPr>
              <w:spacing w:after="0" w:line="20" w:lineRule="exact"/>
              <w:rPr>
                <w:sz w:val="1"/>
                <w:szCs w:val="1"/>
                <w:color w:val="auto"/>
              </w:rPr>
            </w:pPr>
          </w:p>
        </w:tc>
        <w:tc>
          <w:tcPr>
            <w:tcW w:w="508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6240" w:type="dxa"/>
            <w:vAlign w:val="bottom"/>
            <w:gridSpan w:val="2"/>
          </w:tcPr>
          <w:p>
            <w:pPr>
              <w:ind w:left="440"/>
              <w:spacing w:after="0"/>
              <w:rPr>
                <w:sz w:val="20"/>
                <w:szCs w:val="20"/>
                <w:color w:val="auto"/>
              </w:rPr>
            </w:pPr>
            <w:r>
              <w:rPr>
                <w:rFonts w:ascii="Arial" w:cs="Arial" w:eastAsia="Arial" w:hAnsi="Arial"/>
                <w:sz w:val="18"/>
                <w:szCs w:val="18"/>
                <w:i w:val="1"/>
                <w:iCs w:val="1"/>
                <w:color w:val="auto"/>
              </w:rPr>
              <w:t>Secured Fixed Rate</w:t>
            </w:r>
          </w:p>
        </w:tc>
        <w:tc>
          <w:tcPr>
            <w:tcW w:w="1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Plaza del Mercado</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07/05/14</w:t>
            </w:r>
          </w:p>
        </w:tc>
        <w:tc>
          <w:tcPr>
            <w:tcW w:w="5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5.77%</w:t>
            </w:r>
          </w:p>
        </w:tc>
        <w:tc>
          <w:tcPr>
            <w:tcW w:w="1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12,847</w:t>
            </w:r>
          </w:p>
        </w:tc>
        <w:tc>
          <w:tcPr>
            <w:tcW w:w="20" w:type="dxa"/>
            <w:vAlign w:val="bottom"/>
          </w:tcPr>
          <w:p>
            <w:pPr>
              <w:spacing w:after="0"/>
              <w:rPr>
                <w:sz w:val="18"/>
                <w:szCs w:val="18"/>
                <w:color w:val="auto"/>
              </w:rPr>
            </w:pPr>
          </w:p>
        </w:tc>
      </w:tr>
      <w:tr>
        <w:trPr>
          <w:trHeight w:val="216"/>
        </w:trPr>
        <w:tc>
          <w:tcPr>
            <w:tcW w:w="6240" w:type="dxa"/>
            <w:vAlign w:val="bottom"/>
            <w:gridSpan w:val="2"/>
          </w:tcPr>
          <w:p>
            <w:pPr>
              <w:ind w:left="440"/>
              <w:spacing w:after="0"/>
              <w:rPr>
                <w:sz w:val="20"/>
                <w:szCs w:val="20"/>
                <w:color w:val="auto"/>
              </w:rPr>
            </w:pPr>
            <w:r>
              <w:rPr>
                <w:rFonts w:ascii="Arial" w:cs="Arial" w:eastAsia="Arial" w:hAnsi="Arial"/>
                <w:sz w:val="18"/>
                <w:szCs w:val="18"/>
                <w:color w:val="auto"/>
              </w:rPr>
              <w:t>Atlantic Plaza</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12/01/14</w:t>
            </w:r>
          </w:p>
        </w:tc>
        <w:tc>
          <w:tcPr>
            <w:tcW w:w="56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5.12%</w:t>
            </w:r>
          </w:p>
        </w:tc>
        <w:tc>
          <w:tcPr>
            <w:tcW w:w="1020" w:type="dxa"/>
            <w:vAlign w:val="bottom"/>
          </w:tcPr>
          <w:p>
            <w:pPr>
              <w:ind w:left="20"/>
              <w:spacing w:after="0"/>
              <w:rPr>
                <w:sz w:val="20"/>
                <w:szCs w:val="20"/>
                <w:color w:val="auto"/>
              </w:rPr>
            </w:pPr>
            <w:r>
              <w:rPr>
                <w:rFonts w:ascii="Arial" w:cs="Arial" w:eastAsia="Arial" w:hAnsi="Arial"/>
                <w:sz w:val="18"/>
                <w:szCs w:val="18"/>
                <w:color w:val="auto"/>
              </w:rPr>
              <w:t>(b)</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10,500</w:t>
            </w:r>
          </w:p>
        </w:tc>
        <w:tc>
          <w:tcPr>
            <w:tcW w:w="20" w:type="dxa"/>
            <w:vAlign w:val="bottom"/>
          </w:tcPr>
          <w:p>
            <w:pPr>
              <w:spacing w:after="0"/>
              <w:rPr>
                <w:sz w:val="18"/>
                <w:szCs w:val="18"/>
                <w:color w:val="auto"/>
              </w:rPr>
            </w:pPr>
          </w:p>
        </w:tc>
      </w:tr>
      <w:tr>
        <w:trPr>
          <w:trHeight w:val="216"/>
        </w:trPr>
        <w:tc>
          <w:tcPr>
            <w:tcW w:w="6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Barcroft Plaza</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07/01/16</w:t>
            </w:r>
          </w:p>
        </w:tc>
        <w:tc>
          <w:tcPr>
            <w:tcW w:w="5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5.99%</w:t>
            </w:r>
          </w:p>
        </w:tc>
        <w:tc>
          <w:tcPr>
            <w:tcW w:w="1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(b)(c)</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20,785</w:t>
            </w:r>
          </w:p>
        </w:tc>
        <w:tc>
          <w:tcPr>
            <w:tcW w:w="20" w:type="dxa"/>
            <w:vAlign w:val="bottom"/>
          </w:tcPr>
          <w:p>
            <w:pPr>
              <w:spacing w:after="0"/>
              <w:rPr>
                <w:sz w:val="18"/>
                <w:szCs w:val="18"/>
                <w:color w:val="auto"/>
              </w:rPr>
            </w:pPr>
          </w:p>
        </w:tc>
      </w:tr>
      <w:tr>
        <w:trPr>
          <w:trHeight w:val="223"/>
        </w:trPr>
        <w:tc>
          <w:tcPr>
            <w:tcW w:w="6240" w:type="dxa"/>
            <w:vAlign w:val="bottom"/>
            <w:gridSpan w:val="2"/>
          </w:tcPr>
          <w:p>
            <w:pPr>
              <w:ind w:left="440"/>
              <w:spacing w:after="0"/>
              <w:rPr>
                <w:sz w:val="20"/>
                <w:szCs w:val="20"/>
                <w:color w:val="auto"/>
              </w:rPr>
            </w:pPr>
            <w:r>
              <w:rPr>
                <w:rFonts w:ascii="Arial" w:cs="Arial" w:eastAsia="Arial" w:hAnsi="Arial"/>
                <w:sz w:val="18"/>
                <w:szCs w:val="18"/>
                <w:color w:val="auto"/>
              </w:rPr>
              <w:t>Greenlawn Plaza</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07/01/16</w:t>
            </w:r>
          </w:p>
        </w:tc>
        <w:tc>
          <w:tcPr>
            <w:tcW w:w="56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5.90%</w:t>
            </w:r>
          </w:p>
        </w:tc>
        <w:tc>
          <w:tcPr>
            <w:tcW w:w="1020" w:type="dxa"/>
            <w:vAlign w:val="bottom"/>
          </w:tcPr>
          <w:p>
            <w:pPr>
              <w:ind w:left="20"/>
              <w:spacing w:after="0"/>
              <w:rPr>
                <w:sz w:val="20"/>
                <w:szCs w:val="20"/>
                <w:color w:val="auto"/>
              </w:rPr>
            </w:pPr>
            <w:r>
              <w:rPr>
                <w:rFonts w:ascii="Arial" w:cs="Arial" w:eastAsia="Arial" w:hAnsi="Arial"/>
                <w:sz w:val="18"/>
                <w:szCs w:val="18"/>
                <w:color w:val="auto"/>
              </w:rPr>
              <w:t>(b)</w:t>
            </w: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13,600</w:t>
            </w:r>
          </w:p>
        </w:tc>
        <w:tc>
          <w:tcPr>
            <w:tcW w:w="20" w:type="dxa"/>
            <w:vAlign w:val="bottom"/>
          </w:tcPr>
          <w:p>
            <w:pPr>
              <w:spacing w:after="0"/>
              <w:rPr>
                <w:sz w:val="19"/>
                <w:szCs w:val="19"/>
                <w:color w:val="auto"/>
              </w:rPr>
            </w:pPr>
          </w:p>
        </w:tc>
      </w:tr>
      <w:tr>
        <w:trPr>
          <w:trHeight w:val="216"/>
        </w:trPr>
        <w:tc>
          <w:tcPr>
            <w:tcW w:w="1160" w:type="dxa"/>
            <w:vAlign w:val="bottom"/>
            <w:shd w:val="clear" w:color="auto" w:fill="CCEEFF"/>
          </w:tcPr>
          <w:p>
            <w:pPr>
              <w:spacing w:after="0"/>
              <w:rPr>
                <w:sz w:val="18"/>
                <w:szCs w:val="18"/>
                <w:color w:val="auto"/>
              </w:rPr>
            </w:pPr>
          </w:p>
        </w:tc>
        <w:tc>
          <w:tcPr>
            <w:tcW w:w="508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89"/>
              </w:rPr>
              <w:t>Total Fixed Rate Debt</w:t>
            </w: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57,732</w:t>
            </w:r>
          </w:p>
        </w:tc>
        <w:tc>
          <w:tcPr>
            <w:tcW w:w="2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Debt Maturities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149"/>
        </w:trPr>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ind w:left="20"/>
              <w:spacing w:after="0" w:line="149" w:lineRule="exact"/>
              <w:rPr>
                <w:sz w:val="20"/>
                <w:szCs w:val="20"/>
                <w:color w:val="auto"/>
              </w:rPr>
            </w:pPr>
            <w:r>
              <w:rPr>
                <w:rFonts w:ascii="Arial" w:cs="Arial" w:eastAsia="Arial" w:hAnsi="Arial"/>
                <w:sz w:val="14"/>
                <w:szCs w:val="14"/>
                <w:b w:val="1"/>
                <w:bCs w:val="1"/>
                <w:color w:val="auto"/>
                <w:w w:val="93"/>
              </w:rPr>
              <w:t>Scheduled</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40" w:type="dxa"/>
            <w:vAlign w:val="bottom"/>
            <w:gridSpan w:val="2"/>
          </w:tcPr>
          <w:p>
            <w:pPr>
              <w:jc w:val="center"/>
              <w:ind w:right="1340"/>
              <w:spacing w:after="0" w:line="149" w:lineRule="exact"/>
              <w:rPr>
                <w:sz w:val="20"/>
                <w:szCs w:val="20"/>
                <w:color w:val="auto"/>
              </w:rPr>
            </w:pPr>
            <w:r>
              <w:rPr>
                <w:rFonts w:ascii="Arial" w:cs="Arial" w:eastAsia="Arial" w:hAnsi="Arial"/>
                <w:sz w:val="14"/>
                <w:szCs w:val="14"/>
                <w:b w:val="1"/>
                <w:bCs w:val="1"/>
                <w:color w:val="auto"/>
                <w:w w:val="86"/>
              </w:rPr>
              <w:t>Percent of Debt</w:t>
            </w: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Percent of Debt</w:t>
            </w:r>
          </w:p>
        </w:tc>
        <w:tc>
          <w:tcPr>
            <w:tcW w:w="0" w:type="dxa"/>
            <w:vAlign w:val="bottom"/>
          </w:tcPr>
          <w:p>
            <w:pPr>
              <w:spacing w:after="0"/>
              <w:rPr>
                <w:sz w:val="1"/>
                <w:szCs w:val="1"/>
                <w:color w:val="auto"/>
              </w:rPr>
            </w:pPr>
          </w:p>
        </w:tc>
      </w:tr>
      <w:tr>
        <w:trPr>
          <w:trHeight w:val="161"/>
        </w:trPr>
        <w:tc>
          <w:tcPr>
            <w:tcW w:w="640" w:type="dxa"/>
            <w:vAlign w:val="bottom"/>
          </w:tcPr>
          <w:p>
            <w:pPr>
              <w:spacing w:after="0"/>
              <w:rPr>
                <w:sz w:val="14"/>
                <w:szCs w:val="14"/>
                <w:color w:val="auto"/>
              </w:rPr>
            </w:pPr>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w:t>
            </w:r>
          </w:p>
        </w:tc>
        <w:tc>
          <w:tcPr>
            <w:tcW w:w="1780" w:type="dxa"/>
            <w:vAlign w:val="bottom"/>
            <w:gridSpan w:val="2"/>
          </w:tcPr>
          <w:p>
            <w:pPr>
              <w:spacing w:after="0"/>
              <w:rPr>
                <w:sz w:val="14"/>
                <w:szCs w:val="14"/>
                <w:color w:val="auto"/>
              </w:rPr>
            </w:pPr>
          </w:p>
        </w:tc>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Amortization</w:t>
            </w:r>
          </w:p>
        </w:tc>
        <w:tc>
          <w:tcPr>
            <w:tcW w:w="1140" w:type="dxa"/>
            <w:vAlign w:val="bottom"/>
          </w:tcPr>
          <w:p>
            <w:pPr>
              <w:spacing w:after="0"/>
              <w:rPr>
                <w:sz w:val="14"/>
                <w:szCs w:val="14"/>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7"/>
              </w:rPr>
              <w:t>Maturities</w:t>
            </w:r>
          </w:p>
        </w:tc>
        <w:tc>
          <w:tcPr>
            <w:tcW w:w="1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Total</w:t>
            </w:r>
          </w:p>
        </w:tc>
        <w:tc>
          <w:tcPr>
            <w:tcW w:w="114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Maturing</w:t>
            </w:r>
          </w:p>
        </w:tc>
        <w:tc>
          <w:tcPr>
            <w:tcW w:w="134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Maturing</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gridSpan w:val="3"/>
            <w:shd w:val="clear" w:color="auto" w:fill="CCEEFF"/>
          </w:tcPr>
          <w:p>
            <w:pPr>
              <w:jc w:val="center"/>
              <w:ind w:left="312"/>
              <w:spacing w:after="0"/>
              <w:rPr>
                <w:sz w:val="20"/>
                <w:szCs w:val="20"/>
                <w:color w:val="auto"/>
              </w:rPr>
            </w:pPr>
            <w:r>
              <w:rPr>
                <w:rFonts w:ascii="Arial" w:cs="Arial" w:eastAsia="Arial" w:hAnsi="Arial"/>
                <w:sz w:val="18"/>
                <w:szCs w:val="18"/>
                <w:color w:val="auto"/>
                <w:w w:val="89"/>
              </w:rPr>
              <w:t>2010</w:t>
            </w: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79"/>
              </w:rPr>
              <w:t>148</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3380" w:type="dxa"/>
            <w:vAlign w:val="bottom"/>
            <w:gridSpan w:val="3"/>
            <w:shd w:val="clear" w:color="auto" w:fill="CCEEFF"/>
          </w:tcPr>
          <w:p>
            <w:pPr>
              <w:jc w:val="right"/>
              <w:ind w:right="1200"/>
              <w:spacing w:after="0"/>
              <w:rPr>
                <w:sz w:val="20"/>
                <w:szCs w:val="20"/>
                <w:color w:val="auto"/>
              </w:rPr>
            </w:pPr>
            <w:r>
              <w:rPr>
                <w:rFonts w:ascii="Arial" w:cs="Arial" w:eastAsia="Arial" w:hAnsi="Arial"/>
                <w:sz w:val="18"/>
                <w:szCs w:val="18"/>
                <w:color w:val="auto"/>
              </w:rPr>
              <w:t>0.2%</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1160" w:type="dxa"/>
            <w:vAlign w:val="bottom"/>
            <w:gridSpan w:val="3"/>
          </w:tcPr>
          <w:p>
            <w:pPr>
              <w:jc w:val="center"/>
              <w:ind w:left="332"/>
              <w:spacing w:after="0"/>
              <w:rPr>
                <w:sz w:val="20"/>
                <w:szCs w:val="20"/>
                <w:color w:val="auto"/>
              </w:rPr>
            </w:pPr>
            <w:r>
              <w:rPr>
                <w:rFonts w:ascii="Arial" w:cs="Arial" w:eastAsia="Arial" w:hAnsi="Arial"/>
                <w:sz w:val="18"/>
                <w:szCs w:val="18"/>
                <w:color w:val="auto"/>
                <w:w w:val="84"/>
              </w:rPr>
              <w:t>2011</w:t>
            </w: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w w:val="79"/>
              </w:rPr>
              <w:t>208</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208</w:t>
            </w:r>
          </w:p>
        </w:tc>
        <w:tc>
          <w:tcPr>
            <w:tcW w:w="3380" w:type="dxa"/>
            <w:vAlign w:val="bottom"/>
            <w:gridSpan w:val="3"/>
          </w:tcPr>
          <w:p>
            <w:pPr>
              <w:jc w:val="right"/>
              <w:ind w:right="1200"/>
              <w:spacing w:after="0"/>
              <w:rPr>
                <w:sz w:val="20"/>
                <w:szCs w:val="20"/>
                <w:color w:val="auto"/>
              </w:rPr>
            </w:pPr>
            <w:r>
              <w:rPr>
                <w:rFonts w:ascii="Arial" w:cs="Arial" w:eastAsia="Arial" w:hAnsi="Arial"/>
                <w:sz w:val="18"/>
                <w:szCs w:val="18"/>
                <w:color w:val="auto"/>
              </w:rPr>
              <w:t>0.4%</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1160" w:type="dxa"/>
            <w:vAlign w:val="bottom"/>
            <w:gridSpan w:val="3"/>
            <w:shd w:val="clear" w:color="auto" w:fill="CCEEFF"/>
          </w:tcPr>
          <w:p>
            <w:pPr>
              <w:jc w:val="center"/>
              <w:ind w:left="312"/>
              <w:spacing w:after="0"/>
              <w:rPr>
                <w:sz w:val="20"/>
                <w:szCs w:val="20"/>
                <w:color w:val="auto"/>
              </w:rPr>
            </w:pPr>
            <w:r>
              <w:rPr>
                <w:rFonts w:ascii="Arial" w:cs="Arial" w:eastAsia="Arial" w:hAnsi="Arial"/>
                <w:sz w:val="18"/>
                <w:szCs w:val="18"/>
                <w:color w:val="auto"/>
                <w:w w:val="89"/>
              </w:rPr>
              <w:t>2012</w:t>
            </w: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79"/>
              </w:rPr>
              <w:t>220</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3380" w:type="dxa"/>
            <w:vAlign w:val="bottom"/>
            <w:gridSpan w:val="3"/>
            <w:shd w:val="clear" w:color="auto" w:fill="CCEEFF"/>
          </w:tcPr>
          <w:p>
            <w:pPr>
              <w:jc w:val="right"/>
              <w:ind w:right="1200"/>
              <w:spacing w:after="0"/>
              <w:rPr>
                <w:sz w:val="20"/>
                <w:szCs w:val="20"/>
                <w:color w:val="auto"/>
              </w:rPr>
            </w:pPr>
            <w:r>
              <w:rPr>
                <w:rFonts w:ascii="Arial" w:cs="Arial" w:eastAsia="Arial" w:hAnsi="Arial"/>
                <w:sz w:val="18"/>
                <w:szCs w:val="18"/>
                <w:color w:val="auto"/>
              </w:rPr>
              <w:t>0.4%</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160" w:type="dxa"/>
            <w:vAlign w:val="bottom"/>
            <w:gridSpan w:val="3"/>
          </w:tcPr>
          <w:p>
            <w:pPr>
              <w:jc w:val="center"/>
              <w:ind w:left="312"/>
              <w:spacing w:after="0"/>
              <w:rPr>
                <w:sz w:val="20"/>
                <w:szCs w:val="20"/>
                <w:color w:val="auto"/>
              </w:rPr>
            </w:pPr>
            <w:r>
              <w:rPr>
                <w:rFonts w:ascii="Arial" w:cs="Arial" w:eastAsia="Arial" w:hAnsi="Arial"/>
                <w:sz w:val="18"/>
                <w:szCs w:val="18"/>
                <w:color w:val="auto"/>
                <w:w w:val="89"/>
              </w:rPr>
              <w:t>2013</w:t>
            </w: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w w:val="79"/>
              </w:rPr>
              <w:t>233</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233</w:t>
            </w:r>
          </w:p>
        </w:tc>
        <w:tc>
          <w:tcPr>
            <w:tcW w:w="3380" w:type="dxa"/>
            <w:vAlign w:val="bottom"/>
            <w:gridSpan w:val="3"/>
          </w:tcPr>
          <w:p>
            <w:pPr>
              <w:jc w:val="right"/>
              <w:ind w:right="1200"/>
              <w:spacing w:after="0"/>
              <w:rPr>
                <w:sz w:val="20"/>
                <w:szCs w:val="20"/>
                <w:color w:val="auto"/>
              </w:rPr>
            </w:pPr>
            <w:r>
              <w:rPr>
                <w:rFonts w:ascii="Arial" w:cs="Arial" w:eastAsia="Arial" w:hAnsi="Arial"/>
                <w:sz w:val="18"/>
                <w:szCs w:val="18"/>
                <w:color w:val="auto"/>
              </w:rPr>
              <w:t>0.4%</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160" w:type="dxa"/>
            <w:vAlign w:val="bottom"/>
            <w:gridSpan w:val="3"/>
            <w:shd w:val="clear" w:color="auto" w:fill="CCEEFF"/>
          </w:tcPr>
          <w:p>
            <w:pPr>
              <w:jc w:val="center"/>
              <w:ind w:left="312"/>
              <w:spacing w:after="0"/>
              <w:rPr>
                <w:sz w:val="20"/>
                <w:szCs w:val="20"/>
                <w:color w:val="auto"/>
              </w:rPr>
            </w:pPr>
            <w:r>
              <w:rPr>
                <w:rFonts w:ascii="Arial" w:cs="Arial" w:eastAsia="Arial" w:hAnsi="Arial"/>
                <w:sz w:val="18"/>
                <w:szCs w:val="18"/>
                <w:color w:val="auto"/>
                <w:w w:val="89"/>
              </w:rPr>
              <w:t>2014</w:t>
            </w: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79"/>
              </w:rPr>
              <w:t>142</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22,396</w:t>
            </w: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22,538</w:t>
            </w:r>
          </w:p>
        </w:tc>
        <w:tc>
          <w:tcPr>
            <w:tcW w:w="3380" w:type="dxa"/>
            <w:vAlign w:val="bottom"/>
            <w:gridSpan w:val="3"/>
            <w:shd w:val="clear" w:color="auto" w:fill="CCEEFF"/>
          </w:tcPr>
          <w:p>
            <w:pPr>
              <w:jc w:val="right"/>
              <w:ind w:right="1200"/>
              <w:spacing w:after="0"/>
              <w:rPr>
                <w:sz w:val="20"/>
                <w:szCs w:val="20"/>
                <w:color w:val="auto"/>
              </w:rPr>
            </w:pPr>
            <w:r>
              <w:rPr>
                <w:rFonts w:ascii="Arial" w:cs="Arial" w:eastAsia="Arial" w:hAnsi="Arial"/>
                <w:sz w:val="18"/>
                <w:szCs w:val="18"/>
                <w:color w:val="auto"/>
              </w:rPr>
              <w:t>39.0%</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16"/>
        </w:trPr>
        <w:tc>
          <w:tcPr>
            <w:tcW w:w="1160" w:type="dxa"/>
            <w:vAlign w:val="bottom"/>
            <w:gridSpan w:val="3"/>
          </w:tcPr>
          <w:p>
            <w:pPr>
              <w:jc w:val="center"/>
              <w:ind w:left="312"/>
              <w:spacing w:after="0"/>
              <w:rPr>
                <w:sz w:val="20"/>
                <w:szCs w:val="20"/>
                <w:color w:val="auto"/>
              </w:rPr>
            </w:pPr>
            <w:r>
              <w:rPr>
                <w:rFonts w:ascii="Arial" w:cs="Arial" w:eastAsia="Arial" w:hAnsi="Arial"/>
                <w:sz w:val="18"/>
                <w:szCs w:val="18"/>
                <w:color w:val="auto"/>
                <w:w w:val="89"/>
              </w:rPr>
              <w:t>2015</w:t>
            </w: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380" w:type="dxa"/>
            <w:vAlign w:val="bottom"/>
            <w:gridSpan w:val="3"/>
          </w:tcPr>
          <w:p>
            <w:pPr>
              <w:jc w:val="right"/>
              <w:ind w:right="1200"/>
              <w:spacing w:after="0"/>
              <w:rPr>
                <w:sz w:val="20"/>
                <w:szCs w:val="20"/>
                <w:color w:val="auto"/>
              </w:rPr>
            </w:pPr>
            <w:r>
              <w:rPr>
                <w:rFonts w:ascii="Arial" w:cs="Arial" w:eastAsia="Arial" w:hAnsi="Arial"/>
                <w:sz w:val="18"/>
                <w:szCs w:val="18"/>
                <w:color w:val="auto"/>
              </w:rPr>
              <w:t>0.0%</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16"/>
        </w:trPr>
        <w:tc>
          <w:tcPr>
            <w:tcW w:w="1160" w:type="dxa"/>
            <w:vAlign w:val="bottom"/>
            <w:gridSpan w:val="3"/>
            <w:shd w:val="clear" w:color="auto" w:fill="CCEEFF"/>
          </w:tcPr>
          <w:p>
            <w:pPr>
              <w:jc w:val="center"/>
              <w:ind w:left="312"/>
              <w:spacing w:after="0"/>
              <w:rPr>
                <w:sz w:val="20"/>
                <w:szCs w:val="20"/>
                <w:color w:val="auto"/>
              </w:rPr>
            </w:pPr>
            <w:r>
              <w:rPr>
                <w:rFonts w:ascii="Arial" w:cs="Arial" w:eastAsia="Arial" w:hAnsi="Arial"/>
                <w:sz w:val="18"/>
                <w:szCs w:val="18"/>
                <w:color w:val="auto"/>
                <w:w w:val="89"/>
              </w:rPr>
              <w:t>2016</w:t>
            </w: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34,385</w:t>
            </w: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34,385</w:t>
            </w:r>
          </w:p>
        </w:tc>
        <w:tc>
          <w:tcPr>
            <w:tcW w:w="114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right"/>
              <w:ind w:right="1200"/>
              <w:spacing w:after="0"/>
              <w:rPr>
                <w:sz w:val="20"/>
                <w:szCs w:val="20"/>
                <w:color w:val="auto"/>
              </w:rPr>
            </w:pPr>
            <w:r>
              <w:rPr>
                <w:rFonts w:ascii="Arial" w:cs="Arial" w:eastAsia="Arial" w:hAnsi="Arial"/>
                <w:sz w:val="18"/>
                <w:szCs w:val="18"/>
                <w:color w:val="auto"/>
              </w:rPr>
              <w:t>59.6%</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700" w:type="dxa"/>
            <w:vAlign w:val="bottom"/>
            <w:gridSpan w:val="4"/>
            <w:vMerge w:val="restart"/>
          </w:tcPr>
          <w:p>
            <w:pPr>
              <w:jc w:val="center"/>
              <w:ind w:right="1140"/>
              <w:spacing w:after="0"/>
              <w:rPr>
                <w:sz w:val="20"/>
                <w:szCs w:val="20"/>
                <w:color w:val="auto"/>
              </w:rPr>
            </w:pPr>
            <w:r>
              <w:rPr>
                <w:rFonts w:ascii="Arial" w:cs="Arial" w:eastAsia="Arial" w:hAnsi="Arial"/>
                <w:sz w:val="18"/>
                <w:szCs w:val="18"/>
                <w:color w:val="auto"/>
                <w:w w:val="89"/>
              </w:rPr>
              <w:t>Total</w:t>
            </w: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700" w:type="dxa"/>
            <w:vAlign w:val="bottom"/>
            <w:gridSpan w:val="4"/>
            <w:vMerge w:val="continue"/>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00" w:type="dxa"/>
            <w:vAlign w:val="bottom"/>
          </w:tcPr>
          <w:p>
            <w:pPr>
              <w:ind w:left="440"/>
              <w:spacing w:after="0"/>
              <w:rPr>
                <w:sz w:val="20"/>
                <w:szCs w:val="20"/>
                <w:color w:val="auto"/>
              </w:rPr>
            </w:pPr>
            <w:r>
              <w:rPr>
                <w:rFonts w:ascii="Arial" w:cs="Arial" w:eastAsia="Arial" w:hAnsi="Arial"/>
                <w:sz w:val="18"/>
                <w:szCs w:val="18"/>
                <w:color w:val="auto"/>
                <w:w w:val="79"/>
              </w:rPr>
              <w:t>951</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56,781</w:t>
            </w:r>
          </w:p>
        </w:tc>
        <w:tc>
          <w:tcPr>
            <w:tcW w:w="1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57,732</w:t>
            </w:r>
          </w:p>
        </w:tc>
        <w:tc>
          <w:tcPr>
            <w:tcW w:w="3380" w:type="dxa"/>
            <w:vAlign w:val="bottom"/>
            <w:gridSpan w:val="3"/>
          </w:tcPr>
          <w:p>
            <w:pPr>
              <w:jc w:val="right"/>
              <w:ind w:right="1200"/>
              <w:spacing w:after="0"/>
              <w:rPr>
                <w:sz w:val="20"/>
                <w:szCs w:val="20"/>
                <w:color w:val="auto"/>
              </w:rPr>
            </w:pPr>
            <w:r>
              <w:rPr>
                <w:rFonts w:ascii="Arial" w:cs="Arial" w:eastAsia="Arial" w:hAnsi="Arial"/>
                <w:sz w:val="18"/>
                <w:szCs w:val="18"/>
                <w:color w:val="auto"/>
              </w:rPr>
              <w:t>100.0%</w:t>
            </w: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6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54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90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15"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Effective July 5, 2007, principal and interest payments are due based on a 30-year amortization schedule.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Interest only until maturity.</w:t>
      </w:r>
    </w:p>
    <w:p>
      <w:pPr>
        <w:spacing w:after="0" w:line="9" w:lineRule="exact"/>
        <w:rPr>
          <w:rFonts w:ascii="Arial" w:cs="Arial" w:eastAsia="Arial" w:hAnsi="Arial"/>
          <w:sz w:val="18"/>
          <w:szCs w:val="18"/>
          <w:color w:val="auto"/>
        </w:rPr>
      </w:pPr>
    </w:p>
    <w:p>
      <w:pPr>
        <w:ind w:left="460" w:right="120" w:hanging="452"/>
        <w:spacing w:after="0" w:line="261"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stated interest rate represents the weighted average interest rate for two mortgage loans secured by this property. The loan balance represents a note of $16.6 million at a stated rate of 6.06% and a note of $4.2 million at a stated rate of 5.71%.</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4"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Status Report - Joint Venture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32"/>
              <w:spacing w:after="0"/>
              <w:rPr>
                <w:sz w:val="20"/>
                <w:szCs w:val="20"/>
                <w:color w:val="auto"/>
              </w:rPr>
            </w:pPr>
            <w:r>
              <w:rPr>
                <w:rFonts w:ascii="Arial" w:cs="Arial" w:eastAsia="Arial" w:hAnsi="Arial"/>
                <w:sz w:val="14"/>
                <w:szCs w:val="14"/>
                <w:b w:val="1"/>
                <w:bCs w:val="1"/>
                <w:color w:val="auto"/>
                <w:w w:val="88"/>
              </w:rPr>
              <w:t>Mortgage</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92"/>
              </w:rPr>
              <w:t>or Capital</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5"/>
              </w:rPr>
              <w:t>Grocery</w:t>
            </w:r>
          </w:p>
        </w:tc>
        <w:tc>
          <w:tcPr>
            <w:tcW w:w="10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Grocery</w:t>
            </w:r>
          </w:p>
        </w:tc>
        <w:tc>
          <w:tcPr>
            <w:tcW w:w="100" w:type="dxa"/>
            <w:vAlign w:val="bottom"/>
          </w:tcPr>
          <w:p>
            <w:pPr>
              <w:spacing w:after="0"/>
              <w:rPr>
                <w:sz w:val="12"/>
                <w:szCs w:val="12"/>
                <w:color w:val="auto"/>
              </w:rPr>
            </w:pPr>
          </w:p>
        </w:tc>
        <w:tc>
          <w:tcPr>
            <w:tcW w:w="1080" w:type="dxa"/>
            <w:vAlign w:val="bottom"/>
            <w:vMerge w:val="restart"/>
          </w:tcPr>
          <w:p>
            <w:pPr>
              <w:ind w:left="80"/>
              <w:spacing w:after="0"/>
              <w:rPr>
                <w:sz w:val="20"/>
                <w:szCs w:val="20"/>
                <w:color w:val="auto"/>
              </w:rPr>
            </w:pPr>
            <w:r>
              <w:rPr>
                <w:rFonts w:ascii="Arial" w:cs="Arial" w:eastAsia="Arial" w:hAnsi="Arial"/>
                <w:sz w:val="14"/>
                <w:szCs w:val="14"/>
                <w:b w:val="1"/>
                <w:bCs w:val="1"/>
                <w:color w:val="auto"/>
                <w:w w:val="97"/>
              </w:rPr>
              <w:t>Other Principal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Year</w:t>
            </w:r>
          </w:p>
        </w:tc>
        <w:tc>
          <w:tcPr>
            <w:tcW w:w="80" w:type="dxa"/>
            <w:vAlign w:val="bottom"/>
          </w:tcPr>
          <w:p>
            <w:pPr>
              <w:spacing w:after="0"/>
              <w:rPr>
                <w:sz w:val="11"/>
                <w:szCs w:val="11"/>
                <w:color w:val="auto"/>
              </w:rPr>
            </w:pPr>
          </w:p>
        </w:tc>
        <w:tc>
          <w:tcPr>
            <w:tcW w:w="7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4"/>
              </w:rPr>
              <w:t>Real Estate</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center"/>
              <w:ind w:right="32"/>
              <w:spacing w:after="0" w:line="135" w:lineRule="exact"/>
              <w:rPr>
                <w:sz w:val="20"/>
                <w:szCs w:val="20"/>
                <w:color w:val="auto"/>
              </w:rPr>
            </w:pPr>
            <w:r>
              <w:rPr>
                <w:rFonts w:ascii="Arial" w:cs="Arial" w:eastAsia="Arial" w:hAnsi="Arial"/>
                <w:sz w:val="14"/>
                <w:szCs w:val="14"/>
                <w:b w:val="1"/>
                <w:bCs w:val="1"/>
                <w:color w:val="auto"/>
                <w:w w:val="80"/>
              </w:rPr>
              <w:t>Lease</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gridSpan w:val="2"/>
          </w:tcPr>
          <w:p>
            <w:pPr>
              <w:jc w:val="right"/>
              <w:ind w:right="72"/>
              <w:spacing w:after="0" w:line="135"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89"/>
              </w:rPr>
              <w:t>Anchor</w:t>
            </w:r>
          </w:p>
        </w:tc>
        <w:tc>
          <w:tcPr>
            <w:tcW w:w="10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100" w:type="dxa"/>
            <w:vAlign w:val="bottom"/>
            <w:gridSpan w:val="7"/>
          </w:tcPr>
          <w:p>
            <w:pPr>
              <w:spacing w:after="0"/>
              <w:rPr>
                <w:sz w:val="20"/>
                <w:szCs w:val="20"/>
                <w:color w:val="auto"/>
              </w:rPr>
            </w:pPr>
            <w:r>
              <w:rPr>
                <w:rFonts w:ascii="Arial" w:cs="Arial" w:eastAsia="Arial" w:hAnsi="Arial"/>
                <w:sz w:val="14"/>
                <w:szCs w:val="14"/>
                <w:b w:val="1"/>
                <w:bCs w:val="1"/>
                <w:color w:val="auto"/>
              </w:rPr>
              <w:t>Property Name</w:t>
            </w:r>
          </w:p>
        </w:tc>
        <w:tc>
          <w:tcPr>
            <w:tcW w:w="100" w:type="dxa"/>
            <w:vAlign w:val="bottom"/>
          </w:tcPr>
          <w:p>
            <w:pPr>
              <w:spacing w:after="0"/>
              <w:rPr>
                <w:sz w:val="15"/>
                <w:szCs w:val="15"/>
                <w:color w:val="auto"/>
              </w:rPr>
            </w:pPr>
          </w:p>
        </w:tc>
        <w:tc>
          <w:tcPr>
            <w:tcW w:w="2940" w:type="dxa"/>
            <w:vAlign w:val="bottom"/>
          </w:tcPr>
          <w:p>
            <w:pPr>
              <w:ind w:left="980"/>
              <w:spacing w:after="0"/>
              <w:rPr>
                <w:sz w:val="20"/>
                <w:szCs w:val="20"/>
                <w:color w:val="auto"/>
              </w:rPr>
            </w:pPr>
            <w:r>
              <w:rPr>
                <w:rFonts w:ascii="Arial" w:cs="Arial" w:eastAsia="Arial" w:hAnsi="Arial"/>
                <w:sz w:val="14"/>
                <w:szCs w:val="14"/>
                <w:b w:val="1"/>
                <w:bCs w:val="1"/>
                <w:color w:val="auto"/>
              </w:rPr>
              <w:t>MSA Description</w:t>
            </w:r>
          </w:p>
        </w:tc>
        <w:tc>
          <w:tcPr>
            <w:tcW w:w="100" w:type="dxa"/>
            <w:vAlign w:val="bottom"/>
          </w:tcPr>
          <w:p>
            <w:pPr>
              <w:spacing w:after="0"/>
              <w:rPr>
                <w:sz w:val="15"/>
                <w:szCs w:val="15"/>
                <w:color w:val="auto"/>
              </w:rPr>
            </w:pPr>
          </w:p>
        </w:tc>
        <w:tc>
          <w:tcPr>
            <w:tcW w:w="6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Acquired</w:t>
            </w:r>
          </w:p>
        </w:tc>
        <w:tc>
          <w:tcPr>
            <w:tcW w:w="80" w:type="dxa"/>
            <w:vAlign w:val="bottom"/>
          </w:tcPr>
          <w:p>
            <w:pPr>
              <w:spacing w:after="0"/>
              <w:rPr>
                <w:sz w:val="15"/>
                <w:szCs w:val="15"/>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4"/>
              </w:rPr>
              <w:t>at Cost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center"/>
              <w:ind w:right="32"/>
              <w:spacing w:after="0"/>
              <w:rPr>
                <w:sz w:val="20"/>
                <w:szCs w:val="20"/>
                <w:color w:val="auto"/>
              </w:rPr>
            </w:pPr>
            <w:r>
              <w:rPr>
                <w:rFonts w:ascii="Arial" w:cs="Arial" w:eastAsia="Arial" w:hAnsi="Arial"/>
                <w:sz w:val="14"/>
                <w:szCs w:val="14"/>
                <w:b w:val="1"/>
                <w:bCs w:val="1"/>
                <w:color w:val="auto"/>
                <w:w w:val="86"/>
              </w:rPr>
              <w:t>Obligation</w:t>
            </w:r>
          </w:p>
        </w:tc>
        <w:tc>
          <w:tcPr>
            <w:tcW w:w="80" w:type="dxa"/>
            <w:vAlign w:val="bottom"/>
          </w:tcPr>
          <w:p>
            <w:pPr>
              <w:spacing w:after="0"/>
              <w:rPr>
                <w:sz w:val="15"/>
                <w:szCs w:val="15"/>
                <w:color w:val="auto"/>
              </w:rPr>
            </w:pPr>
          </w:p>
        </w:tc>
        <w:tc>
          <w:tcPr>
            <w:tcW w:w="500" w:type="dxa"/>
            <w:vAlign w:val="bottom"/>
            <w:gridSpan w:val="2"/>
          </w:tcPr>
          <w:p>
            <w:pPr>
              <w:ind w:left="80"/>
              <w:spacing w:after="0"/>
              <w:rPr>
                <w:sz w:val="20"/>
                <w:szCs w:val="20"/>
                <w:color w:val="auto"/>
              </w:rPr>
            </w:pPr>
            <w:r>
              <w:rPr>
                <w:rFonts w:ascii="Arial" w:cs="Arial" w:eastAsia="Arial" w:hAnsi="Arial"/>
                <w:sz w:val="14"/>
                <w:szCs w:val="14"/>
                <w:b w:val="1"/>
                <w:bCs w:val="1"/>
                <w:color w:val="auto"/>
              </w:rPr>
              <w:t>GLA</w:t>
            </w:r>
          </w:p>
        </w:tc>
        <w:tc>
          <w:tcPr>
            <w:tcW w:w="7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6"/>
              </w:rPr>
              <w:t>Leased</w:t>
            </w: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90"/>
              </w:rPr>
              <w:t>GLA (1)</w:t>
            </w:r>
          </w:p>
        </w:tc>
        <w:tc>
          <w:tcPr>
            <w:tcW w:w="10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1"/>
              </w:rPr>
              <w:t>Anchor (1)</w:t>
            </w:r>
          </w:p>
        </w:tc>
        <w:tc>
          <w:tcPr>
            <w:tcW w:w="100" w:type="dxa"/>
            <w:vAlign w:val="bottom"/>
          </w:tcPr>
          <w:p>
            <w:pPr>
              <w:spacing w:after="0"/>
              <w:rPr>
                <w:sz w:val="15"/>
                <w:szCs w:val="15"/>
                <w:color w:val="auto"/>
              </w:rPr>
            </w:pPr>
          </w:p>
        </w:tc>
        <w:tc>
          <w:tcPr>
            <w:tcW w:w="1080" w:type="dxa"/>
            <w:vAlign w:val="bottom"/>
          </w:tcPr>
          <w:p>
            <w:pPr>
              <w:ind w:left="320"/>
              <w:spacing w:after="0"/>
              <w:rPr>
                <w:sz w:val="20"/>
                <w:szCs w:val="20"/>
                <w:color w:val="auto"/>
              </w:rPr>
            </w:pPr>
            <w:r>
              <w:rPr>
                <w:rFonts w:ascii="Arial" w:cs="Arial" w:eastAsia="Arial" w:hAnsi="Arial"/>
                <w:sz w:val="14"/>
                <w:szCs w:val="14"/>
                <w:b w:val="1"/>
                <w:bCs w:val="1"/>
                <w:color w:val="auto"/>
              </w:rPr>
              <w:t>Tenants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8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1800" w:type="dxa"/>
            <w:vAlign w:val="bottom"/>
            <w:tcBorders>
              <w:bottom w:val="single" w:sz="8" w:color="auto"/>
            </w:tcBorders>
            <w:gridSpan w:val="4"/>
            <w:shd w:val="clear" w:color="auto" w:fill="CCEEFF"/>
          </w:tcPr>
          <w:p>
            <w:pPr>
              <w:spacing w:after="0" w:line="135" w:lineRule="exact"/>
              <w:rPr>
                <w:sz w:val="20"/>
                <w:szCs w:val="20"/>
                <w:color w:val="auto"/>
              </w:rPr>
            </w:pPr>
            <w:r>
              <w:rPr>
                <w:rFonts w:ascii="Arial" w:cs="Arial" w:eastAsia="Arial" w:hAnsi="Arial"/>
                <w:sz w:val="14"/>
                <w:szCs w:val="14"/>
                <w:b w:val="1"/>
                <w:bCs w:val="1"/>
                <w:color w:val="auto"/>
                <w:w w:val="87"/>
              </w:rPr>
              <w:t>Washington Metropolitan Area</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29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8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080" w:type="dxa"/>
            <w:vAlign w:val="bottom"/>
            <w:gridSpan w:val="6"/>
          </w:tcPr>
          <w:p>
            <w:pPr>
              <w:spacing w:after="0" w:line="131" w:lineRule="exact"/>
              <w:rPr>
                <w:sz w:val="20"/>
                <w:szCs w:val="20"/>
                <w:color w:val="auto"/>
              </w:rPr>
            </w:pPr>
            <w:r>
              <w:rPr>
                <w:rFonts w:ascii="Arial" w:cs="Arial" w:eastAsia="Arial" w:hAnsi="Arial"/>
                <w:sz w:val="14"/>
                <w:szCs w:val="14"/>
                <w:color w:val="auto"/>
              </w:rPr>
              <w:t>Barcroft Plaza</w:t>
            </w:r>
          </w:p>
        </w:tc>
        <w:tc>
          <w:tcPr>
            <w:tcW w:w="3040" w:type="dxa"/>
            <w:vAlign w:val="bottom"/>
            <w:gridSpan w:val="2"/>
          </w:tcPr>
          <w:p>
            <w:pPr>
              <w:ind w:left="100"/>
              <w:spacing w:after="0" w:line="131" w:lineRule="exact"/>
              <w:rPr>
                <w:sz w:val="20"/>
                <w:szCs w:val="20"/>
                <w:color w:val="auto"/>
              </w:rPr>
            </w:pPr>
            <w:r>
              <w:rPr>
                <w:rFonts w:ascii="Arial" w:cs="Arial" w:eastAsia="Arial" w:hAnsi="Arial"/>
                <w:sz w:val="14"/>
                <w:szCs w:val="14"/>
                <w:color w:val="auto"/>
              </w:rPr>
              <w:t>Washington, DC-MD-VA</w:t>
            </w:r>
          </w:p>
        </w:tc>
        <w:tc>
          <w:tcPr>
            <w:tcW w:w="720" w:type="dxa"/>
            <w:vAlign w:val="bottom"/>
            <w:gridSpan w:val="3"/>
          </w:tcPr>
          <w:p>
            <w:pPr>
              <w:jc w:val="right"/>
              <w:ind w:right="80"/>
              <w:spacing w:after="0" w:line="131" w:lineRule="exact"/>
              <w:rPr>
                <w:sz w:val="20"/>
                <w:szCs w:val="20"/>
                <w:color w:val="auto"/>
              </w:rPr>
            </w:pPr>
            <w:r>
              <w:rPr>
                <w:rFonts w:ascii="Arial" w:cs="Arial" w:eastAsia="Arial" w:hAnsi="Arial"/>
                <w:sz w:val="14"/>
                <w:szCs w:val="14"/>
                <w:color w:val="auto"/>
              </w:rPr>
              <w:t>2006-</w:t>
            </w:r>
          </w:p>
        </w:tc>
        <w:tc>
          <w:tcPr>
            <w:tcW w:w="80" w:type="dxa"/>
            <w:vAlign w:val="bottom"/>
          </w:tcPr>
          <w:p>
            <w:pPr>
              <w:spacing w:after="0"/>
              <w:rPr>
                <w:sz w:val="11"/>
                <w:szCs w:val="11"/>
                <w:color w:val="auto"/>
              </w:rPr>
            </w:pPr>
          </w:p>
        </w:tc>
        <w:tc>
          <w:tcPr>
            <w:tcW w:w="780" w:type="dxa"/>
            <w:vAlign w:val="bottom"/>
            <w:gridSpan w:val="2"/>
          </w:tcPr>
          <w:p>
            <w:pPr>
              <w:jc w:val="right"/>
              <w:ind w:right="20"/>
              <w:spacing w:after="0" w:line="131" w:lineRule="exact"/>
              <w:rPr>
                <w:sz w:val="20"/>
                <w:szCs w:val="20"/>
                <w:color w:val="auto"/>
              </w:rPr>
            </w:pPr>
            <w:r>
              <w:rPr>
                <w:rFonts w:ascii="Arial" w:cs="Arial" w:eastAsia="Arial" w:hAnsi="Arial"/>
                <w:sz w:val="14"/>
                <w:szCs w:val="14"/>
                <w:color w:val="auto"/>
              </w:rPr>
              <w:t>34,118</w:t>
            </w:r>
          </w:p>
        </w:tc>
        <w:tc>
          <w:tcPr>
            <w:tcW w:w="160" w:type="dxa"/>
            <w:vAlign w:val="bottom"/>
            <w:gridSpan w:val="2"/>
          </w:tcPr>
          <w:p>
            <w:pPr>
              <w:jc w:val="right"/>
              <w:spacing w:after="0" w:line="131"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31" w:lineRule="exact"/>
              <w:rPr>
                <w:sz w:val="20"/>
                <w:szCs w:val="20"/>
                <w:color w:val="auto"/>
              </w:rPr>
            </w:pPr>
            <w:r>
              <w:rPr>
                <w:rFonts w:ascii="Arial" w:cs="Arial" w:eastAsia="Arial" w:hAnsi="Arial"/>
                <w:sz w:val="14"/>
                <w:szCs w:val="14"/>
                <w:color w:val="auto"/>
              </w:rPr>
              <w:t>20,785</w:t>
            </w:r>
          </w:p>
        </w:tc>
        <w:tc>
          <w:tcPr>
            <w:tcW w:w="540" w:type="dxa"/>
            <w:vAlign w:val="bottom"/>
            <w:gridSpan w:val="2"/>
          </w:tcPr>
          <w:p>
            <w:pPr>
              <w:jc w:val="right"/>
              <w:spacing w:after="0" w:line="131" w:lineRule="exact"/>
              <w:rPr>
                <w:sz w:val="20"/>
                <w:szCs w:val="20"/>
                <w:color w:val="auto"/>
              </w:rPr>
            </w:pPr>
            <w:r>
              <w:rPr>
                <w:rFonts w:ascii="Arial" w:cs="Arial" w:eastAsia="Arial" w:hAnsi="Arial"/>
                <w:sz w:val="14"/>
                <w:szCs w:val="14"/>
                <w:color w:val="auto"/>
              </w:rPr>
              <w:t>101,000</w:t>
            </w:r>
          </w:p>
        </w:tc>
        <w:tc>
          <w:tcPr>
            <w:tcW w:w="40" w:type="dxa"/>
            <w:vAlign w:val="bottom"/>
          </w:tcPr>
          <w:p>
            <w:pPr>
              <w:spacing w:after="0"/>
              <w:rPr>
                <w:sz w:val="11"/>
                <w:szCs w:val="11"/>
                <w:color w:val="auto"/>
              </w:rPr>
            </w:pPr>
          </w:p>
        </w:tc>
        <w:tc>
          <w:tcPr>
            <w:tcW w:w="700" w:type="dxa"/>
            <w:vAlign w:val="bottom"/>
            <w:gridSpan w:val="3"/>
          </w:tcPr>
          <w:p>
            <w:pPr>
              <w:jc w:val="right"/>
              <w:ind w:right="140"/>
              <w:spacing w:after="0" w:line="131" w:lineRule="exact"/>
              <w:rPr>
                <w:sz w:val="20"/>
                <w:szCs w:val="20"/>
                <w:color w:val="auto"/>
              </w:rPr>
            </w:pPr>
            <w:r>
              <w:rPr>
                <w:rFonts w:ascii="Arial" w:cs="Arial" w:eastAsia="Arial" w:hAnsi="Arial"/>
                <w:sz w:val="14"/>
                <w:szCs w:val="14"/>
                <w:color w:val="auto"/>
              </w:rPr>
              <w:t>88%</w:t>
            </w:r>
          </w:p>
        </w:tc>
        <w:tc>
          <w:tcPr>
            <w:tcW w:w="480" w:type="dxa"/>
            <w:vAlign w:val="bottom"/>
          </w:tcPr>
          <w:p>
            <w:pPr>
              <w:jc w:val="right"/>
              <w:spacing w:after="0" w:line="131" w:lineRule="exact"/>
              <w:rPr>
                <w:sz w:val="20"/>
                <w:szCs w:val="20"/>
                <w:color w:val="auto"/>
              </w:rPr>
            </w:pPr>
            <w:r>
              <w:rPr>
                <w:rFonts w:ascii="Arial" w:cs="Arial" w:eastAsia="Arial" w:hAnsi="Arial"/>
                <w:sz w:val="14"/>
                <w:szCs w:val="14"/>
                <w:color w:val="auto"/>
              </w:rPr>
              <w:t>46,000</w:t>
            </w:r>
          </w:p>
        </w:tc>
        <w:tc>
          <w:tcPr>
            <w:tcW w:w="860" w:type="dxa"/>
            <w:vAlign w:val="bottom"/>
            <w:gridSpan w:val="2"/>
          </w:tcPr>
          <w:p>
            <w:pPr>
              <w:ind w:left="100"/>
              <w:spacing w:after="0" w:line="131" w:lineRule="exact"/>
              <w:rPr>
                <w:sz w:val="20"/>
                <w:szCs w:val="20"/>
                <w:color w:val="auto"/>
              </w:rPr>
            </w:pPr>
            <w:r>
              <w:rPr>
                <w:rFonts w:ascii="Arial" w:cs="Arial" w:eastAsia="Arial" w:hAnsi="Arial"/>
                <w:sz w:val="14"/>
                <w:szCs w:val="14"/>
                <w:color w:val="auto"/>
                <w:w w:val="90"/>
              </w:rPr>
              <w:t>Harris Teeter</w:t>
            </w:r>
          </w:p>
        </w:tc>
        <w:tc>
          <w:tcPr>
            <w:tcW w:w="100" w:type="dxa"/>
            <w:vAlign w:val="bottom"/>
          </w:tcPr>
          <w:p>
            <w:pPr>
              <w:spacing w:after="0"/>
              <w:rPr>
                <w:sz w:val="11"/>
                <w:szCs w:val="11"/>
                <w:color w:val="auto"/>
              </w:rPr>
            </w:pPr>
          </w:p>
        </w:tc>
        <w:tc>
          <w:tcPr>
            <w:tcW w:w="1080" w:type="dxa"/>
            <w:vAlign w:val="bottom"/>
          </w:tcPr>
          <w:p>
            <w:pPr>
              <w:spacing w:after="0" w:line="131" w:lineRule="exact"/>
              <w:rPr>
                <w:sz w:val="20"/>
                <w:szCs w:val="20"/>
                <w:color w:val="auto"/>
              </w:rPr>
            </w:pPr>
            <w:r>
              <w:rPr>
                <w:rFonts w:ascii="Arial" w:cs="Arial" w:eastAsia="Arial" w:hAnsi="Arial"/>
                <w:sz w:val="14"/>
                <w:szCs w:val="14"/>
                <w:color w:val="auto"/>
              </w:rPr>
              <w:t>Bank of America</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72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2007</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80" w:type="dxa"/>
            <w:vAlign w:val="bottom"/>
            <w:gridSpan w:val="6"/>
            <w:shd w:val="clear" w:color="auto" w:fill="CCEEFF"/>
          </w:tcPr>
          <w:p>
            <w:pPr>
              <w:spacing w:after="0" w:line="138" w:lineRule="exact"/>
              <w:rPr>
                <w:sz w:val="20"/>
                <w:szCs w:val="20"/>
                <w:color w:val="auto"/>
              </w:rPr>
            </w:pPr>
            <w:r>
              <w:rPr>
                <w:rFonts w:ascii="Arial" w:cs="Arial" w:eastAsia="Arial" w:hAnsi="Arial"/>
                <w:sz w:val="14"/>
                <w:szCs w:val="14"/>
                <w:color w:val="auto"/>
              </w:rPr>
              <w:t>Free State Shopping Center</w:t>
            </w:r>
          </w:p>
        </w:tc>
        <w:tc>
          <w:tcPr>
            <w:tcW w:w="3040" w:type="dxa"/>
            <w:vAlign w:val="bottom"/>
            <w:gridSpan w:val="2"/>
            <w:shd w:val="clear" w:color="auto" w:fill="CCEEFF"/>
          </w:tcPr>
          <w:p>
            <w:pPr>
              <w:ind w:left="100"/>
              <w:spacing w:after="0" w:line="138" w:lineRule="exact"/>
              <w:rPr>
                <w:sz w:val="20"/>
                <w:szCs w:val="20"/>
                <w:color w:val="auto"/>
              </w:rPr>
            </w:pPr>
            <w:r>
              <w:rPr>
                <w:rFonts w:ascii="Arial" w:cs="Arial" w:eastAsia="Arial" w:hAnsi="Arial"/>
                <w:sz w:val="14"/>
                <w:szCs w:val="14"/>
                <w:color w:val="auto"/>
              </w:rPr>
              <w:t>Washington, DC-MD-VA</w:t>
            </w:r>
          </w:p>
        </w:tc>
        <w:tc>
          <w:tcPr>
            <w:tcW w:w="720" w:type="dxa"/>
            <w:vAlign w:val="bottom"/>
            <w:gridSpan w:val="3"/>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2007</w:t>
            </w: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4"/>
                <w:szCs w:val="14"/>
                <w:color w:val="auto"/>
              </w:rPr>
              <w:t>65,829</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279,000</w:t>
            </w:r>
          </w:p>
        </w:tc>
        <w:tc>
          <w:tcPr>
            <w:tcW w:w="40" w:type="dxa"/>
            <w:vAlign w:val="bottom"/>
            <w:shd w:val="clear" w:color="auto" w:fill="CCEEFF"/>
          </w:tcPr>
          <w:p>
            <w:pPr>
              <w:spacing w:after="0"/>
              <w:rPr>
                <w:sz w:val="11"/>
                <w:szCs w:val="11"/>
                <w:color w:val="auto"/>
              </w:rPr>
            </w:pPr>
          </w:p>
        </w:tc>
        <w:tc>
          <w:tcPr>
            <w:tcW w:w="700" w:type="dxa"/>
            <w:vAlign w:val="bottom"/>
            <w:gridSpan w:val="3"/>
            <w:shd w:val="clear" w:color="auto" w:fill="CCEEFF"/>
          </w:tcPr>
          <w:p>
            <w:pPr>
              <w:jc w:val="right"/>
              <w:ind w:right="140"/>
              <w:spacing w:after="0" w:line="138" w:lineRule="exact"/>
              <w:rPr>
                <w:sz w:val="20"/>
                <w:szCs w:val="20"/>
                <w:color w:val="auto"/>
              </w:rPr>
            </w:pPr>
            <w:r>
              <w:rPr>
                <w:rFonts w:ascii="Arial" w:cs="Arial" w:eastAsia="Arial" w:hAnsi="Arial"/>
                <w:sz w:val="14"/>
                <w:szCs w:val="14"/>
                <w:color w:val="auto"/>
              </w:rPr>
              <w:t>87%</w:t>
            </w:r>
          </w:p>
        </w:tc>
        <w:tc>
          <w:tcPr>
            <w:tcW w:w="4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73,000</w:t>
            </w:r>
          </w:p>
        </w:tc>
        <w:tc>
          <w:tcPr>
            <w:tcW w:w="860" w:type="dxa"/>
            <w:vAlign w:val="bottom"/>
            <w:gridSpan w:val="2"/>
            <w:shd w:val="clear" w:color="auto" w:fill="CCEEFF"/>
          </w:tcPr>
          <w:p>
            <w:pPr>
              <w:ind w:left="100"/>
              <w:spacing w:after="0" w:line="138" w:lineRule="exact"/>
              <w:rPr>
                <w:sz w:val="20"/>
                <w:szCs w:val="20"/>
                <w:color w:val="auto"/>
              </w:rPr>
            </w:pPr>
            <w:r>
              <w:rPr>
                <w:rFonts w:ascii="Arial" w:cs="Arial" w:eastAsia="Arial" w:hAnsi="Arial"/>
                <w:sz w:val="14"/>
                <w:szCs w:val="14"/>
                <w:color w:val="auto"/>
              </w:rPr>
              <w:t>Giant Food</w:t>
            </w: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TJ Maxx / Ross /</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Office Depot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gridSpan w:val="6"/>
          </w:tcPr>
          <w:p>
            <w:pPr>
              <w:spacing w:after="0" w:line="149" w:lineRule="exact"/>
              <w:rPr>
                <w:sz w:val="20"/>
                <w:szCs w:val="20"/>
                <w:color w:val="auto"/>
              </w:rPr>
            </w:pPr>
            <w:r>
              <w:rPr>
                <w:rFonts w:ascii="Arial" w:cs="Arial" w:eastAsia="Arial" w:hAnsi="Arial"/>
                <w:sz w:val="14"/>
                <w:szCs w:val="14"/>
                <w:color w:val="auto"/>
              </w:rPr>
              <w:t>Plaza del Mercado</w:t>
            </w:r>
          </w:p>
        </w:tc>
        <w:tc>
          <w:tcPr>
            <w:tcW w:w="30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Washington, DC-MD-VA</w:t>
            </w:r>
          </w:p>
        </w:tc>
        <w:tc>
          <w:tcPr>
            <w:tcW w:w="7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2004</w:t>
            </w: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21,308</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12,847</w:t>
            </w: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96,000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93%</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25,000</w:t>
            </w:r>
          </w:p>
        </w:tc>
        <w:tc>
          <w:tcPr>
            <w:tcW w:w="8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Giant Food</w:t>
            </w:r>
          </w:p>
        </w:tc>
        <w:tc>
          <w:tcPr>
            <w:tcW w:w="100" w:type="dxa"/>
            <w:vAlign w:val="bottom"/>
          </w:tcPr>
          <w:p>
            <w:pPr>
              <w:spacing w:after="0"/>
              <w:rPr>
                <w:sz w:val="12"/>
                <w:szCs w:val="12"/>
                <w:color w:val="auto"/>
              </w:rPr>
            </w:pPr>
          </w:p>
        </w:tc>
        <w:tc>
          <w:tcPr>
            <w:tcW w:w="1080" w:type="dxa"/>
            <w:vAlign w:val="bottom"/>
          </w:tcPr>
          <w:p>
            <w:pPr>
              <w:spacing w:after="0" w:line="149" w:lineRule="exact"/>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b w:val="1"/>
                <w:bCs w:val="1"/>
                <w:color w:val="auto"/>
              </w:rPr>
              <w:t>Total Washington Metropolitan Area</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121,255</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476,000</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89%</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Borders>
              <w:bottom w:val="single" w:sz="8" w:color="auto"/>
            </w:tcBorders>
            <w:gridSpan w:val="3"/>
          </w:tcPr>
          <w:p>
            <w:pPr>
              <w:spacing w:after="0" w:line="135" w:lineRule="exact"/>
              <w:rPr>
                <w:sz w:val="20"/>
                <w:szCs w:val="20"/>
                <w:color w:val="auto"/>
              </w:rPr>
            </w:pPr>
            <w:r>
              <w:rPr>
                <w:rFonts w:ascii="Arial" w:cs="Arial" w:eastAsia="Arial" w:hAnsi="Arial"/>
                <w:sz w:val="14"/>
                <w:szCs w:val="14"/>
                <w:b w:val="1"/>
                <w:bCs w:val="1"/>
                <w:color w:val="auto"/>
                <w:w w:val="86"/>
              </w:rPr>
              <w:t>New York / New Jersey</w:t>
            </w:r>
          </w:p>
        </w:tc>
        <w:tc>
          <w:tcPr>
            <w:tcW w:w="54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80" w:type="dxa"/>
            <w:vAlign w:val="bottom"/>
            <w:gridSpan w:val="6"/>
            <w:shd w:val="clear" w:color="auto" w:fill="CCEEFF"/>
          </w:tcPr>
          <w:p>
            <w:pPr>
              <w:spacing w:after="0" w:line="142" w:lineRule="exact"/>
              <w:rPr>
                <w:sz w:val="20"/>
                <w:szCs w:val="20"/>
                <w:color w:val="auto"/>
              </w:rPr>
            </w:pPr>
            <w:r>
              <w:rPr>
                <w:rFonts w:ascii="Arial" w:cs="Arial" w:eastAsia="Arial" w:hAnsi="Arial"/>
                <w:sz w:val="14"/>
                <w:szCs w:val="14"/>
                <w:color w:val="auto"/>
              </w:rPr>
              <w:t>Greenlawn Plaza</w:t>
            </w:r>
          </w:p>
        </w:tc>
        <w:tc>
          <w:tcPr>
            <w:tcW w:w="3040" w:type="dxa"/>
            <w:vAlign w:val="bottom"/>
            <w:gridSpan w:val="2"/>
            <w:shd w:val="clear" w:color="auto" w:fill="CCEEFF"/>
          </w:tcPr>
          <w:p>
            <w:pPr>
              <w:ind w:left="100"/>
              <w:spacing w:after="0" w:line="142" w:lineRule="exact"/>
              <w:rPr>
                <w:sz w:val="20"/>
                <w:szCs w:val="20"/>
                <w:color w:val="auto"/>
              </w:rPr>
            </w:pPr>
            <w:r>
              <w:rPr>
                <w:rFonts w:ascii="Arial" w:cs="Arial" w:eastAsia="Arial" w:hAnsi="Arial"/>
                <w:sz w:val="14"/>
                <w:szCs w:val="14"/>
                <w:color w:val="auto"/>
              </w:rPr>
              <w:t>Nassau-Suffolk, NY</w:t>
            </w:r>
          </w:p>
        </w:tc>
        <w:tc>
          <w:tcPr>
            <w:tcW w:w="720" w:type="dxa"/>
            <w:vAlign w:val="bottom"/>
            <w:gridSpan w:val="3"/>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2006</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20,020</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13,600</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6"/>
              </w:rPr>
              <w:t>106,000</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99%</w:t>
            </w:r>
          </w:p>
        </w:tc>
        <w:tc>
          <w:tcPr>
            <w:tcW w:w="4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46,000</w:t>
            </w:r>
          </w:p>
        </w:tc>
        <w:tc>
          <w:tcPr>
            <w:tcW w:w="860" w:type="dxa"/>
            <w:vAlign w:val="bottom"/>
            <w:gridSpan w:val="2"/>
            <w:shd w:val="clear" w:color="auto" w:fill="CCEEFF"/>
          </w:tcPr>
          <w:p>
            <w:pPr>
              <w:ind w:left="100"/>
              <w:spacing w:after="0" w:line="142" w:lineRule="exact"/>
              <w:rPr>
                <w:sz w:val="20"/>
                <w:szCs w:val="20"/>
                <w:color w:val="auto"/>
              </w:rPr>
            </w:pPr>
            <w:r>
              <w:rPr>
                <w:rFonts w:ascii="Arial" w:cs="Arial" w:eastAsia="Arial" w:hAnsi="Arial"/>
                <w:sz w:val="14"/>
                <w:szCs w:val="14"/>
                <w:color w:val="auto"/>
                <w:w w:val="96"/>
              </w:rPr>
              <w:t>Waldbaum’s</w:t>
            </w: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97"/>
              </w:rPr>
              <w:t>Tuesday Morning</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 New York / New Jersey</w:t>
            </w: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20,020</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w w:val="86"/>
              </w:rPr>
              <w:t>106,000</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99%</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80" w:type="dxa"/>
            <w:vAlign w:val="bottom"/>
            <w:gridSpan w:val="5"/>
            <w:shd w:val="clear" w:color="auto" w:fill="CCEEFF"/>
          </w:tcPr>
          <w:p>
            <w:pPr>
              <w:spacing w:after="0" w:line="135" w:lineRule="exact"/>
              <w:rPr>
                <w:sz w:val="20"/>
                <w:szCs w:val="20"/>
                <w:color w:val="auto"/>
              </w:rPr>
            </w:pPr>
            <w:r>
              <w:rPr>
                <w:rFonts w:ascii="Arial" w:cs="Arial" w:eastAsia="Arial" w:hAnsi="Arial"/>
                <w:sz w:val="14"/>
                <w:szCs w:val="14"/>
                <w:b w:val="1"/>
                <w:bCs w:val="1"/>
                <w:color w:val="auto"/>
              </w:rPr>
              <w:t>New England</w:t>
            </w:r>
          </w:p>
        </w:tc>
        <w:tc>
          <w:tcPr>
            <w:tcW w:w="100" w:type="dxa"/>
            <w:vAlign w:val="bottom"/>
            <w:shd w:val="clear" w:color="auto" w:fill="CCEEFF"/>
          </w:tcPr>
          <w:p>
            <w:pPr>
              <w:spacing w:after="0"/>
              <w:rPr>
                <w:sz w:val="11"/>
                <w:szCs w:val="11"/>
                <w:color w:val="auto"/>
              </w:rPr>
            </w:pPr>
          </w:p>
        </w:tc>
        <w:tc>
          <w:tcPr>
            <w:tcW w:w="2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9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080" w:type="dxa"/>
            <w:vAlign w:val="bottom"/>
            <w:gridSpan w:val="6"/>
          </w:tcPr>
          <w:p>
            <w:pPr>
              <w:spacing w:after="0" w:line="142" w:lineRule="exact"/>
              <w:rPr>
                <w:sz w:val="20"/>
                <w:szCs w:val="20"/>
                <w:color w:val="auto"/>
              </w:rPr>
            </w:pPr>
            <w:r>
              <w:rPr>
                <w:rFonts w:ascii="Arial" w:cs="Arial" w:eastAsia="Arial" w:hAnsi="Arial"/>
                <w:sz w:val="14"/>
                <w:szCs w:val="14"/>
                <w:color w:val="auto"/>
              </w:rPr>
              <w:t>Atlantic Plaza</w:t>
            </w:r>
          </w:p>
        </w:tc>
        <w:tc>
          <w:tcPr>
            <w:tcW w:w="3040" w:type="dxa"/>
            <w:vAlign w:val="bottom"/>
            <w:gridSpan w:val="2"/>
          </w:tcPr>
          <w:p>
            <w:pPr>
              <w:ind w:left="100"/>
              <w:spacing w:after="0" w:line="142" w:lineRule="exact"/>
              <w:rPr>
                <w:sz w:val="20"/>
                <w:szCs w:val="20"/>
                <w:color w:val="auto"/>
              </w:rPr>
            </w:pPr>
            <w:r>
              <w:rPr>
                <w:rFonts w:ascii="Arial" w:cs="Arial" w:eastAsia="Arial" w:hAnsi="Arial"/>
                <w:sz w:val="14"/>
                <w:szCs w:val="14"/>
                <w:color w:val="auto"/>
                <w:w w:val="94"/>
              </w:rPr>
              <w:t>Boston-Worcester-Lawrence-Lowell-Brockton, MA</w:t>
            </w:r>
          </w:p>
        </w:tc>
        <w:tc>
          <w:tcPr>
            <w:tcW w:w="72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2004</w:t>
            </w:r>
          </w:p>
        </w:tc>
        <w:tc>
          <w:tcPr>
            <w:tcW w:w="80" w:type="dxa"/>
            <w:vAlign w:val="bottom"/>
          </w:tcPr>
          <w:p>
            <w:pPr>
              <w:spacing w:after="0"/>
              <w:rPr>
                <w:sz w:val="12"/>
                <w:szCs w:val="12"/>
                <w:color w:val="auto"/>
              </w:rPr>
            </w:pPr>
          </w:p>
        </w:tc>
        <w:tc>
          <w:tcPr>
            <w:tcW w:w="780" w:type="dxa"/>
            <w:vAlign w:val="bottom"/>
            <w:gridSpan w:val="2"/>
          </w:tcPr>
          <w:p>
            <w:pPr>
              <w:jc w:val="right"/>
              <w:ind w:right="20"/>
              <w:spacing w:after="0" w:line="142" w:lineRule="exact"/>
              <w:rPr>
                <w:sz w:val="20"/>
                <w:szCs w:val="20"/>
                <w:color w:val="auto"/>
              </w:rPr>
            </w:pPr>
            <w:r>
              <w:rPr>
                <w:rFonts w:ascii="Arial" w:cs="Arial" w:eastAsia="Arial" w:hAnsi="Arial"/>
                <w:sz w:val="14"/>
                <w:szCs w:val="14"/>
                <w:color w:val="auto"/>
              </w:rPr>
              <w:t>16,922</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10,500</w:t>
            </w:r>
          </w:p>
        </w:tc>
        <w:tc>
          <w:tcPr>
            <w:tcW w:w="54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123,000</w:t>
            </w:r>
          </w:p>
        </w:tc>
        <w:tc>
          <w:tcPr>
            <w:tcW w:w="40" w:type="dxa"/>
            <w:vAlign w:val="bottom"/>
          </w:tcPr>
          <w:p>
            <w:pPr>
              <w:spacing w:after="0"/>
              <w:rPr>
                <w:sz w:val="12"/>
                <w:szCs w:val="12"/>
                <w:color w:val="auto"/>
              </w:rPr>
            </w:pPr>
          </w:p>
        </w:tc>
        <w:tc>
          <w:tcPr>
            <w:tcW w:w="700" w:type="dxa"/>
            <w:vAlign w:val="bottom"/>
            <w:gridSpan w:val="3"/>
          </w:tcPr>
          <w:p>
            <w:pPr>
              <w:jc w:val="right"/>
              <w:ind w:right="140"/>
              <w:spacing w:after="0" w:line="142" w:lineRule="exact"/>
              <w:rPr>
                <w:sz w:val="20"/>
                <w:szCs w:val="20"/>
                <w:color w:val="auto"/>
              </w:rPr>
            </w:pPr>
            <w:r>
              <w:rPr>
                <w:rFonts w:ascii="Arial" w:cs="Arial" w:eastAsia="Arial" w:hAnsi="Arial"/>
                <w:sz w:val="14"/>
                <w:szCs w:val="14"/>
                <w:color w:val="auto"/>
              </w:rPr>
              <w:t>39%</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line="142" w:lineRule="exact"/>
              <w:rPr>
                <w:sz w:val="20"/>
                <w:szCs w:val="20"/>
                <w:color w:val="auto"/>
              </w:rPr>
            </w:pPr>
            <w:r>
              <w:rPr>
                <w:rFonts w:ascii="Arial" w:cs="Arial" w:eastAsia="Arial" w:hAnsi="Arial"/>
                <w:sz w:val="14"/>
                <w:szCs w:val="14"/>
                <w:color w:val="auto"/>
              </w:rPr>
              <w:t>Sears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80" w:type="dxa"/>
            <w:vAlign w:val="bottom"/>
            <w:gridSpan w:val="6"/>
            <w:shd w:val="clear" w:color="auto" w:fill="CCEEFF"/>
          </w:tcPr>
          <w:p>
            <w:pPr>
              <w:spacing w:after="0" w:line="138" w:lineRule="exact"/>
              <w:rPr>
                <w:sz w:val="20"/>
                <w:szCs w:val="20"/>
                <w:color w:val="auto"/>
              </w:rPr>
            </w:pPr>
            <w:r>
              <w:rPr>
                <w:rFonts w:ascii="Arial" w:cs="Arial" w:eastAsia="Arial" w:hAnsi="Arial"/>
                <w:sz w:val="14"/>
                <w:szCs w:val="14"/>
                <w:color w:val="auto"/>
              </w:rPr>
              <w:t>Campus Plaza</w:t>
            </w:r>
          </w:p>
        </w:tc>
        <w:tc>
          <w:tcPr>
            <w:tcW w:w="3040" w:type="dxa"/>
            <w:vAlign w:val="bottom"/>
            <w:gridSpan w:val="2"/>
            <w:shd w:val="clear" w:color="auto" w:fill="CCEEFF"/>
          </w:tcPr>
          <w:p>
            <w:pPr>
              <w:ind w:left="100"/>
              <w:spacing w:after="0" w:line="138" w:lineRule="exact"/>
              <w:rPr>
                <w:sz w:val="20"/>
                <w:szCs w:val="20"/>
                <w:color w:val="auto"/>
              </w:rPr>
            </w:pPr>
            <w:r>
              <w:rPr>
                <w:rFonts w:ascii="Arial" w:cs="Arial" w:eastAsia="Arial" w:hAnsi="Arial"/>
                <w:sz w:val="14"/>
                <w:szCs w:val="14"/>
                <w:color w:val="auto"/>
                <w:w w:val="94"/>
              </w:rPr>
              <w:t>Boston-Worcester-Lawrence-Lowell-Brockton, MA</w:t>
            </w:r>
          </w:p>
        </w:tc>
        <w:tc>
          <w:tcPr>
            <w:tcW w:w="720" w:type="dxa"/>
            <w:vAlign w:val="bottom"/>
            <w:gridSpan w:val="3"/>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2004</w:t>
            </w: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4"/>
                <w:szCs w:val="14"/>
                <w:color w:val="auto"/>
              </w:rPr>
              <w:t>22,196</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580" w:type="dxa"/>
            <w:vAlign w:val="bottom"/>
            <w:gridSpan w:val="3"/>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rPr>
              <w:t>116,000</w:t>
            </w:r>
          </w:p>
        </w:tc>
        <w:tc>
          <w:tcPr>
            <w:tcW w:w="700" w:type="dxa"/>
            <w:vAlign w:val="bottom"/>
            <w:gridSpan w:val="3"/>
            <w:shd w:val="clear" w:color="auto" w:fill="CCEEFF"/>
          </w:tcPr>
          <w:p>
            <w:pPr>
              <w:jc w:val="right"/>
              <w:ind w:right="140"/>
              <w:spacing w:after="0" w:line="138" w:lineRule="exact"/>
              <w:rPr>
                <w:sz w:val="20"/>
                <w:szCs w:val="20"/>
                <w:color w:val="auto"/>
              </w:rPr>
            </w:pPr>
            <w:r>
              <w:rPr>
                <w:rFonts w:ascii="Arial" w:cs="Arial" w:eastAsia="Arial" w:hAnsi="Arial"/>
                <w:sz w:val="14"/>
                <w:szCs w:val="14"/>
                <w:color w:val="auto"/>
              </w:rPr>
              <w:t>95%</w:t>
            </w:r>
          </w:p>
        </w:tc>
        <w:tc>
          <w:tcPr>
            <w:tcW w:w="4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46,000</w:t>
            </w:r>
          </w:p>
        </w:tc>
        <w:tc>
          <w:tcPr>
            <w:tcW w:w="860" w:type="dxa"/>
            <w:vAlign w:val="bottom"/>
            <w:gridSpan w:val="2"/>
            <w:shd w:val="clear" w:color="auto" w:fill="CCEEFF"/>
          </w:tcPr>
          <w:p>
            <w:pPr>
              <w:ind w:left="100"/>
              <w:spacing w:after="0" w:line="138" w:lineRule="exact"/>
              <w:rPr>
                <w:sz w:val="20"/>
                <w:szCs w:val="20"/>
                <w:color w:val="auto"/>
              </w:rPr>
            </w:pPr>
            <w:r>
              <w:rPr>
                <w:rFonts w:ascii="Arial" w:cs="Arial" w:eastAsia="Arial" w:hAnsi="Arial"/>
                <w:sz w:val="14"/>
                <w:szCs w:val="14"/>
                <w:color w:val="auto"/>
              </w:rPr>
              <w:t>Roche</w:t>
            </w: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Burlington Coat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ind w:left="100"/>
              <w:spacing w:after="0" w:line="159" w:lineRule="exact"/>
              <w:rPr>
                <w:sz w:val="20"/>
                <w:szCs w:val="20"/>
                <w:color w:val="auto"/>
              </w:rPr>
            </w:pPr>
            <w:r>
              <w:rPr>
                <w:rFonts w:ascii="Arial" w:cs="Arial" w:eastAsia="Arial" w:hAnsi="Arial"/>
                <w:sz w:val="14"/>
                <w:szCs w:val="14"/>
                <w:color w:val="auto"/>
              </w:rPr>
              <w:t>Brothers</w:t>
            </w: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Factory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gridSpan w:val="6"/>
          </w:tcPr>
          <w:p>
            <w:pPr>
              <w:spacing w:after="0" w:line="149" w:lineRule="exact"/>
              <w:rPr>
                <w:sz w:val="20"/>
                <w:szCs w:val="20"/>
                <w:color w:val="auto"/>
              </w:rPr>
            </w:pPr>
            <w:r>
              <w:rPr>
                <w:rFonts w:ascii="Arial" w:cs="Arial" w:eastAsia="Arial" w:hAnsi="Arial"/>
                <w:sz w:val="14"/>
                <w:szCs w:val="14"/>
                <w:color w:val="auto"/>
              </w:rPr>
              <w:t>Pleasant Shops</w:t>
            </w:r>
          </w:p>
        </w:tc>
        <w:tc>
          <w:tcPr>
            <w:tcW w:w="304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94"/>
              </w:rPr>
              <w:t>Boston-Worcester-Lawrence-Lowell-Brockton, MA</w:t>
            </w:r>
          </w:p>
        </w:tc>
        <w:tc>
          <w:tcPr>
            <w:tcW w:w="7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2004</w:t>
            </w: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23,006</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86"/>
              </w:rPr>
              <w:t>129,000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92%</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38,000</w:t>
            </w:r>
          </w:p>
        </w:tc>
        <w:tc>
          <w:tcPr>
            <w:tcW w:w="86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99"/>
              </w:rPr>
              <w:t>Foodmaster</w:t>
            </w:r>
          </w:p>
        </w:tc>
        <w:tc>
          <w:tcPr>
            <w:tcW w:w="100" w:type="dxa"/>
            <w:vAlign w:val="bottom"/>
          </w:tcPr>
          <w:p>
            <w:pPr>
              <w:spacing w:after="0"/>
              <w:rPr>
                <w:sz w:val="12"/>
                <w:szCs w:val="12"/>
                <w:color w:val="auto"/>
              </w:rPr>
            </w:pPr>
          </w:p>
        </w:tc>
        <w:tc>
          <w:tcPr>
            <w:tcW w:w="1080" w:type="dxa"/>
            <w:vAlign w:val="bottom"/>
          </w:tcPr>
          <w:p>
            <w:pPr>
              <w:spacing w:after="0" w:line="149" w:lineRule="exact"/>
              <w:rPr>
                <w:sz w:val="20"/>
                <w:szCs w:val="20"/>
                <w:color w:val="auto"/>
              </w:rPr>
            </w:pPr>
            <w:r>
              <w:rPr>
                <w:rFonts w:ascii="Arial" w:cs="Arial" w:eastAsia="Arial" w:hAnsi="Arial"/>
                <w:sz w:val="14"/>
                <w:szCs w:val="14"/>
                <w:color w:val="auto"/>
              </w:rPr>
              <w:t>Marshalls</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b w:val="1"/>
                <w:bCs w:val="1"/>
                <w:color w:val="auto"/>
              </w:rPr>
              <w:t>Total New England</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62,124</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368,000</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75%</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00" w:type="dxa"/>
            <w:vAlign w:val="bottom"/>
            <w:gridSpan w:val="7"/>
            <w:vMerge w:val="restart"/>
          </w:tcPr>
          <w:p>
            <w:pPr>
              <w:spacing w:after="0"/>
              <w:rPr>
                <w:sz w:val="20"/>
                <w:szCs w:val="20"/>
                <w:color w:val="auto"/>
              </w:rPr>
            </w:pPr>
            <w:r>
              <w:rPr>
                <w:rFonts w:ascii="Arial" w:cs="Arial" w:eastAsia="Arial" w:hAnsi="Arial"/>
                <w:sz w:val="14"/>
                <w:szCs w:val="14"/>
                <w:color w:val="auto"/>
              </w:rPr>
              <w:t>Grand Totals</w:t>
            </w:r>
          </w:p>
        </w:tc>
        <w:tc>
          <w:tcPr>
            <w:tcW w:w="1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100" w:type="dxa"/>
            <w:vAlign w:val="bottom"/>
            <w:gridSpan w:val="7"/>
            <w:vMerge w:val="continue"/>
          </w:tcPr>
          <w:p>
            <w:pPr>
              <w:spacing w:after="0"/>
              <w:rPr>
                <w:sz w:val="13"/>
                <w:szCs w:val="13"/>
                <w:color w:val="auto"/>
              </w:rPr>
            </w:pPr>
          </w:p>
        </w:tc>
        <w:tc>
          <w:tcPr>
            <w:tcW w:w="10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203,399</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57,732</w:t>
            </w:r>
          </w:p>
        </w:tc>
        <w:tc>
          <w:tcPr>
            <w:tcW w:w="80" w:type="dxa"/>
            <w:vAlign w:val="bottom"/>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w w:val="86"/>
              </w:rPr>
              <w:t>950,000</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84%</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w:t>
      </w:r>
    </w:p>
    <w:p>
      <w:pPr>
        <w:spacing w:after="0" w:line="15" w:lineRule="exact"/>
        <w:rPr>
          <w:sz w:val="20"/>
          <w:szCs w:val="20"/>
          <w:color w:val="auto"/>
        </w:rPr>
      </w:pPr>
    </w:p>
    <w:p>
      <w:pPr>
        <w:ind w:left="5620" w:right="5260" w:hanging="5612"/>
        <w:spacing w:after="0" w:line="404" w:lineRule="auto"/>
        <w:tabs>
          <w:tab w:leader="none" w:pos="448" w:val="left"/>
        </w:tabs>
        <w:numPr>
          <w:ilvl w:val="0"/>
          <w:numId w:val="19"/>
        </w:numPr>
        <w:rPr>
          <w:rFonts w:ascii="Arial" w:cs="Arial" w:eastAsia="Arial" w:hAnsi="Arial"/>
          <w:sz w:val="15"/>
          <w:szCs w:val="15"/>
          <w:color w:val="auto"/>
        </w:rPr>
      </w:pPr>
      <w:r>
        <w:rPr>
          <w:rFonts w:ascii="Arial" w:cs="Arial" w:eastAsia="Arial" w:hAnsi="Arial"/>
          <w:sz w:val="15"/>
          <w:szCs w:val="15"/>
          <w:color w:val="auto"/>
        </w:rPr>
        <w:t>Grocery anchor is defined as a grocery tenant leasing 15,000 square feet or more. 24</w:t>
      </w:r>
    </w:p>
    <w:p>
      <w:pPr>
        <w:sectPr>
          <w:pgSz w:w="11900" w:h="16838" w:orient="portrait"/>
          <w:cols w:equalWidth="0" w:num="1">
            <w:col w:w="11420"/>
          </w:cols>
          <w:pgMar w:left="240" w:top="274" w:right="239" w:bottom="1440" w:gutter="0" w:footer="0" w:header="0"/>
        </w:sectPr>
      </w:pPr>
    </w:p>
    <w:bookmarkStart w:id="29" w:name="page30"/>
    <w:bookmarkEnd w:id="29"/>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Glossary of Terms</w:t>
      </w:r>
    </w:p>
    <w:p>
      <w:pPr>
        <w:spacing w:after="0" w:line="17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b w:val="1"/>
          <w:bCs w:val="1"/>
          <w:color w:val="auto"/>
        </w:rPr>
        <w:t xml:space="preserve">Adjusted EBITDA: </w:t>
      </w:r>
      <w:r>
        <w:rPr>
          <w:rFonts w:ascii="Arial" w:cs="Arial" w:eastAsia="Arial" w:hAnsi="Arial"/>
          <w:sz w:val="18"/>
          <w:szCs w:val="18"/>
          <w:color w:val="auto"/>
        </w:rPr>
        <w:t>Adjusted EBITDA is a non-GAAP measure that means net income or loss attributable to the Trust plus depreciation and amortization, net</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 expense, income taxes, gain or loss on sale of real estate and impairments of real estate, if any. Adjusted EBITDA is presented because it approximates a key performance measure in our debt covenants, but it should not be considered an alternative measure of operating results or cash flow from operations as determined in accordance with GAAP. The reconciliation of net income attributable to the Trust to EBITDA and Adjusted EBITDA for the three months ended March 31, 2010 and 2009 is as follows: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8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9"/>
              </w:rPr>
              <w:t>Three Months Ended</w:t>
            </w:r>
          </w:p>
        </w:tc>
        <w:tc>
          <w:tcPr>
            <w:tcW w:w="0" w:type="dxa"/>
            <w:vAlign w:val="bottom"/>
          </w:tcPr>
          <w:p>
            <w:pPr>
              <w:spacing w:after="0"/>
              <w:rPr>
                <w:sz w:val="1"/>
                <w:szCs w:val="1"/>
                <w:color w:val="auto"/>
              </w:rPr>
            </w:pPr>
          </w:p>
        </w:tc>
      </w:tr>
      <w:tr>
        <w:trPr>
          <w:trHeight w:val="161"/>
        </w:trPr>
        <w:tc>
          <w:tcPr>
            <w:tcW w:w="6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8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2"/>
              </w:rPr>
              <w:t>March 31,</w:t>
            </w:r>
          </w:p>
        </w:tc>
        <w:tc>
          <w:tcPr>
            <w:tcW w:w="0" w:type="dxa"/>
            <w:vAlign w:val="bottom"/>
          </w:tcPr>
          <w:p>
            <w:pPr>
              <w:spacing w:after="0"/>
              <w:rPr>
                <w:sz w:val="1"/>
                <w:szCs w:val="1"/>
                <w:color w:val="auto"/>
              </w:rPr>
            </w:pPr>
          </w:p>
        </w:tc>
      </w:tr>
      <w:tr>
        <w:trPr>
          <w:trHeight w:val="142"/>
        </w:trPr>
        <w:tc>
          <w:tcPr>
            <w:tcW w:w="6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top w:val="single" w:sz="8" w:color="auto"/>
            </w:tcBorders>
          </w:tcPr>
          <w:p>
            <w:pPr>
              <w:jc w:val="right"/>
              <w:ind w:right="84"/>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500" w:type="dxa"/>
            <w:vAlign w:val="bottom"/>
            <w:gridSpan w:val="2"/>
          </w:tcPr>
          <w:p>
            <w:pPr>
              <w:jc w:val="center"/>
              <w:spacing w:after="0"/>
              <w:rPr>
                <w:sz w:val="20"/>
                <w:szCs w:val="20"/>
                <w:color w:val="auto"/>
              </w:rPr>
            </w:pPr>
            <w:r>
              <w:rPr>
                <w:rFonts w:ascii="Arial" w:cs="Arial" w:eastAsia="Arial" w:hAnsi="Arial"/>
                <w:sz w:val="12"/>
                <w:szCs w:val="12"/>
                <w:b w:val="1"/>
                <w:bCs w:val="1"/>
                <w:color w:val="auto"/>
                <w:w w:val="74"/>
              </w:rPr>
              <w:t>thousands)</w:t>
            </w:r>
          </w:p>
        </w:tc>
        <w:tc>
          <w:tcPr>
            <w:tcW w:w="5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the Trust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$29,220</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28,932</w:t>
            </w:r>
          </w:p>
        </w:tc>
        <w:tc>
          <w:tcPr>
            <w:tcW w:w="2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28,592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25,962</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23,583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Early extinguishment of debt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2,801</w:t>
            </w:r>
          </w:p>
        </w:tc>
        <w:tc>
          <w:tcPr>
            <w:tcW w:w="280" w:type="dxa"/>
            <w:vAlign w:val="bottom"/>
          </w:tcPr>
          <w:p>
            <w:pPr>
              <w:spacing w:after="0"/>
              <w:rPr>
                <w:sz w:val="18"/>
                <w:szCs w:val="18"/>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Other interest income</w:t>
            </w:r>
          </w:p>
        </w:tc>
        <w:tc>
          <w:tcPr>
            <w:tcW w:w="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78"/>
              <w:spacing w:after="0"/>
              <w:rPr>
                <w:sz w:val="20"/>
                <w:szCs w:val="20"/>
                <w:color w:val="auto"/>
              </w:rPr>
            </w:pPr>
            <w:r>
              <w:rPr>
                <w:rFonts w:ascii="Arial" w:cs="Arial" w:eastAsia="Arial" w:hAnsi="Arial"/>
                <w:sz w:val="18"/>
                <w:szCs w:val="18"/>
                <w:color w:val="auto"/>
              </w:rPr>
              <w:t>(182)</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21"/>
        </w:trPr>
        <w:tc>
          <w:tcPr>
            <w:tcW w:w="6880" w:type="dxa"/>
            <w:vAlign w:val="bottom"/>
          </w:tcPr>
          <w:p>
            <w:pPr>
              <w:spacing w:after="0"/>
              <w:rPr>
                <w:sz w:val="20"/>
                <w:szCs w:val="20"/>
                <w:color w:val="auto"/>
              </w:rPr>
            </w:pPr>
            <w:r>
              <w:rPr>
                <w:rFonts w:ascii="Arial" w:cs="Arial" w:eastAsia="Arial" w:hAnsi="Arial"/>
                <w:sz w:val="18"/>
                <w:szCs w:val="18"/>
                <w:color w:val="auto"/>
              </w:rPr>
              <w:t>EBITDA</w:t>
            </w:r>
          </w:p>
        </w:tc>
        <w:tc>
          <w:tcPr>
            <w:tcW w:w="2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86,733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62,555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real estate</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(915)</w:t>
            </w:r>
          </w:p>
        </w:tc>
        <w:tc>
          <w:tcPr>
            <w:tcW w:w="0" w:type="dxa"/>
            <w:vAlign w:val="bottom"/>
          </w:tcPr>
          <w:p>
            <w:pPr>
              <w:spacing w:after="0"/>
              <w:rPr>
                <w:sz w:val="1"/>
                <w:szCs w:val="1"/>
                <w:color w:val="auto"/>
              </w:rPr>
            </w:pPr>
          </w:p>
        </w:tc>
      </w:tr>
      <w:tr>
        <w:trPr>
          <w:trHeight w:val="20"/>
        </w:trPr>
        <w:tc>
          <w:tcPr>
            <w:tcW w:w="6880" w:type="dxa"/>
            <w:vAlign w:val="bottom"/>
            <w:vMerge w:val="restart"/>
          </w:tcPr>
          <w:p>
            <w:pPr>
              <w:spacing w:after="0"/>
              <w:rPr>
                <w:sz w:val="20"/>
                <w:szCs w:val="20"/>
                <w:color w:val="auto"/>
              </w:rPr>
            </w:pPr>
            <w:r>
              <w:rPr>
                <w:rFonts w:ascii="Arial" w:cs="Arial" w:eastAsia="Arial" w:hAnsi="Arial"/>
                <w:sz w:val="18"/>
                <w:szCs w:val="18"/>
                <w:color w:val="auto"/>
              </w:rPr>
              <w:t>Adjusted EBITDA</w:t>
            </w:r>
          </w:p>
        </w:tc>
        <w:tc>
          <w:tcPr>
            <w:tcW w:w="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880" w:type="dxa"/>
            <w:vAlign w:val="bottom"/>
            <w:vMerge w:val="continue"/>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86,733</w:t>
            </w:r>
          </w:p>
        </w:tc>
        <w:tc>
          <w:tcPr>
            <w:tcW w:w="28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61,640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line="288" w:lineRule="auto"/>
        <w:rPr>
          <w:sz w:val="20"/>
          <w:szCs w:val="20"/>
          <w:color w:val="auto"/>
        </w:rPr>
      </w:pPr>
      <w:r>
        <w:rPr>
          <w:rFonts w:ascii="Arial" w:cs="Arial" w:eastAsia="Arial" w:hAnsi="Arial"/>
          <w:sz w:val="16"/>
          <w:szCs w:val="16"/>
          <w:b w:val="1"/>
          <w:bCs w:val="1"/>
          <w:color w:val="auto"/>
        </w:rPr>
        <w:t xml:space="preserve">Funds From Operations (FFO): </w:t>
      </w:r>
      <w:r>
        <w:rPr>
          <w:rFonts w:ascii="Arial" w:cs="Arial" w:eastAsia="Arial" w:hAnsi="Arial"/>
          <w:sz w:val="16"/>
          <w:szCs w:val="16"/>
          <w:color w:val="auto"/>
        </w:rPr>
        <w:t>FFO is a supplemental measure of real estate companies’ operating performances. The National Association of Real Estate</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 Trusts (“NAREIT”) defines FFO as follows: net income, computed in accordance with GAAP plus depreciation and amortization of real estate assets and excluding extraordinary items and gains and losses on sale of real estate. NAREIT developed FFO as a relative measure of performance and liquidity of an equity REIT in order to recognize that the value of income-producing real estate historically has not depreciated on the basis determined under GAAP. However, FFO does not represent cash flows from operating activities in accordance with GAAP (which, unlike FFO, generally reflects all cash effects of transactions and other events in the determination of net income); should not be considered an alternative to net income as an indication of our performance; and is not necessarily indicative of cash flow as a measure of liquidity or ability to pay dividends. We consider FFO a meaningful, additional measure of operating performance primarily because it excludes the assumption that the value of real estate assets diminishes predictably over time, and because industry analysts have accepted it as a performance measure. Comparison of our presentation of FFO to similarly titled measures for other REITs may not necessarily be meaningful due to possible differences in the application of the NAREIT definition used by such REITs.</w:t>
      </w:r>
    </w:p>
    <w:p>
      <w:pPr>
        <w:spacing w:after="0" w:line="115" w:lineRule="exact"/>
        <w:rPr>
          <w:sz w:val="20"/>
          <w:szCs w:val="20"/>
          <w:color w:val="auto"/>
        </w:rPr>
      </w:pPr>
    </w:p>
    <w:p>
      <w:pPr>
        <w:ind w:right="460"/>
        <w:spacing w:after="0" w:line="275" w:lineRule="auto"/>
        <w:rPr>
          <w:sz w:val="20"/>
          <w:szCs w:val="20"/>
          <w:color w:val="auto"/>
        </w:rPr>
      </w:pPr>
      <w:r>
        <w:rPr>
          <w:rFonts w:ascii="Arial" w:cs="Arial" w:eastAsia="Arial" w:hAnsi="Arial"/>
          <w:sz w:val="18"/>
          <w:szCs w:val="18"/>
          <w:b w:val="1"/>
          <w:bCs w:val="1"/>
          <w:color w:val="auto"/>
        </w:rPr>
        <w:t xml:space="preserve">Property Operating Income: </w:t>
      </w:r>
      <w:r>
        <w:rPr>
          <w:rFonts w:ascii="Arial" w:cs="Arial" w:eastAsia="Arial" w:hAnsi="Arial"/>
          <w:sz w:val="18"/>
          <w:szCs w:val="18"/>
          <w:color w:val="auto"/>
        </w:rPr>
        <w:t>Rental income, other property income and mortgage interest income, less rental expenses and real estate taxes and excluding</w:t>
      </w:r>
      <w:r>
        <w:rPr>
          <w:rFonts w:ascii="Arial" w:cs="Arial" w:eastAsia="Arial" w:hAnsi="Arial"/>
          <w:sz w:val="18"/>
          <w:szCs w:val="18"/>
          <w:b w:val="1"/>
          <w:bCs w:val="1"/>
          <w:color w:val="auto"/>
        </w:rPr>
        <w:t xml:space="preserve"> </w:t>
      </w:r>
      <w:r>
        <w:rPr>
          <w:rFonts w:ascii="Arial" w:cs="Arial" w:eastAsia="Arial" w:hAnsi="Arial"/>
          <w:sz w:val="18"/>
          <w:szCs w:val="18"/>
          <w:color w:val="auto"/>
        </w:rPr>
        <w:t>operating results from discontinued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Overall Portfolio: </w:t>
      </w:r>
      <w:r>
        <w:rPr>
          <w:rFonts w:ascii="Arial" w:cs="Arial" w:eastAsia="Arial" w:hAnsi="Arial"/>
          <w:sz w:val="18"/>
          <w:szCs w:val="18"/>
          <w:color w:val="auto"/>
        </w:rPr>
        <w:t>Includes all operating properties owned in reporting period.</w:t>
      </w:r>
    </w:p>
    <w:p>
      <w:pPr>
        <w:spacing w:after="0" w:line="171"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b w:val="1"/>
          <w:bCs w:val="1"/>
          <w:color w:val="auto"/>
        </w:rPr>
        <w:t xml:space="preserve">Same Center: </w:t>
      </w:r>
      <w:r>
        <w:rPr>
          <w:rFonts w:ascii="Arial" w:cs="Arial" w:eastAsia="Arial" w:hAnsi="Arial"/>
          <w:sz w:val="18"/>
          <w:szCs w:val="18"/>
          <w:color w:val="auto"/>
        </w:rPr>
        <w:t>Information provided on a same center basis is provided for only those properties that were owned and operated for the entirety of both periods</w:t>
      </w:r>
      <w:r>
        <w:rPr>
          <w:rFonts w:ascii="Arial" w:cs="Arial" w:eastAsia="Arial" w:hAnsi="Arial"/>
          <w:sz w:val="18"/>
          <w:szCs w:val="18"/>
          <w:b w:val="1"/>
          <w:bCs w:val="1"/>
          <w:color w:val="auto"/>
        </w:rPr>
        <w:t xml:space="preserve"> </w:t>
      </w:r>
      <w:r>
        <w:rPr>
          <w:rFonts w:ascii="Arial" w:cs="Arial" w:eastAsia="Arial" w:hAnsi="Arial"/>
          <w:sz w:val="18"/>
          <w:szCs w:val="18"/>
          <w:color w:val="auto"/>
        </w:rPr>
        <w:t>being compared, excludes properties that were redeveloped, expanded or under development and properties purchased or sold at any time during the periods being compared.</w:t>
      </w:r>
    </w:p>
    <w:p>
      <w:pPr>
        <w:spacing w:after="0" w:line="132"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b w:val="1"/>
          <w:bCs w:val="1"/>
          <w:color w:val="auto"/>
        </w:rPr>
        <w:t xml:space="preserve">Tenant Improvements and Incentives: </w:t>
      </w:r>
      <w:r>
        <w:rPr>
          <w:rFonts w:ascii="Arial" w:cs="Arial" w:eastAsia="Arial" w:hAnsi="Arial"/>
          <w:sz w:val="18"/>
          <w:szCs w:val="18"/>
          <w:color w:val="auto"/>
        </w:rPr>
        <w:t>Represents not only the total dollars committed for the improvement (fit-out) of a space as it relates to a specific lease</w:t>
      </w:r>
      <w:r>
        <w:rPr>
          <w:rFonts w:ascii="Arial" w:cs="Arial" w:eastAsia="Arial" w:hAnsi="Arial"/>
          <w:sz w:val="18"/>
          <w:szCs w:val="18"/>
          <w:b w:val="1"/>
          <w:bCs w:val="1"/>
          <w:color w:val="auto"/>
        </w:rPr>
        <w:t xml:space="preserve"> </w:t>
      </w:r>
      <w:r>
        <w:rPr>
          <w:rFonts w:ascii="Arial" w:cs="Arial" w:eastAsia="Arial" w:hAnsi="Arial"/>
          <w:sz w:val="18"/>
          <w:szCs w:val="18"/>
          <w:color w:val="auto"/>
        </w:rPr>
        <w:t>but may also include base building costs (i.e. expansion, escalators or new entrances) which are required to make the space leasable. Incentives include amounts paid to tenants as an inducement to sign a lease that do not represent building improvements.</w:t>
      </w:r>
    </w:p>
    <w:sectPr>
      <w:pgSz w:w="11900" w:h="16838" w:orient="portrait"/>
      <w:cols w:equalWidth="0" w:num="1">
        <w:col w:w="11400"/>
      </w:cols>
      <w:pgMar w:left="240"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1)"/>
      <w:numFmt w:val="lowerLetter"/>
      <w:start w:val="3"/>
    </w:lvl>
  </w:abstractNum>
  <w:abstractNum w:abstractNumId="2">
    <w:nsid w:val="1F16E9E8"/>
    <w:multiLevelType w:val="hybridMultilevel"/>
    <w:lvl w:ilvl="0">
      <w:lvlJc w:val="left"/>
      <w:lvlText w:val="%1."/>
      <w:numFmt w:val="decimal"/>
      <w:start w:val="3"/>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1)"/>
      <w:numFmt w:val="lowerLetter"/>
      <w:start w:val="1"/>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1)"/>
      <w:numFmt w:val="decimal"/>
      <w:start w:val="1"/>
    </w:lvl>
  </w:abstractNum>
  <w:abstractNum w:abstractNumId="11">
    <w:nsid w:val="41A7C4C9"/>
    <w:multiLevelType w:val="hybridMultilevel"/>
    <w:lvl w:ilvl="0">
      <w:lvlJc w:val="left"/>
      <w:lvlText w:val="(%1)"/>
      <w:numFmt w:val="decimal"/>
      <w:start w:val="1"/>
    </w:lvl>
  </w:abstractNum>
  <w:abstractNum w:abstractNumId="12">
    <w:nsid w:val="6B68079A"/>
    <w:multiLevelType w:val="hybridMultilevel"/>
    <w:lvl w:ilvl="0">
      <w:lvlJc w:val="left"/>
      <w:lvlText w:val="(%1)"/>
      <w:numFmt w:val="decimal"/>
      <w:start w:val="1"/>
    </w:lvl>
  </w:abstractNum>
  <w:abstractNum w:abstractNumId="13">
    <w:nsid w:val="4E6AFB66"/>
    <w:multiLevelType w:val="hybridMultilevel"/>
    <w:lvl w:ilvl="0">
      <w:lvlJc w:val="left"/>
      <w:lvlText w:val="(%1)"/>
      <w:numFmt w:val="decimal"/>
      <w:start w:val="1"/>
    </w:lvl>
  </w:abstractNum>
  <w:abstractNum w:abstractNumId="14">
    <w:nsid w:val="25E45D32"/>
    <w:multiLevelType w:val="hybridMultilevel"/>
    <w:lvl w:ilvl="0">
      <w:lvlJc w:val="left"/>
      <w:lvlText w:val="(%1)"/>
      <w:numFmt w:val="decimal"/>
      <w:start w:val="1"/>
    </w:lvl>
  </w:abstractNum>
  <w:abstractNum w:abstractNumId="15">
    <w:nsid w:val="519B500D"/>
    <w:multiLevelType w:val="hybridMultilevel"/>
    <w:lvl w:ilvl="0">
      <w:lvlJc w:val="left"/>
      <w:lvlText w:val="(%1)"/>
      <w:numFmt w:val="decimal"/>
      <w:start w:val="1"/>
    </w:lvl>
  </w:abstractNum>
  <w:abstractNum w:abstractNumId="16">
    <w:nsid w:val="431BD7B7"/>
    <w:multiLevelType w:val="hybridMultilevel"/>
    <w:lvl w:ilvl="0">
      <w:lvlJc w:val="left"/>
      <w:lvlText w:val="(%1)"/>
      <w:numFmt w:val="decimal"/>
      <w:start w:val="1"/>
    </w:lvl>
  </w:abstractNum>
  <w:abstractNum w:abstractNumId="17">
    <w:nsid w:val="3F2DBA31"/>
    <w:multiLevelType w:val="hybridMultilevel"/>
    <w:lvl w:ilvl="0">
      <w:lvlJc w:val="left"/>
      <w:lvlText w:val="(%1)"/>
      <w:numFmt w:val="lowerLetter"/>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2019-12-10T00:38:27Z</dcterms:created>
  <dcterms:modified xsi:type="dcterms:W3CDTF">2019-12-10T00:38:27Z</dcterms:modified>
</cp:coreProperties>
</file>