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7" w:lineRule="exact"/>
        <w:rPr>
          <w:sz w:val="24"/>
          <w:szCs w:val="24"/>
          <w:color w:val="auto"/>
        </w:rPr>
      </w:pPr>
    </w:p>
    <w:p>
      <w:pPr>
        <w:ind w:left="2480"/>
        <w:spacing w:after="0"/>
        <w:tabs>
          <w:tab w:leader="none" w:pos="40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200" w:lineRule="exact"/>
        <w:rPr>
          <w:sz w:val="24"/>
          <w:szCs w:val="24"/>
          <w:color w:val="auto"/>
        </w:rPr>
      </w:pPr>
    </w:p>
    <w:p>
      <w:pPr>
        <w:spacing w:after="0" w:line="28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8-K</w:t>
      </w:r>
    </w:p>
    <w:p>
      <w:pPr>
        <w:spacing w:after="0" w:line="17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13" w:lineRule="exact"/>
        <w:rPr>
          <w:sz w:val="24"/>
          <w:szCs w:val="24"/>
          <w:color w:val="auto"/>
        </w:rPr>
      </w:pPr>
    </w:p>
    <w:p>
      <w:pPr>
        <w:ind w:left="520" w:right="3579" w:hanging="88"/>
        <w:spacing w:after="0" w:line="39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December 31, 1997</w:t>
      </w:r>
    </w:p>
    <w:p>
      <w:pPr>
        <w:spacing w:after="0" w:line="33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ind w:left="340"/>
              <w:spacing w:after="0"/>
              <w:rPr>
                <w:sz w:val="20"/>
                <w:szCs w:val="20"/>
                <w:color w:val="auto"/>
              </w:rPr>
            </w:pPr>
            <w:r>
              <w:rPr>
                <w:rFonts w:ascii="Courier New" w:cs="Courier New" w:eastAsia="Courier New" w:hAnsi="Courier New"/>
                <w:sz w:val="15"/>
                <w:szCs w:val="15"/>
                <w:color w:val="auto"/>
              </w:rPr>
              <w:t>District of Columbia</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1-7533</w:t>
            </w:r>
          </w:p>
        </w:tc>
        <w:tc>
          <w:tcPr>
            <w:tcW w:w="300" w:type="dxa"/>
            <w:vAlign w:val="bottom"/>
          </w:tcPr>
          <w:p>
            <w:pPr>
              <w:spacing w:after="0"/>
              <w:rPr>
                <w:sz w:val="14"/>
                <w:szCs w:val="14"/>
                <w:color w:val="auto"/>
              </w:rPr>
            </w:pP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52-0782497</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Courier New" w:cs="Courier New" w:eastAsia="Courier New" w:hAnsi="Courier New"/>
                <w:sz w:val="22"/>
                <w:szCs w:val="22"/>
                <w:color w:val="auto"/>
                <w:w w:val="71"/>
                <w:vertAlign w:val="subscript"/>
              </w:rPr>
              <w:t>(State</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orotherjurisdiction</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(Commission</w:t>
            </w: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9"/>
        </w:trPr>
        <w:tc>
          <w:tcPr>
            <w:tcW w:w="3100" w:type="dxa"/>
            <w:vAlign w:val="bottom"/>
          </w:tcPr>
          <w:p>
            <w:pPr>
              <w:ind w:left="520"/>
              <w:spacing w:after="0"/>
              <w:rPr>
                <w:sz w:val="20"/>
                <w:szCs w:val="20"/>
                <w:color w:val="auto"/>
              </w:rPr>
            </w:pPr>
            <w:r>
              <w:rPr>
                <w:rFonts w:ascii="Courier New" w:cs="Courier New" w:eastAsia="Courier New" w:hAnsi="Courier New"/>
                <w:sz w:val="15"/>
                <w:szCs w:val="15"/>
                <w:color w:val="auto"/>
              </w:rPr>
              <w:t>of incorporation)</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File Number)</w:t>
            </w:r>
          </w:p>
        </w:tc>
        <w:tc>
          <w:tcPr>
            <w:tcW w:w="18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Identification No.)</w:t>
            </w:r>
          </w:p>
        </w:tc>
        <w:tc>
          <w:tcPr>
            <w:tcW w:w="0" w:type="dxa"/>
            <w:vAlign w:val="bottom"/>
          </w:tcPr>
          <w:p>
            <w:pPr>
              <w:spacing w:after="0"/>
              <w:rPr>
                <w:sz w:val="1"/>
                <w:szCs w:val="1"/>
                <w:color w:val="auto"/>
              </w:rPr>
            </w:pPr>
          </w:p>
        </w:tc>
      </w:tr>
      <w:tr>
        <w:trPr>
          <w:trHeight w:val="433"/>
        </w:trPr>
        <w:tc>
          <w:tcPr>
            <w:tcW w:w="46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1626 East Jefferson Street, Rockville, Maryland</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20852-4041</w:t>
            </w:r>
          </w:p>
        </w:tc>
        <w:tc>
          <w:tcPr>
            <w:tcW w:w="0" w:type="dxa"/>
            <w:vAlign w:val="bottom"/>
          </w:tcPr>
          <w:p>
            <w:pPr>
              <w:spacing w:after="0"/>
              <w:rPr>
                <w:sz w:val="1"/>
                <w:szCs w:val="1"/>
                <w:color w:val="auto"/>
              </w:rPr>
            </w:pPr>
          </w:p>
        </w:tc>
      </w:tr>
      <w:tr>
        <w:trPr>
          <w:trHeight w:val="171"/>
        </w:trPr>
        <w:tc>
          <w:tcPr>
            <w:tcW w:w="4600" w:type="dxa"/>
            <w:vAlign w:val="bottom"/>
            <w:gridSpan w:val="3"/>
            <w:vMerge w:val="restart"/>
          </w:tcPr>
          <w:p>
            <w:pPr>
              <w:ind w:left="440"/>
              <w:spacing w:after="0"/>
              <w:rPr>
                <w:sz w:val="20"/>
                <w:szCs w:val="20"/>
                <w:color w:val="auto"/>
              </w:rPr>
            </w:pPr>
            <w:r>
              <w:rPr>
                <w:rFonts w:ascii="Courier New" w:cs="Courier New" w:eastAsia="Courier New" w:hAnsi="Courier New"/>
                <w:sz w:val="19"/>
                <w:szCs w:val="19"/>
                <w:color w:val="auto"/>
                <w:w w:val="70"/>
                <w:vertAlign w:val="subscript"/>
              </w:rPr>
              <w:t>(Address</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ofprincipalexecutiveoffices)</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30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419"/>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Registrant's telephone number including area code:</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301/998-8100</w:t>
            </w:r>
          </w:p>
        </w:tc>
        <w:tc>
          <w:tcPr>
            <w:tcW w:w="0" w:type="dxa"/>
            <w:vAlign w:val="bottom"/>
          </w:tcPr>
          <w:p>
            <w:pPr>
              <w:spacing w:after="0"/>
              <w:rPr>
                <w:sz w:val="1"/>
                <w:szCs w:val="1"/>
                <w:color w:val="auto"/>
              </w:rPr>
            </w:pPr>
          </w:p>
        </w:tc>
      </w:tr>
      <w:tr>
        <w:trPr>
          <w:trHeight w:val="249"/>
        </w:trPr>
        <w:tc>
          <w:tcPr>
            <w:tcW w:w="3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6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Index appears on Page 3.</w:t>
      </w:r>
    </w:p>
    <w:p>
      <w:pPr>
        <w:sectPr>
          <w:pgSz w:w="11900" w:h="16838" w:orient="portrait"/>
          <w:cols w:equalWidth="0" w:num="1">
            <w:col w:w="10219"/>
          </w:cols>
          <w:pgMar w:left="240" w:top="548" w:right="1440" w:bottom="1440" w:gutter="0" w:footer="0" w:header="0"/>
        </w:sectPr>
      </w:pPr>
    </w:p>
    <w:bookmarkStart w:id="1" w:name="page2"/>
    <w:bookmarkEnd w:id="1"/>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1" w:lineRule="exact"/>
        <w:rPr>
          <w:sz w:val="20"/>
          <w:szCs w:val="20"/>
          <w:color w:val="auto"/>
        </w:rPr>
      </w:pPr>
    </w:p>
    <w:p>
      <w:pPr>
        <w:jc w:val="both"/>
        <w:ind w:right="3839" w:firstLine="887"/>
        <w:spacing w:after="0" w:line="297" w:lineRule="auto"/>
        <w:rPr>
          <w:sz w:val="20"/>
          <w:szCs w:val="20"/>
          <w:color w:val="auto"/>
        </w:rPr>
      </w:pPr>
      <w:r>
        <w:rPr>
          <w:rFonts w:ascii="Courier New" w:cs="Courier New" w:eastAsia="Courier New" w:hAnsi="Courier New"/>
          <w:sz w:val="15"/>
          <w:szCs w:val="15"/>
          <w:color w:val="auto"/>
        </w:rPr>
        <w:t>Federal Realty Investment Trust hereby files as exhibit 99 the following supplemental data pertaining to its portfolio of properties at December 31, 1997.</w:t>
      </w:r>
    </w:p>
    <w:p>
      <w:pPr>
        <w:spacing w:after="0" w:line="22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1" w:lineRule="exact"/>
        <w:rPr>
          <w:sz w:val="20"/>
          <w:szCs w:val="20"/>
          <w:color w:val="auto"/>
        </w:rPr>
      </w:pPr>
    </w:p>
    <w:p>
      <w:pPr>
        <w:ind w:left="880" w:hanging="534"/>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   Supplemental portfolio information at December 31, 1997</w:t>
      </w: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342" w:lineRule="exact"/>
        <w:rPr>
          <w:sz w:val="20"/>
          <w:szCs w:val="20"/>
          <w:color w:val="auto"/>
        </w:rPr>
      </w:pPr>
    </w:p>
    <w:p>
      <w:pPr>
        <w:ind w:right="3299" w:firstLine="887"/>
        <w:spacing w:after="0" w:line="29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22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//Cecily A. Ward//</w:t>
      </w:r>
    </w:p>
    <w:p>
      <w:pPr>
        <w:spacing w:after="0" w:line="27" w:lineRule="exact"/>
        <w:rPr>
          <w:sz w:val="20"/>
          <w:szCs w:val="20"/>
          <w:color w:val="auto"/>
        </w:rPr>
      </w:pPr>
    </w:p>
    <w:p>
      <w:pPr>
        <w:spacing w:after="0"/>
        <w:tabs>
          <w:tab w:leader="none" w:pos="600" w:val="left"/>
          <w:tab w:leader="none" w:pos="2640" w:val="left"/>
        </w:tabs>
        <w:rPr>
          <w:sz w:val="20"/>
          <w:szCs w:val="20"/>
          <w:color w:val="auto"/>
        </w:rPr>
      </w:pPr>
      <w:r>
        <w:rPr>
          <w:rFonts w:ascii="Courier New" w:cs="Courier New" w:eastAsia="Courier New" w:hAnsi="Courier New"/>
          <w:sz w:val="15"/>
          <w:szCs w:val="15"/>
          <w:color w:val="auto"/>
        </w:rPr>
        <w:t>Date:</w:t>
        <w:tab/>
        <w:t>March 11, 1998</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Cecily A. Ward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Vice President, Controller</w:t>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5" w:right="1440" w:bottom="144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05" w:right="1440" w:bottom="1440" w:gutter="0" w:footer="0" w:header="0"/>
        </w:sect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 No.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2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3">
            <w:col w:w="780" w:space="100"/>
            <w:col w:w="4780" w:space="720"/>
            <w:col w:w="3839"/>
          </w:cols>
          <w:pgMar w:left="240" w:top="605" w:right="1440" w:bottom="1440" w:gutter="0" w:footer="0" w:header="0"/>
          <w:type w:val="continuous"/>
        </w:sectPr>
      </w:pPr>
    </w:p>
    <w:p>
      <w:pPr>
        <w:ind w:left="80"/>
        <w:spacing w:after="0"/>
        <w:tabs>
          <w:tab w:leader="none" w:pos="8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December 31,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211" w:lineRule="exact"/>
        <w:rPr>
          <w:sz w:val="20"/>
          <w:szCs w:val="20"/>
          <w:color w:val="auto"/>
        </w:rPr>
      </w:pPr>
    </w:p>
    <w:p>
      <w:pPr>
        <w:sectPr>
          <w:pgSz w:w="11900" w:h="16838" w:orient="portrait"/>
          <w:cols w:equalWidth="0" w:num="2">
            <w:col w:w="6200" w:space="720"/>
            <w:col w:w="3299"/>
          </w:cols>
          <w:pgMar w:left="240" w:top="605" w:right="1440" w:bottom="1440" w:gutter="0" w:footer="0" w:header="0"/>
          <w:type w:val="continuous"/>
        </w:sect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605" w:right="1440" w:bottom="1440" w:gutter="0" w:footer="0" w:header="0"/>
          <w:type w:val="continuous"/>
        </w:sectPr>
      </w:pPr>
    </w:p>
    <w:bookmarkStart w:id="3" w:name="page4"/>
    <w:bookmarkEnd w:id="3"/>
    <w:p>
      <w:pPr>
        <w:jc w:val="right"/>
        <w:ind w:right="3119"/>
        <w:spacing w:after="0"/>
        <w:rPr>
          <w:sz w:val="20"/>
          <w:szCs w:val="20"/>
          <w:color w:val="auto"/>
        </w:rPr>
      </w:pPr>
      <w:r>
        <w:rPr>
          <w:rFonts w:ascii="Courier New" w:cs="Courier New" w:eastAsia="Courier New" w:hAnsi="Courier New"/>
          <w:sz w:val="15"/>
          <w:szCs w:val="15"/>
          <w:color w:val="auto"/>
        </w:rPr>
        <w:t>Exhibit 99</w:t>
      </w:r>
    </w:p>
    <w:p>
      <w:pPr>
        <w:spacing w:after="0" w:line="34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Supplemental Information</w:t>
      </w:r>
    </w:p>
    <w:p>
      <w:pPr>
        <w:spacing w:after="0" w:line="27"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December 31, 1997</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TABLE OF CONTENTS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249"/>
        </w:trPr>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77"/>
              </w:rPr>
              <w:t>1.</w:t>
            </w:r>
          </w:p>
        </w:tc>
        <w:tc>
          <w:tcPr>
            <w:tcW w:w="6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Debt Summary.........................................................</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E-2</w:t>
            </w:r>
          </w:p>
        </w:tc>
        <w:tc>
          <w:tcPr>
            <w:tcW w:w="0" w:type="dxa"/>
            <w:vAlign w:val="bottom"/>
          </w:tcPr>
          <w:p>
            <w:pPr>
              <w:spacing w:after="0"/>
              <w:rPr>
                <w:sz w:val="1"/>
                <w:szCs w:val="1"/>
                <w:color w:val="auto"/>
              </w:rPr>
            </w:pPr>
          </w:p>
        </w:tc>
      </w:tr>
      <w:tr>
        <w:trPr>
          <w:trHeight w:val="263"/>
        </w:trPr>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77"/>
              </w:rPr>
              <w:t>2.</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Occupancy</w:t>
            </w:r>
          </w:p>
        </w:tc>
        <w:tc>
          <w:tcPr>
            <w:tcW w:w="4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Leased.................................................</w:t>
            </w:r>
          </w:p>
        </w:tc>
        <w:tc>
          <w:tcPr>
            <w:tcW w:w="32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E-3</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Percentage</w:t>
            </w:r>
          </w:p>
        </w:tc>
        <w:tc>
          <w:tcPr>
            <w:tcW w:w="49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Economic Occupancy................................................</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E-4</w:t>
            </w: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6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Regional Breakdown................................................</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E-5</w:t>
            </w:r>
          </w:p>
        </w:tc>
        <w:tc>
          <w:tcPr>
            <w:tcW w:w="0" w:type="dxa"/>
            <w:vAlign w:val="bottom"/>
          </w:tcPr>
          <w:p>
            <w:pPr>
              <w:spacing w:after="0"/>
              <w:rPr>
                <w:sz w:val="1"/>
                <w:szCs w:val="1"/>
                <w:color w:val="auto"/>
              </w:rPr>
            </w:pPr>
          </w:p>
        </w:tc>
      </w:tr>
      <w:tr>
        <w:trPr>
          <w:trHeight w:val="263"/>
        </w:trPr>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77"/>
              </w:rPr>
              <w:t>3.</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Leases Signed</w:t>
            </w:r>
          </w:p>
        </w:tc>
        <w:tc>
          <w:tcPr>
            <w:tcW w:w="4920" w:type="dxa"/>
            <w:vAlign w:val="bottom"/>
          </w:tcPr>
          <w:p>
            <w:pPr>
              <w:jc w:val="right"/>
              <w:ind w:right="4146"/>
              <w:spacing w:after="0"/>
              <w:rPr>
                <w:sz w:val="20"/>
                <w:szCs w:val="20"/>
                <w:color w:val="auto"/>
              </w:rPr>
            </w:pPr>
            <w:r>
              <w:rPr>
                <w:rFonts w:ascii="Courier New" w:cs="Courier New" w:eastAsia="Courier New" w:hAnsi="Courier New"/>
                <w:sz w:val="15"/>
                <w:szCs w:val="15"/>
                <w:color w:val="auto"/>
                <w:w w:val="94"/>
              </w:rPr>
              <w:t>Analysis</w:t>
            </w:r>
          </w:p>
        </w:tc>
        <w:tc>
          <w:tcPr>
            <w:tcW w:w="32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E-6</w:t>
            </w: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Comparable</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and Non-Comparable.....................................</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77"/>
              </w:rPr>
              <w:t>4.</w:t>
            </w:r>
          </w:p>
        </w:tc>
        <w:tc>
          <w:tcPr>
            <w:tcW w:w="6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Lease Expirations</w:t>
            </w:r>
          </w:p>
        </w:tc>
        <w:tc>
          <w:tcPr>
            <w:tcW w:w="32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E-7</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Average Rent on Leases Expiring...................................</w:t>
            </w: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6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Leases Expiring on Anchor and Small Shops.........................</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E-8</w:t>
            </w:r>
          </w:p>
        </w:tc>
        <w:tc>
          <w:tcPr>
            <w:tcW w:w="0" w:type="dxa"/>
            <w:vAlign w:val="bottom"/>
          </w:tcPr>
          <w:p>
            <w:pPr>
              <w:spacing w:after="0"/>
              <w:rPr>
                <w:sz w:val="1"/>
                <w:szCs w:val="1"/>
                <w:color w:val="auto"/>
              </w:rPr>
            </w:pPr>
          </w:p>
        </w:tc>
      </w:tr>
      <w:tr>
        <w:trPr>
          <w:trHeight w:val="341"/>
        </w:trPr>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77"/>
              </w:rPr>
              <w:t>5.</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Major Tenants</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by Revenue Contribution................................</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E-9</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4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Sales/Occupancy Costs</w:t>
      </w:r>
    </w:p>
    <w:p>
      <w:pPr>
        <w:spacing w:after="0" w:line="27" w:lineRule="exact"/>
        <w:rPr>
          <w:sz w:val="20"/>
          <w:szCs w:val="20"/>
          <w:color w:val="auto"/>
        </w:rPr>
      </w:pPr>
    </w:p>
    <w:tbl>
      <w:tblPr>
        <w:tblLayout w:type="fixed"/>
        <w:tblInd w:w="9" w:type="dxa"/>
        <w:tblCellMar>
          <w:top w:w="0" w:type="dxa"/>
          <w:left w:w="0" w:type="dxa"/>
          <w:bottom w:w="0" w:type="dxa"/>
          <w:right w:w="0" w:type="dxa"/>
        </w:tblCellMar>
      </w:tblPr>
      <w:tr>
        <w:trPr>
          <w:trHeight w:val="249"/>
        </w:trPr>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Overall,</w:t>
            </w:r>
          </w:p>
        </w:tc>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9"/>
              </w:rPr>
              <w:t>Anchor &amp; Small Shop......................................</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E-10</w:t>
            </w:r>
          </w:p>
        </w:tc>
      </w:tr>
      <w:tr>
        <w:trPr>
          <w:trHeight w:val="315"/>
        </w:trPr>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77"/>
              </w:rPr>
              <w:t>7.</w:t>
            </w:r>
          </w:p>
        </w:tc>
        <w:tc>
          <w:tcPr>
            <w:tcW w:w="6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Press Release........................................................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E-11</w:t>
            </w:r>
          </w:p>
        </w:tc>
      </w:tr>
      <w:tr>
        <w:trPr>
          <w:trHeight w:val="341"/>
        </w:trPr>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77"/>
              </w:rPr>
              <w:t>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Glossary of</w:t>
            </w:r>
          </w:p>
        </w:tc>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9"/>
              </w:rPr>
              <w:t>Terms....................................................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E-14</w:t>
            </w:r>
          </w:p>
        </w:tc>
      </w:tr>
    </w:tbl>
    <w:p>
      <w:pPr>
        <w:spacing w:after="0" w:line="263"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1626 East Jefferson Street</w:t>
      </w:r>
    </w:p>
    <w:p>
      <w:pPr>
        <w:spacing w:after="0" w:line="27" w:lineRule="exact"/>
        <w:rPr>
          <w:sz w:val="20"/>
          <w:szCs w:val="20"/>
          <w:color w:val="auto"/>
        </w:rPr>
      </w:pPr>
    </w:p>
    <w:p>
      <w:pPr>
        <w:ind w:left="2129"/>
        <w:spacing w:after="0"/>
        <w:tabs>
          <w:tab w:leader="none" w:pos="3969" w:val="left"/>
        </w:tabs>
        <w:rPr>
          <w:sz w:val="20"/>
          <w:szCs w:val="20"/>
          <w:color w:val="auto"/>
        </w:rPr>
      </w:pPr>
      <w:r>
        <w:rPr>
          <w:rFonts w:ascii="Courier New" w:cs="Courier New" w:eastAsia="Courier New" w:hAnsi="Courier New"/>
          <w:sz w:val="15"/>
          <w:szCs w:val="15"/>
          <w:color w:val="auto"/>
        </w:rPr>
        <w:t>Rockville, Maryland</w:t>
      </w:r>
      <w:r>
        <w:rPr>
          <w:sz w:val="20"/>
          <w:szCs w:val="20"/>
          <w:color w:val="auto"/>
        </w:rPr>
        <w:tab/>
      </w:r>
      <w:r>
        <w:rPr>
          <w:rFonts w:ascii="Courier New" w:cs="Courier New" w:eastAsia="Courier New" w:hAnsi="Courier New"/>
          <w:sz w:val="14"/>
          <w:szCs w:val="14"/>
          <w:color w:val="auto"/>
        </w:rPr>
        <w:t>20852-4041</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301/998-8100</w:t>
      </w:r>
    </w:p>
    <w:p>
      <w:pPr>
        <w:sectPr>
          <w:pgSz w:w="11900" w:h="16838" w:orient="portrait"/>
          <w:cols w:equalWidth="0" w:num="1">
            <w:col w:w="10228"/>
          </w:cols>
          <w:pgMar w:left="231" w:top="286" w:right="1440" w:bottom="1440" w:gutter="0" w:footer="0" w:header="0"/>
        </w:sectPr>
      </w:pPr>
    </w:p>
    <w:bookmarkStart w:id="4" w:name="page5"/>
    <w:bookmarkEnd w:id="4"/>
    <w:p>
      <w:pPr>
        <w:ind w:left="9"/>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DEBT ANALYSIS (EXCLUDING CAPITAL LEASES AND INTEREST RATE SWAPS)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 1997</w:t>
      </w:r>
    </w:p>
    <w:p>
      <w:pPr>
        <w:spacing w:after="0" w:line="14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2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Maturity</w:t>
            </w:r>
          </w:p>
        </w:tc>
        <w:tc>
          <w:tcPr>
            <w:tcW w:w="1300" w:type="dxa"/>
            <w:vAlign w:val="bottom"/>
            <w:vMerge w:val="restart"/>
          </w:tcPr>
          <w:p>
            <w:pPr>
              <w:jc w:val="right"/>
              <w:ind w:right="466"/>
              <w:spacing w:after="0"/>
              <w:rPr>
                <w:sz w:val="20"/>
                <w:szCs w:val="20"/>
                <w:color w:val="auto"/>
              </w:rPr>
            </w:pPr>
            <w:r>
              <w:rPr>
                <w:rFonts w:ascii="Courier New" w:cs="Courier New" w:eastAsia="Courier New" w:hAnsi="Courier New"/>
                <w:sz w:val="15"/>
                <w:szCs w:val="15"/>
                <w:color w:val="auto"/>
              </w:rPr>
              <w:t>Rate</w:t>
            </w: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Balance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620" w:type="dxa"/>
            <w:vAlign w:val="bottom"/>
            <w:vMerge w:val="restart"/>
          </w:tcPr>
          <w:p>
            <w:pPr>
              <w:spacing w:after="0"/>
              <w:rPr>
                <w:sz w:val="20"/>
                <w:szCs w:val="20"/>
                <w:color w:val="auto"/>
              </w:rPr>
            </w:pPr>
            <w:r>
              <w:rPr>
                <w:rFonts w:ascii="Courier New" w:cs="Courier New" w:eastAsia="Courier New" w:hAnsi="Courier New"/>
                <w:sz w:val="15"/>
                <w:szCs w:val="15"/>
                <w:color w:val="auto"/>
              </w:rPr>
              <w:t>MORTGAGES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Barracks Road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06/01/98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9.77%</w:t>
            </w:r>
          </w:p>
        </w:tc>
        <w:tc>
          <w:tcPr>
            <w:tcW w:w="480" w:type="dxa"/>
            <w:vAlign w:val="bottom"/>
          </w:tcPr>
          <w:p>
            <w:pPr>
              <w:spacing w:after="0"/>
              <w:rPr>
                <w:sz w:val="22"/>
                <w:szCs w:val="22"/>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$21,022</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Falls Plaza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06/01/98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9.77%</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4,180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Old Keene Mill</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06/01/98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9.77%</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6,852</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West Falls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06/01/98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9.77%</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4,796</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Loehmanns Plaza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07/21/98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9.75%</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6,324</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Federal Plaza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03/10/01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8.95%</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28,059</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Tysons Station</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09/01/01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9.875%</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4,206</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Bristol</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08/01/98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9.65%</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10,794</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w w:val="99"/>
              </w:rPr>
              <w:t>Escondido (Municipal bonds) purchased 12/31/96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10/01/16</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Variable ##</w:t>
            </w:r>
          </w:p>
        </w:tc>
        <w:tc>
          <w:tcPr>
            <w:tcW w:w="480" w:type="dxa"/>
            <w:vAlign w:val="bottom"/>
          </w:tcPr>
          <w:p>
            <w:pPr>
              <w:spacing w:after="0"/>
              <w:rPr>
                <w:sz w:val="21"/>
                <w:szCs w:val="21"/>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9,400</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$ 95,633</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libor</w:t>
            </w:r>
          </w:p>
        </w:tc>
        <w:tc>
          <w:tcPr>
            <w:tcW w:w="13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 .65%</w:t>
            </w:r>
          </w:p>
        </w:tc>
        <w:tc>
          <w:tcPr>
            <w:tcW w:w="480" w:type="dxa"/>
            <w:vAlign w:val="bottom"/>
          </w:tcPr>
          <w:p>
            <w:pPr>
              <w:spacing w:after="0"/>
              <w:rPr>
                <w:sz w:val="22"/>
                <w:szCs w:val="22"/>
                <w:color w:val="auto"/>
              </w:rPr>
            </w:pPr>
          </w:p>
        </w:tc>
        <w:tc>
          <w:tcPr>
            <w:tcW w:w="112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$114,791</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Revolving credit facilities</w:t>
            </w: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Note issued in connection with</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01/15/06</w:t>
            </w:r>
          </w:p>
        </w:tc>
        <w:tc>
          <w:tcPr>
            <w:tcW w:w="13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8.875%</w:t>
            </w:r>
          </w:p>
        </w:tc>
        <w:tc>
          <w:tcPr>
            <w:tcW w:w="480" w:type="dxa"/>
            <w:vAlign w:val="bottom"/>
          </w:tcPr>
          <w:p>
            <w:pPr>
              <w:spacing w:after="0"/>
              <w:rPr>
                <w:sz w:val="14"/>
                <w:szCs w:val="14"/>
                <w:color w:val="auto"/>
              </w:rPr>
            </w:pPr>
          </w:p>
        </w:tc>
        <w:tc>
          <w:tcPr>
            <w:tcW w:w="112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1,205</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760"/>
              <w:spacing w:after="0"/>
              <w:rPr>
                <w:sz w:val="20"/>
                <w:szCs w:val="20"/>
                <w:color w:val="auto"/>
              </w:rPr>
            </w:pPr>
            <w:r>
              <w:rPr>
                <w:rFonts w:ascii="Courier New" w:cs="Courier New" w:eastAsia="Courier New" w:hAnsi="Courier New"/>
                <w:sz w:val="15"/>
                <w:szCs w:val="15"/>
                <w:color w:val="auto"/>
              </w:rPr>
              <w:t>tenant buyout at Queen Anne Plaza</w:t>
            </w: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Note issued in connection with</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01/31/13</w:t>
            </w:r>
          </w:p>
        </w:tc>
        <w:tc>
          <w:tcPr>
            <w:tcW w:w="13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480" w:type="dxa"/>
            <w:vAlign w:val="bottom"/>
          </w:tcPr>
          <w:p>
            <w:pPr>
              <w:spacing w:after="0"/>
              <w:rPr>
                <w:sz w:val="14"/>
                <w:szCs w:val="14"/>
                <w:color w:val="auto"/>
              </w:rPr>
            </w:pPr>
          </w:p>
        </w:tc>
        <w:tc>
          <w:tcPr>
            <w:tcW w:w="112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2,779</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760"/>
              <w:spacing w:after="0"/>
              <w:rPr>
                <w:sz w:val="20"/>
                <w:szCs w:val="20"/>
                <w:color w:val="auto"/>
              </w:rPr>
            </w:pPr>
            <w:r>
              <w:rPr>
                <w:rFonts w:ascii="Courier New" w:cs="Courier New" w:eastAsia="Courier New" w:hAnsi="Courier New"/>
                <w:sz w:val="15"/>
                <w:szCs w:val="15"/>
                <w:color w:val="auto"/>
              </w:rPr>
              <w:t>renovation of Perring Plaza</w:t>
            </w: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various</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various</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253</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$119,028</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0"/>
                <w:szCs w:val="20"/>
                <w:color w:val="auto"/>
              </w:rPr>
            </w:pPr>
            <w:r>
              <w:rPr>
                <w:rFonts w:ascii="Courier New" w:cs="Courier New" w:eastAsia="Courier New" w:hAnsi="Courier New"/>
                <w:sz w:val="15"/>
                <w:szCs w:val="15"/>
                <w:color w:val="auto"/>
              </w:rPr>
              <w:t>UNSECURED PUBLIC DEBT</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04/30/02</w:t>
            </w:r>
          </w:p>
        </w:tc>
        <w:tc>
          <w:tcPr>
            <w:tcW w:w="13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5.250%</w:t>
            </w:r>
          </w:p>
        </w:tc>
        <w:tc>
          <w:tcPr>
            <w:tcW w:w="480" w:type="dxa"/>
            <w:vAlign w:val="bottom"/>
          </w:tcPr>
          <w:p>
            <w:pPr>
              <w:spacing w:after="0"/>
              <w:rPr>
                <w:sz w:val="22"/>
                <w:szCs w:val="22"/>
                <w:color w:val="auto"/>
              </w:rPr>
            </w:pPr>
          </w:p>
        </w:tc>
        <w:tc>
          <w:tcPr>
            <w:tcW w:w="112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$289</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5 1/4% Convertible subordinated</w:t>
            </w: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760"/>
              <w:spacing w:after="0"/>
              <w:rPr>
                <w:sz w:val="20"/>
                <w:szCs w:val="20"/>
                <w:color w:val="auto"/>
              </w:rPr>
            </w:pPr>
            <w:r>
              <w:rPr>
                <w:rFonts w:ascii="Courier New" w:cs="Courier New" w:eastAsia="Courier New" w:hAnsi="Courier New"/>
                <w:sz w:val="15"/>
                <w:szCs w:val="15"/>
                <w:color w:val="auto"/>
              </w:rPr>
              <w:t>debentures</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10/28/03</w:t>
            </w:r>
          </w:p>
        </w:tc>
        <w:tc>
          <w:tcPr>
            <w:tcW w:w="13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5.250%</w:t>
            </w:r>
          </w:p>
        </w:tc>
        <w:tc>
          <w:tcPr>
            <w:tcW w:w="480" w:type="dxa"/>
            <w:vAlign w:val="bottom"/>
          </w:tcPr>
          <w:p>
            <w:pPr>
              <w:spacing w:after="0"/>
              <w:rPr>
                <w:sz w:val="14"/>
                <w:szCs w:val="14"/>
                <w:color w:val="auto"/>
              </w:rPr>
            </w:pPr>
          </w:p>
        </w:tc>
        <w:tc>
          <w:tcPr>
            <w:tcW w:w="112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75,000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5 1/4% Convertible subordinated</w:t>
            </w: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760"/>
              <w:spacing w:after="0"/>
              <w:rPr>
                <w:sz w:val="20"/>
                <w:szCs w:val="20"/>
                <w:color w:val="auto"/>
              </w:rPr>
            </w:pPr>
            <w:r>
              <w:rPr>
                <w:rFonts w:ascii="Courier New" w:cs="Courier New" w:eastAsia="Courier New" w:hAnsi="Courier New"/>
                <w:sz w:val="15"/>
                <w:szCs w:val="15"/>
                <w:color w:val="auto"/>
              </w:rPr>
              <w:t>debentures</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01/15/00</w:t>
            </w:r>
          </w:p>
        </w:tc>
        <w:tc>
          <w:tcPr>
            <w:tcW w:w="13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8.875%</w:t>
            </w:r>
          </w:p>
        </w:tc>
        <w:tc>
          <w:tcPr>
            <w:tcW w:w="480" w:type="dxa"/>
            <w:vAlign w:val="bottom"/>
          </w:tcPr>
          <w:p>
            <w:pPr>
              <w:spacing w:after="0"/>
              <w:rPr>
                <w:sz w:val="14"/>
                <w:szCs w:val="14"/>
                <w:color w:val="auto"/>
              </w:rPr>
            </w:pPr>
          </w:p>
        </w:tc>
        <w:tc>
          <w:tcPr>
            <w:tcW w:w="112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75,000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8 7/8% Notes (fixed)</w:t>
            </w: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8 7/8% Notes (fixed) *</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01/15/00</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7.530%</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8% Notes (fixed)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04/21/02</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8.000%</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6 5/8% Notes (fixed)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12/01/05</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6.625%</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7.48% Debentures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08/15/26</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7.480%</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500"/>
              <w:spacing w:after="0"/>
              <w:rPr>
                <w:sz w:val="20"/>
                <w:szCs w:val="20"/>
                <w:color w:val="auto"/>
              </w:rPr>
            </w:pPr>
            <w:r>
              <w:rPr>
                <w:rFonts w:ascii="Courier New" w:cs="Courier New" w:eastAsia="Courier New" w:hAnsi="Courier New"/>
                <w:sz w:val="15"/>
                <w:szCs w:val="15"/>
                <w:color w:val="auto"/>
              </w:rPr>
              <w:t>6.82% Medium Term Notes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08/01/27</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6.820%</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$330,289</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540" w:type="dxa"/>
            <w:vAlign w:val="bottom"/>
            <w:gridSpan w:val="2"/>
            <w:vMerge w:val="restart"/>
          </w:tcPr>
          <w:p>
            <w:pPr>
              <w:ind w:left="60"/>
              <w:spacing w:after="0"/>
              <w:rPr>
                <w:sz w:val="20"/>
                <w:szCs w:val="20"/>
                <w:color w:val="auto"/>
              </w:rPr>
            </w:pPr>
            <w:r>
              <w:rPr>
                <w:rFonts w:ascii="Courier New" w:cs="Courier New" w:eastAsia="Courier New" w:hAnsi="Courier New"/>
                <w:sz w:val="15"/>
                <w:szCs w:val="15"/>
                <w:color w:val="auto"/>
              </w:rPr>
              <w:t>Total fixed rate debt</w:t>
            </w: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77.21%</w:t>
            </w: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1"/>
                <w:szCs w:val="21"/>
                <w:color w:val="auto"/>
              </w:rPr>
            </w:pPr>
          </w:p>
        </w:tc>
        <w:tc>
          <w:tcPr>
            <w:tcW w:w="254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$420,759</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2"/>
                <w:szCs w:val="22"/>
                <w:color w:val="auto"/>
              </w:rPr>
            </w:pPr>
          </w:p>
        </w:tc>
        <w:tc>
          <w:tcPr>
            <w:tcW w:w="2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Total variable rate debt</w:t>
            </w:r>
          </w:p>
        </w:tc>
        <w:tc>
          <w:tcPr>
            <w:tcW w:w="480" w:type="dxa"/>
            <w:vAlign w:val="bottom"/>
          </w:tcPr>
          <w:p>
            <w:pPr>
              <w:spacing w:after="0"/>
              <w:rPr>
                <w:sz w:val="22"/>
                <w:szCs w:val="22"/>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124,191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22.79%</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Total debt</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$544,950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2"/>
                <w:szCs w:val="22"/>
                <w:color w:val="auto"/>
              </w:rPr>
            </w:pPr>
          </w:p>
        </w:tc>
        <w:tc>
          <w:tcPr>
            <w:tcW w:w="30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Weighted average interest rate:</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30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7.65%</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Fixed rate debt</w:t>
            </w: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Variable on revolving facilities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1"/>
                <w:szCs w:val="21"/>
                <w:color w:val="auto"/>
              </w:rPr>
            </w:pPr>
          </w:p>
        </w:tc>
        <w:tc>
          <w:tcPr>
            <w:tcW w:w="2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Variable on muncipal bonds</w:t>
            </w:r>
          </w:p>
        </w:tc>
        <w:tc>
          <w:tcPr>
            <w:tcW w:w="480" w:type="dxa"/>
            <w:vAlign w:val="bottom"/>
          </w:tcPr>
          <w:p>
            <w:pPr>
              <w:spacing w:after="0"/>
              <w:rPr>
                <w:sz w:val="21"/>
                <w:szCs w:val="21"/>
                <w:color w:val="auto"/>
              </w:rPr>
            </w:pPr>
          </w:p>
        </w:tc>
        <w:tc>
          <w:tcPr>
            <w:tcW w:w="11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269" w:right="3460" w:hanging="269"/>
        <w:spacing w:after="0" w:line="259" w:lineRule="auto"/>
        <w:tabs>
          <w:tab w:leader="none" w:pos="2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purchased an interest rate swap on $25 million which sold for $1.5 million, thereby decreasing the effective interest rate.</w:t>
      </w:r>
    </w:p>
    <w:p>
      <w:pPr>
        <w:spacing w:after="0" w:line="1" w:lineRule="exact"/>
        <w:rPr>
          <w:sz w:val="20"/>
          <w:szCs w:val="20"/>
          <w:color w:val="auto"/>
        </w:rPr>
      </w:pPr>
    </w:p>
    <w:p>
      <w:pPr>
        <w:ind w:left="269" w:right="3820" w:hanging="269"/>
        <w:spacing w:after="0" w:line="241" w:lineRule="auto"/>
        <w:tabs>
          <w:tab w:leader="none" w:pos="2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interest rate on revolving credit facilities for twelve months ended December 31, 1997.</w:t>
      </w:r>
    </w:p>
    <w:p>
      <w:pPr>
        <w:ind w:left="269" w:right="3460" w:hanging="269"/>
        <w:spacing w:after="0" w:line="278" w:lineRule="auto"/>
        <w:tabs>
          <w:tab w:leader="none" w:pos="2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0469"/>
          </w:cols>
          <w:pgMar w:left="231" w:top="605" w:right="11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LEASED ANALYSIS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OVERALL OCCUPANCY</w:t>
            </w:r>
          </w:p>
        </w:tc>
        <w:tc>
          <w:tcPr>
            <w:tcW w:w="3300" w:type="dxa"/>
            <w:vAlign w:val="bottom"/>
            <w:gridSpan w:val="3"/>
            <w:vMerge w:val="restart"/>
          </w:tcPr>
          <w:p>
            <w:pPr>
              <w:ind w:left="900"/>
              <w:spacing w:after="0"/>
              <w:rPr>
                <w:sz w:val="20"/>
                <w:szCs w:val="20"/>
                <w:color w:val="auto"/>
              </w:rPr>
            </w:pPr>
            <w:r>
              <w:rPr>
                <w:rFonts w:ascii="Courier New" w:cs="Courier New" w:eastAsia="Courier New" w:hAnsi="Courier New"/>
                <w:sz w:val="15"/>
                <w:szCs w:val="15"/>
                <w:color w:val="auto"/>
              </w:rPr>
              <w:t>December 31, 1997</w:t>
            </w:r>
          </w:p>
        </w:tc>
        <w:tc>
          <w:tcPr>
            <w:tcW w:w="2480" w:type="dxa"/>
            <w:vAlign w:val="bottom"/>
            <w:gridSpan w:val="2"/>
            <w:vMerge w:val="restart"/>
          </w:tcPr>
          <w:p>
            <w:pPr>
              <w:ind w:left="960"/>
              <w:spacing w:after="0"/>
              <w:rPr>
                <w:sz w:val="20"/>
                <w:szCs w:val="20"/>
                <w:color w:val="auto"/>
              </w:rPr>
            </w:pPr>
            <w:r>
              <w:rPr>
                <w:rFonts w:ascii="Courier New" w:cs="Courier New" w:eastAsia="Courier New" w:hAnsi="Courier New"/>
                <w:sz w:val="15"/>
                <w:szCs w:val="15"/>
                <w:color w:val="auto"/>
                <w:w w:val="98"/>
              </w:rPr>
              <w:t>December 31, 1996</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(Quarter to Quarter Analysis)</w:t>
            </w:r>
          </w:p>
        </w:tc>
        <w:tc>
          <w:tcPr>
            <w:tcW w:w="3300" w:type="dxa"/>
            <w:vAlign w:val="bottom"/>
            <w:gridSpan w:val="3"/>
            <w:vMerge w:val="continue"/>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Type</w:t>
            </w:r>
          </w:p>
        </w:tc>
        <w:tc>
          <w:tcPr>
            <w:tcW w:w="10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Size</w:t>
            </w:r>
          </w:p>
        </w:tc>
        <w:tc>
          <w:tcPr>
            <w:tcW w:w="1140" w:type="dxa"/>
            <w:vAlign w:val="bottom"/>
            <w:vMerge w:val="restart"/>
          </w:tcPr>
          <w:p>
            <w:pPr>
              <w:jc w:val="center"/>
              <w:ind w:right="186"/>
              <w:spacing w:after="0"/>
              <w:rPr>
                <w:sz w:val="20"/>
                <w:szCs w:val="20"/>
                <w:color w:val="auto"/>
              </w:rPr>
            </w:pPr>
            <w:r>
              <w:rPr>
                <w:rFonts w:ascii="Courier New" w:cs="Courier New" w:eastAsia="Courier New" w:hAnsi="Courier New"/>
                <w:sz w:val="15"/>
                <w:szCs w:val="15"/>
                <w:color w:val="auto"/>
                <w:w w:val="96"/>
              </w:rPr>
              <w:t>Leased</w:t>
            </w:r>
          </w:p>
        </w:tc>
        <w:tc>
          <w:tcPr>
            <w:tcW w:w="1080" w:type="dxa"/>
            <w:vAlign w:val="bottom"/>
            <w:vMerge w:val="restart"/>
          </w:tcPr>
          <w:p>
            <w:pPr>
              <w:jc w:val="center"/>
              <w:ind w:right="206"/>
              <w:spacing w:after="0"/>
              <w:rPr>
                <w:sz w:val="20"/>
                <w:szCs w:val="20"/>
                <w:color w:val="auto"/>
              </w:rPr>
            </w:pPr>
            <w:r>
              <w:rPr>
                <w:rFonts w:ascii="Courier New" w:cs="Courier New" w:eastAsia="Courier New" w:hAnsi="Courier New"/>
                <w:sz w:val="15"/>
                <w:szCs w:val="15"/>
                <w:color w:val="auto"/>
                <w:w w:val="98"/>
              </w:rPr>
              <w:t>Occupancy</w:t>
            </w:r>
          </w:p>
        </w:tc>
        <w:tc>
          <w:tcPr>
            <w:tcW w:w="3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Leased</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Retail Properties (leasable square feet) 13,518,197</w:t>
            </w: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12,919,532</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96%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12,733,461</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11,935,107</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080" w:type="dxa"/>
            <w:vAlign w:val="bottom"/>
          </w:tcPr>
          <w:p>
            <w:pPr>
              <w:jc w:val="right"/>
              <w:ind w:right="480"/>
              <w:spacing w:after="0"/>
              <w:rPr>
                <w:sz w:val="20"/>
                <w:szCs w:val="20"/>
                <w:color w:val="auto"/>
              </w:rPr>
            </w:pPr>
            <w:r>
              <w:rPr>
                <w:rFonts w:ascii="Courier New" w:cs="Courier New" w:eastAsia="Courier New" w:hAnsi="Courier New"/>
                <w:sz w:val="15"/>
                <w:szCs w:val="15"/>
                <w:color w:val="auto"/>
              </w:rPr>
              <w:t>282</w:t>
            </w: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279</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99%</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278</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775"/>
        </w:trPr>
        <w:tc>
          <w:tcPr>
            <w:tcW w:w="362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OVERALL OCCUPANCY</w:t>
            </w:r>
          </w:p>
        </w:tc>
        <w:tc>
          <w:tcPr>
            <w:tcW w:w="3300" w:type="dxa"/>
            <w:vAlign w:val="bottom"/>
            <w:gridSpan w:val="3"/>
            <w:vMerge w:val="restart"/>
          </w:tcPr>
          <w:p>
            <w:pPr>
              <w:ind w:left="800"/>
              <w:spacing w:after="0"/>
              <w:rPr>
                <w:sz w:val="20"/>
                <w:szCs w:val="20"/>
                <w:color w:val="auto"/>
              </w:rPr>
            </w:pPr>
            <w:r>
              <w:rPr>
                <w:rFonts w:ascii="Courier New" w:cs="Courier New" w:eastAsia="Courier New" w:hAnsi="Courier New"/>
                <w:sz w:val="15"/>
                <w:szCs w:val="15"/>
                <w:color w:val="auto"/>
              </w:rPr>
              <w:t>December 31, 1997</w:t>
            </w:r>
          </w:p>
        </w:tc>
        <w:tc>
          <w:tcPr>
            <w:tcW w:w="2480" w:type="dxa"/>
            <w:vAlign w:val="bottom"/>
            <w:gridSpan w:val="2"/>
            <w:vMerge w:val="restart"/>
          </w:tcPr>
          <w:p>
            <w:pPr>
              <w:jc w:val="right"/>
              <w:ind w:right="26"/>
              <w:spacing w:after="0"/>
              <w:rPr>
                <w:sz w:val="20"/>
                <w:szCs w:val="20"/>
                <w:color w:val="auto"/>
              </w:rPr>
            </w:pPr>
            <w:r>
              <w:rPr>
                <w:rFonts w:ascii="Courier New" w:cs="Courier New" w:eastAsia="Courier New" w:hAnsi="Courier New"/>
                <w:sz w:val="15"/>
                <w:szCs w:val="15"/>
                <w:color w:val="auto"/>
              </w:rPr>
              <w:t>September 30, 1997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2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(Rolling 12 Months)</w:t>
            </w:r>
          </w:p>
        </w:tc>
        <w:tc>
          <w:tcPr>
            <w:tcW w:w="3300" w:type="dxa"/>
            <w:vAlign w:val="bottom"/>
            <w:gridSpan w:val="3"/>
            <w:vMerge w:val="continue"/>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Type</w:t>
            </w:r>
          </w:p>
        </w:tc>
        <w:tc>
          <w:tcPr>
            <w:tcW w:w="10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Size</w:t>
            </w:r>
          </w:p>
        </w:tc>
        <w:tc>
          <w:tcPr>
            <w:tcW w:w="1140" w:type="dxa"/>
            <w:vAlign w:val="bottom"/>
            <w:vMerge w:val="restart"/>
          </w:tcPr>
          <w:p>
            <w:pPr>
              <w:jc w:val="center"/>
              <w:ind w:right="186"/>
              <w:spacing w:after="0"/>
              <w:rPr>
                <w:sz w:val="20"/>
                <w:szCs w:val="20"/>
                <w:color w:val="auto"/>
              </w:rPr>
            </w:pPr>
            <w:r>
              <w:rPr>
                <w:rFonts w:ascii="Courier New" w:cs="Courier New" w:eastAsia="Courier New" w:hAnsi="Courier New"/>
                <w:sz w:val="15"/>
                <w:szCs w:val="15"/>
                <w:color w:val="auto"/>
                <w:w w:val="96"/>
              </w:rPr>
              <w:t>Leased</w:t>
            </w:r>
          </w:p>
        </w:tc>
        <w:tc>
          <w:tcPr>
            <w:tcW w:w="1080" w:type="dxa"/>
            <w:vAlign w:val="bottom"/>
            <w:vMerge w:val="restart"/>
          </w:tcPr>
          <w:p>
            <w:pPr>
              <w:jc w:val="center"/>
              <w:ind w:right="206"/>
              <w:spacing w:after="0"/>
              <w:rPr>
                <w:sz w:val="20"/>
                <w:szCs w:val="20"/>
                <w:color w:val="auto"/>
              </w:rPr>
            </w:pPr>
            <w:r>
              <w:rPr>
                <w:rFonts w:ascii="Courier New" w:cs="Courier New" w:eastAsia="Courier New" w:hAnsi="Courier New"/>
                <w:sz w:val="15"/>
                <w:szCs w:val="15"/>
                <w:color w:val="auto"/>
                <w:w w:val="98"/>
              </w:rPr>
              <w:t>Occupancy</w:t>
            </w:r>
          </w:p>
        </w:tc>
        <w:tc>
          <w:tcPr>
            <w:tcW w:w="3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Leased</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Retail Properties (leasable square feet) 13,518,197</w:t>
            </w: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12,919,532</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96%</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12,856,798</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12,202,952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080" w:type="dxa"/>
            <w:vAlign w:val="bottom"/>
          </w:tcPr>
          <w:p>
            <w:pPr>
              <w:jc w:val="right"/>
              <w:ind w:right="480"/>
              <w:spacing w:after="0"/>
              <w:rPr>
                <w:sz w:val="20"/>
                <w:szCs w:val="20"/>
                <w:color w:val="auto"/>
              </w:rPr>
            </w:pPr>
            <w:r>
              <w:rPr>
                <w:rFonts w:ascii="Courier New" w:cs="Courier New" w:eastAsia="Courier New" w:hAnsi="Courier New"/>
                <w:sz w:val="15"/>
                <w:szCs w:val="15"/>
                <w:color w:val="auto"/>
              </w:rPr>
              <w:t>282</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279</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99%</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282</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945"/>
        </w:trPr>
        <w:tc>
          <w:tcPr>
            <w:tcW w:w="362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OVERALL OCCUPANCY</w:t>
            </w:r>
          </w:p>
        </w:tc>
        <w:tc>
          <w:tcPr>
            <w:tcW w:w="2220" w:type="dxa"/>
            <w:vAlign w:val="bottom"/>
            <w:gridSpan w:val="2"/>
            <w:vMerge w:val="restart"/>
          </w:tcPr>
          <w:p>
            <w:pPr>
              <w:ind w:left="800"/>
              <w:spacing w:after="0"/>
              <w:rPr>
                <w:sz w:val="20"/>
                <w:szCs w:val="20"/>
                <w:color w:val="auto"/>
              </w:rPr>
            </w:pPr>
            <w:r>
              <w:rPr>
                <w:rFonts w:ascii="Courier New" w:cs="Courier New" w:eastAsia="Courier New" w:hAnsi="Courier New"/>
                <w:sz w:val="15"/>
                <w:szCs w:val="15"/>
                <w:color w:val="auto"/>
              </w:rPr>
              <w:t>June 30, 1997</w:t>
            </w:r>
          </w:p>
        </w:tc>
        <w:tc>
          <w:tcPr>
            <w:tcW w:w="1080" w:type="dxa"/>
            <w:vAlign w:val="bottom"/>
          </w:tcPr>
          <w:p>
            <w:pPr>
              <w:spacing w:after="0"/>
              <w:rPr>
                <w:sz w:val="24"/>
                <w:szCs w:val="24"/>
                <w:color w:val="auto"/>
              </w:rPr>
            </w:pPr>
          </w:p>
        </w:tc>
        <w:tc>
          <w:tcPr>
            <w:tcW w:w="2480" w:type="dxa"/>
            <w:vAlign w:val="bottom"/>
            <w:gridSpan w:val="2"/>
            <w:vMerge w:val="restart"/>
          </w:tcPr>
          <w:p>
            <w:pPr>
              <w:ind w:left="1060"/>
              <w:spacing w:after="0"/>
              <w:rPr>
                <w:sz w:val="20"/>
                <w:szCs w:val="20"/>
                <w:color w:val="auto"/>
              </w:rPr>
            </w:pPr>
            <w:r>
              <w:rPr>
                <w:rFonts w:ascii="Courier New" w:cs="Courier New" w:eastAsia="Courier New" w:hAnsi="Courier New"/>
                <w:sz w:val="15"/>
                <w:szCs w:val="15"/>
                <w:color w:val="auto"/>
              </w:rPr>
              <w:t>March 31, 1997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2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(Rolling 12 Months)</w:t>
            </w:r>
          </w:p>
        </w:tc>
        <w:tc>
          <w:tcPr>
            <w:tcW w:w="22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Type</w:t>
            </w:r>
          </w:p>
        </w:tc>
        <w:tc>
          <w:tcPr>
            <w:tcW w:w="10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Size</w:t>
            </w:r>
          </w:p>
        </w:tc>
        <w:tc>
          <w:tcPr>
            <w:tcW w:w="1140" w:type="dxa"/>
            <w:vAlign w:val="bottom"/>
            <w:vMerge w:val="restart"/>
          </w:tcPr>
          <w:p>
            <w:pPr>
              <w:jc w:val="center"/>
              <w:ind w:right="186"/>
              <w:spacing w:after="0"/>
              <w:rPr>
                <w:sz w:val="20"/>
                <w:szCs w:val="20"/>
                <w:color w:val="auto"/>
              </w:rPr>
            </w:pPr>
            <w:r>
              <w:rPr>
                <w:rFonts w:ascii="Courier New" w:cs="Courier New" w:eastAsia="Courier New" w:hAnsi="Courier New"/>
                <w:sz w:val="15"/>
                <w:szCs w:val="15"/>
                <w:color w:val="auto"/>
                <w:w w:val="96"/>
              </w:rPr>
              <w:t>Leased</w:t>
            </w:r>
          </w:p>
        </w:tc>
        <w:tc>
          <w:tcPr>
            <w:tcW w:w="1080" w:type="dxa"/>
            <w:vAlign w:val="bottom"/>
            <w:vMerge w:val="restart"/>
          </w:tcPr>
          <w:p>
            <w:pPr>
              <w:jc w:val="center"/>
              <w:ind w:right="206"/>
              <w:spacing w:after="0"/>
              <w:rPr>
                <w:sz w:val="20"/>
                <w:szCs w:val="20"/>
                <w:color w:val="auto"/>
              </w:rPr>
            </w:pPr>
            <w:r>
              <w:rPr>
                <w:rFonts w:ascii="Courier New" w:cs="Courier New" w:eastAsia="Courier New" w:hAnsi="Courier New"/>
                <w:sz w:val="15"/>
                <w:szCs w:val="15"/>
                <w:color w:val="auto"/>
                <w:w w:val="98"/>
              </w:rPr>
              <w:t>Occupancy</w:t>
            </w:r>
          </w:p>
        </w:tc>
        <w:tc>
          <w:tcPr>
            <w:tcW w:w="3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Leased</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Retail Properties (leasable square feet) 12,770,492</w:t>
            </w: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11,986,868</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94%</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13,046,013</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12,228,746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080" w:type="dxa"/>
            <w:vAlign w:val="bottom"/>
          </w:tcPr>
          <w:p>
            <w:pPr>
              <w:jc w:val="right"/>
              <w:ind w:right="480"/>
              <w:spacing w:after="0"/>
              <w:rPr>
                <w:sz w:val="20"/>
                <w:szCs w:val="20"/>
                <w:color w:val="auto"/>
              </w:rPr>
            </w:pPr>
            <w:r>
              <w:rPr>
                <w:rFonts w:ascii="Courier New" w:cs="Courier New" w:eastAsia="Courier New" w:hAnsi="Courier New"/>
                <w:sz w:val="15"/>
                <w:szCs w:val="15"/>
                <w:color w:val="auto"/>
              </w:rPr>
              <w:t>282</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280</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99%</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281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683"/>
        </w:trPr>
        <w:tc>
          <w:tcPr>
            <w:tcW w:w="820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5"/>
        </w:trPr>
        <w:tc>
          <w:tcPr>
            <w:tcW w:w="362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SAME CENTER OCCUPANCY</w:t>
            </w:r>
          </w:p>
        </w:tc>
        <w:tc>
          <w:tcPr>
            <w:tcW w:w="2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December 31, 1997</w:t>
            </w:r>
          </w:p>
        </w:tc>
        <w:tc>
          <w:tcPr>
            <w:tcW w:w="1080" w:type="dxa"/>
            <w:vAlign w:val="bottom"/>
          </w:tcPr>
          <w:p>
            <w:pPr>
              <w:spacing w:after="0"/>
              <w:rPr>
                <w:sz w:val="24"/>
                <w:szCs w:val="24"/>
                <w:color w:val="auto"/>
              </w:rPr>
            </w:pPr>
          </w:p>
        </w:tc>
        <w:tc>
          <w:tcPr>
            <w:tcW w:w="2480" w:type="dxa"/>
            <w:vAlign w:val="bottom"/>
            <w:gridSpan w:val="2"/>
            <w:vMerge w:val="restart"/>
          </w:tcPr>
          <w:p>
            <w:pPr>
              <w:jc w:val="right"/>
              <w:ind w:right="26"/>
              <w:spacing w:after="0"/>
              <w:rPr>
                <w:sz w:val="20"/>
                <w:szCs w:val="20"/>
                <w:color w:val="auto"/>
              </w:rPr>
            </w:pPr>
            <w:r>
              <w:rPr>
                <w:rFonts w:ascii="Courier New" w:cs="Courier New" w:eastAsia="Courier New" w:hAnsi="Courier New"/>
                <w:sz w:val="15"/>
                <w:szCs w:val="15"/>
                <w:color w:val="auto"/>
              </w:rPr>
              <w:t>December 31, 1996</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2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(Quarter to Quarter Comparison)</w:t>
            </w:r>
          </w:p>
        </w:tc>
        <w:tc>
          <w:tcPr>
            <w:tcW w:w="22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Type</w:t>
            </w:r>
          </w:p>
        </w:tc>
        <w:tc>
          <w:tcPr>
            <w:tcW w:w="10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Size</w:t>
            </w:r>
          </w:p>
        </w:tc>
        <w:tc>
          <w:tcPr>
            <w:tcW w:w="1140" w:type="dxa"/>
            <w:vAlign w:val="bottom"/>
            <w:vMerge w:val="restart"/>
          </w:tcPr>
          <w:p>
            <w:pPr>
              <w:jc w:val="center"/>
              <w:ind w:right="186"/>
              <w:spacing w:after="0"/>
              <w:rPr>
                <w:sz w:val="20"/>
                <w:szCs w:val="20"/>
                <w:color w:val="auto"/>
              </w:rPr>
            </w:pPr>
            <w:r>
              <w:rPr>
                <w:rFonts w:ascii="Courier New" w:cs="Courier New" w:eastAsia="Courier New" w:hAnsi="Courier New"/>
                <w:sz w:val="15"/>
                <w:szCs w:val="15"/>
                <w:color w:val="auto"/>
                <w:w w:val="96"/>
              </w:rPr>
              <w:t>Leased</w:t>
            </w:r>
          </w:p>
        </w:tc>
        <w:tc>
          <w:tcPr>
            <w:tcW w:w="1080" w:type="dxa"/>
            <w:vAlign w:val="bottom"/>
            <w:vMerge w:val="restart"/>
          </w:tcPr>
          <w:p>
            <w:pPr>
              <w:jc w:val="center"/>
              <w:ind w:right="206"/>
              <w:spacing w:after="0"/>
              <w:rPr>
                <w:sz w:val="20"/>
                <w:szCs w:val="20"/>
                <w:color w:val="auto"/>
              </w:rPr>
            </w:pPr>
            <w:r>
              <w:rPr>
                <w:rFonts w:ascii="Courier New" w:cs="Courier New" w:eastAsia="Courier New" w:hAnsi="Courier New"/>
                <w:sz w:val="15"/>
                <w:szCs w:val="15"/>
                <w:color w:val="auto"/>
                <w:w w:val="98"/>
              </w:rPr>
              <w:t>Occupancy</w:t>
            </w:r>
          </w:p>
        </w:tc>
        <w:tc>
          <w:tcPr>
            <w:tcW w:w="3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Leased</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Retail Properties (leasable square feet) 12,188,308</w:t>
            </w: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11,639,769</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95%</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11,605,119</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11,030,753</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080" w:type="dxa"/>
            <w:vAlign w:val="bottom"/>
          </w:tcPr>
          <w:p>
            <w:pPr>
              <w:jc w:val="right"/>
              <w:ind w:right="480"/>
              <w:spacing w:after="0"/>
              <w:rPr>
                <w:sz w:val="20"/>
                <w:szCs w:val="20"/>
                <w:color w:val="auto"/>
              </w:rPr>
            </w:pPr>
            <w:r>
              <w:rPr>
                <w:rFonts w:ascii="Courier New" w:cs="Courier New" w:eastAsia="Courier New" w:hAnsi="Courier New"/>
                <w:sz w:val="15"/>
                <w:szCs w:val="15"/>
                <w:color w:val="auto"/>
              </w:rPr>
              <w:t>282</w:t>
            </w: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279</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99%</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278</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604"/>
        </w:trPr>
        <w:tc>
          <w:tcPr>
            <w:tcW w:w="362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SAME CENTER OCCUPANCY</w:t>
            </w:r>
          </w:p>
        </w:tc>
        <w:tc>
          <w:tcPr>
            <w:tcW w:w="3300" w:type="dxa"/>
            <w:vAlign w:val="bottom"/>
            <w:gridSpan w:val="3"/>
            <w:vMerge w:val="restart"/>
          </w:tcPr>
          <w:p>
            <w:pPr>
              <w:jc w:val="center"/>
              <w:ind w:right="186"/>
              <w:spacing w:after="0"/>
              <w:rPr>
                <w:sz w:val="20"/>
                <w:szCs w:val="20"/>
                <w:color w:val="auto"/>
              </w:rPr>
            </w:pPr>
            <w:r>
              <w:rPr>
                <w:rFonts w:ascii="Courier New" w:cs="Courier New" w:eastAsia="Courier New" w:hAnsi="Courier New"/>
                <w:sz w:val="15"/>
                <w:szCs w:val="15"/>
                <w:color w:val="auto"/>
                <w:w w:val="97"/>
              </w:rPr>
              <w:t>At December 31, 1997</w:t>
            </w:r>
          </w:p>
        </w:tc>
        <w:tc>
          <w:tcPr>
            <w:tcW w:w="3460" w:type="dxa"/>
            <w:vAlign w:val="bottom"/>
            <w:gridSpan w:val="3"/>
            <w:vMerge w:val="restart"/>
          </w:tcPr>
          <w:p>
            <w:pPr>
              <w:ind w:left="700"/>
              <w:spacing w:after="0"/>
              <w:rPr>
                <w:sz w:val="20"/>
                <w:szCs w:val="20"/>
                <w:color w:val="auto"/>
              </w:rPr>
            </w:pPr>
            <w:r>
              <w:rPr>
                <w:rFonts w:ascii="Courier New" w:cs="Courier New" w:eastAsia="Courier New" w:hAnsi="Courier New"/>
                <w:sz w:val="15"/>
                <w:szCs w:val="15"/>
                <w:color w:val="auto"/>
              </w:rPr>
              <w:t>At September 30, 1997</w:t>
            </w:r>
          </w:p>
        </w:tc>
        <w:tc>
          <w:tcPr>
            <w:tcW w:w="0" w:type="dxa"/>
            <w:vAlign w:val="bottom"/>
          </w:tcPr>
          <w:p>
            <w:pPr>
              <w:spacing w:after="0"/>
              <w:rPr>
                <w:sz w:val="1"/>
                <w:szCs w:val="1"/>
                <w:color w:val="auto"/>
              </w:rPr>
            </w:pPr>
          </w:p>
        </w:tc>
      </w:tr>
      <w:tr>
        <w:trPr>
          <w:trHeight w:val="171"/>
        </w:trPr>
        <w:tc>
          <w:tcPr>
            <w:tcW w:w="362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(Rolling 12 Months)</w:t>
            </w:r>
          </w:p>
        </w:tc>
        <w:tc>
          <w:tcPr>
            <w:tcW w:w="3300" w:type="dxa"/>
            <w:vAlign w:val="bottom"/>
            <w:gridSpan w:val="3"/>
            <w:vMerge w:val="continue"/>
          </w:tcPr>
          <w:p>
            <w:pPr>
              <w:spacing w:after="0"/>
              <w:rPr>
                <w:sz w:val="14"/>
                <w:szCs w:val="14"/>
                <w:color w:val="auto"/>
              </w:rPr>
            </w:pPr>
          </w:p>
        </w:tc>
        <w:tc>
          <w:tcPr>
            <w:tcW w:w="3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Type</w:t>
            </w:r>
          </w:p>
        </w:tc>
        <w:tc>
          <w:tcPr>
            <w:tcW w:w="10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Size</w:t>
            </w:r>
          </w:p>
        </w:tc>
        <w:tc>
          <w:tcPr>
            <w:tcW w:w="1140" w:type="dxa"/>
            <w:vAlign w:val="bottom"/>
            <w:vMerge w:val="restart"/>
          </w:tcPr>
          <w:p>
            <w:pPr>
              <w:jc w:val="center"/>
              <w:ind w:right="186"/>
              <w:spacing w:after="0"/>
              <w:rPr>
                <w:sz w:val="20"/>
                <w:szCs w:val="20"/>
                <w:color w:val="auto"/>
              </w:rPr>
            </w:pPr>
            <w:r>
              <w:rPr>
                <w:rFonts w:ascii="Courier New" w:cs="Courier New" w:eastAsia="Courier New" w:hAnsi="Courier New"/>
                <w:sz w:val="15"/>
                <w:szCs w:val="15"/>
                <w:color w:val="auto"/>
                <w:w w:val="96"/>
              </w:rPr>
              <w:t>Leased</w:t>
            </w:r>
          </w:p>
        </w:tc>
        <w:tc>
          <w:tcPr>
            <w:tcW w:w="1080" w:type="dxa"/>
            <w:vAlign w:val="bottom"/>
            <w:vMerge w:val="restart"/>
          </w:tcPr>
          <w:p>
            <w:pPr>
              <w:jc w:val="center"/>
              <w:ind w:right="206"/>
              <w:spacing w:after="0"/>
              <w:rPr>
                <w:sz w:val="20"/>
                <w:szCs w:val="20"/>
                <w:color w:val="auto"/>
              </w:rPr>
            </w:pPr>
            <w:r>
              <w:rPr>
                <w:rFonts w:ascii="Courier New" w:cs="Courier New" w:eastAsia="Courier New" w:hAnsi="Courier New"/>
                <w:sz w:val="15"/>
                <w:szCs w:val="15"/>
                <w:color w:val="auto"/>
                <w:w w:val="98"/>
              </w:rPr>
              <w:t>Occupancy</w:t>
            </w:r>
          </w:p>
        </w:tc>
        <w:tc>
          <w:tcPr>
            <w:tcW w:w="3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Leased</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Retail Properties (leasable square feet) 12,188,308</w:t>
            </w: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11,639,769</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95%</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11,096,212</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10,577,015</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080" w:type="dxa"/>
            <w:vAlign w:val="bottom"/>
          </w:tcPr>
          <w:p>
            <w:pPr>
              <w:jc w:val="right"/>
              <w:ind w:right="480"/>
              <w:spacing w:after="0"/>
              <w:rPr>
                <w:sz w:val="20"/>
                <w:szCs w:val="20"/>
                <w:color w:val="auto"/>
              </w:rPr>
            </w:pPr>
            <w:r>
              <w:rPr>
                <w:rFonts w:ascii="Courier New" w:cs="Courier New" w:eastAsia="Courier New" w:hAnsi="Courier New"/>
                <w:sz w:val="15"/>
                <w:szCs w:val="15"/>
                <w:color w:val="auto"/>
              </w:rPr>
              <w:t>282</w:t>
            </w: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279</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99%</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282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116"/>
        </w:trPr>
        <w:tc>
          <w:tcPr>
            <w:tcW w:w="362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SAME CENTER OCCUPANCY</w:t>
            </w:r>
          </w:p>
        </w:tc>
        <w:tc>
          <w:tcPr>
            <w:tcW w:w="2220" w:type="dxa"/>
            <w:vAlign w:val="bottom"/>
            <w:gridSpan w:val="2"/>
            <w:vMerge w:val="restart"/>
          </w:tcPr>
          <w:p>
            <w:pPr>
              <w:jc w:val="center"/>
              <w:ind w:left="740"/>
              <w:spacing w:after="0"/>
              <w:rPr>
                <w:sz w:val="20"/>
                <w:szCs w:val="20"/>
                <w:color w:val="auto"/>
              </w:rPr>
            </w:pPr>
            <w:r>
              <w:rPr>
                <w:rFonts w:ascii="Courier New" w:cs="Courier New" w:eastAsia="Courier New" w:hAnsi="Courier New"/>
                <w:sz w:val="15"/>
                <w:szCs w:val="15"/>
                <w:color w:val="auto"/>
                <w:w w:val="98"/>
              </w:rPr>
              <w:t>At June 30, 1997</w:t>
            </w:r>
          </w:p>
        </w:tc>
        <w:tc>
          <w:tcPr>
            <w:tcW w:w="1080" w:type="dxa"/>
            <w:vAlign w:val="bottom"/>
          </w:tcPr>
          <w:p>
            <w:pPr>
              <w:spacing w:after="0"/>
              <w:rPr>
                <w:sz w:val="24"/>
                <w:szCs w:val="24"/>
                <w:color w:val="auto"/>
              </w:rPr>
            </w:pPr>
          </w:p>
        </w:tc>
        <w:tc>
          <w:tcPr>
            <w:tcW w:w="2480" w:type="dxa"/>
            <w:vAlign w:val="bottom"/>
            <w:gridSpan w:val="2"/>
            <w:vMerge w:val="restart"/>
          </w:tcPr>
          <w:p>
            <w:pPr>
              <w:jc w:val="right"/>
              <w:ind w:right="26"/>
              <w:spacing w:after="0"/>
              <w:rPr>
                <w:sz w:val="20"/>
                <w:szCs w:val="20"/>
                <w:color w:val="auto"/>
              </w:rPr>
            </w:pPr>
            <w:r>
              <w:rPr>
                <w:rFonts w:ascii="Courier New" w:cs="Courier New" w:eastAsia="Courier New" w:hAnsi="Courier New"/>
                <w:sz w:val="15"/>
                <w:szCs w:val="15"/>
                <w:color w:val="auto"/>
              </w:rPr>
              <w:t>At March 31, 1997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2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(Rolling 12 Months)</w:t>
            </w:r>
          </w:p>
        </w:tc>
        <w:tc>
          <w:tcPr>
            <w:tcW w:w="22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Type</w:t>
            </w:r>
          </w:p>
        </w:tc>
        <w:tc>
          <w:tcPr>
            <w:tcW w:w="108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Size</w:t>
            </w:r>
          </w:p>
        </w:tc>
        <w:tc>
          <w:tcPr>
            <w:tcW w:w="1140" w:type="dxa"/>
            <w:vAlign w:val="bottom"/>
            <w:vMerge w:val="restart"/>
          </w:tcPr>
          <w:p>
            <w:pPr>
              <w:jc w:val="center"/>
              <w:ind w:right="186"/>
              <w:spacing w:after="0"/>
              <w:rPr>
                <w:sz w:val="20"/>
                <w:szCs w:val="20"/>
                <w:color w:val="auto"/>
              </w:rPr>
            </w:pPr>
            <w:r>
              <w:rPr>
                <w:rFonts w:ascii="Courier New" w:cs="Courier New" w:eastAsia="Courier New" w:hAnsi="Courier New"/>
                <w:sz w:val="15"/>
                <w:szCs w:val="15"/>
                <w:color w:val="auto"/>
                <w:w w:val="96"/>
              </w:rPr>
              <w:t>Leased</w:t>
            </w:r>
          </w:p>
        </w:tc>
        <w:tc>
          <w:tcPr>
            <w:tcW w:w="1080" w:type="dxa"/>
            <w:vAlign w:val="bottom"/>
            <w:vMerge w:val="restart"/>
          </w:tcPr>
          <w:p>
            <w:pPr>
              <w:jc w:val="center"/>
              <w:ind w:right="206"/>
              <w:spacing w:after="0"/>
              <w:rPr>
                <w:sz w:val="20"/>
                <w:szCs w:val="20"/>
                <w:color w:val="auto"/>
              </w:rPr>
            </w:pPr>
            <w:r>
              <w:rPr>
                <w:rFonts w:ascii="Courier New" w:cs="Courier New" w:eastAsia="Courier New" w:hAnsi="Courier New"/>
                <w:sz w:val="15"/>
                <w:szCs w:val="15"/>
                <w:color w:val="auto"/>
                <w:w w:val="98"/>
              </w:rPr>
              <w:t>Occupancy</w:t>
            </w:r>
          </w:p>
        </w:tc>
        <w:tc>
          <w:tcPr>
            <w:tcW w:w="3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Leased</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Retail Properties (leasable square feet) 11,150,587</w:t>
            </w: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10,531,352</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94%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11,425,601</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10,762,859</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080" w:type="dxa"/>
            <w:vAlign w:val="bottom"/>
          </w:tcPr>
          <w:p>
            <w:pPr>
              <w:jc w:val="right"/>
              <w:ind w:right="480"/>
              <w:spacing w:after="0"/>
              <w:rPr>
                <w:sz w:val="20"/>
                <w:szCs w:val="20"/>
                <w:color w:val="auto"/>
              </w:rPr>
            </w:pPr>
            <w:r>
              <w:rPr>
                <w:rFonts w:ascii="Courier New" w:cs="Courier New" w:eastAsia="Courier New" w:hAnsi="Courier New"/>
                <w:sz w:val="15"/>
                <w:szCs w:val="15"/>
                <w:color w:val="auto"/>
              </w:rPr>
              <w:t>282</w:t>
            </w: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280</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99%</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281</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bl>
    <w:p>
      <w:pPr>
        <w:sectPr>
          <w:pgSz w:w="11900" w:h="16838" w:orient="portrait"/>
          <w:cols w:equalWidth="0" w:num="1">
            <w:col w:w="10380"/>
          </w:cols>
          <w:pgMar w:left="240" w:top="605" w:right="127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OCCUPANCY ANALYSIS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jc w:val="center"/>
              <w:ind w:right="1148"/>
              <w:spacing w:after="0"/>
              <w:rPr>
                <w:sz w:val="20"/>
                <w:szCs w:val="20"/>
                <w:color w:val="auto"/>
              </w:rPr>
            </w:pPr>
            <w:r>
              <w:rPr>
                <w:rFonts w:ascii="Courier New" w:cs="Courier New" w:eastAsia="Courier New" w:hAnsi="Courier New"/>
                <w:sz w:val="15"/>
                <w:szCs w:val="15"/>
                <w:color w:val="auto"/>
                <w:w w:val="99"/>
              </w:rPr>
              <w:t>OVERALL ECONOMIC OCCUPANCY</w:t>
            </w:r>
          </w:p>
        </w:tc>
        <w:tc>
          <w:tcPr>
            <w:tcW w:w="1280" w:type="dxa"/>
            <w:vAlign w:val="bottom"/>
          </w:tcPr>
          <w:p>
            <w:pPr>
              <w:spacing w:after="0"/>
              <w:rPr>
                <w:sz w:val="14"/>
                <w:szCs w:val="14"/>
                <w:color w:val="auto"/>
              </w:rPr>
            </w:pPr>
          </w:p>
        </w:tc>
        <w:tc>
          <w:tcPr>
            <w:tcW w:w="2520" w:type="dxa"/>
            <w:vAlign w:val="bottom"/>
            <w:gridSpan w:val="2"/>
            <w:vMerge w:val="restart"/>
          </w:tcPr>
          <w:p>
            <w:pPr>
              <w:jc w:val="right"/>
              <w:ind w:right="946"/>
              <w:spacing w:after="0"/>
              <w:rPr>
                <w:sz w:val="20"/>
                <w:szCs w:val="20"/>
                <w:color w:val="auto"/>
              </w:rPr>
            </w:pPr>
            <w:r>
              <w:rPr>
                <w:rFonts w:ascii="Courier New" w:cs="Courier New" w:eastAsia="Courier New" w:hAnsi="Courier New"/>
                <w:sz w:val="15"/>
                <w:szCs w:val="15"/>
                <w:color w:val="auto"/>
                <w:w w:val="96"/>
              </w:rPr>
              <w:t>December 31, 1997</w:t>
            </w:r>
          </w:p>
        </w:tc>
        <w:tc>
          <w:tcPr>
            <w:tcW w:w="1260" w:type="dxa"/>
            <w:vAlign w:val="bottom"/>
          </w:tcPr>
          <w:p>
            <w:pPr>
              <w:spacing w:after="0"/>
              <w:rPr>
                <w:sz w:val="14"/>
                <w:szCs w:val="14"/>
                <w:color w:val="auto"/>
              </w:rPr>
            </w:pPr>
          </w:p>
        </w:tc>
        <w:tc>
          <w:tcPr>
            <w:tcW w:w="2440" w:type="dxa"/>
            <w:vAlign w:val="bottom"/>
            <w:gridSpan w:val="2"/>
            <w:vMerge w:val="restart"/>
          </w:tcPr>
          <w:p>
            <w:pPr>
              <w:jc w:val="right"/>
              <w:ind w:right="826"/>
              <w:spacing w:after="0"/>
              <w:rPr>
                <w:sz w:val="20"/>
                <w:szCs w:val="20"/>
                <w:color w:val="auto"/>
              </w:rPr>
            </w:pPr>
            <w:r>
              <w:rPr>
                <w:rFonts w:ascii="Courier New" w:cs="Courier New" w:eastAsia="Courier New" w:hAnsi="Courier New"/>
                <w:sz w:val="15"/>
                <w:szCs w:val="15"/>
                <w:color w:val="auto"/>
                <w:w w:val="99"/>
              </w:rPr>
              <w:t>December 31, 1996</w:t>
            </w:r>
          </w:p>
        </w:tc>
        <w:tc>
          <w:tcPr>
            <w:tcW w:w="0" w:type="dxa"/>
            <w:vAlign w:val="bottom"/>
          </w:tcPr>
          <w:p>
            <w:pPr>
              <w:spacing w:after="0"/>
              <w:rPr>
                <w:sz w:val="1"/>
                <w:szCs w:val="1"/>
                <w:color w:val="auto"/>
              </w:rPr>
            </w:pPr>
          </w:p>
        </w:tc>
      </w:tr>
      <w:tr>
        <w:trPr>
          <w:trHeight w:val="171"/>
        </w:trPr>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(Quarter to Quarter Analysis)</w:t>
            </w:r>
          </w:p>
        </w:tc>
        <w:tc>
          <w:tcPr>
            <w:tcW w:w="128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74"/>
              </w:rPr>
              <w:t>--------------------------------------</w:t>
            </w:r>
          </w:p>
        </w:tc>
        <w:tc>
          <w:tcPr>
            <w:tcW w:w="1100" w:type="dxa"/>
            <w:vAlign w:val="bottom"/>
          </w:tcPr>
          <w:p>
            <w:pPr>
              <w:spacing w:after="0"/>
              <w:rPr>
                <w:sz w:val="21"/>
                <w:szCs w:val="21"/>
                <w:color w:val="auto"/>
              </w:rPr>
            </w:pPr>
          </w:p>
        </w:tc>
        <w:tc>
          <w:tcPr>
            <w:tcW w:w="3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Leases</w:t>
            </w:r>
          </w:p>
        </w:tc>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Economic</w:t>
            </w:r>
          </w:p>
        </w:tc>
        <w:tc>
          <w:tcPr>
            <w:tcW w:w="1260" w:type="dxa"/>
            <w:vAlign w:val="bottom"/>
          </w:tcPr>
          <w:p>
            <w:pPr>
              <w:spacing w:after="0"/>
              <w:rPr>
                <w:sz w:val="22"/>
                <w:szCs w:val="22"/>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Leases</w:t>
            </w:r>
          </w:p>
        </w:tc>
        <w:tc>
          <w:tcPr>
            <w:tcW w:w="10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center"/>
              <w:ind w:right="1148"/>
              <w:spacing w:after="0"/>
              <w:rPr>
                <w:sz w:val="20"/>
                <w:szCs w:val="20"/>
                <w:color w:val="auto"/>
              </w:rPr>
            </w:pPr>
            <w:r>
              <w:rPr>
                <w:rFonts w:ascii="Courier New" w:cs="Courier New" w:eastAsia="Courier New" w:hAnsi="Courier New"/>
                <w:sz w:val="15"/>
                <w:szCs w:val="15"/>
                <w:color w:val="auto"/>
                <w:w w:val="99"/>
              </w:rPr>
              <w:t>Type</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Generating</w:t>
            </w:r>
          </w:p>
        </w:tc>
        <w:tc>
          <w:tcPr>
            <w:tcW w:w="1100" w:type="dxa"/>
            <w:vAlign w:val="bottom"/>
            <w:vMerge w:val="continue"/>
          </w:tcPr>
          <w:p>
            <w:pPr>
              <w:spacing w:after="0"/>
              <w:rPr>
                <w:sz w:val="14"/>
                <w:szCs w:val="14"/>
                <w:color w:val="auto"/>
              </w:rPr>
            </w:pP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Generating</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Income</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1260" w:type="dxa"/>
            <w:vAlign w:val="bottom"/>
            <w:vMerge w:val="continue"/>
          </w:tcPr>
          <w:p>
            <w:pPr>
              <w:spacing w:after="0"/>
              <w:rPr>
                <w:sz w:val="14"/>
                <w:szCs w:val="14"/>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171"/>
        </w:trPr>
        <w:tc>
          <w:tcPr>
            <w:tcW w:w="3860" w:type="dxa"/>
            <w:vAlign w:val="bottom"/>
            <w:vMerge w:val="restart"/>
          </w:tcPr>
          <w:p>
            <w:pPr>
              <w:spacing w:after="0"/>
              <w:rPr>
                <w:sz w:val="20"/>
                <w:szCs w:val="20"/>
                <w:color w:val="auto"/>
              </w:rPr>
            </w:pPr>
            <w:r>
              <w:rPr>
                <w:rFonts w:ascii="Courier New" w:cs="Courier New" w:eastAsia="Courier New" w:hAnsi="Courier New"/>
                <w:sz w:val="19"/>
                <w:szCs w:val="19"/>
                <w:color w:val="auto"/>
                <w:w w:val="70"/>
                <w:vertAlign w:val="subscript"/>
              </w:rPr>
              <w:t>Retail</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Properties(leasablesquarefeet)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13,518,197</w:t>
            </w:r>
          </w:p>
        </w:tc>
        <w:tc>
          <w:tcPr>
            <w:tcW w:w="1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12,757,485</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94%</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12,733,461</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11,681,107</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279</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277</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775"/>
        </w:trPr>
        <w:tc>
          <w:tcPr>
            <w:tcW w:w="3860" w:type="dxa"/>
            <w:vAlign w:val="bottom"/>
          </w:tcPr>
          <w:p>
            <w:pPr>
              <w:jc w:val="center"/>
              <w:ind w:right="1148"/>
              <w:spacing w:after="0"/>
              <w:rPr>
                <w:sz w:val="20"/>
                <w:szCs w:val="20"/>
                <w:color w:val="auto"/>
              </w:rPr>
            </w:pPr>
            <w:r>
              <w:rPr>
                <w:rFonts w:ascii="Courier New" w:cs="Courier New" w:eastAsia="Courier New" w:hAnsi="Courier New"/>
                <w:sz w:val="15"/>
                <w:szCs w:val="15"/>
                <w:color w:val="auto"/>
                <w:w w:val="99"/>
              </w:rPr>
              <w:t>OVERALL ECONOMIC OCCUPANCY</w:t>
            </w:r>
          </w:p>
        </w:tc>
        <w:tc>
          <w:tcPr>
            <w:tcW w:w="2700" w:type="dxa"/>
            <w:vAlign w:val="bottom"/>
            <w:gridSpan w:val="2"/>
            <w:vMerge w:val="restart"/>
          </w:tcPr>
          <w:p>
            <w:pPr>
              <w:ind w:left="1100"/>
              <w:spacing w:after="0"/>
              <w:rPr>
                <w:sz w:val="20"/>
                <w:szCs w:val="20"/>
                <w:color w:val="auto"/>
              </w:rPr>
            </w:pPr>
            <w:r>
              <w:rPr>
                <w:rFonts w:ascii="Courier New" w:cs="Courier New" w:eastAsia="Courier New" w:hAnsi="Courier New"/>
                <w:sz w:val="15"/>
                <w:szCs w:val="15"/>
                <w:color w:val="auto"/>
              </w:rPr>
              <w:t>December 31, 1997</w:t>
            </w:r>
          </w:p>
        </w:tc>
        <w:tc>
          <w:tcPr>
            <w:tcW w:w="1100" w:type="dxa"/>
            <w:vAlign w:val="bottom"/>
          </w:tcPr>
          <w:p>
            <w:pPr>
              <w:spacing w:after="0"/>
              <w:rPr>
                <w:sz w:val="24"/>
                <w:szCs w:val="24"/>
                <w:color w:val="auto"/>
              </w:rPr>
            </w:pPr>
          </w:p>
        </w:tc>
        <w:tc>
          <w:tcPr>
            <w:tcW w:w="2680" w:type="dxa"/>
            <w:vAlign w:val="bottom"/>
            <w:gridSpan w:val="2"/>
            <w:vMerge w:val="restart"/>
          </w:tcPr>
          <w:p>
            <w:pPr>
              <w:jc w:val="center"/>
              <w:ind w:left="886"/>
              <w:spacing w:after="0"/>
              <w:rPr>
                <w:sz w:val="20"/>
                <w:szCs w:val="20"/>
                <w:color w:val="auto"/>
              </w:rPr>
            </w:pPr>
            <w:r>
              <w:rPr>
                <w:rFonts w:ascii="Courier New" w:cs="Courier New" w:eastAsia="Courier New" w:hAnsi="Courier New"/>
                <w:sz w:val="15"/>
                <w:szCs w:val="15"/>
                <w:color w:val="auto"/>
                <w:w w:val="98"/>
              </w:rPr>
              <w:t>September 30, 1997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(Rolling 12 Months)</w:t>
            </w:r>
          </w:p>
        </w:tc>
        <w:tc>
          <w:tcPr>
            <w:tcW w:w="27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74"/>
              </w:rPr>
              <w:t>--------------------------------------</w:t>
            </w:r>
          </w:p>
        </w:tc>
        <w:tc>
          <w:tcPr>
            <w:tcW w:w="1100" w:type="dxa"/>
            <w:vAlign w:val="bottom"/>
          </w:tcPr>
          <w:p>
            <w:pPr>
              <w:spacing w:after="0"/>
              <w:rPr>
                <w:sz w:val="21"/>
                <w:szCs w:val="21"/>
                <w:color w:val="auto"/>
              </w:rPr>
            </w:pPr>
          </w:p>
        </w:tc>
        <w:tc>
          <w:tcPr>
            <w:tcW w:w="3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Leases</w:t>
            </w:r>
          </w:p>
        </w:tc>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Economic</w:t>
            </w:r>
          </w:p>
        </w:tc>
        <w:tc>
          <w:tcPr>
            <w:tcW w:w="1260" w:type="dxa"/>
            <w:vAlign w:val="bottom"/>
          </w:tcPr>
          <w:p>
            <w:pPr>
              <w:spacing w:after="0"/>
              <w:rPr>
                <w:sz w:val="22"/>
                <w:szCs w:val="22"/>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Leases</w:t>
            </w:r>
          </w:p>
        </w:tc>
        <w:tc>
          <w:tcPr>
            <w:tcW w:w="10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center"/>
              <w:ind w:right="1148"/>
              <w:spacing w:after="0"/>
              <w:rPr>
                <w:sz w:val="20"/>
                <w:szCs w:val="20"/>
                <w:color w:val="auto"/>
              </w:rPr>
            </w:pPr>
            <w:r>
              <w:rPr>
                <w:rFonts w:ascii="Courier New" w:cs="Courier New" w:eastAsia="Courier New" w:hAnsi="Courier New"/>
                <w:sz w:val="15"/>
                <w:szCs w:val="15"/>
                <w:color w:val="auto"/>
                <w:w w:val="99"/>
              </w:rPr>
              <w:t>Type</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Generating</w:t>
            </w:r>
          </w:p>
        </w:tc>
        <w:tc>
          <w:tcPr>
            <w:tcW w:w="1100" w:type="dxa"/>
            <w:vAlign w:val="bottom"/>
            <w:vMerge w:val="continue"/>
          </w:tcPr>
          <w:p>
            <w:pPr>
              <w:spacing w:after="0"/>
              <w:rPr>
                <w:sz w:val="14"/>
                <w:szCs w:val="14"/>
                <w:color w:val="auto"/>
              </w:rPr>
            </w:pP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Generating</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Income</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1260" w:type="dxa"/>
            <w:vAlign w:val="bottom"/>
            <w:vMerge w:val="continue"/>
          </w:tcPr>
          <w:p>
            <w:pPr>
              <w:spacing w:after="0"/>
              <w:rPr>
                <w:sz w:val="14"/>
                <w:szCs w:val="14"/>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171"/>
        </w:trPr>
        <w:tc>
          <w:tcPr>
            <w:tcW w:w="3860" w:type="dxa"/>
            <w:vAlign w:val="bottom"/>
            <w:vMerge w:val="restart"/>
          </w:tcPr>
          <w:p>
            <w:pPr>
              <w:spacing w:after="0"/>
              <w:rPr>
                <w:sz w:val="20"/>
                <w:szCs w:val="20"/>
                <w:color w:val="auto"/>
              </w:rPr>
            </w:pPr>
            <w:r>
              <w:rPr>
                <w:rFonts w:ascii="Courier New" w:cs="Courier New" w:eastAsia="Courier New" w:hAnsi="Courier New"/>
                <w:sz w:val="19"/>
                <w:szCs w:val="19"/>
                <w:color w:val="auto"/>
                <w:w w:val="70"/>
                <w:vertAlign w:val="subscript"/>
              </w:rPr>
              <w:t>Retail</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Properties(leasablesquarefeet)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13,518,197</w:t>
            </w:r>
          </w:p>
        </w:tc>
        <w:tc>
          <w:tcPr>
            <w:tcW w:w="1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12,757,485</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94%</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12,856,798</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12,056,781</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279</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276</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604"/>
        </w:trPr>
        <w:tc>
          <w:tcPr>
            <w:tcW w:w="3860" w:type="dxa"/>
            <w:vAlign w:val="bottom"/>
          </w:tcPr>
          <w:p>
            <w:pPr>
              <w:jc w:val="center"/>
              <w:ind w:right="1148"/>
              <w:spacing w:after="0"/>
              <w:rPr>
                <w:sz w:val="20"/>
                <w:szCs w:val="20"/>
                <w:color w:val="auto"/>
              </w:rPr>
            </w:pPr>
            <w:r>
              <w:rPr>
                <w:rFonts w:ascii="Courier New" w:cs="Courier New" w:eastAsia="Courier New" w:hAnsi="Courier New"/>
                <w:sz w:val="15"/>
                <w:szCs w:val="15"/>
                <w:color w:val="auto"/>
                <w:w w:val="99"/>
              </w:rPr>
              <w:t>OVERALL ECONOMIC OCCUPANCY</w:t>
            </w:r>
          </w:p>
        </w:tc>
        <w:tc>
          <w:tcPr>
            <w:tcW w:w="1280" w:type="dxa"/>
            <w:vAlign w:val="bottom"/>
          </w:tcPr>
          <w:p>
            <w:pPr>
              <w:spacing w:after="0"/>
              <w:rPr>
                <w:sz w:val="24"/>
                <w:szCs w:val="24"/>
                <w:color w:val="auto"/>
              </w:rPr>
            </w:pPr>
          </w:p>
        </w:tc>
        <w:tc>
          <w:tcPr>
            <w:tcW w:w="14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w w:val="97"/>
              </w:rPr>
              <w:t>June 30, 1997</w:t>
            </w: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9"/>
              </w:rPr>
              <w:t>March 31, 1997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Pr>
          <w:p>
            <w:pPr>
              <w:ind w:left="520"/>
              <w:spacing w:after="0"/>
              <w:rPr>
                <w:sz w:val="20"/>
                <w:szCs w:val="20"/>
                <w:color w:val="auto"/>
              </w:rPr>
            </w:pPr>
            <w:r>
              <w:rPr>
                <w:rFonts w:ascii="Courier New" w:cs="Courier New" w:eastAsia="Courier New" w:hAnsi="Courier New"/>
                <w:sz w:val="15"/>
                <w:szCs w:val="15"/>
                <w:color w:val="auto"/>
              </w:rPr>
              <w:t>(Rolling 12 Months)</w:t>
            </w:r>
          </w:p>
        </w:tc>
        <w:tc>
          <w:tcPr>
            <w:tcW w:w="12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74"/>
              </w:rPr>
              <w:t>--------------------------------------</w:t>
            </w:r>
          </w:p>
        </w:tc>
        <w:tc>
          <w:tcPr>
            <w:tcW w:w="1100" w:type="dxa"/>
            <w:vAlign w:val="bottom"/>
          </w:tcPr>
          <w:p>
            <w:pPr>
              <w:spacing w:after="0"/>
              <w:rPr>
                <w:sz w:val="21"/>
                <w:szCs w:val="21"/>
                <w:color w:val="auto"/>
              </w:rPr>
            </w:pPr>
          </w:p>
        </w:tc>
        <w:tc>
          <w:tcPr>
            <w:tcW w:w="3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Leases</w:t>
            </w:r>
          </w:p>
        </w:tc>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Economic</w:t>
            </w:r>
          </w:p>
        </w:tc>
        <w:tc>
          <w:tcPr>
            <w:tcW w:w="1260" w:type="dxa"/>
            <w:vAlign w:val="bottom"/>
          </w:tcPr>
          <w:p>
            <w:pPr>
              <w:spacing w:after="0"/>
              <w:rPr>
                <w:sz w:val="22"/>
                <w:szCs w:val="22"/>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Leases</w:t>
            </w:r>
          </w:p>
        </w:tc>
        <w:tc>
          <w:tcPr>
            <w:tcW w:w="10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center"/>
              <w:ind w:right="1148"/>
              <w:spacing w:after="0"/>
              <w:rPr>
                <w:sz w:val="20"/>
                <w:szCs w:val="20"/>
                <w:color w:val="auto"/>
              </w:rPr>
            </w:pPr>
            <w:r>
              <w:rPr>
                <w:rFonts w:ascii="Courier New" w:cs="Courier New" w:eastAsia="Courier New" w:hAnsi="Courier New"/>
                <w:sz w:val="15"/>
                <w:szCs w:val="15"/>
                <w:color w:val="auto"/>
                <w:w w:val="99"/>
              </w:rPr>
              <w:t>Type</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Generating</w:t>
            </w:r>
          </w:p>
        </w:tc>
        <w:tc>
          <w:tcPr>
            <w:tcW w:w="1100" w:type="dxa"/>
            <w:vAlign w:val="bottom"/>
            <w:vMerge w:val="continue"/>
          </w:tcPr>
          <w:p>
            <w:pPr>
              <w:spacing w:after="0"/>
              <w:rPr>
                <w:sz w:val="14"/>
                <w:szCs w:val="14"/>
                <w:color w:val="auto"/>
              </w:rPr>
            </w:pP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Generating</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Income</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1260" w:type="dxa"/>
            <w:vAlign w:val="bottom"/>
            <w:vMerge w:val="continue"/>
          </w:tcPr>
          <w:p>
            <w:pPr>
              <w:spacing w:after="0"/>
              <w:rPr>
                <w:sz w:val="14"/>
                <w:szCs w:val="14"/>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12,770,492</w:t>
            </w:r>
          </w:p>
        </w:tc>
        <w:tc>
          <w:tcPr>
            <w:tcW w:w="1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11,724,538</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92%</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13,046,013</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11,982,214</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280</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276</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853"/>
        </w:trPr>
        <w:tc>
          <w:tcPr>
            <w:tcW w:w="7660" w:type="dxa"/>
            <w:vAlign w:val="bottom"/>
            <w:gridSpan w:val="4"/>
          </w:tcPr>
          <w:p>
            <w:pPr>
              <w:jc w:val="right"/>
              <w:ind w:right="486"/>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3860" w:type="dxa"/>
            <w:vAlign w:val="bottom"/>
          </w:tcPr>
          <w:p>
            <w:pPr>
              <w:spacing w:after="0"/>
              <w:rPr>
                <w:sz w:val="20"/>
                <w:szCs w:val="20"/>
                <w:color w:val="auto"/>
              </w:rPr>
            </w:pPr>
            <w:r>
              <w:rPr>
                <w:rFonts w:ascii="Courier New" w:cs="Courier New" w:eastAsia="Courier New" w:hAnsi="Courier New"/>
                <w:sz w:val="15"/>
                <w:szCs w:val="15"/>
                <w:color w:val="auto"/>
              </w:rPr>
              <w:t>SAME CENTER ECONOMIC OCCUPANCY</w:t>
            </w:r>
          </w:p>
        </w:tc>
        <w:tc>
          <w:tcPr>
            <w:tcW w:w="2700" w:type="dxa"/>
            <w:vAlign w:val="bottom"/>
            <w:gridSpan w:val="2"/>
            <w:vMerge w:val="restart"/>
          </w:tcPr>
          <w:p>
            <w:pPr>
              <w:ind w:left="1020"/>
              <w:spacing w:after="0"/>
              <w:rPr>
                <w:sz w:val="20"/>
                <w:szCs w:val="20"/>
                <w:color w:val="auto"/>
              </w:rPr>
            </w:pPr>
            <w:r>
              <w:rPr>
                <w:rFonts w:ascii="Courier New" w:cs="Courier New" w:eastAsia="Courier New" w:hAnsi="Courier New"/>
                <w:sz w:val="15"/>
                <w:szCs w:val="15"/>
                <w:color w:val="auto"/>
              </w:rPr>
              <w:t>December 31, 1997</w:t>
            </w:r>
          </w:p>
        </w:tc>
        <w:tc>
          <w:tcPr>
            <w:tcW w:w="1100" w:type="dxa"/>
            <w:vAlign w:val="bottom"/>
          </w:tcPr>
          <w:p>
            <w:pPr>
              <w:spacing w:after="0"/>
              <w:rPr>
                <w:sz w:val="24"/>
                <w:szCs w:val="24"/>
                <w:color w:val="auto"/>
              </w:rPr>
            </w:pPr>
          </w:p>
        </w:tc>
        <w:tc>
          <w:tcPr>
            <w:tcW w:w="2680" w:type="dxa"/>
            <w:vAlign w:val="bottom"/>
            <w:gridSpan w:val="2"/>
            <w:vMerge w:val="restart"/>
          </w:tcPr>
          <w:p>
            <w:pPr>
              <w:jc w:val="right"/>
              <w:ind w:right="66"/>
              <w:spacing w:after="0"/>
              <w:rPr>
                <w:sz w:val="20"/>
                <w:szCs w:val="20"/>
                <w:color w:val="auto"/>
              </w:rPr>
            </w:pPr>
            <w:r>
              <w:rPr>
                <w:rFonts w:ascii="Courier New" w:cs="Courier New" w:eastAsia="Courier New" w:hAnsi="Courier New"/>
                <w:sz w:val="15"/>
                <w:szCs w:val="15"/>
                <w:color w:val="auto"/>
              </w:rPr>
              <w:t>December 31, 1996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(Quarter to Quarter Comparison)</w:t>
            </w:r>
          </w:p>
        </w:tc>
        <w:tc>
          <w:tcPr>
            <w:tcW w:w="27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74"/>
              </w:rPr>
              <w:t>--------------------------------------</w:t>
            </w:r>
          </w:p>
        </w:tc>
        <w:tc>
          <w:tcPr>
            <w:tcW w:w="1100" w:type="dxa"/>
            <w:vAlign w:val="bottom"/>
          </w:tcPr>
          <w:p>
            <w:pPr>
              <w:spacing w:after="0"/>
              <w:rPr>
                <w:sz w:val="21"/>
                <w:szCs w:val="21"/>
                <w:color w:val="auto"/>
              </w:rPr>
            </w:pPr>
          </w:p>
        </w:tc>
        <w:tc>
          <w:tcPr>
            <w:tcW w:w="3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Leases</w:t>
            </w:r>
          </w:p>
        </w:tc>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Economic</w:t>
            </w:r>
          </w:p>
        </w:tc>
        <w:tc>
          <w:tcPr>
            <w:tcW w:w="1260" w:type="dxa"/>
            <w:vAlign w:val="bottom"/>
          </w:tcPr>
          <w:p>
            <w:pPr>
              <w:spacing w:after="0"/>
              <w:rPr>
                <w:sz w:val="22"/>
                <w:szCs w:val="22"/>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Leases</w:t>
            </w:r>
          </w:p>
        </w:tc>
        <w:tc>
          <w:tcPr>
            <w:tcW w:w="10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center"/>
              <w:ind w:right="1148"/>
              <w:spacing w:after="0"/>
              <w:rPr>
                <w:sz w:val="20"/>
                <w:szCs w:val="20"/>
                <w:color w:val="auto"/>
              </w:rPr>
            </w:pPr>
            <w:r>
              <w:rPr>
                <w:rFonts w:ascii="Courier New" w:cs="Courier New" w:eastAsia="Courier New" w:hAnsi="Courier New"/>
                <w:sz w:val="15"/>
                <w:szCs w:val="15"/>
                <w:color w:val="auto"/>
                <w:w w:val="99"/>
              </w:rPr>
              <w:t>Type</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Generating</w:t>
            </w:r>
          </w:p>
        </w:tc>
        <w:tc>
          <w:tcPr>
            <w:tcW w:w="1100" w:type="dxa"/>
            <w:vAlign w:val="bottom"/>
            <w:vMerge w:val="continue"/>
          </w:tcPr>
          <w:p>
            <w:pPr>
              <w:spacing w:after="0"/>
              <w:rPr>
                <w:sz w:val="14"/>
                <w:szCs w:val="14"/>
                <w:color w:val="auto"/>
              </w:rPr>
            </w:pP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Generating</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Income</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1260" w:type="dxa"/>
            <w:vAlign w:val="bottom"/>
            <w:vMerge w:val="continue"/>
          </w:tcPr>
          <w:p>
            <w:pPr>
              <w:spacing w:after="0"/>
              <w:rPr>
                <w:sz w:val="14"/>
                <w:szCs w:val="14"/>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171"/>
        </w:trPr>
        <w:tc>
          <w:tcPr>
            <w:tcW w:w="3860" w:type="dxa"/>
            <w:vAlign w:val="bottom"/>
            <w:vMerge w:val="restart"/>
          </w:tcPr>
          <w:p>
            <w:pPr>
              <w:spacing w:after="0"/>
              <w:rPr>
                <w:sz w:val="20"/>
                <w:szCs w:val="20"/>
                <w:color w:val="auto"/>
              </w:rPr>
            </w:pPr>
            <w:r>
              <w:rPr>
                <w:rFonts w:ascii="Courier New" w:cs="Courier New" w:eastAsia="Courier New" w:hAnsi="Courier New"/>
                <w:sz w:val="19"/>
                <w:szCs w:val="19"/>
                <w:color w:val="auto"/>
                <w:w w:val="70"/>
                <w:vertAlign w:val="subscript"/>
              </w:rPr>
              <w:t>Retail</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Properties(leasablesquarefeet)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12,188,308</w:t>
            </w:r>
          </w:p>
        </w:tc>
        <w:tc>
          <w:tcPr>
            <w:tcW w:w="1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11,486,609</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94%</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11,605,119</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10,808,981</w:t>
            </w:r>
          </w:p>
        </w:tc>
        <w:tc>
          <w:tcPr>
            <w:tcW w:w="1020" w:type="dxa"/>
            <w:vAlign w:val="bottom"/>
          </w:tcPr>
          <w:p>
            <w:pPr>
              <w:ind w:left="380"/>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279</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277</w:t>
            </w:r>
          </w:p>
        </w:tc>
        <w:tc>
          <w:tcPr>
            <w:tcW w:w="1020" w:type="dxa"/>
            <w:vAlign w:val="bottom"/>
          </w:tcPr>
          <w:p>
            <w:pPr>
              <w:ind w:left="380"/>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604"/>
        </w:trPr>
        <w:tc>
          <w:tcPr>
            <w:tcW w:w="3860" w:type="dxa"/>
            <w:vAlign w:val="bottom"/>
          </w:tcPr>
          <w:p>
            <w:pPr>
              <w:spacing w:after="0"/>
              <w:rPr>
                <w:sz w:val="20"/>
                <w:szCs w:val="20"/>
                <w:color w:val="auto"/>
              </w:rPr>
            </w:pPr>
            <w:r>
              <w:rPr>
                <w:rFonts w:ascii="Courier New" w:cs="Courier New" w:eastAsia="Courier New" w:hAnsi="Courier New"/>
                <w:sz w:val="15"/>
                <w:szCs w:val="15"/>
                <w:color w:val="auto"/>
              </w:rPr>
              <w:t>SAME CENTER ECONOMIC OCCUPANCY</w:t>
            </w:r>
          </w:p>
        </w:tc>
        <w:tc>
          <w:tcPr>
            <w:tcW w:w="2700" w:type="dxa"/>
            <w:vAlign w:val="bottom"/>
            <w:gridSpan w:val="2"/>
            <w:vMerge w:val="restart"/>
          </w:tcPr>
          <w:p>
            <w:pPr>
              <w:jc w:val="center"/>
              <w:ind w:left="846"/>
              <w:spacing w:after="0"/>
              <w:rPr>
                <w:sz w:val="20"/>
                <w:szCs w:val="20"/>
                <w:color w:val="auto"/>
              </w:rPr>
            </w:pPr>
            <w:r>
              <w:rPr>
                <w:rFonts w:ascii="Courier New" w:cs="Courier New" w:eastAsia="Courier New" w:hAnsi="Courier New"/>
                <w:sz w:val="15"/>
                <w:szCs w:val="15"/>
                <w:color w:val="auto"/>
                <w:w w:val="98"/>
              </w:rPr>
              <w:t>At December 31, 1997</w:t>
            </w:r>
          </w:p>
        </w:tc>
        <w:tc>
          <w:tcPr>
            <w:tcW w:w="1100" w:type="dxa"/>
            <w:vAlign w:val="bottom"/>
          </w:tcPr>
          <w:p>
            <w:pPr>
              <w:spacing w:after="0"/>
              <w:rPr>
                <w:sz w:val="24"/>
                <w:szCs w:val="24"/>
                <w:color w:val="auto"/>
              </w:rPr>
            </w:pPr>
          </w:p>
        </w:tc>
        <w:tc>
          <w:tcPr>
            <w:tcW w:w="3700" w:type="dxa"/>
            <w:vAlign w:val="bottom"/>
            <w:gridSpan w:val="3"/>
            <w:vMerge w:val="restart"/>
          </w:tcPr>
          <w:p>
            <w:pPr>
              <w:jc w:val="right"/>
              <w:ind w:right="826"/>
              <w:spacing w:after="0"/>
              <w:rPr>
                <w:sz w:val="20"/>
                <w:szCs w:val="20"/>
                <w:color w:val="auto"/>
              </w:rPr>
            </w:pPr>
            <w:r>
              <w:rPr>
                <w:rFonts w:ascii="Courier New" w:cs="Courier New" w:eastAsia="Courier New" w:hAnsi="Courier New"/>
                <w:sz w:val="15"/>
                <w:szCs w:val="15"/>
                <w:color w:val="auto"/>
              </w:rPr>
              <w:t>At September 30, 1997</w:t>
            </w:r>
          </w:p>
        </w:tc>
        <w:tc>
          <w:tcPr>
            <w:tcW w:w="0" w:type="dxa"/>
            <w:vAlign w:val="bottom"/>
          </w:tcPr>
          <w:p>
            <w:pPr>
              <w:spacing w:after="0"/>
              <w:rPr>
                <w:sz w:val="1"/>
                <w:szCs w:val="1"/>
                <w:color w:val="auto"/>
              </w:rPr>
            </w:pPr>
          </w:p>
        </w:tc>
      </w:tr>
      <w:tr>
        <w:trPr>
          <w:trHeight w:val="171"/>
        </w:trPr>
        <w:tc>
          <w:tcPr>
            <w:tcW w:w="3860" w:type="dxa"/>
            <w:vAlign w:val="bottom"/>
          </w:tcPr>
          <w:p>
            <w:pPr>
              <w:ind w:left="520"/>
              <w:spacing w:after="0"/>
              <w:rPr>
                <w:sz w:val="20"/>
                <w:szCs w:val="20"/>
                <w:color w:val="auto"/>
              </w:rPr>
            </w:pPr>
            <w:r>
              <w:rPr>
                <w:rFonts w:ascii="Courier New" w:cs="Courier New" w:eastAsia="Courier New" w:hAnsi="Courier New"/>
                <w:sz w:val="15"/>
                <w:szCs w:val="15"/>
                <w:color w:val="auto"/>
              </w:rPr>
              <w:t>(Rolling 12 Months)</w:t>
            </w:r>
          </w:p>
        </w:tc>
        <w:tc>
          <w:tcPr>
            <w:tcW w:w="27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3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74"/>
              </w:rPr>
              <w:t>--------------------------------------</w:t>
            </w:r>
          </w:p>
        </w:tc>
        <w:tc>
          <w:tcPr>
            <w:tcW w:w="1100" w:type="dxa"/>
            <w:vAlign w:val="bottom"/>
          </w:tcPr>
          <w:p>
            <w:pPr>
              <w:spacing w:after="0"/>
              <w:rPr>
                <w:sz w:val="21"/>
                <w:szCs w:val="21"/>
                <w:color w:val="auto"/>
              </w:rPr>
            </w:pPr>
          </w:p>
        </w:tc>
        <w:tc>
          <w:tcPr>
            <w:tcW w:w="3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Leases</w:t>
            </w:r>
          </w:p>
        </w:tc>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Economic</w:t>
            </w:r>
          </w:p>
        </w:tc>
        <w:tc>
          <w:tcPr>
            <w:tcW w:w="1260" w:type="dxa"/>
            <w:vAlign w:val="bottom"/>
          </w:tcPr>
          <w:p>
            <w:pPr>
              <w:spacing w:after="0"/>
              <w:rPr>
                <w:sz w:val="22"/>
                <w:szCs w:val="22"/>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Leases</w:t>
            </w:r>
          </w:p>
        </w:tc>
        <w:tc>
          <w:tcPr>
            <w:tcW w:w="10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center"/>
              <w:ind w:right="1148"/>
              <w:spacing w:after="0"/>
              <w:rPr>
                <w:sz w:val="20"/>
                <w:szCs w:val="20"/>
                <w:color w:val="auto"/>
              </w:rPr>
            </w:pPr>
            <w:r>
              <w:rPr>
                <w:rFonts w:ascii="Courier New" w:cs="Courier New" w:eastAsia="Courier New" w:hAnsi="Courier New"/>
                <w:sz w:val="15"/>
                <w:szCs w:val="15"/>
                <w:color w:val="auto"/>
                <w:w w:val="99"/>
              </w:rPr>
              <w:t>Type</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Generating</w:t>
            </w:r>
          </w:p>
        </w:tc>
        <w:tc>
          <w:tcPr>
            <w:tcW w:w="1100" w:type="dxa"/>
            <w:vAlign w:val="bottom"/>
            <w:vMerge w:val="continue"/>
          </w:tcPr>
          <w:p>
            <w:pPr>
              <w:spacing w:after="0"/>
              <w:rPr>
                <w:sz w:val="14"/>
                <w:szCs w:val="14"/>
                <w:color w:val="auto"/>
              </w:rPr>
            </w:pP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Generating</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Income</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1260" w:type="dxa"/>
            <w:vAlign w:val="bottom"/>
            <w:vMerge w:val="continue"/>
          </w:tcPr>
          <w:p>
            <w:pPr>
              <w:spacing w:after="0"/>
              <w:rPr>
                <w:sz w:val="14"/>
                <w:szCs w:val="14"/>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12,188,308</w:t>
            </w:r>
          </w:p>
        </w:tc>
        <w:tc>
          <w:tcPr>
            <w:tcW w:w="14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11,486,609</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94%</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11,096,212</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10,433,345</w:t>
            </w:r>
          </w:p>
        </w:tc>
        <w:tc>
          <w:tcPr>
            <w:tcW w:w="1020" w:type="dxa"/>
            <w:vAlign w:val="bottom"/>
          </w:tcPr>
          <w:p>
            <w:pPr>
              <w:ind w:left="380"/>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279</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282</w:t>
            </w:r>
          </w:p>
        </w:tc>
        <w:tc>
          <w:tcPr>
            <w:tcW w:w="14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276</w:t>
            </w:r>
          </w:p>
        </w:tc>
        <w:tc>
          <w:tcPr>
            <w:tcW w:w="1020" w:type="dxa"/>
            <w:vAlign w:val="bottom"/>
          </w:tcPr>
          <w:p>
            <w:pPr>
              <w:ind w:left="380"/>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7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SAME CENTER ECONOMIC OCCUPANCY</w:t>
            </w:r>
          </w:p>
        </w:tc>
        <w:tc>
          <w:tcPr>
            <w:tcW w:w="2700" w:type="dxa"/>
            <w:vAlign w:val="bottom"/>
            <w:gridSpan w:val="2"/>
            <w:vMerge w:val="restart"/>
          </w:tcPr>
          <w:p>
            <w:pPr>
              <w:jc w:val="center"/>
              <w:ind w:left="846"/>
              <w:spacing w:after="0"/>
              <w:rPr>
                <w:sz w:val="20"/>
                <w:szCs w:val="20"/>
                <w:color w:val="auto"/>
              </w:rPr>
            </w:pPr>
            <w:r>
              <w:rPr>
                <w:rFonts w:ascii="Courier New" w:cs="Courier New" w:eastAsia="Courier New" w:hAnsi="Courier New"/>
                <w:sz w:val="15"/>
                <w:szCs w:val="15"/>
                <w:color w:val="auto"/>
                <w:w w:val="98"/>
              </w:rPr>
              <w:t>At June 30, 1997</w:t>
            </w:r>
          </w:p>
        </w:tc>
        <w:tc>
          <w:tcPr>
            <w:tcW w:w="1100" w:type="dxa"/>
            <w:vAlign w:val="bottom"/>
          </w:tcPr>
          <w:p>
            <w:pPr>
              <w:spacing w:after="0"/>
              <w:rPr>
                <w:sz w:val="24"/>
                <w:szCs w:val="24"/>
                <w:color w:val="auto"/>
              </w:rPr>
            </w:pPr>
          </w:p>
        </w:tc>
        <w:tc>
          <w:tcPr>
            <w:tcW w:w="2680" w:type="dxa"/>
            <w:vAlign w:val="bottom"/>
            <w:gridSpan w:val="2"/>
            <w:vMerge w:val="restart"/>
          </w:tcPr>
          <w:p>
            <w:pPr>
              <w:jc w:val="right"/>
              <w:ind w:right="166"/>
              <w:spacing w:after="0"/>
              <w:rPr>
                <w:sz w:val="20"/>
                <w:szCs w:val="20"/>
                <w:color w:val="auto"/>
              </w:rPr>
            </w:pPr>
            <w:r>
              <w:rPr>
                <w:rFonts w:ascii="Courier New" w:cs="Courier New" w:eastAsia="Courier New" w:hAnsi="Courier New"/>
                <w:sz w:val="15"/>
                <w:szCs w:val="15"/>
                <w:color w:val="auto"/>
              </w:rPr>
              <w:t>At March 31, 1997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Pr>
          <w:p>
            <w:pPr>
              <w:ind w:left="520"/>
              <w:spacing w:after="0"/>
              <w:rPr>
                <w:sz w:val="20"/>
                <w:szCs w:val="20"/>
                <w:color w:val="auto"/>
              </w:rPr>
            </w:pPr>
            <w:r>
              <w:rPr>
                <w:rFonts w:ascii="Courier New" w:cs="Courier New" w:eastAsia="Courier New" w:hAnsi="Courier New"/>
                <w:sz w:val="15"/>
                <w:szCs w:val="15"/>
                <w:color w:val="auto"/>
              </w:rPr>
              <w:t>(Rolling 12 Months)</w:t>
            </w:r>
          </w:p>
        </w:tc>
        <w:tc>
          <w:tcPr>
            <w:tcW w:w="27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74"/>
              </w:rPr>
              <w:t>--------------------------------------</w:t>
            </w:r>
          </w:p>
        </w:tc>
        <w:tc>
          <w:tcPr>
            <w:tcW w:w="1100" w:type="dxa"/>
            <w:vAlign w:val="bottom"/>
          </w:tcPr>
          <w:p>
            <w:pPr>
              <w:spacing w:after="0"/>
              <w:rPr>
                <w:sz w:val="21"/>
                <w:szCs w:val="21"/>
                <w:color w:val="auto"/>
              </w:rPr>
            </w:pPr>
          </w:p>
        </w:tc>
        <w:tc>
          <w:tcPr>
            <w:tcW w:w="3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Leases</w:t>
            </w:r>
          </w:p>
        </w:tc>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Economic</w:t>
            </w:r>
          </w:p>
        </w:tc>
        <w:tc>
          <w:tcPr>
            <w:tcW w:w="1260" w:type="dxa"/>
            <w:vAlign w:val="bottom"/>
          </w:tcPr>
          <w:p>
            <w:pPr>
              <w:spacing w:after="0"/>
              <w:rPr>
                <w:sz w:val="22"/>
                <w:szCs w:val="22"/>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Leases</w:t>
            </w:r>
          </w:p>
        </w:tc>
        <w:tc>
          <w:tcPr>
            <w:tcW w:w="10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1"/>
        </w:trPr>
        <w:tc>
          <w:tcPr>
            <w:tcW w:w="3860" w:type="dxa"/>
            <w:vAlign w:val="bottom"/>
            <w:vMerge w:val="restart"/>
          </w:tcPr>
          <w:p>
            <w:pPr>
              <w:jc w:val="center"/>
              <w:ind w:right="1148"/>
              <w:spacing w:after="0"/>
              <w:rPr>
                <w:sz w:val="20"/>
                <w:szCs w:val="20"/>
                <w:color w:val="auto"/>
              </w:rPr>
            </w:pPr>
            <w:r>
              <w:rPr>
                <w:rFonts w:ascii="Courier New" w:cs="Courier New" w:eastAsia="Courier New" w:hAnsi="Courier New"/>
                <w:sz w:val="15"/>
                <w:szCs w:val="15"/>
                <w:color w:val="auto"/>
                <w:w w:val="99"/>
              </w:rPr>
              <w:t>Type</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Generating</w:t>
            </w:r>
          </w:p>
        </w:tc>
        <w:tc>
          <w:tcPr>
            <w:tcW w:w="1100" w:type="dxa"/>
            <w:vAlign w:val="bottom"/>
            <w:vMerge w:val="continue"/>
          </w:tcPr>
          <w:p>
            <w:pPr>
              <w:spacing w:after="0"/>
              <w:rPr>
                <w:sz w:val="14"/>
                <w:szCs w:val="14"/>
                <w:color w:val="auto"/>
              </w:rPr>
            </w:pP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Size</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Generating</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Income</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1260" w:type="dxa"/>
            <w:vAlign w:val="bottom"/>
            <w:vMerge w:val="continue"/>
          </w:tcPr>
          <w:p>
            <w:pPr>
              <w:spacing w:after="0"/>
              <w:rPr>
                <w:sz w:val="14"/>
                <w:szCs w:val="14"/>
                <w:color w:val="auto"/>
              </w:rPr>
            </w:pP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ectPr>
          <w:pgSz w:w="11900" w:h="16838" w:orient="portrait"/>
          <w:cols w:equalWidth="0" w:num="1">
            <w:col w:w="11360"/>
          </w:cols>
          <w:pgMar w:left="240" w:top="775" w:right="2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11,150,587</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10,269,022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11,425,601</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10,518,375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2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282</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280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282</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bl>
    <w:p>
      <w:pPr>
        <w:sectPr>
          <w:pgSz w:w="11900" w:h="16838" w:orient="portrait"/>
          <w:cols w:equalWidth="0" w:num="1">
            <w:col w:w="10820"/>
          </w:cols>
          <w:pgMar w:left="240" w:top="115" w:right="8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Occupancy Analysis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Region</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Total Square</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Footage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12/31/97</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5,999,671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96%</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5,315,788</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97%</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Mid-West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797,007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97%</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Southeast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634,076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81%</w:t>
            </w:r>
          </w:p>
        </w:tc>
        <w:tc>
          <w:tcPr>
            <w:tcW w:w="0" w:type="dxa"/>
            <w:vAlign w:val="bottom"/>
          </w:tcPr>
          <w:p>
            <w:pPr>
              <w:spacing w:after="0"/>
              <w:rPr>
                <w:sz w:val="1"/>
                <w:szCs w:val="1"/>
                <w:color w:val="auto"/>
              </w:rPr>
            </w:pPr>
          </w:p>
        </w:tc>
      </w:tr>
      <w:tr>
        <w:trPr>
          <w:trHeight w:val="249"/>
        </w:trPr>
        <w:tc>
          <w:tcPr>
            <w:tcW w:w="2200" w:type="dxa"/>
            <w:vAlign w:val="bottom"/>
          </w:tcPr>
          <w:p>
            <w:pPr>
              <w:spacing w:after="0"/>
              <w:rPr>
                <w:sz w:val="20"/>
                <w:szCs w:val="20"/>
                <w:color w:val="auto"/>
              </w:rPr>
            </w:pPr>
            <w:r>
              <w:rPr>
                <w:rFonts w:ascii="Courier New" w:cs="Courier New" w:eastAsia="Courier New" w:hAnsi="Courier New"/>
                <w:sz w:val="15"/>
                <w:szCs w:val="15"/>
                <w:color w:val="auto"/>
              </w:rPr>
              <w:t>West Coast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771,655</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95%</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Region</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Total Square</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Footage</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12/31/97</w:t>
            </w:r>
          </w:p>
        </w:tc>
        <w:tc>
          <w:tcPr>
            <w:tcW w:w="0" w:type="dxa"/>
            <w:vAlign w:val="bottom"/>
          </w:tcPr>
          <w:p>
            <w:pPr>
              <w:spacing w:after="0"/>
              <w:rPr>
                <w:sz w:val="1"/>
                <w:szCs w:val="1"/>
                <w:color w:val="auto"/>
              </w:rPr>
            </w:pPr>
          </w:p>
        </w:tc>
      </w:tr>
      <w:tr>
        <w:trPr>
          <w:trHeight w:val="249"/>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5,999,671</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1"/>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3,643,035</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249"/>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2,356,636</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5,315,788</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1"/>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2,472,267</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9"/>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2,843,521</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0"/>
                <w:szCs w:val="20"/>
                <w:color w:val="auto"/>
              </w:rPr>
            </w:pPr>
            <w:r>
              <w:rPr>
                <w:rFonts w:ascii="Courier New" w:cs="Courier New" w:eastAsia="Courier New" w:hAnsi="Courier New"/>
                <w:sz w:val="15"/>
                <w:szCs w:val="15"/>
                <w:color w:val="auto"/>
              </w:rPr>
              <w:t>Mid-West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797,007</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1"/>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443,549</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249"/>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353,458</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0"/>
                <w:szCs w:val="20"/>
                <w:color w:val="auto"/>
              </w:rPr>
            </w:pPr>
            <w:r>
              <w:rPr>
                <w:rFonts w:ascii="Courier New" w:cs="Courier New" w:eastAsia="Courier New" w:hAnsi="Courier New"/>
                <w:sz w:val="15"/>
                <w:szCs w:val="15"/>
                <w:color w:val="auto"/>
              </w:rPr>
              <w:t>Southeast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634,076</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1"/>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302,275</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249"/>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331,801</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0"/>
                <w:szCs w:val="20"/>
                <w:color w:val="auto"/>
              </w:rPr>
            </w:pPr>
            <w:r>
              <w:rPr>
                <w:rFonts w:ascii="Courier New" w:cs="Courier New" w:eastAsia="Courier New" w:hAnsi="Courier New"/>
                <w:sz w:val="15"/>
                <w:szCs w:val="15"/>
                <w:color w:val="auto"/>
              </w:rPr>
              <w:t>West Coast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771,655</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1"/>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88,095</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9"/>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683,560</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bl>
    <w:p>
      <w:pPr>
        <w:sectPr>
          <w:pgSz w:w="11900" w:h="16838" w:orient="portrait"/>
          <w:cols w:equalWidth="0" w:num="1">
            <w:col w:w="10219"/>
          </w:cols>
          <w:pgMar w:left="240" w:top="77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LEASING ACTIVITY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COMPARABLE</w:t>
            </w:r>
          </w:p>
        </w:tc>
        <w:tc>
          <w:tcPr>
            <w:tcW w:w="1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40" w:type="dxa"/>
            <w:vAlign w:val="bottom"/>
          </w:tcPr>
          <w:p>
            <w:pPr>
              <w:spacing w:after="0"/>
              <w:rPr>
                <w:sz w:val="22"/>
                <w:szCs w:val="22"/>
                <w:color w:val="auto"/>
              </w:rPr>
            </w:pPr>
          </w:p>
        </w:tc>
        <w:tc>
          <w:tcPr>
            <w:tcW w:w="16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NUMBER OF</w:t>
            </w:r>
          </w:p>
        </w:tc>
        <w:tc>
          <w:tcPr>
            <w:tcW w:w="120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SQUARE</w:t>
            </w:r>
          </w:p>
        </w:tc>
        <w:tc>
          <w:tcPr>
            <w:tcW w:w="150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WEIGHTED</w:t>
            </w:r>
          </w:p>
        </w:tc>
        <w:tc>
          <w:tcPr>
            <w:tcW w:w="17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AVERAGE PRIOR</w:t>
            </w:r>
          </w:p>
        </w:tc>
        <w:tc>
          <w:tcPr>
            <w:tcW w:w="1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9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ROLLING 12 MONTHS</w:t>
            </w:r>
          </w:p>
        </w:tc>
        <w:tc>
          <w:tcPr>
            <w:tcW w:w="16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AVERAGE LEASE</w:t>
            </w:r>
          </w:p>
        </w:tc>
        <w:tc>
          <w:tcPr>
            <w:tcW w:w="178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RENT PER</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LEASES SIGNED</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FEET</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TERM (YEARS)</w:t>
            </w: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SQUARE FOOT</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4th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72</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272,820</w:t>
            </w:r>
          </w:p>
        </w:tc>
        <w:tc>
          <w:tcPr>
            <w:tcW w:w="400" w:type="dxa"/>
            <w:vAlign w:val="bottom"/>
          </w:tcPr>
          <w:p>
            <w:pPr>
              <w:spacing w:after="0"/>
              <w:rPr>
                <w:sz w:val="22"/>
                <w:szCs w:val="22"/>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9.2</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$17.07</w:t>
            </w:r>
          </w:p>
        </w:tc>
        <w:tc>
          <w:tcPr>
            <w:tcW w:w="1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3rd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69</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270,550</w:t>
            </w:r>
          </w:p>
        </w:tc>
        <w:tc>
          <w:tcPr>
            <w:tcW w:w="400" w:type="dxa"/>
            <w:vAlign w:val="bottom"/>
          </w:tcPr>
          <w:p>
            <w:pPr>
              <w:spacing w:after="0"/>
              <w:rPr>
                <w:sz w:val="14"/>
                <w:szCs w:val="14"/>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7.9</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$14.21</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2nd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73</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357,162</w:t>
            </w:r>
          </w:p>
        </w:tc>
        <w:tc>
          <w:tcPr>
            <w:tcW w:w="400" w:type="dxa"/>
            <w:vAlign w:val="bottom"/>
          </w:tcPr>
          <w:p>
            <w:pPr>
              <w:spacing w:after="0"/>
              <w:rPr>
                <w:sz w:val="14"/>
                <w:szCs w:val="14"/>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9.6</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$13.32</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1st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58</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220,452</w:t>
            </w:r>
          </w:p>
        </w:tc>
        <w:tc>
          <w:tcPr>
            <w:tcW w:w="400" w:type="dxa"/>
            <w:vAlign w:val="bottom"/>
          </w:tcPr>
          <w:p>
            <w:pPr>
              <w:spacing w:after="0"/>
              <w:rPr>
                <w:sz w:val="14"/>
                <w:szCs w:val="14"/>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6.9</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$11.09</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TOTAL</w:t>
            </w:r>
          </w:p>
        </w:tc>
        <w:tc>
          <w:tcPr>
            <w:tcW w:w="16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272</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1,120,984</w:t>
            </w:r>
          </w:p>
        </w:tc>
        <w:tc>
          <w:tcPr>
            <w:tcW w:w="400" w:type="dxa"/>
            <w:vAlign w:val="bottom"/>
          </w:tcPr>
          <w:p>
            <w:pPr>
              <w:spacing w:after="0"/>
              <w:rPr>
                <w:sz w:val="21"/>
                <w:szCs w:val="21"/>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8.6</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$14.01</w:t>
            </w: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940" w:type="dxa"/>
            <w:vAlign w:val="bottom"/>
          </w:tcPr>
          <w:p>
            <w:pPr>
              <w:spacing w:after="0"/>
              <w:rPr>
                <w:sz w:val="24"/>
                <w:szCs w:val="24"/>
                <w:color w:val="auto"/>
              </w:rPr>
            </w:pPr>
          </w:p>
        </w:tc>
        <w:tc>
          <w:tcPr>
            <w:tcW w:w="16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7"/>
              </w:rPr>
              <w:t>AVERAGE CURRENT</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9"/>
              </w:rPr>
              <w:t>PERCENTAGE</w:t>
            </w:r>
          </w:p>
        </w:tc>
        <w:tc>
          <w:tcPr>
            <w:tcW w:w="580" w:type="dxa"/>
            <w:vAlign w:val="bottom"/>
          </w:tcPr>
          <w:p>
            <w:pPr>
              <w:spacing w:after="0"/>
              <w:rPr>
                <w:sz w:val="24"/>
                <w:szCs w:val="2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ESTIMATED</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ANNUALIZED</w:t>
            </w:r>
          </w:p>
        </w:tc>
        <w:tc>
          <w:tcPr>
            <w:tcW w:w="4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TENANT</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ROLLING 12 MONTHS</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RENT PER</w:t>
            </w:r>
          </w:p>
        </w:tc>
        <w:tc>
          <w:tcPr>
            <w:tcW w:w="1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w:t>
            </w: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IMPROVEMENT</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SQUARE FOOT</w:t>
            </w: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rPr>
              <w:t>INCREASE IN RENT</w:t>
            </w:r>
          </w:p>
        </w:tc>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OVER PRIOR RENT</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COSTS</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4th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6"/>
              </w:rPr>
              <w:t>$19.60</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$690,291</w:t>
            </w:r>
          </w:p>
        </w:tc>
        <w:tc>
          <w:tcPr>
            <w:tcW w:w="400" w:type="dxa"/>
            <w:vAlign w:val="bottom"/>
          </w:tcPr>
          <w:p>
            <w:pPr>
              <w:spacing w:after="0"/>
              <w:rPr>
                <w:sz w:val="22"/>
                <w:szCs w:val="22"/>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923,000</w:t>
            </w:r>
          </w:p>
        </w:tc>
        <w:tc>
          <w:tcPr>
            <w:tcW w:w="1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3rd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6"/>
              </w:rPr>
              <w:t>$16.12</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$518,342</w:t>
            </w:r>
          </w:p>
        </w:tc>
        <w:tc>
          <w:tcPr>
            <w:tcW w:w="40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$1,269,000</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2nd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6"/>
              </w:rPr>
              <w:t>$15.11</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$637,973</w:t>
            </w:r>
          </w:p>
        </w:tc>
        <w:tc>
          <w:tcPr>
            <w:tcW w:w="40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$2,847,000</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1st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6"/>
              </w:rPr>
              <w:t>$14.88</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$836,236</w:t>
            </w:r>
          </w:p>
        </w:tc>
        <w:tc>
          <w:tcPr>
            <w:tcW w:w="40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34%</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$3,162,000</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TOTAL</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6"/>
              </w:rPr>
              <w:t>$16.40</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$2,682,842</w:t>
            </w:r>
          </w:p>
        </w:tc>
        <w:tc>
          <w:tcPr>
            <w:tcW w:w="400" w:type="dxa"/>
            <w:vAlign w:val="bottom"/>
          </w:tcPr>
          <w:p>
            <w:pPr>
              <w:spacing w:after="0"/>
              <w:rPr>
                <w:sz w:val="21"/>
                <w:szCs w:val="21"/>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$8,201,000</w:t>
            </w: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3"/>
        </w:trPr>
        <w:tc>
          <w:tcPr>
            <w:tcW w:w="1940" w:type="dxa"/>
            <w:vAlign w:val="bottom"/>
          </w:tcPr>
          <w:p>
            <w:pPr>
              <w:spacing w:after="0"/>
              <w:rPr>
                <w:sz w:val="20"/>
                <w:szCs w:val="20"/>
                <w:color w:val="auto"/>
              </w:rPr>
            </w:pPr>
            <w:r>
              <w:rPr>
                <w:rFonts w:ascii="Courier New" w:cs="Courier New" w:eastAsia="Courier New" w:hAnsi="Courier New"/>
                <w:sz w:val="15"/>
                <w:szCs w:val="15"/>
                <w:color w:val="auto"/>
              </w:rPr>
              <w:t>NON-COMPARABLE</w:t>
            </w: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WEIGHTED</w:t>
            </w: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ANNUALIZED</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ESTIMATED</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6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NUMBER OF</w:t>
            </w:r>
          </w:p>
        </w:tc>
        <w:tc>
          <w:tcPr>
            <w:tcW w:w="1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SQUARE</w:t>
            </w:r>
          </w:p>
        </w:tc>
        <w:tc>
          <w:tcPr>
            <w:tcW w:w="150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AVERAGE</w:t>
            </w:r>
          </w:p>
        </w:tc>
        <w:tc>
          <w:tcPr>
            <w:tcW w:w="178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AVERAGE RENT</w:t>
            </w:r>
          </w:p>
        </w:tc>
        <w:tc>
          <w:tcPr>
            <w:tcW w:w="1520" w:type="dxa"/>
            <w:vAlign w:val="bottom"/>
            <w:vMerge w:val="continue"/>
          </w:tcPr>
          <w:p>
            <w:pPr>
              <w:spacing w:after="0"/>
              <w:rPr>
                <w:sz w:val="14"/>
                <w:szCs w:val="14"/>
                <w:color w:val="auto"/>
              </w:rPr>
            </w:pP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TENANT</w:t>
            </w:r>
          </w:p>
        </w:tc>
        <w:tc>
          <w:tcPr>
            <w:tcW w:w="0" w:type="dxa"/>
            <w:vAlign w:val="bottom"/>
          </w:tcPr>
          <w:p>
            <w:pPr>
              <w:spacing w:after="0"/>
              <w:rPr>
                <w:sz w:val="1"/>
                <w:szCs w:val="1"/>
                <w:color w:val="auto"/>
              </w:rPr>
            </w:pPr>
          </w:p>
        </w:tc>
      </w:tr>
      <w:tr>
        <w:trPr>
          <w:trHeight w:val="171"/>
        </w:trPr>
        <w:tc>
          <w:tcPr>
            <w:tcW w:w="19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ROLLING 12 MONTHS</w:t>
            </w:r>
          </w:p>
        </w:tc>
        <w:tc>
          <w:tcPr>
            <w:tcW w:w="16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LEASE</w:t>
            </w:r>
          </w:p>
        </w:tc>
        <w:tc>
          <w:tcPr>
            <w:tcW w:w="1780" w:type="dxa"/>
            <w:vAlign w:val="bottom"/>
            <w:gridSpan w:val="2"/>
            <w:vMerge w:val="continue"/>
          </w:tcPr>
          <w:p>
            <w:pPr>
              <w:spacing w:after="0"/>
              <w:rPr>
                <w:sz w:val="14"/>
                <w:szCs w:val="14"/>
                <w:color w:val="auto"/>
              </w:rPr>
            </w:pP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CURRENT</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IMPROVEMENT</w:t>
            </w: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LEASES SIGNED</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FEET</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TERM (YEARS)</w:t>
            </w: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PER SQUARE FOOT</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RENT</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COSTS</w:t>
            </w:r>
          </w:p>
        </w:tc>
        <w:tc>
          <w:tcPr>
            <w:tcW w:w="0" w:type="dxa"/>
            <w:vAlign w:val="bottom"/>
          </w:tcPr>
          <w:p>
            <w:pPr>
              <w:spacing w:after="0"/>
              <w:rPr>
                <w:sz w:val="1"/>
                <w:szCs w:val="1"/>
                <w:color w:val="auto"/>
              </w:rPr>
            </w:pPr>
          </w:p>
        </w:tc>
      </w:tr>
      <w:tr>
        <w:trPr>
          <w:trHeight w:val="249"/>
        </w:trPr>
        <w:tc>
          <w:tcPr>
            <w:tcW w:w="19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3"/>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4th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10</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40,744</w:t>
            </w:r>
          </w:p>
        </w:tc>
        <w:tc>
          <w:tcPr>
            <w:tcW w:w="400" w:type="dxa"/>
            <w:vAlign w:val="bottom"/>
          </w:tcPr>
          <w:p>
            <w:pPr>
              <w:spacing w:after="0"/>
              <w:rPr>
                <w:sz w:val="22"/>
                <w:szCs w:val="22"/>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w w:val="94"/>
              </w:rPr>
              <w:t>11.9</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$21.03</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$857,046</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$90,000</w:t>
            </w: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3rd Quarter 1997</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99,537</w:t>
            </w:r>
          </w:p>
        </w:tc>
        <w:tc>
          <w:tcPr>
            <w:tcW w:w="400" w:type="dxa"/>
            <w:vAlign w:val="bottom"/>
          </w:tcPr>
          <w:p>
            <w:pPr>
              <w:spacing w:after="0"/>
              <w:rPr>
                <w:sz w:val="14"/>
                <w:szCs w:val="14"/>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w w:val="94"/>
              </w:rPr>
              <w:t>10.0</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$18.60</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$1,851,254</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$133,000</w:t>
            </w: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2nd Quarter 1997</w:t>
            </w:r>
          </w:p>
        </w:tc>
        <w:tc>
          <w:tcPr>
            <w:tcW w:w="16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81,229</w:t>
            </w:r>
          </w:p>
        </w:tc>
        <w:tc>
          <w:tcPr>
            <w:tcW w:w="400" w:type="dxa"/>
            <w:vAlign w:val="bottom"/>
          </w:tcPr>
          <w:p>
            <w:pPr>
              <w:spacing w:after="0"/>
              <w:rPr>
                <w:sz w:val="14"/>
                <w:szCs w:val="14"/>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w w:val="94"/>
              </w:rPr>
              <w:t>11.5</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$11.75</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$954,526</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$348,000</w:t>
            </w:r>
          </w:p>
        </w:tc>
        <w:tc>
          <w:tcPr>
            <w:tcW w:w="0" w:type="dxa"/>
            <w:vAlign w:val="bottom"/>
          </w:tcPr>
          <w:p>
            <w:pPr>
              <w:spacing w:after="0"/>
              <w:rPr>
                <w:sz w:val="1"/>
                <w:szCs w:val="1"/>
                <w:color w:val="auto"/>
              </w:rPr>
            </w:pPr>
          </w:p>
        </w:tc>
      </w:tr>
      <w:tr>
        <w:trPr>
          <w:trHeight w:val="171"/>
        </w:trPr>
        <w:tc>
          <w:tcPr>
            <w:tcW w:w="1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1st Quarter 1997</w:t>
            </w:r>
          </w:p>
        </w:tc>
        <w:tc>
          <w:tcPr>
            <w:tcW w:w="16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29,178</w:t>
            </w:r>
          </w:p>
        </w:tc>
        <w:tc>
          <w:tcPr>
            <w:tcW w:w="400" w:type="dxa"/>
            <w:vAlign w:val="bottom"/>
          </w:tcPr>
          <w:p>
            <w:pPr>
              <w:spacing w:after="0"/>
              <w:rPr>
                <w:sz w:val="14"/>
                <w:szCs w:val="14"/>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w w:val="94"/>
              </w:rPr>
              <w:t>12.4</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$19.86</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$579,585</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$70,000</w:t>
            </w:r>
          </w:p>
        </w:tc>
        <w:tc>
          <w:tcPr>
            <w:tcW w:w="0" w:type="dxa"/>
            <w:vAlign w:val="bottom"/>
          </w:tcPr>
          <w:p>
            <w:pPr>
              <w:spacing w:after="0"/>
              <w:rPr>
                <w:sz w:val="1"/>
                <w:szCs w:val="1"/>
                <w:color w:val="auto"/>
              </w:rPr>
            </w:pPr>
          </w:p>
        </w:tc>
      </w:tr>
      <w:tr>
        <w:trPr>
          <w:trHeight w:val="249"/>
        </w:trPr>
        <w:tc>
          <w:tcPr>
            <w:tcW w:w="19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TOTAL</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39</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250,688</w:t>
            </w:r>
          </w:p>
        </w:tc>
        <w:tc>
          <w:tcPr>
            <w:tcW w:w="400" w:type="dxa"/>
            <w:vAlign w:val="bottom"/>
          </w:tcPr>
          <w:p>
            <w:pPr>
              <w:spacing w:after="0"/>
              <w:rPr>
                <w:sz w:val="21"/>
                <w:szCs w:val="21"/>
                <w:color w:val="auto"/>
              </w:rPr>
            </w:pPr>
          </w:p>
        </w:tc>
        <w:tc>
          <w:tcPr>
            <w:tcW w:w="1100" w:type="dxa"/>
            <w:vAlign w:val="bottom"/>
          </w:tcPr>
          <w:p>
            <w:pPr>
              <w:jc w:val="right"/>
              <w:ind w:right="666"/>
              <w:spacing w:after="0"/>
              <w:rPr>
                <w:sz w:val="20"/>
                <w:szCs w:val="20"/>
                <w:color w:val="auto"/>
              </w:rPr>
            </w:pPr>
            <w:r>
              <w:rPr>
                <w:rFonts w:ascii="Courier New" w:cs="Courier New" w:eastAsia="Courier New" w:hAnsi="Courier New"/>
                <w:sz w:val="15"/>
                <w:szCs w:val="15"/>
                <w:color w:val="auto"/>
                <w:w w:val="94"/>
              </w:rPr>
              <w:t>11.1</w:t>
            </w:r>
          </w:p>
        </w:tc>
        <w:tc>
          <w:tcPr>
            <w:tcW w:w="17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$16.92</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$4,242,411</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$641,000</w:t>
            </w:r>
          </w:p>
        </w:tc>
        <w:tc>
          <w:tcPr>
            <w:tcW w:w="0" w:type="dxa"/>
            <w:vAlign w:val="bottom"/>
          </w:tcPr>
          <w:p>
            <w:pPr>
              <w:spacing w:after="0"/>
              <w:rPr>
                <w:sz w:val="1"/>
                <w:szCs w:val="1"/>
                <w:color w:val="auto"/>
              </w:rPr>
            </w:pPr>
          </w:p>
        </w:tc>
      </w:tr>
    </w:tbl>
    <w:p>
      <w:pPr>
        <w:sectPr>
          <w:pgSz w:w="11900" w:h="16838" w:orient="portrait"/>
          <w:cols w:equalWidth="0" w:num="1">
            <w:col w:w="10900"/>
          </w:cols>
          <w:pgMar w:left="240" w:top="775" w:right="759" w:bottom="1440" w:gutter="0" w:footer="0" w:header="0"/>
        </w:sectPr>
      </w:pPr>
    </w:p>
    <w:bookmarkStart w:id="10" w:name="page11"/>
    <w:bookmarkEnd w:id="10"/>
    <w:p>
      <w:pPr>
        <w:ind w:left="9"/>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LEASES EXPIRING</w:t>
      </w:r>
    </w:p>
    <w:p>
      <w:pPr>
        <w:spacing w:after="0" w:line="200" w:lineRule="exact"/>
        <w:rPr>
          <w:sz w:val="20"/>
          <w:szCs w:val="20"/>
          <w:color w:val="auto"/>
        </w:rPr>
      </w:pPr>
    </w:p>
    <w:p>
      <w:pPr>
        <w:spacing w:after="0" w:line="287" w:lineRule="exact"/>
        <w:rPr>
          <w:sz w:val="20"/>
          <w:szCs w:val="20"/>
          <w:color w:val="auto"/>
        </w:rPr>
      </w:pPr>
    </w:p>
    <w:tbl>
      <w:tblPr>
        <w:tblLayout w:type="fixed"/>
        <w:tblInd w:w="349"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Total</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Percent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5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Square Feet</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of Total</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Rent Per</w:t>
            </w:r>
          </w:p>
        </w:tc>
      </w:tr>
      <w:tr>
        <w:trPr>
          <w:trHeight w:val="171"/>
        </w:trPr>
        <w:tc>
          <w:tcPr>
            <w:tcW w:w="5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Expiring(1)</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Portfolio(2)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Square Foot</w:t>
            </w:r>
          </w:p>
        </w:tc>
      </w:tr>
      <w:tr>
        <w:trPr>
          <w:trHeight w:val="249"/>
        </w:trPr>
        <w:tc>
          <w:tcPr>
            <w:tcW w:w="540" w:type="dxa"/>
            <w:vAlign w:val="bottom"/>
          </w:tcPr>
          <w:p>
            <w:pPr>
              <w:spacing w:after="0"/>
              <w:rPr>
                <w:sz w:val="21"/>
                <w:szCs w:val="21"/>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3"/>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1998</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268,771</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$16.51</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1999</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615,310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4%</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$12.20</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2000</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402,439</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$19.57</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2001</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391,837</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$19.63</w:t>
            </w:r>
          </w:p>
        </w:tc>
      </w:tr>
      <w:tr>
        <w:trPr>
          <w:trHeight w:val="249"/>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2002</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408,824</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$19.81</w:t>
            </w:r>
          </w:p>
        </w:tc>
      </w:tr>
    </w:tbl>
    <w:p>
      <w:pPr>
        <w:spacing w:after="0" w:line="263" w:lineRule="exact"/>
        <w:rPr>
          <w:sz w:val="20"/>
          <w:szCs w:val="20"/>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lease expirations with options</w:t>
      </w:r>
    </w:p>
    <w:p>
      <w:pPr>
        <w:spacing w:after="0" w:line="26"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square footage December 31, 1997: 14,528,345</w:t>
      </w:r>
    </w:p>
    <w:p>
      <w:pPr>
        <w:sectPr>
          <w:pgSz w:w="11900" w:h="16838" w:orient="portrait"/>
          <w:cols w:equalWidth="0" w:num="1">
            <w:col w:w="10228"/>
          </w:cols>
          <w:pgMar w:left="231" w:top="77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EXPIRING - ANCHORS AND SMALL SHOPS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Total</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Percent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Square Feet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7"/>
              </w:rPr>
              <w:t>of 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Expiring (1)</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Portfolio(2)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4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37,516</w:t>
            </w:r>
          </w:p>
        </w:tc>
        <w:tc>
          <w:tcPr>
            <w:tcW w:w="13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Less than 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Small Shop</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231,255</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4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279,402</w:t>
            </w:r>
          </w:p>
        </w:tc>
        <w:tc>
          <w:tcPr>
            <w:tcW w:w="13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2%</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Small Shop</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335,908</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23,075</w:t>
            </w:r>
          </w:p>
        </w:tc>
        <w:tc>
          <w:tcPr>
            <w:tcW w:w="13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Less than 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Small Shop</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379,364</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Less than 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Small Shop</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391,837</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4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66,670</w:t>
            </w:r>
          </w:p>
        </w:tc>
        <w:tc>
          <w:tcPr>
            <w:tcW w:w="13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Less than 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14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Small Shop</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342,154</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4260" w:type="dxa"/>
            <w:vAlign w:val="bottom"/>
            <w:gridSpan w:val="3"/>
          </w:tcPr>
          <w:p>
            <w:pPr>
              <w:spacing w:after="0"/>
              <w:rPr>
                <w:sz w:val="20"/>
                <w:szCs w:val="20"/>
                <w:color w:val="auto"/>
              </w:rPr>
            </w:pPr>
            <w:r>
              <w:rPr>
                <w:rFonts w:ascii="Courier New" w:cs="Courier New" w:eastAsia="Courier New" w:hAnsi="Courier New"/>
                <w:sz w:val="15"/>
                <w:szCs w:val="15"/>
                <w:color w:val="auto"/>
              </w:rPr>
              <w:t>(1) Excludes lease expirations with options</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14,528,345</w:t>
            </w:r>
          </w:p>
        </w:tc>
        <w:tc>
          <w:tcPr>
            <w:tcW w:w="0" w:type="dxa"/>
            <w:vAlign w:val="bottom"/>
          </w:tcPr>
          <w:p>
            <w:pPr>
              <w:spacing w:after="0"/>
              <w:rPr>
                <w:sz w:val="1"/>
                <w:szCs w:val="1"/>
                <w:color w:val="auto"/>
              </w:rPr>
            </w:pPr>
          </w:p>
        </w:tc>
      </w:tr>
      <w:tr>
        <w:trPr>
          <w:trHeight w:val="249"/>
        </w:trPr>
        <w:tc>
          <w:tcPr>
            <w:tcW w:w="4260" w:type="dxa"/>
            <w:vAlign w:val="bottom"/>
            <w:gridSpan w:val="3"/>
          </w:tcPr>
          <w:p>
            <w:pPr>
              <w:spacing w:after="0"/>
              <w:rPr>
                <w:sz w:val="20"/>
                <w:szCs w:val="20"/>
                <w:color w:val="auto"/>
              </w:rPr>
            </w:pPr>
            <w:r>
              <w:rPr>
                <w:rFonts w:ascii="Courier New" w:cs="Courier New" w:eastAsia="Courier New" w:hAnsi="Courier New"/>
                <w:sz w:val="15"/>
                <w:szCs w:val="15"/>
                <w:color w:val="auto"/>
              </w:rPr>
              <w:t>(2) Total square footage December 31, 1997:</w:t>
            </w: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7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TENANTS BY REVENUE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4720" w:type="dxa"/>
            <w:vAlign w:val="bottom"/>
            <w:vMerge w:val="restart"/>
          </w:tcPr>
          <w:p>
            <w:pPr>
              <w:ind w:left="860"/>
              <w:spacing w:after="0"/>
              <w:rPr>
                <w:sz w:val="20"/>
                <w:szCs w:val="20"/>
                <w:color w:val="auto"/>
              </w:rPr>
            </w:pPr>
            <w:r>
              <w:rPr>
                <w:rFonts w:ascii="Courier New" w:cs="Courier New" w:eastAsia="Courier New" w:hAnsi="Courier New"/>
                <w:sz w:val="15"/>
                <w:szCs w:val="15"/>
                <w:color w:val="auto"/>
              </w:rPr>
              <w:t>Tenant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Square</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Pecent of</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Footage</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w w:val="94"/>
              </w:rPr>
              <w:t>Revenue (1)</w:t>
            </w: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Bed, Bath &amp; Beyond, Inc.</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250,961</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2,271%</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Barnes</w:t>
            </w:r>
          </w:p>
        </w:tc>
        <w:tc>
          <w:tcPr>
            <w:tcW w:w="4720" w:type="dxa"/>
            <w:vAlign w:val="bottom"/>
          </w:tcPr>
          <w:p>
            <w:pPr>
              <w:ind w:left="60"/>
              <w:spacing w:after="0"/>
              <w:rPr>
                <w:sz w:val="20"/>
                <w:szCs w:val="20"/>
                <w:color w:val="auto"/>
              </w:rPr>
            </w:pPr>
            <w:r>
              <w:rPr>
                <w:rFonts w:ascii="Courier New" w:cs="Courier New" w:eastAsia="Courier New" w:hAnsi="Courier New"/>
                <w:sz w:val="15"/>
                <w:szCs w:val="15"/>
                <w:color w:val="auto"/>
              </w:rPr>
              <w:t>&amp; Noble, Inc.</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149,125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1.933%</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The TJX Companies (Marshalls/TJ Maxx)</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246,026</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1.884%</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CVS Corporation</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126,689</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1.834%</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Toys R</w:t>
            </w:r>
          </w:p>
        </w:tc>
        <w:tc>
          <w:tcPr>
            <w:tcW w:w="4720" w:type="dxa"/>
            <w:vAlign w:val="bottom"/>
          </w:tcPr>
          <w:p>
            <w:pPr>
              <w:ind w:left="60"/>
              <w:spacing w:after="0"/>
              <w:rPr>
                <w:sz w:val="20"/>
                <w:szCs w:val="20"/>
                <w:color w:val="auto"/>
              </w:rPr>
            </w:pPr>
            <w:r>
              <w:rPr>
                <w:rFonts w:ascii="Courier New" w:cs="Courier New" w:eastAsia="Courier New" w:hAnsi="Courier New"/>
                <w:sz w:val="15"/>
                <w:szCs w:val="15"/>
                <w:color w:val="auto"/>
              </w:rPr>
              <w:t>Us, Inc.</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185,336</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1.535%</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Viacom</w:t>
            </w:r>
          </w:p>
        </w:tc>
        <w:tc>
          <w:tcPr>
            <w:tcW w:w="4720" w:type="dxa"/>
            <w:vAlign w:val="bottom"/>
          </w:tcPr>
          <w:p>
            <w:pPr>
              <w:ind w:left="60"/>
              <w:spacing w:after="0"/>
              <w:rPr>
                <w:sz w:val="20"/>
                <w:szCs w:val="20"/>
                <w:color w:val="auto"/>
              </w:rPr>
            </w:pPr>
            <w:r>
              <w:rPr>
                <w:rFonts w:ascii="Courier New" w:cs="Courier New" w:eastAsia="Courier New" w:hAnsi="Courier New"/>
                <w:sz w:val="15"/>
                <w:szCs w:val="15"/>
                <w:color w:val="auto"/>
              </w:rPr>
              <w:t>International, Inc. (Blockbuster/Discovery Zone)</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102,513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1.239%</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MTS, Inc. (Tower Records)</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66,713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1.138%</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Saks &amp;</w:t>
            </w:r>
          </w:p>
        </w:tc>
        <w:tc>
          <w:tcPr>
            <w:tcW w:w="4720" w:type="dxa"/>
            <w:vAlign w:val="bottom"/>
          </w:tcPr>
          <w:p>
            <w:pPr>
              <w:ind w:left="60"/>
              <w:spacing w:after="0"/>
              <w:rPr>
                <w:sz w:val="20"/>
                <w:szCs w:val="20"/>
                <w:color w:val="auto"/>
              </w:rPr>
            </w:pPr>
            <w:r>
              <w:rPr>
                <w:rFonts w:ascii="Courier New" w:cs="Courier New" w:eastAsia="Courier New" w:hAnsi="Courier New"/>
                <w:sz w:val="15"/>
                <w:szCs w:val="15"/>
                <w:color w:val="auto"/>
              </w:rPr>
              <w:t>Company</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127,550</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0.936%</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Home Depot, Inc.</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113,587</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0.913%</w:t>
            </w:r>
          </w:p>
        </w:tc>
        <w:tc>
          <w:tcPr>
            <w:tcW w:w="0" w:type="dxa"/>
            <w:vAlign w:val="bottom"/>
          </w:tcPr>
          <w:p>
            <w:pPr>
              <w:spacing w:after="0"/>
              <w:rPr>
                <w:sz w:val="1"/>
                <w:szCs w:val="1"/>
                <w:color w:val="auto"/>
              </w:rPr>
            </w:pPr>
          </w:p>
        </w:tc>
      </w:tr>
      <w:tr>
        <w:trPr>
          <w:trHeight w:val="24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Giant,</w:t>
            </w:r>
          </w:p>
        </w:tc>
        <w:tc>
          <w:tcPr>
            <w:tcW w:w="4720" w:type="dxa"/>
            <w:vAlign w:val="bottom"/>
          </w:tcPr>
          <w:p>
            <w:pPr>
              <w:ind w:left="60"/>
              <w:spacing w:after="0"/>
              <w:rPr>
                <w:sz w:val="20"/>
                <w:szCs w:val="20"/>
                <w:color w:val="auto"/>
              </w:rPr>
            </w:pPr>
            <w:r>
              <w:rPr>
                <w:rFonts w:ascii="Courier New" w:cs="Courier New" w:eastAsia="Courier New" w:hAnsi="Courier New"/>
                <w:sz w:val="15"/>
                <w:szCs w:val="15"/>
                <w:color w:val="auto"/>
              </w:rPr>
              <w:t>Inc.</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74,822</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0.824%</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Balances consist of 1997 minimum and percentage rent charges</w:t>
      </w:r>
    </w:p>
    <w:p>
      <w:pPr>
        <w:sectPr>
          <w:pgSz w:w="11900" w:h="16838" w:orient="portrait"/>
          <w:cols w:equalWidth="0" w:num="1">
            <w:col w:w="10219"/>
          </w:cols>
          <w:pgMar w:left="240" w:top="60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SALES/OCCUPANCY COSTS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3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AVERAGE</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4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OCCUPANCY</w:t>
            </w:r>
          </w:p>
        </w:tc>
        <w:tc>
          <w:tcPr>
            <w:tcW w:w="14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OCCUPANCY COSTS</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SALES PER</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COST PER</w:t>
            </w:r>
          </w:p>
        </w:tc>
        <w:tc>
          <w:tcPr>
            <w:tcW w:w="14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AS PERCENTAGE</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SQUARE FOOT</w:t>
            </w:r>
          </w:p>
        </w:tc>
        <w:tc>
          <w:tcPr>
            <w:tcW w:w="1340" w:type="dxa"/>
            <w:vAlign w:val="bottom"/>
          </w:tcPr>
          <w:p>
            <w:pPr>
              <w:ind w:left="240"/>
              <w:spacing w:after="0"/>
              <w:rPr>
                <w:sz w:val="20"/>
                <w:szCs w:val="20"/>
                <w:color w:val="auto"/>
              </w:rPr>
            </w:pPr>
            <w:r>
              <w:rPr>
                <w:rFonts w:ascii="Courier New" w:cs="Courier New" w:eastAsia="Courier New" w:hAnsi="Courier New"/>
                <w:sz w:val="15"/>
                <w:szCs w:val="15"/>
                <w:color w:val="auto"/>
              </w:rPr>
              <w:t>SQUARE FOOT</w:t>
            </w:r>
          </w:p>
        </w:tc>
        <w:tc>
          <w:tcPr>
            <w:tcW w:w="146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OF SALES</w:t>
            </w:r>
          </w:p>
        </w:tc>
        <w:tc>
          <w:tcPr>
            <w:tcW w:w="0" w:type="dxa"/>
            <w:vAlign w:val="bottom"/>
          </w:tcPr>
          <w:p>
            <w:pPr>
              <w:spacing w:after="0"/>
              <w:rPr>
                <w:sz w:val="1"/>
                <w:szCs w:val="1"/>
                <w:color w:val="auto"/>
              </w:rPr>
            </w:pPr>
          </w:p>
        </w:tc>
      </w:tr>
      <w:tr>
        <w:trPr>
          <w:trHeight w:val="249"/>
        </w:trPr>
        <w:tc>
          <w:tcPr>
            <w:tcW w:w="266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REPORTING TENANTS*</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$282.17</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$15.05</w:t>
            </w:r>
          </w:p>
        </w:tc>
        <w:tc>
          <w:tcPr>
            <w:tcW w:w="146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5.3%</w:t>
            </w:r>
          </w:p>
        </w:tc>
        <w:tc>
          <w:tcPr>
            <w:tcW w:w="0" w:type="dxa"/>
            <w:vAlign w:val="bottom"/>
          </w:tcPr>
          <w:p>
            <w:pPr>
              <w:spacing w:after="0"/>
              <w:rPr>
                <w:sz w:val="1"/>
                <w:szCs w:val="1"/>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REPORTING ANCHOR TENANTS</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$295.78</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$10.53</w:t>
            </w:r>
          </w:p>
        </w:tc>
        <w:tc>
          <w:tcPr>
            <w:tcW w:w="146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3.5%</w:t>
            </w:r>
          </w:p>
        </w:tc>
        <w:tc>
          <w:tcPr>
            <w:tcW w:w="0" w:type="dxa"/>
            <w:vAlign w:val="bottom"/>
          </w:tcPr>
          <w:p>
            <w:pPr>
              <w:spacing w:after="0"/>
              <w:rPr>
                <w:sz w:val="1"/>
                <w:szCs w:val="1"/>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REPORTING SMALL SHOP TENANTS</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$260.82</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$22.81</w:t>
            </w:r>
          </w:p>
        </w:tc>
        <w:tc>
          <w:tcPr>
            <w:tcW w:w="146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Includes only those tenants that have 12 months of reported sales in 1997</w:t>
      </w:r>
    </w:p>
    <w:p>
      <w:pPr>
        <w:sectPr>
          <w:pgSz w:w="11900" w:h="16838" w:orient="portrait"/>
          <w:cols w:equalWidth="0" w:num="1">
            <w:col w:w="10219"/>
          </w:cols>
          <w:pgMar w:left="240" w:top="775" w:right="1440" w:bottom="1440" w:gutter="0" w:footer="0" w:header="0"/>
        </w:sectPr>
      </w:pPr>
    </w:p>
    <w:bookmarkStart w:id="14" w:name="page15"/>
    <w:bookmarkEnd w:id="14"/>
    <w:p>
      <w:pPr>
        <w:ind w:left="4960"/>
        <w:spacing w:after="0"/>
        <w:rPr>
          <w:sz w:val="20"/>
          <w:szCs w:val="20"/>
          <w:color w:val="auto"/>
        </w:rPr>
      </w:pPr>
      <w:r>
        <w:rPr>
          <w:rFonts w:ascii="Courier New" w:cs="Courier New" w:eastAsia="Courier New" w:hAnsi="Courier New"/>
          <w:sz w:val="15"/>
          <w:szCs w:val="15"/>
          <w:color w:val="auto"/>
        </w:rPr>
        <w:t>Kathy Klein</w:t>
      </w:r>
    </w:p>
    <w:p>
      <w:pPr>
        <w:spacing w:after="0" w:line="27"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Corporate Communications</w:t>
      </w:r>
    </w:p>
    <w:p>
      <w:pPr>
        <w:spacing w:after="0" w:line="1"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(301) 998-8211</w:t>
      </w:r>
    </w:p>
    <w:p>
      <w:pPr>
        <w:spacing w:after="0" w:line="31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FEDERAL REALTY INVESTMENT TRUST ANNOUNCES</w:t>
      </w:r>
    </w:p>
    <w:p>
      <w:pPr>
        <w:spacing w:after="0" w:line="2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1997 OPERATING RESULTS</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Rockville, Maryland</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11, 1998</w:t>
      </w:r>
    </w:p>
    <w:p>
      <w:pPr>
        <w:spacing w:after="0" w:line="145"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Federal Realty Investment Trust (NYSE:FRT) reported today that funds from operations for the year ended December 31, 1997 increased 22% to $79.7 million from $65.3 million in 1996. On a per share basis, funds from operations rose 5.7% to $2.05 per share in 1997 from $1.94 in 1996.</w:t>
      </w:r>
    </w:p>
    <w:p>
      <w:pPr>
        <w:spacing w:after="0" w:line="66"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Funds from operations for the fourth quarter of 1997 rose 21% to $20.9 million or $.53 per share from $17.3 million or $.50 per share in the fourth quarter of 1996.</w:t>
      </w:r>
    </w:p>
    <w:p>
      <w:pPr>
        <w:spacing w:after="0" w:line="5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A comparison of property operations for the year ended 1997 versus 1996 shows the following:</w:t>
      </w:r>
    </w:p>
    <w:p>
      <w:pPr>
        <w:spacing w:after="0" w:line="12" w:lineRule="exact"/>
        <w:rPr>
          <w:sz w:val="20"/>
          <w:szCs w:val="20"/>
          <w:color w:val="auto"/>
        </w:rPr>
      </w:pPr>
    </w:p>
    <w:p>
      <w:pPr>
        <w:ind w:left="440" w:right="3219" w:hanging="360"/>
        <w:spacing w:after="0" w:line="278" w:lineRule="auto"/>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Rental income increased 14% to $188.5 million in 1997 from $164.9 million in 1996. When adjusted to exclude properties acquired and sold during 1996 and 1997, rental income increased 5% to $165.6 million in 1997 from $158.0 million in 1996.</w:t>
      </w:r>
    </w:p>
    <w:p>
      <w:pPr>
        <w:spacing w:after="0" w:line="66" w:lineRule="exact"/>
        <w:rPr>
          <w:sz w:val="20"/>
          <w:szCs w:val="20"/>
          <w:color w:val="auto"/>
        </w:rPr>
      </w:pPr>
    </w:p>
    <w:p>
      <w:pPr>
        <w:ind w:left="440" w:right="3039" w:hanging="360"/>
        <w:spacing w:after="0" w:line="269" w:lineRule="auto"/>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Trust signed leases for a total 1.4 million square feet of retail space. On a same space basis, the Trust re-leased 1.1 million square feet at an average increase in rent per square foot of 17%. The weighted average rent on these leases was $16.40 per square foot compared to the previous average rent of $14.01 per square foot.</w:t>
      </w:r>
    </w:p>
    <w:p>
      <w:pPr>
        <w:spacing w:after="0" w:line="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19"/>
          </w:cols>
          <w:pgMar w:left="240" w:top="775" w:right="1440" w:bottom="1440" w:gutter="0" w:footer="0" w:header="0"/>
        </w:sectPr>
      </w:pPr>
    </w:p>
    <w:bookmarkStart w:id="15" w:name="page16"/>
    <w:bookmarkEnd w:id="15"/>
    <w:p>
      <w:pPr>
        <w:ind w:left="440" w:right="3119" w:hanging="360"/>
        <w:spacing w:after="0" w:line="269" w:lineRule="auto"/>
        <w:tabs>
          <w:tab w:leader="none" w:pos="5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1996, the Trust leased a total 1.6 million square feet. On a same space basis, 1.3 million square feet was re-leased at an average increase in rent per square foot of 21%. The weighted average rent on these leases was $15.67 per square foot compared to the previous average rent per square foot of $12.94.</w:t>
      </w:r>
    </w:p>
    <w:p>
      <w:pPr>
        <w:spacing w:after="0" w:line="72" w:lineRule="exact"/>
        <w:rPr>
          <w:sz w:val="20"/>
          <w:szCs w:val="20"/>
          <w:color w:val="auto"/>
        </w:rPr>
      </w:pPr>
    </w:p>
    <w:p>
      <w:pPr>
        <w:ind w:left="440" w:right="3219" w:hanging="360"/>
        <w:spacing w:after="0" w:line="297" w:lineRule="auto"/>
        <w:tabs>
          <w:tab w:leader="none" w:pos="52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property occupancy stood at 95% at year end December 31, 1997 and 1996. The Trust's overall portfolio was 96% leased compared to 94% a year ago.</w:t>
      </w:r>
    </w:p>
    <w:p>
      <w:pPr>
        <w:spacing w:after="0" w:line="52"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Commenting on the results, Steven Guttman, President and Chief Executive Officer stated, "Although the 5.7% increase in FFO per share was well below our target level for long-term growth, in many other ways, 1997 was a very successful year. Demand for our retail space remains strong as evidenced by our rental income growth and improved occupancies. We continue to benefit from our current redevelopment efforts and we've strengthened our development capabilities to enable us to maximize and expand our current $400 million pipeline of retail and mixed use urban development and redevelopment opportunities. Our expansion to the west coast and New York metropolitan area is going well. With the addition of these new growth markets, we were able to exceed our acquisition objective for the year. As a company, we are very focused on accelerating our funds from operations growth over the long term and creating shareholder value."</w:t>
      </w:r>
    </w:p>
    <w:p>
      <w:pPr>
        <w:spacing w:after="0" w:line="88"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Federal Realty is an equity real estate investment trust specializing in the ownership, management and redevelopment of prime retail properties. The Trust's real estate portfolio contains 102 retail properties, consisting of neighborhood and community shopping centers and main street retail properties, located in strategic metropolitan markets across the United States. These markets include Boston, New York, Philadelphia, Washington D.C., Chicago, Portland, San Francisco, Los Angeles, San Jose and San Diego.</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775" w:right="1440" w:bottom="1440" w:gutter="0" w:footer="0" w:header="0"/>
        </w:sectPr>
      </w:pPr>
    </w:p>
    <w:bookmarkStart w:id="16" w:name="page17"/>
    <w:bookmarkEnd w:id="16"/>
    <w:p>
      <w:pPr>
        <w:ind w:left="2560"/>
        <w:spacing w:after="0"/>
        <w:rPr>
          <w:sz w:val="20"/>
          <w:szCs w:val="20"/>
          <w:color w:val="auto"/>
        </w:rPr>
      </w:pPr>
      <w:r>
        <w:rPr>
          <w:rFonts w:ascii="Courier New" w:cs="Courier New" w:eastAsia="Courier New" w:hAnsi="Courier New"/>
          <w:sz w:val="15"/>
          <w:szCs w:val="15"/>
          <w:color w:val="auto"/>
        </w:rPr>
        <w:t>FINANCIAL HIGHLIGHTS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00" w:type="dxa"/>
            <w:vAlign w:val="bottom"/>
          </w:tcPr>
          <w:p>
            <w:pPr>
              <w:spacing w:after="0"/>
              <w:rPr>
                <w:sz w:val="21"/>
                <w:szCs w:val="21"/>
                <w:color w:val="auto"/>
              </w:rPr>
            </w:pPr>
          </w:p>
        </w:tc>
        <w:tc>
          <w:tcPr>
            <w:tcW w:w="52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(in thousands, except per share data)</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 Ended</w:t>
            </w:r>
          </w:p>
        </w:tc>
        <w:tc>
          <w:tcPr>
            <w:tcW w:w="340" w:type="dxa"/>
            <w:vAlign w:val="bottom"/>
          </w:tcPr>
          <w:p>
            <w:pPr>
              <w:spacing w:after="0"/>
              <w:rPr>
                <w:sz w:val="24"/>
                <w:szCs w:val="24"/>
                <w:color w:val="auto"/>
              </w:rPr>
            </w:pPr>
          </w:p>
        </w:tc>
        <w:tc>
          <w:tcPr>
            <w:tcW w:w="14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5"/>
              </w:rPr>
              <w:t>Year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OPERATING RESULTS</w:t>
            </w:r>
          </w:p>
        </w:tc>
        <w:tc>
          <w:tcPr>
            <w:tcW w:w="20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240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49"/>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3"/>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REVENUES</w:t>
            </w:r>
          </w:p>
        </w:tc>
        <w:tc>
          <w:tcPr>
            <w:tcW w:w="4180" w:type="dxa"/>
            <w:vAlign w:val="bottom"/>
          </w:tcPr>
          <w:p>
            <w:pPr>
              <w:spacing w:after="0"/>
              <w:rPr>
                <w:sz w:val="22"/>
                <w:szCs w:val="22"/>
                <w:color w:val="auto"/>
              </w:rPr>
            </w:pP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$51,439</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5"/>
              </w:rPr>
              <w:t>$43,332</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188,529</w:t>
            </w:r>
          </w:p>
        </w:tc>
        <w:tc>
          <w:tcPr>
            <w:tcW w:w="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164,887</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Rental income</w:t>
            </w: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and other income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1,204</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6,037</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4,352</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property income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2,193</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2,840</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9,705</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9,816</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w w:val="94"/>
              </w:rPr>
              <w:t>EXPENSES</w:t>
            </w:r>
          </w:p>
        </w:tc>
        <w:tc>
          <w:tcPr>
            <w:tcW w:w="4180" w:type="dxa"/>
            <w:vAlign w:val="bottom"/>
          </w:tcPr>
          <w:p>
            <w:pPr>
              <w:spacing w:after="0"/>
              <w:rPr>
                <w:sz w:val="21"/>
                <w:szCs w:val="21"/>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55,009</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47,376</w:t>
            </w:r>
          </w:p>
        </w:tc>
        <w:tc>
          <w:tcPr>
            <w:tcW w:w="340" w:type="dxa"/>
            <w:vAlign w:val="bottom"/>
          </w:tcPr>
          <w:p>
            <w:pPr>
              <w:spacing w:after="0"/>
              <w:rPr>
                <w:sz w:val="21"/>
                <w:szCs w:val="21"/>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204,271</w:t>
            </w:r>
          </w:p>
        </w:tc>
        <w:tc>
          <w:tcPr>
            <w:tcW w:w="340" w:type="dxa"/>
            <w:vAlign w:val="bottom"/>
          </w:tcPr>
          <w:p>
            <w:pPr>
              <w:spacing w:after="0"/>
              <w:rPr>
                <w:sz w:val="21"/>
                <w:szCs w:val="21"/>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179,055</w:t>
            </w:r>
          </w:p>
        </w:tc>
        <w:tc>
          <w:tcPr>
            <w:tcW w:w="0" w:type="dxa"/>
            <w:vAlign w:val="bottom"/>
          </w:tcPr>
          <w:p>
            <w:pPr>
              <w:spacing w:after="0"/>
              <w:rPr>
                <w:sz w:val="1"/>
                <w:szCs w:val="1"/>
                <w:color w:val="auto"/>
              </w:rPr>
            </w:pPr>
          </w:p>
        </w:tc>
      </w:tr>
      <w:tr>
        <w:trPr>
          <w:trHeight w:val="92"/>
        </w:trPr>
        <w:tc>
          <w:tcPr>
            <w:tcW w:w="700" w:type="dxa"/>
            <w:vAlign w:val="bottom"/>
            <w:vMerge w:val="continue"/>
          </w:tcPr>
          <w:p>
            <w:pPr>
              <w:spacing w:after="0"/>
              <w:rPr>
                <w:sz w:val="8"/>
                <w:szCs w:val="8"/>
                <w:color w:val="auto"/>
              </w:rPr>
            </w:pPr>
          </w:p>
        </w:tc>
        <w:tc>
          <w:tcPr>
            <w:tcW w:w="4180" w:type="dxa"/>
            <w:vAlign w:val="bottom"/>
          </w:tcPr>
          <w:p>
            <w:pPr>
              <w:spacing w:after="0"/>
              <w:rPr>
                <w:sz w:val="8"/>
                <w:szCs w:val="8"/>
                <w:color w:val="auto"/>
              </w:rPr>
            </w:pP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11,648</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10,177</w:t>
            </w:r>
          </w:p>
        </w:tc>
        <w:tc>
          <w:tcPr>
            <w:tcW w:w="340" w:type="dxa"/>
            <w:vAlign w:val="bottom"/>
          </w:tcPr>
          <w:p>
            <w:pPr>
              <w:spacing w:after="0"/>
              <w:rPr>
                <w:sz w:val="8"/>
                <w:szCs w:val="8"/>
                <w:color w:val="auto"/>
              </w:rPr>
            </w:pPr>
          </w:p>
        </w:tc>
        <w:tc>
          <w:tcPr>
            <w:tcW w:w="108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42,844</w:t>
            </w:r>
          </w:p>
        </w:tc>
        <w:tc>
          <w:tcPr>
            <w:tcW w:w="340" w:type="dxa"/>
            <w:vAlign w:val="bottom"/>
          </w:tcPr>
          <w:p>
            <w:pPr>
              <w:spacing w:after="0"/>
              <w:rPr>
                <w:sz w:val="8"/>
                <w:szCs w:val="8"/>
                <w:color w:val="auto"/>
              </w:rPr>
            </w:pP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40,687</w:t>
            </w:r>
          </w:p>
        </w:tc>
        <w:tc>
          <w:tcPr>
            <w:tcW w:w="0" w:type="dxa"/>
            <w:vAlign w:val="bottom"/>
          </w:tcPr>
          <w:p>
            <w:pPr>
              <w:spacing w:after="0"/>
              <w:rPr>
                <w:sz w:val="1"/>
                <w:szCs w:val="1"/>
                <w:color w:val="auto"/>
              </w:rPr>
            </w:pPr>
          </w:p>
        </w:tc>
      </w:tr>
      <w:tr>
        <w:trPr>
          <w:trHeight w:val="171"/>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w w:val="96"/>
              </w:rPr>
              <w:t>Rental</w:t>
            </w:r>
          </w:p>
        </w:tc>
        <w:tc>
          <w:tcPr>
            <w:tcW w:w="4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Real estate taxes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5,123</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4,300</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19,525</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16,411</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11,336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11,996</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47,288</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45,555</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Administrative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3,231</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3,026</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9,793</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9,100</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charges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1,951</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1,951</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10,546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10,029</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41,399</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38,154</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43,835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39,528</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162,800</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149,907</w:t>
            </w:r>
          </w:p>
        </w:tc>
        <w:tc>
          <w:tcPr>
            <w:tcW w:w="0" w:type="dxa"/>
            <w:vAlign w:val="bottom"/>
          </w:tcPr>
          <w:p>
            <w:pPr>
              <w:spacing w:after="0"/>
              <w:rPr>
                <w:sz w:val="1"/>
                <w:szCs w:val="1"/>
                <w:color w:val="auto"/>
              </w:rPr>
            </w:pPr>
          </w:p>
        </w:tc>
      </w:tr>
      <w:tr>
        <w:trPr>
          <w:trHeight w:val="249"/>
        </w:trPr>
        <w:tc>
          <w:tcPr>
            <w:tcW w:w="48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OPERATING INCOME BEFORE INVESTORS' SHARE OF</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880" w:type="dxa"/>
            <w:vAlign w:val="bottom"/>
            <w:gridSpan w:val="2"/>
            <w:vMerge w:val="continue"/>
          </w:tcPr>
          <w:p>
            <w:pPr>
              <w:spacing w:after="0"/>
              <w:rPr>
                <w:sz w:val="8"/>
                <w:szCs w:val="8"/>
                <w:color w:val="auto"/>
              </w:rPr>
            </w:pP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11,174</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7,848</w:t>
            </w:r>
          </w:p>
        </w:tc>
        <w:tc>
          <w:tcPr>
            <w:tcW w:w="340" w:type="dxa"/>
            <w:vAlign w:val="bottom"/>
          </w:tcPr>
          <w:p>
            <w:pPr>
              <w:spacing w:after="0"/>
              <w:rPr>
                <w:sz w:val="8"/>
                <w:szCs w:val="8"/>
                <w:color w:val="auto"/>
              </w:rPr>
            </w:pPr>
          </w:p>
        </w:tc>
        <w:tc>
          <w:tcPr>
            <w:tcW w:w="108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41,471</w:t>
            </w:r>
          </w:p>
        </w:tc>
        <w:tc>
          <w:tcPr>
            <w:tcW w:w="340" w:type="dxa"/>
            <w:vAlign w:val="bottom"/>
          </w:tcPr>
          <w:p>
            <w:pPr>
              <w:spacing w:after="0"/>
              <w:rPr>
                <w:sz w:val="8"/>
                <w:szCs w:val="8"/>
                <w:color w:val="auto"/>
              </w:rPr>
            </w:pP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29,148</w:t>
            </w:r>
          </w:p>
        </w:tc>
        <w:tc>
          <w:tcPr>
            <w:tcW w:w="0" w:type="dxa"/>
            <w:vAlign w:val="bottom"/>
          </w:tcPr>
          <w:p>
            <w:pPr>
              <w:spacing w:after="0"/>
              <w:rPr>
                <w:sz w:val="1"/>
                <w:szCs w:val="1"/>
                <w:color w:val="auto"/>
              </w:rPr>
            </w:pPr>
          </w:p>
        </w:tc>
      </w:tr>
      <w:tr>
        <w:trPr>
          <w:trHeight w:val="171"/>
        </w:trPr>
        <w:tc>
          <w:tcPr>
            <w:tcW w:w="4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OPERATIONS AND (LOSS)/GAIN ON SALE OF REAL ESTATE</w:t>
            </w: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Investor's share of operations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(140)</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(1,342)</w:t>
            </w:r>
          </w:p>
        </w:tc>
        <w:tc>
          <w:tcPr>
            <w:tcW w:w="3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(394)</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BEFORE (LOSS)/GAIN ON SALE OF REAL ESTATE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10,694</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7,708</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40,129</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28,754</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(Loss)/gain on sale of real estate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6,375</w:t>
            </w:r>
          </w:p>
        </w:tc>
        <w:tc>
          <w:tcPr>
            <w:tcW w:w="3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$10,694</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$ 7,696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46,504</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28,742</w:t>
            </w:r>
          </w:p>
        </w:tc>
        <w:tc>
          <w:tcPr>
            <w:tcW w:w="0" w:type="dxa"/>
            <w:vAlign w:val="bottom"/>
          </w:tcPr>
          <w:p>
            <w:pPr>
              <w:spacing w:after="0"/>
              <w:rPr>
                <w:sz w:val="1"/>
                <w:szCs w:val="1"/>
                <w:color w:val="auto"/>
              </w:rPr>
            </w:pPr>
          </w:p>
        </w:tc>
      </w:tr>
      <w:tr>
        <w:trPr>
          <w:trHeight w:val="171"/>
        </w:trPr>
        <w:tc>
          <w:tcPr>
            <w:tcW w:w="4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Dividends on preferred stock</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(1,877)</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8,817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7,696</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44,627</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28,742</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Earnings per common share, basic</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$0.23</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$1.16</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$0.87</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Earnings per common share, diluted</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$0.22</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$1.14</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$0.86</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Weighted average shares outstanding, basic</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38,849</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34,244</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38,475</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33,175</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shares outstanding, diluted</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39,436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34,705</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38,988</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33,573</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FUNDS FROM OPERATIONS</w:t>
            </w: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$ 8,817</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5"/>
              </w:rPr>
              <w:t>$ 7,696</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44,627</w:t>
            </w:r>
          </w:p>
        </w:tc>
        <w:tc>
          <w:tcPr>
            <w:tcW w:w="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28,742</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Add:</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9,547</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8,972</w:t>
            </w:r>
          </w:p>
        </w:tc>
        <w:tc>
          <w:tcPr>
            <w:tcW w:w="340" w:type="dxa"/>
            <w:vAlign w:val="bottom"/>
          </w:tcPr>
          <w:p>
            <w:pPr>
              <w:spacing w:after="0"/>
              <w:rPr>
                <w:sz w:val="14"/>
                <w:szCs w:val="14"/>
                <w:color w:val="auto"/>
              </w:rPr>
            </w:pPr>
          </w:p>
        </w:tc>
        <w:tc>
          <w:tcPr>
            <w:tcW w:w="108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37,281</w:t>
            </w:r>
          </w:p>
        </w:tc>
        <w:tc>
          <w:tcPr>
            <w:tcW w:w="340" w:type="dxa"/>
            <w:vAlign w:val="bottom"/>
          </w:tcPr>
          <w:p>
            <w:pPr>
              <w:spacing w:after="0"/>
              <w:rPr>
                <w:sz w:val="14"/>
                <w:szCs w:val="14"/>
                <w:color w:val="auto"/>
              </w:rPr>
            </w:pP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34,128</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of real estate assets</w:t>
            </w: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Add:  amortization of initial direct</w:t>
            </w: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556</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595</w:t>
            </w:r>
          </w:p>
        </w:tc>
        <w:tc>
          <w:tcPr>
            <w:tcW w:w="340" w:type="dxa"/>
            <w:vAlign w:val="bottom"/>
          </w:tcPr>
          <w:p>
            <w:pPr>
              <w:spacing w:after="0"/>
              <w:rPr>
                <w:sz w:val="14"/>
                <w:szCs w:val="14"/>
                <w:color w:val="auto"/>
              </w:rPr>
            </w:pPr>
          </w:p>
        </w:tc>
        <w:tc>
          <w:tcPr>
            <w:tcW w:w="108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2,249</w:t>
            </w:r>
          </w:p>
        </w:tc>
        <w:tc>
          <w:tcPr>
            <w:tcW w:w="340" w:type="dxa"/>
            <w:vAlign w:val="bottom"/>
          </w:tcPr>
          <w:p>
            <w:pPr>
              <w:spacing w:after="0"/>
              <w:rPr>
                <w:sz w:val="14"/>
                <w:szCs w:val="14"/>
                <w:color w:val="auto"/>
              </w:rPr>
            </w:pP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2,372</w:t>
            </w:r>
          </w:p>
        </w:tc>
        <w:tc>
          <w:tcPr>
            <w:tcW w:w="0" w:type="dxa"/>
            <w:vAlign w:val="bottom"/>
          </w:tcPr>
          <w:p>
            <w:pPr>
              <w:spacing w:after="0"/>
              <w:rPr>
                <w:sz w:val="1"/>
                <w:szCs w:val="1"/>
                <w:color w:val="auto"/>
              </w:rPr>
            </w:pPr>
          </w:p>
        </w:tc>
      </w:tr>
      <w:tr>
        <w:trPr>
          <w:trHeight w:val="171"/>
        </w:trPr>
        <w:tc>
          <w:tcPr>
            <w:tcW w:w="7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Add:</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costs of leases</w:t>
            </w: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loss/(gain) on sale and nonrecurring items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1,951</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(4,424)</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Funds from operations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$20,871</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$17,275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79,733</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65,254</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Funds from operations per share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$0.53</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$0.50</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$2.05</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249"/>
        </w:trPr>
        <w:tc>
          <w:tcPr>
            <w:tcW w:w="7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3"/>
        </w:trPr>
        <w:tc>
          <w:tcPr>
            <w:tcW w:w="48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December 31,</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49"/>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7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20" w:type="dxa"/>
            <w:vAlign w:val="bottom"/>
            <w:gridSpan w:val="2"/>
            <w:vMerge w:val="restart"/>
          </w:tcPr>
          <w:p>
            <w:pPr>
              <w:jc w:val="right"/>
              <w:ind w:right="206"/>
              <w:spacing w:after="0"/>
              <w:rPr>
                <w:sz w:val="20"/>
                <w:szCs w:val="20"/>
                <w:color w:val="auto"/>
              </w:rPr>
            </w:pPr>
            <w:r>
              <w:rPr>
                <w:rFonts w:ascii="Courier New" w:cs="Courier New" w:eastAsia="Courier New" w:hAnsi="Courier New"/>
                <w:sz w:val="15"/>
                <w:szCs w:val="15"/>
                <w:color w:val="auto"/>
              </w:rPr>
              <w:t>$1,453,639</w:t>
            </w:r>
          </w:p>
        </w:tc>
        <w:tc>
          <w:tcPr>
            <w:tcW w:w="1320" w:type="dxa"/>
            <w:vAlign w:val="bottom"/>
            <w:gridSpan w:val="2"/>
            <w:vMerge w:val="restart"/>
          </w:tcPr>
          <w:p>
            <w:pPr>
              <w:jc w:val="right"/>
              <w:ind w:right="186"/>
              <w:spacing w:after="0"/>
              <w:rPr>
                <w:sz w:val="20"/>
                <w:szCs w:val="20"/>
                <w:color w:val="auto"/>
              </w:rPr>
            </w:pPr>
            <w:r>
              <w:rPr>
                <w:rFonts w:ascii="Courier New" w:cs="Courier New" w:eastAsia="Courier New" w:hAnsi="Courier New"/>
                <w:sz w:val="15"/>
                <w:szCs w:val="15"/>
                <w:color w:val="auto"/>
              </w:rPr>
              <w:t>$1,147,865</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Real estate, at cost</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Accumulated depreciation and amortization</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(247,497)</w:t>
            </w:r>
          </w:p>
        </w:tc>
        <w:tc>
          <w:tcPr>
            <w:tcW w:w="3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(223,553)</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Mortgage notes receivable</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1,206,142</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924,312</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38,360</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27,913</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Cash and investments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17,043</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11,041</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Receivables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18,794</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17,294</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assets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36,234</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54,746</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$1,316,573</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$1,035,306</w:t>
            </w:r>
          </w:p>
        </w:tc>
        <w:tc>
          <w:tcPr>
            <w:tcW w:w="0" w:type="dxa"/>
            <w:vAlign w:val="bottom"/>
          </w:tcPr>
          <w:p>
            <w:pPr>
              <w:spacing w:after="0"/>
              <w:rPr>
                <w:sz w:val="1"/>
                <w:szCs w:val="1"/>
                <w:color w:val="auto"/>
              </w:rPr>
            </w:pPr>
          </w:p>
        </w:tc>
      </w:tr>
      <w:tr>
        <w:trPr>
          <w:trHeight w:val="249"/>
        </w:trPr>
        <w:tc>
          <w:tcPr>
            <w:tcW w:w="48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88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221,573</w:t>
            </w:r>
          </w:p>
        </w:tc>
        <w:tc>
          <w:tcPr>
            <w:tcW w:w="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229,189</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Obligations under capital leases &amp; mortgages payable</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Notes payable</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119,028</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66,106</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Senior Notes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255,000</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215,000</w:t>
            </w:r>
          </w:p>
        </w:tc>
        <w:tc>
          <w:tcPr>
            <w:tcW w:w="0" w:type="dxa"/>
            <w:vAlign w:val="bottom"/>
          </w:tcPr>
          <w:p>
            <w:pPr>
              <w:spacing w:after="0"/>
              <w:rPr>
                <w:sz w:val="1"/>
                <w:szCs w:val="1"/>
                <w:color w:val="auto"/>
              </w:rPr>
            </w:pP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5 1/4% Convertible subordinated debentures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75,289</w:t>
            </w:r>
          </w:p>
        </w:tc>
        <w:tc>
          <w:tcPr>
            <w:tcW w:w="3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75,289</w:t>
            </w:r>
          </w:p>
        </w:tc>
        <w:tc>
          <w:tcPr>
            <w:tcW w:w="0" w:type="dxa"/>
            <w:vAlign w:val="bottom"/>
          </w:tcPr>
          <w:p>
            <w:pPr>
              <w:spacing w:after="0"/>
              <w:rPr>
                <w:sz w:val="1"/>
                <w:szCs w:val="1"/>
                <w:color w:val="auto"/>
              </w:rPr>
            </w:pPr>
          </w:p>
        </w:tc>
      </w:tr>
      <w:tr>
        <w:trPr>
          <w:trHeight w:val="249"/>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liabilities</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91,873</w:t>
            </w:r>
          </w:p>
        </w:tc>
        <w:tc>
          <w:tcPr>
            <w:tcW w:w="340" w:type="dxa"/>
            <w:vAlign w:val="bottom"/>
          </w:tcPr>
          <w:p>
            <w:pPr>
              <w:spacing w:after="0"/>
              <w:rPr>
                <w:sz w:val="21"/>
                <w:szCs w:val="21"/>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60,837</w:t>
            </w:r>
          </w:p>
        </w:tc>
        <w:tc>
          <w:tcPr>
            <w:tcW w:w="0" w:type="dxa"/>
            <w:vAlign w:val="bottom"/>
          </w:tcPr>
          <w:p>
            <w:pPr>
              <w:spacing w:after="0"/>
              <w:rPr>
                <w:sz w:val="1"/>
                <w:szCs w:val="1"/>
                <w:color w:val="auto"/>
              </w:rPr>
            </w:pPr>
          </w:p>
        </w:tc>
      </w:tr>
      <w:tr>
        <w:trPr>
          <w:trHeight w:val="263"/>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553,810</w:t>
            </w:r>
          </w:p>
        </w:tc>
        <w:tc>
          <w:tcPr>
            <w:tcW w:w="340" w:type="dxa"/>
            <w:vAlign w:val="bottom"/>
          </w:tcPr>
          <w:p>
            <w:pPr>
              <w:spacing w:after="0"/>
              <w:rPr>
                <w:sz w:val="22"/>
                <w:szCs w:val="22"/>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388,885</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$1,316,573</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$1,035,306</w:t>
            </w:r>
          </w:p>
        </w:tc>
        <w:tc>
          <w:tcPr>
            <w:tcW w:w="0" w:type="dxa"/>
            <w:vAlign w:val="bottom"/>
          </w:tcPr>
          <w:p>
            <w:pPr>
              <w:spacing w:after="0"/>
              <w:rPr>
                <w:sz w:val="1"/>
                <w:szCs w:val="1"/>
                <w:color w:val="auto"/>
              </w:rPr>
            </w:pPr>
          </w:p>
        </w:tc>
      </w:tr>
      <w:tr>
        <w:trPr>
          <w:trHeight w:val="249"/>
        </w:trPr>
        <w:tc>
          <w:tcPr>
            <w:tcW w:w="7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5" w:right="1440" w:bottom="1440" w:gutter="0" w:footer="0" w:header="0"/>
        </w:sectPr>
      </w:pPr>
    </w:p>
    <w:bookmarkStart w:id="17" w:name="page18"/>
    <w:bookmarkEnd w:id="17"/>
    <w:p>
      <w:pPr>
        <w:ind w:left="2740"/>
        <w:spacing w:after="0"/>
        <w:rPr>
          <w:sz w:val="20"/>
          <w:szCs w:val="20"/>
          <w:color w:val="auto"/>
        </w:rPr>
      </w:pPr>
      <w:r>
        <w:rPr>
          <w:rFonts w:ascii="Courier New" w:cs="Courier New" w:eastAsia="Courier New" w:hAnsi="Courier New"/>
          <w:sz w:val="15"/>
          <w:szCs w:val="15"/>
          <w:color w:val="auto"/>
        </w:rPr>
        <w:t>GLOSSARY OF TERMS</w:t>
      </w:r>
    </w:p>
    <w:p>
      <w:pPr>
        <w:spacing w:after="0" w:line="200" w:lineRule="exact"/>
        <w:rPr>
          <w:sz w:val="20"/>
          <w:szCs w:val="20"/>
          <w:color w:val="auto"/>
        </w:rPr>
      </w:pPr>
    </w:p>
    <w:p>
      <w:pPr>
        <w:spacing w:after="0" w:line="313"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AVERAGE OCCUPANCY COSTS: Includes rent, common area maintenance expense, real estate taxes, merchant association dues and other charges.</w:t>
      </w:r>
    </w:p>
    <w:p>
      <w:pPr>
        <w:spacing w:after="0" w:line="12" w:lineRule="exact"/>
        <w:rPr>
          <w:sz w:val="20"/>
          <w:szCs w:val="20"/>
          <w:color w:val="auto"/>
        </w:rPr>
      </w:pPr>
    </w:p>
    <w:p>
      <w:pPr>
        <w:ind w:right="3299"/>
        <w:spacing w:after="0" w:line="353" w:lineRule="auto"/>
        <w:rPr>
          <w:sz w:val="20"/>
          <w:szCs w:val="20"/>
          <w:color w:val="auto"/>
        </w:rPr>
      </w:pPr>
      <w:r>
        <w:rPr>
          <w:rFonts w:ascii="Courier New" w:cs="Courier New" w:eastAsia="Courier New" w:hAnsi="Courier New"/>
          <w:sz w:val="15"/>
          <w:szCs w:val="15"/>
          <w:color w:val="auto"/>
        </w:rPr>
        <w:t>ECONOMIC OCCUPANCY: The square footage generating rental income expressed as a percentage of its total rentable square feet.</w:t>
      </w:r>
    </w:p>
    <w:p>
      <w:pPr>
        <w:spacing w:after="0" w:line="12" w:lineRule="exact"/>
        <w:rPr>
          <w:sz w:val="20"/>
          <w:szCs w:val="20"/>
          <w:color w:val="auto"/>
        </w:rPr>
      </w:pPr>
    </w:p>
    <w:p>
      <w:pPr>
        <w:ind w:right="3299"/>
        <w:spacing w:after="0" w:line="353" w:lineRule="auto"/>
        <w:rPr>
          <w:sz w:val="20"/>
          <w:szCs w:val="20"/>
          <w:color w:val="auto"/>
        </w:rPr>
      </w:pPr>
      <w:r>
        <w:rPr>
          <w:rFonts w:ascii="Courier New" w:cs="Courier New" w:eastAsia="Courier New" w:hAnsi="Courier New"/>
          <w:sz w:val="15"/>
          <w:szCs w:val="15"/>
          <w:color w:val="auto"/>
        </w:rPr>
        <w:t>LEASES SIGNED - COMPARABLE: Represents leases signed on spaces for which there was a former tenant.</w:t>
      </w:r>
    </w:p>
    <w:p>
      <w:pPr>
        <w:spacing w:after="0" w:line="12" w:lineRule="exact"/>
        <w:rPr>
          <w:sz w:val="20"/>
          <w:szCs w:val="20"/>
          <w:color w:val="auto"/>
        </w:rPr>
      </w:pPr>
    </w:p>
    <w:p>
      <w:pPr>
        <w:ind w:right="3219"/>
        <w:spacing w:after="0" w:line="297" w:lineRule="auto"/>
        <w:rPr>
          <w:sz w:val="20"/>
          <w:szCs w:val="20"/>
          <w:color w:val="auto"/>
        </w:rPr>
      </w:pPr>
      <w:r>
        <w:rPr>
          <w:rFonts w:ascii="Courier New" w:cs="Courier New" w:eastAsia="Courier New" w:hAnsi="Courier New"/>
          <w:sz w:val="15"/>
          <w:szCs w:val="15"/>
          <w:color w:val="auto"/>
        </w:rPr>
        <w:t>LEASES SIGNED - NONCOMPARABLE: Represents leases signed on spaces for which there was no previous tenant, i.e. expansion space or space that was previously non-leasable.</w:t>
      </w:r>
    </w:p>
    <w:p>
      <w:pPr>
        <w:spacing w:after="0" w:line="52" w:lineRule="exact"/>
        <w:rPr>
          <w:sz w:val="20"/>
          <w:szCs w:val="20"/>
          <w:color w:val="auto"/>
        </w:rPr>
      </w:pPr>
    </w:p>
    <w:p>
      <w:pPr>
        <w:ind w:right="3479"/>
        <w:spacing w:after="0" w:line="353" w:lineRule="auto"/>
        <w:rPr>
          <w:sz w:val="20"/>
          <w:szCs w:val="20"/>
          <w:color w:val="auto"/>
        </w:rPr>
      </w:pPr>
      <w:r>
        <w:rPr>
          <w:rFonts w:ascii="Courier New" w:cs="Courier New" w:eastAsia="Courier New" w:hAnsi="Courier New"/>
          <w:sz w:val="15"/>
          <w:szCs w:val="15"/>
          <w:color w:val="auto"/>
        </w:rPr>
        <w:t>LEASES SIGNED - PRIOR RENT: Total rent paid by the previous tenant; includes minimum and percentage rent.</w:t>
      </w:r>
    </w:p>
    <w:p>
      <w:pPr>
        <w:spacing w:after="0" w:line="12" w:lineRule="exact"/>
        <w:rPr>
          <w:sz w:val="20"/>
          <w:szCs w:val="20"/>
          <w:color w:val="auto"/>
        </w:rPr>
      </w:pPr>
    </w:p>
    <w:p>
      <w:pPr>
        <w:ind w:right="3219"/>
        <w:spacing w:after="0" w:line="297" w:lineRule="auto"/>
        <w:rPr>
          <w:sz w:val="20"/>
          <w:szCs w:val="20"/>
          <w:color w:val="auto"/>
        </w:rPr>
      </w:pPr>
      <w:r>
        <w:rPr>
          <w:rFonts w:ascii="Courier New" w:cs="Courier New" w:eastAsia="Courier New" w:hAnsi="Courier New"/>
          <w:sz w:val="15"/>
          <w:szCs w:val="15"/>
          <w:color w:val="auto"/>
        </w:rPr>
        <w:t>OCCUPANCY: The currently leased portion of a property expressed as a percentage of its total rentable square feet; includes square feet covered by leases for stores not yet opened.</w:t>
      </w:r>
    </w:p>
    <w:p>
      <w:pPr>
        <w:spacing w:after="0" w:line="52"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OVERALL OCCUPANCY: Occupancy for the entire portfolio -- includes all centers owned in reporting period.</w:t>
      </w:r>
    </w:p>
    <w:p>
      <w:pPr>
        <w:spacing w:after="0" w:line="12" w:lineRule="exact"/>
        <w:rPr>
          <w:sz w:val="20"/>
          <w:szCs w:val="20"/>
          <w:color w:val="auto"/>
        </w:rPr>
      </w:pPr>
    </w:p>
    <w:p>
      <w:pPr>
        <w:ind w:right="3299"/>
        <w:spacing w:after="0" w:line="297" w:lineRule="auto"/>
        <w:rPr>
          <w:sz w:val="20"/>
          <w:szCs w:val="20"/>
          <w:color w:val="auto"/>
        </w:rPr>
      </w:pPr>
      <w:r>
        <w:rPr>
          <w:rFonts w:ascii="Courier New" w:cs="Courier New" w:eastAsia="Courier New" w:hAnsi="Courier New"/>
          <w:sz w:val="15"/>
          <w:szCs w:val="15"/>
          <w:color w:val="auto"/>
        </w:rPr>
        <w:t>SAME CENTER OCCUPANCY: Occupancy for only those centers owned and operating in the periods being compared. Excludes centers purchased or sold as well as properties under redevelopment.</w:t>
      </w:r>
    </w:p>
    <w:p>
      <w:pPr>
        <w:spacing w:after="0" w:line="52" w:lineRule="exact"/>
        <w:rPr>
          <w:sz w:val="20"/>
          <w:szCs w:val="20"/>
          <w:color w:val="auto"/>
        </w:rPr>
      </w:pPr>
    </w:p>
    <w:p>
      <w:pPr>
        <w:ind w:right="3119"/>
        <w:spacing w:after="0" w:line="269" w:lineRule="auto"/>
        <w:rPr>
          <w:sz w:val="20"/>
          <w:szCs w:val="20"/>
          <w:color w:val="auto"/>
        </w:rPr>
      </w:pPr>
      <w:r>
        <w:rPr>
          <w:rFonts w:ascii="Courier New" w:cs="Courier New" w:eastAsia="Courier New" w:hAnsi="Courier New"/>
          <w:sz w:val="15"/>
          <w:szCs w:val="15"/>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19"/>
      </w:cols>
      <w:pgMar w:left="240" w:top="7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3"/>
    </w:lvl>
  </w:abstractNum>
  <w:abstractNum w:abstractNumId="1">
    <w:nsid w:val="507ED7AB"/>
    <w:multiLevelType w:val="hybridMultilevel"/>
    <w:lvl w:ilvl="0">
      <w:lvlJc w:val="left"/>
      <w:lvlText w:val="%1."/>
      <w:numFmt w:val="decimal"/>
      <w:start w:val="6"/>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2019-12-12T06:21:45Z</dcterms:created>
  <dcterms:modified xsi:type="dcterms:W3CDTF">2019-12-12T06:21:45Z</dcterms:modified>
</cp:coreProperties>
</file>