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01</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313745101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520" w:hanging="287"/>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52" w:lineRule="exact"/>
        <w:rPr>
          <w:rFonts w:ascii="Wingdings" w:cs="Wingdings" w:eastAsia="Wingdings" w:hAnsi="Wingdings"/>
          <w:sz w:val="18"/>
          <w:szCs w:val="18"/>
          <w:b w:val="1"/>
          <w:bCs w:val="1"/>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52" w:lineRule="exact"/>
        <w:rPr>
          <w:rFonts w:ascii="Wingdings" w:cs="Wingdings" w:eastAsia="Wingdings" w:hAnsi="Wingdings"/>
          <w:sz w:val="18"/>
          <w:szCs w:val="18"/>
          <w:b w:val="1"/>
          <w:bCs w:val="1"/>
          <w:color w:val="auto"/>
        </w:rPr>
      </w:pPr>
    </w:p>
    <w:p>
      <w:pPr>
        <w:spacing w:after="0" w:line="282" w:lineRule="auto"/>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313745101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760" w:right="4900" w:hanging="529"/>
        <w:spacing w:after="0" w:line="181" w:lineRule="auto"/>
        <w:tabs>
          <w:tab w:leader="none" w:pos="760" w:val="left"/>
        </w:tabs>
        <w:numPr>
          <w:ilvl w:val="0"/>
          <w:numId w:val="3"/>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198"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13-2624428</w:t>
      </w:r>
    </w:p>
    <w:p>
      <w:pPr>
        <w:spacing w:after="0" w:line="90"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80" w:hanging="330"/>
        <w:spacing w:after="0"/>
        <w:tabs>
          <w:tab w:leader="none" w:pos="10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8"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r>
        <w:rPr>
          <w:rFonts w:ascii="Times New Roman" w:cs="Times New Roman" w:eastAsia="Times New Roman" w:hAnsi="Times New Roman"/>
          <w:sz w:val="30"/>
          <w:szCs w:val="30"/>
          <w:b w:val="1"/>
          <w:bCs w:val="1"/>
          <w:color w:val="auto"/>
        </w:rPr>
        <w:t xml:space="preserve">  </w:t>
      </w:r>
      <w:r>
        <w:rPr>
          <w:rFonts w:ascii="Wingdings" w:cs="Wingdings" w:eastAsia="Wingdings" w:hAnsi="Wingdings"/>
          <w:sz w:val="16"/>
          <w:szCs w:val="16"/>
          <w:b w:val="1"/>
          <w:bCs w:val="1"/>
          <w:color w:val="auto"/>
        </w:rPr>
        <w:t>o</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3,009,114</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4,375,184</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6"/>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4,377,501</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8"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Wingdings" w:cs="Wingdings" w:eastAsia="Wingdings" w:hAnsi="Wingdings"/>
          <w:sz w:val="23"/>
          <w:szCs w:val="23"/>
          <w:b w:val="1"/>
          <w:bCs w:val="1"/>
          <w:color w:val="auto"/>
          <w:vertAlign w:val="subscript"/>
        </w:rPr>
        <w:t>o</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5.3 %</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REALTY INVESTMENT TRUST</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909 Rose Avenue, Suite 200,</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Bethesda, Maryland 20852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383 Madison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10179</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of Beneficial Interest</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313745101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 parent holding company or control person in accordance with § 240.13d-1(b)(1)(ii)(G);</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Act of 1940 (15 U.S.C. 80a-3);</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 240.13d-1(b)(1)(ii)(J).</w:t>
      </w:r>
    </w:p>
    <w:p>
      <w:pPr>
        <w:sectPr>
          <w:pgSz w:w="11900" w:h="16838" w:orient="portrait"/>
          <w:cols w:equalWidth="0" w:num="1">
            <w:col w:w="11200"/>
          </w:cols>
          <w:pgMar w:left="320" w:top="509" w:right="379" w:bottom="0" w:gutter="0" w:footer="0" w:header="0"/>
        </w:sectPr>
      </w:pPr>
    </w:p>
    <w:bookmarkStart w:id="3" w:name="page4"/>
    <w:bookmarkEnd w:id="3"/>
    <w:p>
      <w:pPr>
        <w:ind w:left="1304" w:hanging="1304"/>
        <w:spacing w:after="0" w:line="282" w:lineRule="auto"/>
        <w:tabs>
          <w:tab w:leader="none" w:pos="656"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group, in accordance with § 240.13d-1(b)(1)(ii)(K). If filing as a non-U.S. institution in accordance with § 240.13d-1(b)(1)(ii)</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684530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0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4,377,501</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5.3 %</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3,009,114</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4,375,184</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716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Trust Company of Delaware</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Security Capital Research &amp; Management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55I, LLC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180"/>
          </w:cols>
          <w:pgMar w:left="320" w:top="752"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ectPr>
          <w:pgSz w:w="11900" w:h="16838" w:orient="portrait"/>
          <w:cols w:equalWidth="0" w:num="1">
            <w:col w:w="11180"/>
          </w:cols>
          <w:pgMar w:left="320" w:top="752" w:right="39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lvl w:ilvl="1">
      <w:lvlJc w:val="left"/>
      <w:lvlText w:val="o"/>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2023-01-20T11:30:20Z</dcterms:created>
  <dcterms:modified xsi:type="dcterms:W3CDTF">2023-01-20T11:30:20Z</dcterms:modified>
</cp:coreProperties>
</file>