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333-224701</w:t>
      </w:r>
    </w:p>
    <w:p>
      <w:pPr>
        <w:spacing w:after="0" w:line="139" w:lineRule="exact"/>
        <w:rPr>
          <w:sz w:val="24"/>
          <w:szCs w:val="24"/>
          <w:color w:val="auto"/>
        </w:rPr>
      </w:pPr>
    </w:p>
    <w:p>
      <w:pPr>
        <w:ind w:left="120" w:right="40"/>
        <w:spacing w:after="0" w:line="261" w:lineRule="auto"/>
        <w:rPr>
          <w:sz w:val="20"/>
          <w:szCs w:val="20"/>
          <w:color w:val="auto"/>
        </w:rPr>
      </w:pPr>
      <w:r>
        <w:rPr>
          <w:rFonts w:ascii="Arial" w:cs="Arial" w:eastAsia="Arial" w:hAnsi="Arial"/>
          <w:sz w:val="18"/>
          <w:szCs w:val="18"/>
          <w:b w:val="1"/>
          <w:bCs w:val="1"/>
          <w:color w:val="FF4338"/>
        </w:rPr>
        <w:t>The information in this preliminary prospectus supplement and the accompanying prospectus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we are not soliciting offers to buy these securities in any jurisdiction where the offer or sale is not permitted.</w:t>
      </w:r>
    </w:p>
    <w:p>
      <w:pPr>
        <w:spacing w:after="0" w:line="11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 DATED OCTOBER 8, 2020</w:t>
      </w:r>
    </w:p>
    <w:p>
      <w:pPr>
        <w:spacing w:after="0" w:line="11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MAY 7, 2018)</w:t>
      </w:r>
    </w:p>
    <w:p>
      <w:pPr>
        <w:spacing w:after="0" w:line="49" w:lineRule="exact"/>
        <w:rPr>
          <w:sz w:val="24"/>
          <w:szCs w:val="24"/>
          <w:color w:val="auto"/>
        </w:rPr>
      </w:pPr>
    </w:p>
    <w:p>
      <w:pPr>
        <w:ind w:left="4900"/>
        <w:spacing w:after="0"/>
        <w:rPr>
          <w:sz w:val="20"/>
          <w:szCs w:val="20"/>
          <w:color w:val="auto"/>
        </w:rPr>
      </w:pPr>
      <w:r>
        <w:rPr>
          <w:rFonts w:ascii="Arial" w:cs="Arial" w:eastAsia="Arial" w:hAnsi="Arial"/>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75565</wp:posOffset>
            </wp:positionV>
            <wp:extent cx="1920240"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24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00B050"/>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130810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3" w:lineRule="exact"/>
        <w:rPr>
          <w:sz w:val="24"/>
          <w:szCs w:val="24"/>
          <w:color w:val="auto"/>
        </w:rPr>
      </w:pPr>
    </w:p>
    <w:p>
      <w:pPr>
        <w:ind w:left="120"/>
        <w:spacing w:after="0"/>
        <w:tabs>
          <w:tab w:leader="none" w:pos="1760" w:val="left"/>
          <w:tab w:leader="none" w:pos="4440" w:val="left"/>
          <w:tab w:leader="none" w:pos="5760" w:val="left"/>
          <w:tab w:leader="none" w:pos="8980" w:val="left"/>
        </w:tabs>
        <w:rPr>
          <w:sz w:val="20"/>
          <w:szCs w:val="20"/>
          <w:color w:val="auto"/>
        </w:rPr>
      </w:pPr>
      <w:r>
        <w:rPr>
          <w:rFonts w:ascii="Arial" w:cs="Arial" w:eastAsia="Arial" w:hAnsi="Arial"/>
          <w:sz w:val="18"/>
          <w:szCs w:val="18"/>
          <w:color w:val="auto"/>
        </w:rPr>
        <w:t>We are offering $</w:t>
      </w:r>
      <w:r>
        <w:rPr>
          <w:sz w:val="20"/>
          <w:szCs w:val="20"/>
          <w:color w:val="auto"/>
        </w:rPr>
        <w:tab/>
      </w:r>
      <w:r>
        <w:rPr>
          <w:rFonts w:ascii="Arial" w:cs="Arial" w:eastAsia="Arial" w:hAnsi="Arial"/>
          <w:sz w:val="18"/>
          <w:szCs w:val="18"/>
          <w:color w:val="auto"/>
        </w:rPr>
        <w:t>aggregate principal amount of our</w:t>
        <w:tab/>
        <w:t>% Notes due 20</w:t>
        <w:tab/>
        <w:t>. The notes will bear interest at the rate of</w:t>
      </w:r>
      <w:r>
        <w:rPr>
          <w:sz w:val="20"/>
          <w:szCs w:val="20"/>
          <w:color w:val="auto"/>
        </w:rPr>
        <w:tab/>
      </w:r>
      <w:r>
        <w:rPr>
          <w:rFonts w:ascii="Arial" w:cs="Arial" w:eastAsia="Arial" w:hAnsi="Arial"/>
          <w:sz w:val="15"/>
          <w:szCs w:val="15"/>
          <w:color w:val="auto"/>
        </w:rPr>
        <w:t>% per year. Interest on the</w:t>
      </w:r>
    </w:p>
    <w:p>
      <w:pPr>
        <w:spacing w:after="0" w:line="23" w:lineRule="exact"/>
        <w:rPr>
          <w:sz w:val="24"/>
          <w:szCs w:val="24"/>
          <w:color w:val="auto"/>
        </w:rPr>
      </w:pPr>
    </w:p>
    <w:p>
      <w:pPr>
        <w:ind w:left="120"/>
        <w:spacing w:after="0"/>
        <w:tabs>
          <w:tab w:leader="none" w:pos="4380" w:val="left"/>
          <w:tab w:leader="none" w:pos="5440" w:val="left"/>
          <w:tab w:leader="none" w:pos="7940" w:val="left"/>
          <w:tab w:leader="none" w:pos="10860" w:val="left"/>
        </w:tabs>
        <w:rPr>
          <w:sz w:val="20"/>
          <w:szCs w:val="20"/>
          <w:color w:val="auto"/>
        </w:rPr>
      </w:pPr>
      <w:r>
        <w:rPr>
          <w:rFonts w:ascii="Arial" w:cs="Arial" w:eastAsia="Arial" w:hAnsi="Arial"/>
          <w:sz w:val="18"/>
          <w:szCs w:val="18"/>
          <w:color w:val="auto"/>
        </w:rPr>
        <w:t>notes will be payable semi-annually in arears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 on</w:t>
      </w:r>
      <w:r>
        <w:rPr>
          <w:sz w:val="20"/>
          <w:szCs w:val="20"/>
          <w:color w:val="auto"/>
        </w:rPr>
        <w:tab/>
      </w:r>
      <w:r>
        <w:rPr>
          <w:rFonts w:ascii="Arial" w:cs="Arial" w:eastAsia="Arial" w:hAnsi="Arial"/>
          <w:sz w:val="18"/>
          <w:szCs w:val="18"/>
          <w:color w:val="auto"/>
        </w:rPr>
        <w:t>, 2021. The notes will mature on</w:t>
      </w:r>
      <w:r>
        <w:rPr>
          <w:sz w:val="20"/>
          <w:szCs w:val="20"/>
          <w:color w:val="auto"/>
        </w:rPr>
        <w:tab/>
      </w:r>
      <w:r>
        <w:rPr>
          <w:rFonts w:ascii="Arial" w:cs="Arial" w:eastAsia="Arial" w:hAnsi="Arial"/>
          <w:sz w:val="13"/>
          <w:szCs w:val="13"/>
          <w:color w:val="auto"/>
        </w:rPr>
        <w:t>,</w:t>
      </w:r>
    </w:p>
    <w:p>
      <w:pPr>
        <w:spacing w:after="0" w:line="9" w:lineRule="exact"/>
        <w:rPr>
          <w:sz w:val="24"/>
          <w:szCs w:val="24"/>
          <w:color w:val="auto"/>
        </w:rPr>
      </w:pPr>
    </w:p>
    <w:p>
      <w:pPr>
        <w:ind w:left="120" w:right="200" w:hanging="4"/>
        <w:spacing w:after="0" w:line="260" w:lineRule="auto"/>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We may redeem some or all of the notes at any time before maturity at the applicable redemption price discussed under the caption “Description of Notes — Optional Redemption.”</w:t>
      </w:r>
    </w:p>
    <w:p>
      <w:pPr>
        <w:spacing w:after="0" w:line="50" w:lineRule="exact"/>
        <w:rPr>
          <w:sz w:val="24"/>
          <w:szCs w:val="24"/>
          <w:color w:val="auto"/>
        </w:rPr>
      </w:pPr>
    </w:p>
    <w:p>
      <w:pPr>
        <w:ind w:left="120" w:right="180"/>
        <w:spacing w:after="0" w:line="277" w:lineRule="auto"/>
        <w:rPr>
          <w:sz w:val="20"/>
          <w:szCs w:val="20"/>
          <w:color w:val="auto"/>
        </w:rPr>
      </w:pPr>
      <w:r>
        <w:rPr>
          <w:rFonts w:ascii="Arial" w:cs="Arial" w:eastAsia="Arial" w:hAnsi="Arial"/>
          <w:sz w:val="18"/>
          <w:szCs w:val="18"/>
          <w:color w:val="auto"/>
        </w:rPr>
        <w:t>As described under “Use of Proceeds,” we intend to allocate an amount equal to the net proceeds from this offering to the financing and refinancing of recently completed and future Eligible Green Projects, as defined herein, in the United States.</w:t>
      </w:r>
    </w:p>
    <w:p>
      <w:pPr>
        <w:spacing w:after="0" w:line="22" w:lineRule="exact"/>
        <w:rPr>
          <w:sz w:val="24"/>
          <w:szCs w:val="24"/>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notes will be our senior unsecured obligations and will rank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w:t>
      </w:r>
    </w:p>
    <w:p>
      <w:pPr>
        <w:spacing w:after="0" w:line="35" w:lineRule="exact"/>
        <w:rPr>
          <w:sz w:val="24"/>
          <w:szCs w:val="24"/>
          <w:color w:val="auto"/>
        </w:rPr>
      </w:pPr>
    </w:p>
    <w:p>
      <w:pPr>
        <w:ind w:left="120"/>
        <w:spacing w:after="0"/>
        <w:rPr>
          <w:sz w:val="20"/>
          <w:szCs w:val="20"/>
          <w:color w:val="auto"/>
        </w:rPr>
      </w:pPr>
      <w:r>
        <w:rPr>
          <w:rFonts w:ascii="Arial" w:cs="Arial" w:eastAsia="Arial" w:hAnsi="Arial"/>
          <w:sz w:val="17"/>
          <w:szCs w:val="17"/>
          <w:color w:val="auto"/>
        </w:rPr>
        <w:t>The notes are a new issue of securities with no established trading market. We do not intend to apply to list the notes on any securities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1" w:lineRule="exact"/>
        <w:rPr>
          <w:sz w:val="24"/>
          <w:szCs w:val="24"/>
          <w:color w:val="auto"/>
        </w:rPr>
      </w:pPr>
    </w:p>
    <w:p>
      <w:pPr>
        <w:ind w:left="120" w:right="36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0">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S-6 of this prospectus supplement, in our Annual Report on Form 10-K for the year ended December 31, 2019, filed with the Securities and Exchange Commission, or the SEC, on February 10, 2020, and in our Quarterly Report on Form 10-Q for the quarter ended June 30, 2020, filed with the SEC on August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3" w:lineRule="exact"/>
        <w:rPr>
          <w:sz w:val="24"/>
          <w:szCs w:val="24"/>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Note</w:t>
            </w: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09"/>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 (1)</w:t>
            </w:r>
          </w:p>
        </w:tc>
        <w:tc>
          <w:tcPr>
            <w:tcW w:w="47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4"/>
              </w:rPr>
              <w:t>%</w:t>
            </w:r>
          </w:p>
        </w:tc>
        <w:tc>
          <w:tcPr>
            <w:tcW w:w="7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Underwriting discount</w:t>
            </w:r>
          </w:p>
        </w:tc>
        <w:tc>
          <w:tcPr>
            <w:tcW w:w="4720" w:type="dxa"/>
            <w:vAlign w:val="bottom"/>
          </w:tcPr>
          <w:p>
            <w:pPr>
              <w:spacing w:after="0"/>
              <w:rPr>
                <w:sz w:val="18"/>
                <w:szCs w:val="18"/>
                <w:color w:val="auto"/>
              </w:rPr>
            </w:pPr>
          </w:p>
        </w:tc>
        <w:tc>
          <w:tcPr>
            <w:tcW w:w="13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2080" w:type="dxa"/>
            <w:vAlign w:val="bottom"/>
            <w:gridSpan w:val="2"/>
          </w:tcPr>
          <w:p>
            <w:pPr>
              <w:spacing w:after="0"/>
              <w:rPr>
                <w:sz w:val="11"/>
                <w:szCs w:val="11"/>
                <w:color w:val="auto"/>
              </w:rPr>
            </w:pPr>
          </w:p>
        </w:tc>
        <w:tc>
          <w:tcPr>
            <w:tcW w:w="4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50"/>
        </w:trPr>
        <w:tc>
          <w:tcPr>
            <w:tcW w:w="3300" w:type="dxa"/>
            <w:vAlign w:val="bottom"/>
            <w:gridSpan w:val="3"/>
          </w:tcPr>
          <w:p>
            <w:pPr>
              <w:spacing w:after="0"/>
              <w:rPr>
                <w:sz w:val="20"/>
                <w:szCs w:val="20"/>
                <w:color w:val="auto"/>
              </w:rPr>
            </w:pPr>
            <w:r>
              <w:rPr>
                <w:rFonts w:ascii="Arial" w:cs="Arial" w:eastAsia="Arial" w:hAnsi="Arial"/>
                <w:sz w:val="18"/>
                <w:szCs w:val="18"/>
                <w:color w:val="auto"/>
              </w:rPr>
              <w:t>(1)   Plus accrued interest from October</w:t>
            </w:r>
          </w:p>
        </w:tc>
        <w:tc>
          <w:tcPr>
            <w:tcW w:w="4720" w:type="dxa"/>
            <w:vAlign w:val="bottom"/>
          </w:tcPr>
          <w:p>
            <w:pPr>
              <w:ind w:left="220"/>
              <w:spacing w:after="0"/>
              <w:rPr>
                <w:sz w:val="20"/>
                <w:szCs w:val="20"/>
                <w:color w:val="auto"/>
              </w:rPr>
            </w:pPr>
            <w:r>
              <w:rPr>
                <w:rFonts w:ascii="Arial" w:cs="Arial" w:eastAsia="Arial" w:hAnsi="Arial"/>
                <w:sz w:val="18"/>
                <w:szCs w:val="18"/>
                <w:color w:val="auto"/>
              </w:rPr>
              <w:t>, 2020, if settlement occurs after that date.</w:t>
            </w: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pacing w:after="0" w:line="53" w:lineRule="exact"/>
        <w:rPr>
          <w:sz w:val="24"/>
          <w:szCs w:val="24"/>
          <w:color w:val="auto"/>
        </w:rPr>
      </w:pPr>
    </w:p>
    <w:p>
      <w:pPr>
        <w:ind w:left="120"/>
        <w:spacing w:after="0"/>
        <w:rPr>
          <w:sz w:val="20"/>
          <w:szCs w:val="20"/>
          <w:color w:val="auto"/>
        </w:rPr>
      </w:pPr>
      <w:r>
        <w:rPr>
          <w:rFonts w:ascii="Arial" w:cs="Arial" w:eastAsia="Arial" w:hAnsi="Arial"/>
          <w:sz w:val="16"/>
          <w:szCs w:val="16"/>
          <w:color w:val="auto"/>
        </w:rPr>
        <w:t>The underwriters expect to deliver the notes to purchasers in book-entry only form through the facilities of The Depository Trust Company on or about</w:t>
      </w:r>
    </w:p>
    <w:p>
      <w:pPr>
        <w:spacing w:after="0" w:line="46" w:lineRule="exact"/>
        <w:rPr>
          <w:sz w:val="24"/>
          <w:szCs w:val="24"/>
          <w:color w:val="auto"/>
        </w:rPr>
      </w:pPr>
    </w:p>
    <w:p>
      <w:pPr>
        <w:ind w:left="120"/>
        <w:spacing w:after="0"/>
        <w:tabs>
          <w:tab w:leader="none" w:pos="1220" w:val="left"/>
        </w:tabs>
        <w:rPr>
          <w:sz w:val="20"/>
          <w:szCs w:val="20"/>
          <w:color w:val="auto"/>
        </w:rPr>
      </w:pPr>
      <w:r>
        <w:rPr>
          <w:rFonts w:ascii="Arial" w:cs="Arial" w:eastAsia="Arial" w:hAnsi="Arial"/>
          <w:sz w:val="18"/>
          <w:szCs w:val="18"/>
          <w:color w:val="auto"/>
        </w:rPr>
        <w:t>October</w:t>
      </w:r>
      <w:r>
        <w:rPr>
          <w:sz w:val="20"/>
          <w:szCs w:val="20"/>
          <w:color w:val="auto"/>
        </w:rPr>
        <w:tab/>
      </w:r>
      <w:r>
        <w:rPr>
          <w:rFonts w:ascii="Arial" w:cs="Arial" w:eastAsia="Arial" w:hAnsi="Arial"/>
          <w:sz w:val="18"/>
          <w:szCs w:val="18"/>
          <w:color w:val="auto"/>
        </w:rPr>
        <w:t>, 2020.</w:t>
      </w:r>
    </w:p>
    <w:p>
      <w:pPr>
        <w:spacing w:after="0" w:line="58" w:lineRule="exact"/>
        <w:rPr>
          <w:sz w:val="24"/>
          <w:szCs w:val="24"/>
          <w:color w:val="auto"/>
        </w:rPr>
      </w:pPr>
    </w:p>
    <w:p>
      <w:pPr>
        <w:ind w:left="120" w:right="840"/>
        <w:spacing w:after="0" w:line="386" w:lineRule="auto"/>
        <w:rPr>
          <w:sz w:val="20"/>
          <w:szCs w:val="20"/>
          <w:color w:val="auto"/>
        </w:rPr>
      </w:pPr>
      <w:r>
        <w:rPr>
          <w:rFonts w:ascii="Arial" w:cs="Arial" w:eastAsia="Arial" w:hAnsi="Arial"/>
          <w:sz w:val="15"/>
          <w:szCs w:val="15"/>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62230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5"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Joint Book-Running Managers</w:t>
      </w:r>
    </w:p>
    <w:p>
      <w:pPr>
        <w:spacing w:after="0" w:line="180" w:lineRule="exact"/>
        <w:rPr>
          <w:sz w:val="24"/>
          <w:szCs w:val="24"/>
          <w:color w:val="auto"/>
        </w:rPr>
      </w:pPr>
    </w:p>
    <w:p>
      <w:pPr>
        <w:ind w:left="120"/>
        <w:spacing w:after="0"/>
        <w:tabs>
          <w:tab w:leader="none" w:pos="2520" w:val="left"/>
          <w:tab w:leader="none" w:pos="6260" w:val="left"/>
          <w:tab w:leader="none" w:pos="8360" w:val="left"/>
        </w:tabs>
        <w:rPr>
          <w:sz w:val="20"/>
          <w:szCs w:val="20"/>
          <w:color w:val="auto"/>
        </w:rPr>
      </w:pPr>
      <w:r>
        <w:rPr>
          <w:rFonts w:ascii="Arial" w:cs="Arial" w:eastAsia="Arial" w:hAnsi="Arial"/>
          <w:sz w:val="29"/>
          <w:szCs w:val="29"/>
          <w:b w:val="1"/>
          <w:bCs w:val="1"/>
          <w:color w:val="auto"/>
        </w:rPr>
        <w:t>BofA Securities</w:t>
      </w:r>
      <w:r>
        <w:rPr>
          <w:sz w:val="20"/>
          <w:szCs w:val="20"/>
          <w:color w:val="auto"/>
        </w:rPr>
        <w:tab/>
      </w:r>
      <w:r>
        <w:rPr>
          <w:rFonts w:ascii="Arial" w:cs="Arial" w:eastAsia="Arial" w:hAnsi="Arial"/>
          <w:sz w:val="29"/>
          <w:szCs w:val="29"/>
          <w:b w:val="1"/>
          <w:bCs w:val="1"/>
          <w:color w:val="auto"/>
        </w:rPr>
        <w:t>Deutsche Bank Securities</w:t>
      </w:r>
      <w:r>
        <w:rPr>
          <w:sz w:val="20"/>
          <w:szCs w:val="20"/>
          <w:color w:val="auto"/>
        </w:rPr>
        <w:tab/>
      </w: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5"/>
          <w:szCs w:val="25"/>
          <w:b w:val="1"/>
          <w:bCs w:val="1"/>
          <w:color w:val="auto"/>
        </w:rPr>
        <w:t>Wells Fargo Securities</w:t>
      </w:r>
    </w:p>
    <w:p>
      <w:pPr>
        <w:spacing w:after="0" w:line="112" w:lineRule="exact"/>
        <w:rPr>
          <w:sz w:val="24"/>
          <w:szCs w:val="24"/>
          <w:color w:val="auto"/>
        </w:rPr>
      </w:pPr>
    </w:p>
    <w:p>
      <w:pPr>
        <w:ind w:left="3500"/>
        <w:spacing w:after="0"/>
        <w:tabs>
          <w:tab w:leader="none" w:pos="6480" w:val="left"/>
          <w:tab w:leader="none" w:pos="8980" w:val="left"/>
        </w:tabs>
        <w:rPr>
          <w:sz w:val="20"/>
          <w:szCs w:val="20"/>
          <w:color w:val="auto"/>
        </w:rPr>
      </w:pPr>
      <w:r>
        <w:rPr>
          <w:rFonts w:ascii="Arial" w:cs="Arial" w:eastAsia="Arial" w:hAnsi="Arial"/>
          <w:sz w:val="29"/>
          <w:szCs w:val="29"/>
          <w:b w:val="1"/>
          <w:bCs w:val="1"/>
          <w:color w:val="auto"/>
        </w:rPr>
        <w:t>Citigroup</w:t>
      </w:r>
      <w:r>
        <w:rPr>
          <w:sz w:val="20"/>
          <w:szCs w:val="20"/>
          <w:color w:val="auto"/>
        </w:rPr>
        <w:tab/>
      </w:r>
      <w:r>
        <w:rPr>
          <w:rFonts w:ascii="Arial" w:cs="Arial" w:eastAsia="Arial" w:hAnsi="Arial"/>
          <w:sz w:val="29"/>
          <w:szCs w:val="29"/>
          <w:b w:val="1"/>
          <w:bCs w:val="1"/>
          <w:color w:val="auto"/>
        </w:rPr>
        <w:t>Jefferies</w:t>
      </w:r>
      <w:r>
        <w:rPr>
          <w:sz w:val="20"/>
          <w:szCs w:val="20"/>
          <w:color w:val="auto"/>
        </w:rPr>
        <w:tab/>
      </w:r>
      <w:r>
        <w:rPr>
          <w:rFonts w:ascii="Arial" w:cs="Arial" w:eastAsia="Arial" w:hAnsi="Arial"/>
          <w:sz w:val="26"/>
          <w:szCs w:val="26"/>
          <w:b w:val="1"/>
          <w:bCs w:val="1"/>
          <w:color w:val="auto"/>
        </w:rPr>
        <w:t>US Bancorp</w:t>
      </w:r>
    </w:p>
    <w:p>
      <w:pPr>
        <w:spacing w:after="0" w:line="89"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Co-Managers</w:t>
      </w:r>
    </w:p>
    <w:p>
      <w:pPr>
        <w:spacing w:after="0" w:line="99" w:lineRule="exact"/>
        <w:rPr>
          <w:sz w:val="24"/>
          <w:szCs w:val="24"/>
          <w:color w:val="auto"/>
        </w:rPr>
      </w:pPr>
    </w:p>
    <w:p>
      <w:pPr>
        <w:ind w:left="120"/>
        <w:spacing w:after="0"/>
        <w:tabs>
          <w:tab w:leader="none" w:pos="3720" w:val="left"/>
          <w:tab w:leader="none" w:pos="6280" w:val="left"/>
          <w:tab w:leader="none" w:pos="9100" w:val="left"/>
        </w:tabs>
        <w:rPr>
          <w:sz w:val="20"/>
          <w:szCs w:val="20"/>
          <w:color w:val="auto"/>
        </w:rPr>
      </w:pPr>
      <w:r>
        <w:rPr>
          <w:rFonts w:ascii="Arial" w:cs="Arial" w:eastAsia="Arial" w:hAnsi="Arial"/>
          <w:sz w:val="29"/>
          <w:szCs w:val="29"/>
          <w:b w:val="1"/>
          <w:bCs w:val="1"/>
          <w:color w:val="auto"/>
        </w:rPr>
        <w:t>Regions Securities LLC</w:t>
      </w:r>
      <w:r>
        <w:rPr>
          <w:sz w:val="20"/>
          <w:szCs w:val="20"/>
          <w:color w:val="auto"/>
        </w:rPr>
        <w:tab/>
      </w:r>
      <w:r>
        <w:rPr>
          <w:rFonts w:ascii="Arial" w:cs="Arial" w:eastAsia="Arial" w:hAnsi="Arial"/>
          <w:sz w:val="29"/>
          <w:szCs w:val="29"/>
          <w:b w:val="1"/>
          <w:bCs w:val="1"/>
          <w:color w:val="auto"/>
        </w:rPr>
        <w:t>Scotiabank</w:t>
      </w:r>
      <w:r>
        <w:rPr>
          <w:sz w:val="20"/>
          <w:szCs w:val="20"/>
          <w:color w:val="auto"/>
        </w:rPr>
        <w:tab/>
      </w:r>
      <w:r>
        <w:rPr>
          <w:rFonts w:ascii="Arial" w:cs="Arial" w:eastAsia="Arial" w:hAnsi="Arial"/>
          <w:sz w:val="29"/>
          <w:szCs w:val="29"/>
          <w:b w:val="1"/>
          <w:bCs w:val="1"/>
          <w:color w:val="auto"/>
        </w:rPr>
        <w:t>TD Securities</w:t>
      </w:r>
      <w:r>
        <w:rPr>
          <w:sz w:val="20"/>
          <w:szCs w:val="20"/>
          <w:color w:val="auto"/>
        </w:rPr>
        <w:tab/>
      </w:r>
      <w:r>
        <w:rPr>
          <w:rFonts w:ascii="Arial" w:cs="Arial" w:eastAsia="Arial" w:hAnsi="Arial"/>
          <w:sz w:val="25"/>
          <w:szCs w:val="25"/>
          <w:b w:val="1"/>
          <w:bCs w:val="1"/>
          <w:color w:val="auto"/>
        </w:rPr>
        <w:t>Truist Securities</w:t>
      </w:r>
    </w:p>
    <w:p>
      <w:pPr>
        <w:sectPr>
          <w:pgSz w:w="11900" w:h="16838" w:orient="portrait"/>
          <w:cols w:equalWidth="0" w:num="1">
            <w:col w:w="11140"/>
          </w:cols>
          <w:pgMar w:left="320" w:top="230" w:right="439" w:bottom="1440" w:gutter="0" w:footer="0" w:header="0"/>
        </w:sectPr>
      </w:pPr>
    </w:p>
    <w:p>
      <w:pPr>
        <w:spacing w:after="0" w:line="112" w:lineRule="exact"/>
        <w:rPr>
          <w:sz w:val="24"/>
          <w:szCs w:val="24"/>
          <w:color w:val="auto"/>
        </w:rPr>
      </w:pPr>
    </w:p>
    <w:p>
      <w:pPr>
        <w:jc w:val="center"/>
        <w:ind w:right="-99"/>
        <w:spacing w:after="0"/>
        <w:tabs>
          <w:tab w:leader="none" w:pos="160" w:val="left"/>
        </w:tabs>
        <w:rPr>
          <w:sz w:val="20"/>
          <w:szCs w:val="20"/>
          <w:color w:val="auto"/>
        </w:rPr>
      </w:pPr>
      <w:r>
        <w:rPr>
          <w:rFonts w:ascii="Arial" w:cs="Arial" w:eastAsia="Arial" w:hAnsi="Arial"/>
          <w:sz w:val="18"/>
          <w:szCs w:val="18"/>
          <w:b w:val="1"/>
          <w:bCs w:val="1"/>
          <w:color w:val="auto"/>
        </w:rPr>
        <w:t>The date of this prospectus supplement is October</w:t>
      </w:r>
      <w:r>
        <w:rPr>
          <w:sz w:val="20"/>
          <w:szCs w:val="20"/>
          <w:color w:val="auto"/>
        </w:rPr>
        <w:tab/>
      </w:r>
      <w:r>
        <w:rPr>
          <w:rFonts w:ascii="Arial" w:cs="Arial" w:eastAsia="Arial" w:hAnsi="Arial"/>
          <w:sz w:val="16"/>
          <w:szCs w:val="16"/>
          <w:b w:val="1"/>
          <w:bCs w:val="1"/>
          <w:color w:val="auto"/>
        </w:rPr>
        <w:t>, 2020.</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40" w:type="dxa"/>
            <w:vAlign w:val="bottom"/>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w:t>
              </w:r>
            </w:hyperlink>
          </w:p>
        </w:tc>
        <w:tc>
          <w:tcPr>
            <w:tcW w:w="5720" w:type="dxa"/>
            <w:vAlign w:val="bottom"/>
          </w:tcPr>
          <w:p>
            <w:pPr>
              <w:spacing w:after="0"/>
              <w:rPr>
                <w:sz w:val="14"/>
                <w:szCs w:val="14"/>
                <w:color w:val="auto"/>
              </w:rPr>
            </w:pPr>
          </w:p>
        </w:tc>
        <w:tc>
          <w:tcPr>
            <w:tcW w:w="420" w:type="dxa"/>
            <w:vAlign w:val="bottom"/>
            <w:gridSpan w:val="3"/>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4840" w:type="dxa"/>
            <w:vAlign w:val="bottom"/>
            <w:vMerge w:val="continue"/>
          </w:tcPr>
          <w:p>
            <w:pPr>
              <w:spacing w:after="0"/>
              <w:rPr>
                <w:sz w:val="19"/>
                <w:szCs w:val="19"/>
                <w:color w:val="auto"/>
              </w:rPr>
            </w:pPr>
          </w:p>
        </w:tc>
        <w:tc>
          <w:tcPr>
            <w:tcW w:w="5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ii</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840" w:type="dxa"/>
            <w:vAlign w:val="bottom"/>
          </w:tcPr>
          <w:p>
            <w:pPr>
              <w:spacing w:after="0"/>
              <w:rPr>
                <w:rFonts w:ascii="Arial" w:cs="Arial" w:eastAsia="Arial" w:hAnsi="Arial"/>
                <w:sz w:val="18"/>
                <w:szCs w:val="18"/>
                <w:u w:val="single" w:color="auto"/>
                <w:color w:val="0000EE"/>
                <w:w w:val="95"/>
              </w:rPr>
            </w:pPr>
            <w:hyperlink w:anchor="page3">
              <w:r>
                <w:rPr>
                  <w:rFonts w:ascii="Arial" w:cs="Arial" w:eastAsia="Arial" w:hAnsi="Arial"/>
                  <w:sz w:val="18"/>
                  <w:szCs w:val="18"/>
                  <w:u w:val="single" w:color="auto"/>
                  <w:color w:val="0000EE"/>
                  <w:w w:val="95"/>
                </w:rPr>
                <w:t>Cautionary Statement Concerning Forward-Looking Statements</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Supplement Summary</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S-6</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Use of Proceeds</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S-9</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Description of Notes</w:t>
              </w:r>
            </w:hyperlink>
          </w:p>
        </w:tc>
        <w:tc>
          <w:tcPr>
            <w:tcW w:w="572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Additional Material Federal Income Tax Considerations</w:t>
              </w:r>
            </w:hyperlink>
          </w:p>
        </w:tc>
        <w:tc>
          <w:tcPr>
            <w:tcW w:w="572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S-18</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Underwriting (Conflicts of Interest)</w:t>
              </w:r>
            </w:hyperlink>
          </w:p>
        </w:tc>
        <w:tc>
          <w:tcPr>
            <w:tcW w:w="572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S-24</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Experts</w:t>
              </w:r>
            </w:hyperlink>
          </w:p>
        </w:tc>
        <w:tc>
          <w:tcPr>
            <w:tcW w:w="572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Matters</w:t>
              </w:r>
            </w:hyperlink>
          </w:p>
        </w:tc>
        <w:tc>
          <w:tcPr>
            <w:tcW w:w="572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648"/>
        </w:trPr>
        <w:tc>
          <w:tcPr>
            <w:tcW w:w="4840" w:type="dxa"/>
            <w:vAlign w:val="bottom"/>
          </w:tcPr>
          <w:p>
            <w:pPr>
              <w:spacing w:after="0"/>
              <w:rPr>
                <w:sz w:val="24"/>
                <w:szCs w:val="24"/>
                <w:color w:val="auto"/>
              </w:rPr>
            </w:pPr>
          </w:p>
        </w:tc>
        <w:tc>
          <w:tcPr>
            <w:tcW w:w="6140" w:type="dxa"/>
            <w:vAlign w:val="bottom"/>
            <w:gridSpan w:val="4"/>
          </w:tcPr>
          <w:p>
            <w:pPr>
              <w:jc w:val="center"/>
              <w:ind w:right="4820"/>
              <w:spacing w:after="0"/>
              <w:rPr>
                <w:sz w:val="20"/>
                <w:szCs w:val="20"/>
                <w:color w:val="auto"/>
              </w:rPr>
            </w:pPr>
            <w:r>
              <w:rPr>
                <w:rFonts w:ascii="Arial" w:cs="Arial" w:eastAsia="Arial" w:hAnsi="Arial"/>
                <w:sz w:val="18"/>
                <w:szCs w:val="18"/>
                <w:b w:val="1"/>
                <w:bCs w:val="1"/>
                <w:color w:val="auto"/>
                <w:w w:val="85"/>
              </w:rPr>
              <w:t>Prospectus</w:t>
            </w:r>
          </w:p>
        </w:tc>
        <w:tc>
          <w:tcPr>
            <w:tcW w:w="0" w:type="dxa"/>
            <w:vAlign w:val="bottom"/>
          </w:tcPr>
          <w:p>
            <w:pPr>
              <w:spacing w:after="0"/>
              <w:rPr>
                <w:sz w:val="1"/>
                <w:szCs w:val="1"/>
                <w:color w:val="auto"/>
              </w:rPr>
            </w:pPr>
          </w:p>
        </w:tc>
      </w:tr>
      <w:tr>
        <w:trPr>
          <w:trHeight w:val="392"/>
        </w:trPr>
        <w:tc>
          <w:tcPr>
            <w:tcW w:w="4840" w:type="dxa"/>
            <w:vAlign w:val="bottom"/>
            <w:vMerge w:val="restart"/>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About this Prospectus</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4840" w:type="dxa"/>
            <w:vAlign w:val="bottom"/>
            <w:vMerge w:val="continue"/>
          </w:tcPr>
          <w:p>
            <w:pPr>
              <w:spacing w:after="0"/>
              <w:rPr>
                <w:sz w:val="19"/>
                <w:szCs w:val="19"/>
                <w:color w:val="auto"/>
              </w:rPr>
            </w:pPr>
          </w:p>
        </w:tc>
        <w:tc>
          <w:tcPr>
            <w:tcW w:w="5820" w:type="dxa"/>
            <w:vAlign w:val="bottom"/>
            <w:gridSpan w:val="2"/>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84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Forward-Looking Statements</w:t>
              </w:r>
            </w:hyperlink>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Prospectus Summary</w:t>
              </w:r>
            </w:hyperlink>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Risk Factors</w:t>
              </w:r>
            </w:hyperlink>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Use of Proceeds</w:t>
              </w:r>
            </w:hyperlink>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Description of Debt Securities</w:t>
              </w:r>
            </w:hyperlink>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Description of Shares of Beneficial Interest</w:t>
              </w:r>
            </w:hyperlink>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Material Federal Income Tax Considerations</w:t>
              </w:r>
            </w:hyperlink>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Plan of Distribution</w:t>
              </w:r>
            </w:hyperlink>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Legal Matters</w:t>
              </w:r>
            </w:hyperlink>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Experts</w:t>
              </w:r>
            </w:hyperlink>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484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Where You Can Find More Information</w:t>
              </w:r>
            </w:hyperlink>
          </w:p>
        </w:tc>
        <w:tc>
          <w:tcPr>
            <w:tcW w:w="6140" w:type="dxa"/>
            <w:vAlign w:val="bottom"/>
            <w:gridSpan w:val="4"/>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64"/>
        </w:trPr>
        <w:tc>
          <w:tcPr>
            <w:tcW w:w="4840" w:type="dxa"/>
            <w:vAlign w:val="bottom"/>
          </w:tcPr>
          <w:p>
            <w:pPr>
              <w:spacing w:after="0"/>
              <w:rPr>
                <w:sz w:val="24"/>
                <w:szCs w:val="24"/>
                <w:color w:val="auto"/>
              </w:rPr>
            </w:pPr>
          </w:p>
        </w:tc>
        <w:tc>
          <w:tcPr>
            <w:tcW w:w="6140" w:type="dxa"/>
            <w:vAlign w:val="bottom"/>
            <w:gridSpan w:val="4"/>
          </w:tcPr>
          <w:p>
            <w:pPr>
              <w:jc w:val="center"/>
              <w:ind w:right="4820"/>
              <w:spacing w:after="0"/>
              <w:rPr>
                <w:sz w:val="20"/>
                <w:szCs w:val="20"/>
                <w:color w:val="auto"/>
              </w:rPr>
            </w:pPr>
            <w:r>
              <w:rPr>
                <w:rFonts w:ascii="Arial" w:cs="Arial" w:eastAsia="Arial" w:hAnsi="Arial"/>
                <w:sz w:val="18"/>
                <w:szCs w:val="18"/>
                <w:color w:val="auto"/>
                <w:w w:val="98"/>
              </w:rPr>
              <w:t>i</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You should carefully read this prospectus supplement along with the accompanying prospectus, as well as the information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92"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It is important for you to read and consider all information contained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16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166" w:lineRule="exact"/>
        <w:rPr>
          <w:sz w:val="20"/>
          <w:szCs w:val="20"/>
          <w:color w:val="auto"/>
        </w:rPr>
      </w:pPr>
    </w:p>
    <w:p>
      <w:pPr>
        <w:ind w:left="120"/>
        <w:spacing w:after="0" w:line="314" w:lineRule="auto"/>
        <w:rPr>
          <w:sz w:val="20"/>
          <w:szCs w:val="20"/>
          <w:color w:val="auto"/>
        </w:rPr>
      </w:pPr>
      <w:r>
        <w:rPr>
          <w:rFonts w:ascii="Arial" w:cs="Arial" w:eastAsia="Arial" w:hAnsi="Arial"/>
          <w:sz w:val="15"/>
          <w:szCs w:val="15"/>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 respective dates of such documents or such other dates as may be specified therein. Our business, financial condition, liquidity, results of operations and prospects may have changed since those dates.</w:t>
      </w: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120" w:right="10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beginning on page S-6 of this prospectus supplement, in our Annual Report on </w:t>
      </w:r>
      <w:hyperlink r:id="rId15">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year ended December 31, 2019, filed with the SEC on February 10, 2020, and in our Quarterly Report on </w:t>
      </w:r>
      <w:hyperlink r:id="rId16">
        <w:r>
          <w:rPr>
            <w:rFonts w:ascii="Arial" w:cs="Arial" w:eastAsia="Arial" w:hAnsi="Arial"/>
            <w:sz w:val="16"/>
            <w:szCs w:val="16"/>
            <w:u w:val="single" w:color="auto"/>
            <w:color w:val="0000EE"/>
          </w:rPr>
          <w:t>Form 10-Q</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quarter ended June 30, 2020, filed with the SEC on August 5, 2020,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74" w:lineRule="exact"/>
        <w:rPr>
          <w:sz w:val="20"/>
          <w:szCs w:val="20"/>
          <w:color w:val="auto"/>
        </w:rPr>
      </w:pPr>
    </w:p>
    <w:p>
      <w:pPr>
        <w:ind w:left="1080" w:right="10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9"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89"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29" w:lineRule="exact"/>
        <w:rPr>
          <w:rFonts w:ascii="Arial" w:cs="Arial" w:eastAsia="Arial" w:hAnsi="Arial"/>
          <w:sz w:val="16"/>
          <w:szCs w:val="16"/>
          <w:color w:val="auto"/>
        </w:rPr>
      </w:pPr>
    </w:p>
    <w:p>
      <w:pPr>
        <w:ind w:left="1080" w:right="16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89"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307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8970" cy="7307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200"/>
        <w:spacing w:after="0" w:line="263"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300" w:right="20"/>
        <w:spacing w:after="0" w:line="254" w:lineRule="auto"/>
        <w:rPr>
          <w:sz w:val="20"/>
          <w:szCs w:val="20"/>
          <w:color w:val="auto"/>
        </w:rPr>
      </w:pPr>
      <w:r>
        <w:rPr>
          <w:rFonts w:ascii="Arial" w:cs="Arial" w:eastAsia="Arial" w:hAnsi="Arial"/>
          <w:sz w:val="18"/>
          <w:szCs w:val="18"/>
          <w:color w:val="auto"/>
        </w:rPr>
        <w:t>Federal Realty Investment Trust is an equity REIT specializing in the ownership, management and redevelopment of retail and mixed-use properties. Our properties are located primarily in densely populated and affluent communities in strategically selected metropolitan markets in the Northeast and Mid-Atlantic regions of the United States, California, and South Florida. As of June 30, 2020, we owned or had a majority interest in community and neighborhood shopping centers and mixed-use properties which are operated as 104 predominantly retail real estate projects comprising approximately 24.0 million square feet. In total, the real estate projects were 93.0% leased and 90.8% occupied at June 30, 2020. We have paid quarterly dividends to our shareholders continuously since our founding in 1962 and have increased our dividends per common share for 53 consecutive years.</w:t>
      </w:r>
    </w:p>
    <w:p>
      <w:pPr>
        <w:spacing w:after="0" w:line="195" w:lineRule="exact"/>
        <w:rPr>
          <w:sz w:val="20"/>
          <w:szCs w:val="20"/>
          <w:color w:val="auto"/>
        </w:rPr>
      </w:pPr>
    </w:p>
    <w:p>
      <w:pPr>
        <w:ind w:left="300"/>
        <w:spacing w:after="0" w:line="287" w:lineRule="auto"/>
        <w:rPr>
          <w:sz w:val="20"/>
          <w:szCs w:val="20"/>
          <w:color w:val="auto"/>
        </w:rPr>
      </w:pPr>
      <w:r>
        <w:rPr>
          <w:rFonts w:ascii="Arial" w:cs="Arial" w:eastAsia="Arial" w:hAnsi="Arial"/>
          <w:sz w:val="16"/>
          <w:szCs w:val="16"/>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909 Rose Ave., Suite 200, North Bethesda, MD 20852. Our telephone number is</w:t>
      </w:r>
    </w:p>
    <w:p>
      <w:pPr>
        <w:spacing w:after="0" w:line="2" w:lineRule="exact"/>
        <w:rPr>
          <w:sz w:val="20"/>
          <w:szCs w:val="20"/>
          <w:color w:val="auto"/>
        </w:rPr>
      </w:pPr>
    </w:p>
    <w:p>
      <w:pPr>
        <w:ind w:left="300" w:right="800" w:hanging="2"/>
        <w:spacing w:after="0" w:line="260"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supplement or the accompanying prospectus and is not incorporated herein or therein by reference.</w:t>
      </w: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Effects of COVID-19</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COVID-19 pandemic has adversely affected us and many of our tenants. As of October 1, 2020:</w:t>
      </w:r>
    </w:p>
    <w:p>
      <w:pPr>
        <w:spacing w:after="0" w:line="131" w:lineRule="exact"/>
        <w:rPr>
          <w:sz w:val="20"/>
          <w:szCs w:val="20"/>
          <w:color w:val="auto"/>
        </w:rPr>
      </w:pPr>
    </w:p>
    <w:p>
      <w:pPr>
        <w:ind w:left="1240" w:right="10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Estimated on the basis of annualized in place contractual base rent for all occupied spaces as of June 30, 2020, approximately 94% of our commercial tenants are open and operating on at least a modified basis.</w:t>
      </w:r>
    </w:p>
    <w:p>
      <w:pPr>
        <w:spacing w:after="0" w:line="75" w:lineRule="exact"/>
        <w:rPr>
          <w:rFonts w:ascii="Arial" w:cs="Arial" w:eastAsia="Arial" w:hAnsi="Arial"/>
          <w:sz w:val="18"/>
          <w:szCs w:val="18"/>
          <w:color w:val="auto"/>
        </w:rPr>
      </w:pPr>
    </w:p>
    <w:p>
      <w:pPr>
        <w:ind w:left="1240" w:right="40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collected approximately 83% of total third quarter 2020 billed recurring rents (primarily composed of base rent and cost reimbursements).</w:t>
      </w:r>
    </w:p>
    <w:p>
      <w:pPr>
        <w:spacing w:after="0" w:line="75" w:lineRule="exact"/>
        <w:rPr>
          <w:rFonts w:ascii="Arial" w:cs="Arial" w:eastAsia="Arial" w:hAnsi="Arial"/>
          <w:sz w:val="18"/>
          <w:szCs w:val="18"/>
          <w:color w:val="auto"/>
        </w:rPr>
      </w:pPr>
    </w:p>
    <w:p>
      <w:pPr>
        <w:ind w:left="1240" w:right="60" w:hanging="415"/>
        <w:spacing w:after="0" w:line="286"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entered into deferral agreements for $30 million of rent related to second and third quarter 2020 recurring rents, including $5 million related to third quarter 2020. The weighted average pay back period of the deferral agreements is approximately 10 months. Revenue from almost 60% of tenants with deferral agreements is recognized on an accrual basis.</w:t>
      </w:r>
    </w:p>
    <w:p>
      <w:pPr>
        <w:spacing w:after="0" w:line="165" w:lineRule="exact"/>
        <w:rPr>
          <w:sz w:val="20"/>
          <w:szCs w:val="20"/>
          <w:color w:val="auto"/>
        </w:rPr>
      </w:pPr>
    </w:p>
    <w:p>
      <w:pPr>
        <w:ind w:left="300"/>
        <w:spacing w:after="0" w:line="268" w:lineRule="auto"/>
        <w:rPr>
          <w:sz w:val="20"/>
          <w:szCs w:val="20"/>
          <w:color w:val="auto"/>
        </w:rPr>
      </w:pPr>
      <w:r>
        <w:rPr>
          <w:rFonts w:ascii="Arial" w:cs="Arial" w:eastAsia="Arial" w:hAnsi="Arial"/>
          <w:sz w:val="17"/>
          <w:szCs w:val="17"/>
          <w:color w:val="auto"/>
        </w:rPr>
        <w:t>Due to the uncertainty introduced by the COVID-19 pandemic, our third quarter collections may not be indicative of our future collections, which may exhibit significant variability. We have reached agreements with some tenants and continue to negotiate with other tenants to abate, defer and/or restructure portions of their rental obligations during the timeframe we anticipate COVID-19 will adversely impact their businesses. Those abatements, deferrals and restructures will adversely affect our rent collections in 2020 and into 2021, and we are expecting that our rent collections will continue to be significantly below our tenants’ contractual rent obligations for so long as governmental orders impose operating restrictions on our tenants’ businesses, which will adversely impact our results of operations. The extent of such impact will depend on future developments, which are highly uncertain and cannot be predicted. Depending upon the duration of limitations on tenants’ abilities to operate at full capacity and the overall economic downturn resulting from COVID-19, we may find that even deferred rents are difficult to collect, and we may experience higher vacancies. While the duration and severity of the economic impact resulting from COVID-19 is unknown, we seek to position the company to participate in any resulting economic recovery. Additionally, the pandemic could cause an increase in the number of our tenants experiencing financial distress and potentially bankruptcy. The pandemic is expected to adversely affect our operating cash flow and percentage rent. It is also possible that the pandemic could adversely affect our occupancy, increase our property-level expenses, and adversely affect our leasing efforts, and lead to potential impairments.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10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98970" cy="53105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Shops at Sunset Place</w:t>
      </w:r>
    </w:p>
    <w:p>
      <w:pPr>
        <w:spacing w:after="0" w:line="121" w:lineRule="exact"/>
        <w:rPr>
          <w:sz w:val="20"/>
          <w:szCs w:val="20"/>
          <w:color w:val="auto"/>
        </w:rPr>
      </w:pPr>
    </w:p>
    <w:p>
      <w:pPr>
        <w:ind w:left="300" w:right="100"/>
        <w:spacing w:after="0" w:line="270" w:lineRule="auto"/>
        <w:rPr>
          <w:sz w:val="20"/>
          <w:szCs w:val="20"/>
          <w:color w:val="auto"/>
        </w:rPr>
      </w:pPr>
      <w:r>
        <w:rPr>
          <w:rFonts w:ascii="Arial" w:cs="Arial" w:eastAsia="Arial" w:hAnsi="Arial"/>
          <w:sz w:val="17"/>
          <w:szCs w:val="17"/>
          <w:color w:val="auto"/>
        </w:rPr>
        <w:t>On September 1, 2020, the non-recourse mortgage in the approximate amount of $61 million secured by The Shops at Sunset Place, located in South Miami, Florida and with a carrying amount of approximately $113.4 million (net of depreciation) as of June 30, 2020, matured. The partnership that owns this property, of which we own 90%, did not repay the mortgage and, as a result, the lender declared the loan in default. The partnership had been and continues to engage in negotiations with the lender. The default did not trigger a cross default with any of our other indebtedness. We are continuing to evaluate our long-term plans for the property, taking into account current market conditions and prospective development and redevelopment returns. We are also mindful of the impact of COVID-19 on the revenue prospects for the property, in light of its anchor system comprised primarily of entertainment and experiential tenants. That evaluation is currently in process. We are also reviewing the property for impairment. If we determine an impairment charge is necessary, this could have an adverse effect on our statement of comprehensive income in the period in which the charge is recognized.</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right="80"/>
        <w:spacing w:after="0" w:line="263"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Issuer</w:t>
            </w:r>
          </w:p>
        </w:tc>
        <w:tc>
          <w:tcPr>
            <w:tcW w:w="5520" w:type="dxa"/>
            <w:vAlign w:val="bottom"/>
            <w:gridSpan w:val="2"/>
          </w:tcPr>
          <w:p>
            <w:pPr>
              <w:ind w:left="680"/>
              <w:spacing w:after="0"/>
              <w:rPr>
                <w:sz w:val="20"/>
                <w:szCs w:val="20"/>
                <w:color w:val="auto"/>
              </w:rPr>
            </w:pPr>
            <w:r>
              <w:rPr>
                <w:rFonts w:ascii="Arial" w:cs="Arial" w:eastAsia="Arial" w:hAnsi="Arial"/>
                <w:sz w:val="18"/>
                <w:szCs w:val="18"/>
                <w:color w:val="auto"/>
              </w:rPr>
              <w:t>Federal Realty Investment Trust.</w:t>
            </w:r>
          </w:p>
        </w:tc>
        <w:tc>
          <w:tcPr>
            <w:tcW w:w="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Securities offered</w:t>
            </w:r>
          </w:p>
        </w:tc>
        <w:tc>
          <w:tcPr>
            <w:tcW w:w="980" w:type="dxa"/>
            <w:vAlign w:val="bottom"/>
          </w:tcPr>
          <w:p>
            <w:pPr>
              <w:ind w:left="680"/>
              <w:spacing w:after="0"/>
              <w:rPr>
                <w:sz w:val="20"/>
                <w:szCs w:val="20"/>
                <w:color w:val="auto"/>
              </w:rPr>
            </w:pPr>
            <w:r>
              <w:rPr>
                <w:rFonts w:ascii="Arial" w:cs="Arial" w:eastAsia="Arial" w:hAnsi="Arial"/>
                <w:sz w:val="18"/>
                <w:szCs w:val="18"/>
                <w:color w:val="auto"/>
              </w:rPr>
              <w:t>$</w:t>
            </w:r>
          </w:p>
        </w:tc>
        <w:tc>
          <w:tcPr>
            <w:tcW w:w="4540" w:type="dxa"/>
            <w:vAlign w:val="bottom"/>
          </w:tcPr>
          <w:p>
            <w:pPr>
              <w:ind w:left="200"/>
              <w:spacing w:after="0"/>
              <w:rPr>
                <w:sz w:val="20"/>
                <w:szCs w:val="20"/>
                <w:color w:val="auto"/>
              </w:rPr>
            </w:pPr>
            <w:r>
              <w:rPr>
                <w:rFonts w:ascii="Arial" w:cs="Arial" w:eastAsia="Arial" w:hAnsi="Arial"/>
                <w:sz w:val="18"/>
                <w:szCs w:val="18"/>
                <w:color w:val="auto"/>
                <w:w w:val="98"/>
              </w:rPr>
              <w:t>million aggregate principal amount of   % Notes due 20</w:t>
            </w:r>
          </w:p>
        </w:tc>
        <w:tc>
          <w:tcPr>
            <w:tcW w:w="8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Maturity</w:t>
            </w:r>
          </w:p>
        </w:tc>
        <w:tc>
          <w:tcPr>
            <w:tcW w:w="6400" w:type="dxa"/>
            <w:vAlign w:val="bottom"/>
            <w:gridSpan w:val="3"/>
          </w:tcPr>
          <w:p>
            <w:pPr>
              <w:ind w:left="680"/>
              <w:spacing w:after="0"/>
              <w:rPr>
                <w:sz w:val="20"/>
                <w:szCs w:val="20"/>
                <w:color w:val="auto"/>
              </w:rPr>
            </w:pPr>
            <w:r>
              <w:rPr>
                <w:rFonts w:ascii="Arial" w:cs="Arial" w:eastAsia="Arial" w:hAnsi="Arial"/>
                <w:sz w:val="18"/>
                <w:szCs w:val="18"/>
                <w:color w:val="auto"/>
                <w:w w:val="90"/>
              </w:rPr>
              <w:t>Unless redeemed prior to maturity as described below, the notes will mature on</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 20</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r>
      <w:tr>
        <w:trPr>
          <w:trHeight w:val="310"/>
        </w:trPr>
        <w:tc>
          <w:tcPr>
            <w:tcW w:w="23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5520" w:type="dxa"/>
            <w:vAlign w:val="bottom"/>
            <w:gridSpan w:val="2"/>
          </w:tcPr>
          <w:p>
            <w:pPr>
              <w:ind w:left="680"/>
              <w:spacing w:after="0"/>
              <w:rPr>
                <w:sz w:val="20"/>
                <w:szCs w:val="20"/>
                <w:color w:val="auto"/>
              </w:rPr>
            </w:pPr>
            <w:r>
              <w:rPr>
                <w:rFonts w:ascii="Arial" w:cs="Arial" w:eastAsia="Arial" w:hAnsi="Arial"/>
                <w:sz w:val="18"/>
                <w:szCs w:val="18"/>
                <w:color w:val="auto"/>
                <w:w w:val="94"/>
              </w:rPr>
              <w:t>Interest on the notes will be payable semi-annually in arrears on</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and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w w:val="89"/>
              </w:rPr>
              <w:t>of each year, beginning on</w:t>
            </w:r>
          </w:p>
        </w:tc>
      </w:tr>
      <w:tr>
        <w:trPr>
          <w:trHeight w:val="230"/>
        </w:trPr>
        <w:tc>
          <w:tcPr>
            <w:tcW w:w="2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w w:val="92"/>
              </w:rPr>
              <w:t>, 2021, and at maturity (or any earlier redemption date).</w:t>
            </w:r>
          </w:p>
        </w:tc>
        <w:tc>
          <w:tcPr>
            <w:tcW w:w="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10"/>
        </w:trPr>
        <w:tc>
          <w:tcPr>
            <w:tcW w:w="2300" w:type="dxa"/>
            <w:vAlign w:val="bottom"/>
          </w:tcPr>
          <w:p>
            <w:pPr>
              <w:spacing w:after="0"/>
              <w:rPr>
                <w:sz w:val="20"/>
                <w:szCs w:val="20"/>
                <w:color w:val="auto"/>
              </w:rPr>
            </w:pPr>
            <w:r>
              <w:rPr>
                <w:rFonts w:ascii="Arial" w:cs="Arial" w:eastAsia="Arial" w:hAnsi="Arial"/>
                <w:sz w:val="18"/>
                <w:szCs w:val="18"/>
                <w:color w:val="auto"/>
              </w:rPr>
              <w:t>Ranking</w:t>
            </w:r>
          </w:p>
        </w:tc>
        <w:tc>
          <w:tcPr>
            <w:tcW w:w="8320" w:type="dxa"/>
            <w:vAlign w:val="bottom"/>
            <w:gridSpan w:val="5"/>
          </w:tcPr>
          <w:p>
            <w:pPr>
              <w:ind w:left="680"/>
              <w:spacing w:after="0"/>
              <w:rPr>
                <w:sz w:val="20"/>
                <w:szCs w:val="20"/>
                <w:color w:val="auto"/>
              </w:rPr>
            </w:pPr>
            <w:r>
              <w:rPr>
                <w:rFonts w:ascii="Arial" w:cs="Arial" w:eastAsia="Arial" w:hAnsi="Arial"/>
                <w:sz w:val="18"/>
                <w:szCs w:val="18"/>
                <w:color w:val="auto"/>
                <w:w w:val="95"/>
              </w:rPr>
              <w:t xml:space="preserve">The notes will be our senior unsecured obligations and will rank </w:t>
            </w:r>
            <w:r>
              <w:rPr>
                <w:rFonts w:ascii="Arial" w:cs="Arial" w:eastAsia="Arial" w:hAnsi="Arial"/>
                <w:sz w:val="18"/>
                <w:szCs w:val="18"/>
                <w:i w:val="1"/>
                <w:iCs w:val="1"/>
                <w:color w:val="auto"/>
                <w:w w:val="95"/>
              </w:rPr>
              <w:t>pari passu</w:t>
            </w:r>
            <w:r>
              <w:rPr>
                <w:rFonts w:ascii="Arial" w:cs="Arial" w:eastAsia="Arial" w:hAnsi="Arial"/>
                <w:sz w:val="18"/>
                <w:szCs w:val="18"/>
                <w:color w:val="auto"/>
                <w:w w:val="95"/>
              </w:rPr>
              <w:t>, or equally, with all of our</w:t>
            </w:r>
          </w:p>
        </w:tc>
      </w:tr>
      <w:tr>
        <w:trPr>
          <w:trHeight w:val="216"/>
        </w:trPr>
        <w:tc>
          <w:tcPr>
            <w:tcW w:w="2300" w:type="dxa"/>
            <w:vAlign w:val="bottom"/>
          </w:tcPr>
          <w:p>
            <w:pPr>
              <w:spacing w:after="0"/>
              <w:rPr>
                <w:sz w:val="18"/>
                <w:szCs w:val="18"/>
                <w:color w:val="auto"/>
              </w:rPr>
            </w:pPr>
          </w:p>
        </w:tc>
        <w:tc>
          <w:tcPr>
            <w:tcW w:w="8320" w:type="dxa"/>
            <w:vAlign w:val="bottom"/>
            <w:gridSpan w:val="5"/>
          </w:tcPr>
          <w:p>
            <w:pPr>
              <w:ind w:left="680"/>
              <w:spacing w:after="0"/>
              <w:rPr>
                <w:sz w:val="20"/>
                <w:szCs w:val="20"/>
                <w:color w:val="auto"/>
              </w:rPr>
            </w:pPr>
            <w:r>
              <w:rPr>
                <w:rFonts w:ascii="Arial" w:cs="Arial" w:eastAsia="Arial" w:hAnsi="Arial"/>
                <w:sz w:val="18"/>
                <w:szCs w:val="18"/>
                <w:color w:val="auto"/>
                <w:w w:val="91"/>
              </w:rPr>
              <w:t>other unsecured and unsubordinated indebtedness. The notes will be effectively subordinated to the prior</w:t>
            </w:r>
          </w:p>
        </w:tc>
      </w:tr>
      <w:tr>
        <w:trPr>
          <w:trHeight w:val="216"/>
        </w:trPr>
        <w:tc>
          <w:tcPr>
            <w:tcW w:w="2300" w:type="dxa"/>
            <w:vAlign w:val="bottom"/>
          </w:tcPr>
          <w:p>
            <w:pPr>
              <w:spacing w:after="0"/>
              <w:rPr>
                <w:sz w:val="18"/>
                <w:szCs w:val="18"/>
                <w:color w:val="auto"/>
              </w:rPr>
            </w:pPr>
          </w:p>
        </w:tc>
        <w:tc>
          <w:tcPr>
            <w:tcW w:w="8320" w:type="dxa"/>
            <w:vAlign w:val="bottom"/>
            <w:gridSpan w:val="5"/>
          </w:tcPr>
          <w:p>
            <w:pPr>
              <w:ind w:left="680"/>
              <w:spacing w:after="0"/>
              <w:rPr>
                <w:sz w:val="20"/>
                <w:szCs w:val="20"/>
                <w:color w:val="auto"/>
              </w:rPr>
            </w:pPr>
            <w:r>
              <w:rPr>
                <w:rFonts w:ascii="Arial" w:cs="Arial" w:eastAsia="Arial" w:hAnsi="Arial"/>
                <w:sz w:val="18"/>
                <w:szCs w:val="18"/>
                <w:color w:val="auto"/>
                <w:w w:val="90"/>
              </w:rPr>
              <w:t>claims of each secured mortgage lender to any specific property that secures such lender’s mortgage and</w:t>
            </w:r>
          </w:p>
        </w:tc>
      </w:tr>
      <w:tr>
        <w:trPr>
          <w:trHeight w:val="230"/>
        </w:trPr>
        <w:tc>
          <w:tcPr>
            <w:tcW w:w="2300" w:type="dxa"/>
            <w:vAlign w:val="bottom"/>
          </w:tcPr>
          <w:p>
            <w:pPr>
              <w:spacing w:after="0"/>
              <w:rPr>
                <w:sz w:val="20"/>
                <w:szCs w:val="20"/>
                <w:color w:val="auto"/>
              </w:rPr>
            </w:pPr>
          </w:p>
        </w:tc>
        <w:tc>
          <w:tcPr>
            <w:tcW w:w="7620" w:type="dxa"/>
            <w:vAlign w:val="bottom"/>
            <w:gridSpan w:val="4"/>
          </w:tcPr>
          <w:p>
            <w:pPr>
              <w:ind w:left="680"/>
              <w:spacing w:after="0"/>
              <w:rPr>
                <w:sz w:val="20"/>
                <w:szCs w:val="20"/>
                <w:color w:val="auto"/>
              </w:rPr>
            </w:pPr>
            <w:r>
              <w:rPr>
                <w:rFonts w:ascii="Arial" w:cs="Arial" w:eastAsia="Arial" w:hAnsi="Arial"/>
                <w:sz w:val="18"/>
                <w:szCs w:val="18"/>
                <w:color w:val="auto"/>
                <w:w w:val="91"/>
              </w:rPr>
              <w:t>to all of the unsecured indebtedness of our subsidiaries. At June 30, 2020, we had outstanding</w:t>
            </w:r>
          </w:p>
        </w:tc>
        <w:tc>
          <w:tcPr>
            <w:tcW w:w="700" w:type="dxa"/>
            <w:vAlign w:val="bottom"/>
          </w:tcPr>
          <w:p>
            <w:pPr>
              <w:spacing w:after="0"/>
              <w:rPr>
                <w:sz w:val="20"/>
                <w:szCs w:val="20"/>
                <w:color w:val="auto"/>
              </w:rPr>
            </w:pPr>
          </w:p>
        </w:tc>
      </w:tr>
    </w:tbl>
    <w:p>
      <w:pPr>
        <w:ind w:left="3280" w:right="120"/>
        <w:spacing w:after="0" w:line="288" w:lineRule="auto"/>
        <w:rPr>
          <w:sz w:val="20"/>
          <w:szCs w:val="20"/>
          <w:color w:val="auto"/>
        </w:rPr>
      </w:pPr>
      <w:r>
        <w:rPr>
          <w:rFonts w:ascii="Arial" w:cs="Arial" w:eastAsia="Arial" w:hAnsi="Arial"/>
          <w:sz w:val="16"/>
          <w:szCs w:val="16"/>
          <w:color w:val="auto"/>
        </w:rPr>
        <w:t>approximately $553 million (excluding net unamortized premium and debt issuance costs) of consolidated secured indebtedness, which was issued by our subsidiaries and is collateralized by all or parts of 13 properties, and which will rank senior to the notes to the extent of the securing collateral and will also be structurally senior to the notes, approximately $4 million (excluding net unamortized debt issuance costs) of unsecured indebtedness issued by our subsidiaries, which will be structurally senior to the notes, and approximately $3,919 million of unsecured indebtedness (excluding net unamortized discount or premium and debt issuance costs), which will rank equally with the notes.</w:t>
      </w: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32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8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14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We intend to allocate an amount equal to the net proceeds from this offering to the financing and</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8"/>
              </w:rPr>
              <w:t>refinancing of recently completed and future Eligible Green Projects, as defined herein, in the United</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3"/>
              </w:rPr>
              <w:t>States. Net proceeds allocated to previously incurred costs associated with Eligible Green Projects will be</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4"/>
              </w:rPr>
              <w:t>available for repayment of indebtedness, which may include funding the redemptions, in whole or in part,</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5"/>
              </w:rPr>
              <w:t>of our outstanding 2.55% Notes due 2021 and 3.00% Notes due 2022, or the repayment, in whole or in</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3"/>
              </w:rPr>
              <w:t>part, of our unsecured term loan, or for general corporate purposes. Pending any such applications of the</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2"/>
              </w:rPr>
              <w:t>net proceeds, we may invest the net proceeds in short-term income-producing investments or may use the</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8"/>
              </w:rPr>
              <w:t>net proceeds to temporarily repay future amounts outstanding under our revolving credit facility. See</w:t>
            </w:r>
          </w:p>
        </w:tc>
      </w:tr>
      <w:tr>
        <w:trPr>
          <w:trHeight w:val="230"/>
        </w:trPr>
        <w:tc>
          <w:tcPr>
            <w:tcW w:w="2880" w:type="dxa"/>
            <w:vAlign w:val="bottom"/>
            <w:tcBorders>
              <w:left w:val="single" w:sz="8" w:color="auto"/>
            </w:tcBorders>
          </w:tcPr>
          <w:p>
            <w:pPr>
              <w:spacing w:after="0"/>
              <w:rPr>
                <w:sz w:val="20"/>
                <w:szCs w:val="20"/>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“Use of Proceeds” on page S-9 of this prospectus supplement.</w:t>
            </w:r>
          </w:p>
        </w:tc>
      </w:tr>
      <w:tr>
        <w:trPr>
          <w:trHeight w:val="324"/>
        </w:trPr>
        <w:tc>
          <w:tcPr>
            <w:tcW w:w="28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Limitations on incurrence of debt</w:t>
            </w: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The notes contain various covenants, including the following:</w:t>
            </w:r>
          </w:p>
        </w:tc>
      </w:tr>
      <w:tr>
        <w:trPr>
          <w:trHeight w:val="310"/>
        </w:trPr>
        <w:tc>
          <w:tcPr>
            <w:tcW w:w="2880" w:type="dxa"/>
            <w:vAlign w:val="bottom"/>
            <w:tcBorders>
              <w:left w:val="single" w:sz="8" w:color="auto"/>
            </w:tcBorders>
          </w:tcPr>
          <w:p>
            <w:pPr>
              <w:spacing w:after="0"/>
              <w:rPr>
                <w:sz w:val="24"/>
                <w:szCs w:val="24"/>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6"/>
              </w:rPr>
              <w:t>(1) we will not, and will not permit any subsidiary to, incur any Debt if, immediately after giving effect to</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2"/>
              </w:rPr>
              <w:t>the incurrence of such Debt and the application of the proceeds thereof, the aggregate principal amount of</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5"/>
              </w:rPr>
              <w:t>all of our and our subsidiaries’ outstanding Debt on a consolidated basis determined in accordance with</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4"/>
              </w:rPr>
              <w:t>generally accepted accounting principles is greater than 60% of the sum of (without duplication) (a) Total</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7"/>
              </w:rPr>
              <w:t>Assets as of the end of the calendar quarter covered in our Annual Report on Form 10-K or Quarterly</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Report on Form 10-Q, as the case may be, most recently filed with the SEC (or, if such filing is not</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permitted under the Exchange Act, with U.S. Bank National Association, the trustee) prior to the</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7"/>
              </w:rPr>
              <w:t>incurrence of such additional Debt and (b) the purchase price of any real estate assets or mortgages</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8"/>
              </w:rPr>
              <w:t>receivable acquired, and the amount of any securities offering proceeds received (to the extent such</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2"/>
              </w:rPr>
              <w:t>proceeds were not used to acquire real estate assets or mortgages receivable or used to reduce Debt), by</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us or any subsidiary since the end of such calendar quarter, including those proceeds obtained in</w:t>
            </w:r>
          </w:p>
        </w:tc>
      </w:tr>
      <w:tr>
        <w:trPr>
          <w:trHeight w:val="230"/>
        </w:trPr>
        <w:tc>
          <w:tcPr>
            <w:tcW w:w="2880" w:type="dxa"/>
            <w:vAlign w:val="bottom"/>
            <w:tcBorders>
              <w:left w:val="single" w:sz="8" w:color="auto"/>
            </w:tcBorders>
          </w:tcPr>
          <w:p>
            <w:pPr>
              <w:spacing w:after="0"/>
              <w:rPr>
                <w:sz w:val="20"/>
                <w:szCs w:val="20"/>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connection with the incurrence of such additional Debt;</w:t>
            </w:r>
          </w:p>
        </w:tc>
      </w:tr>
      <w:tr>
        <w:trPr>
          <w:trHeight w:val="310"/>
        </w:trPr>
        <w:tc>
          <w:tcPr>
            <w:tcW w:w="2880" w:type="dxa"/>
            <w:vAlign w:val="bottom"/>
            <w:tcBorders>
              <w:left w:val="single" w:sz="8" w:color="auto"/>
            </w:tcBorders>
          </w:tcPr>
          <w:p>
            <w:pPr>
              <w:spacing w:after="0"/>
              <w:rPr>
                <w:sz w:val="24"/>
                <w:szCs w:val="24"/>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9"/>
              </w:rPr>
              <w:t>(2) we will not, and will not permit any subsidiary to, incur any Debt secured by any mortgage, lien,</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5"/>
              </w:rPr>
              <w:t>charge, pledge, encumbrance or security interest of any kind upon any of our or any of our subsidiaries’</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property if, immediately after giving effect to the incurrence of such Debt and the application of the</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3"/>
              </w:rPr>
              <w:t>proceeds thereof, the aggregate principal amount of all of our and our subsidiaries’ outstanding Debt on a</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7"/>
              </w:rPr>
              <w:t>consolidated basis which is secured by any mortgage, lien, charge, pledge, encumbrance or security</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interest on our or our subsidiaries’ property is greater than 40% of the sum of (without duplication)</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8"/>
              </w:rPr>
              <w:t>(a) Total Assets as of the end of the calendar quarter covered in our Annual Report on Form 10-K or</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4"/>
              </w:rPr>
              <w:t>Quarterly Report on Form 10-Q, as the case may be, most recently filed with the SEC (or, if such filing is</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6"/>
              </w:rPr>
              <w:t>not permitted under the Exchange Act, with the trustee) prior to the incurrence of such additional Debt</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3"/>
              </w:rPr>
              <w:t>and (b) the purchase price of any real estate assets or mortgages receivable acquired, and the amount of</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1"/>
              </w:rPr>
              <w:t>any securities offering proceeds received (to the extent such proceeds were not used to acquire real estate</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6"/>
              </w:rPr>
              <w:t>assets or mortgages receivable or used to reduce Debt), by us or any subsidiary since the end of such</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4"/>
              </w:rPr>
              <w:t>calendar quarter, including those proceeds obtained in connection with the incurrence of such additional</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5"/>
              </w:rPr>
              <w:t xml:space="preserve">Debt; </w:t>
            </w:r>
            <w:r>
              <w:rPr>
                <w:rFonts w:ascii="Arial" w:cs="Arial" w:eastAsia="Arial" w:hAnsi="Arial"/>
                <w:sz w:val="18"/>
                <w:szCs w:val="18"/>
                <w:i w:val="1"/>
                <w:iCs w:val="1"/>
                <w:color w:val="auto"/>
                <w:w w:val="95"/>
              </w:rPr>
              <w:t>provided that</w:t>
            </w:r>
            <w:r>
              <w:rPr>
                <w:rFonts w:ascii="Arial" w:cs="Arial" w:eastAsia="Arial" w:hAnsi="Arial"/>
                <w:sz w:val="18"/>
                <w:szCs w:val="18"/>
                <w:color w:val="auto"/>
                <w:w w:val="95"/>
              </w:rPr>
              <w:t xml:space="preserve"> for purposes of this limitation, the amount of obligations under capital leases shown</w:t>
            </w:r>
          </w:p>
        </w:tc>
      </w:tr>
      <w:tr>
        <w:trPr>
          <w:trHeight w:val="230"/>
        </w:trPr>
        <w:tc>
          <w:tcPr>
            <w:tcW w:w="2880" w:type="dxa"/>
            <w:vAlign w:val="bottom"/>
            <w:tcBorders>
              <w:left w:val="single" w:sz="8" w:color="auto"/>
            </w:tcBorders>
          </w:tcPr>
          <w:p>
            <w:pPr>
              <w:spacing w:after="0"/>
              <w:rPr>
                <w:sz w:val="20"/>
                <w:szCs w:val="20"/>
                <w:color w:val="auto"/>
              </w:rPr>
            </w:pPr>
          </w:p>
        </w:tc>
        <w:tc>
          <w:tcPr>
            <w:tcW w:w="81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9"/>
              </w:rPr>
              <w:t>as a liability on our consolidated balance sheet shall be deducted from Debt and from Total Assets;</w:t>
            </w:r>
          </w:p>
        </w:tc>
      </w:tr>
      <w:tr>
        <w:trPr>
          <w:trHeight w:val="240"/>
        </w:trPr>
        <w:tc>
          <w:tcPr>
            <w:tcW w:w="2880" w:type="dxa"/>
            <w:vAlign w:val="bottom"/>
            <w:tcBorders>
              <w:left w:val="single" w:sz="8" w:color="auto"/>
              <w:bottom w:val="single" w:sz="8" w:color="auto"/>
            </w:tcBorders>
          </w:tcPr>
          <w:p>
            <w:pPr>
              <w:spacing w:after="0"/>
              <w:rPr>
                <w:sz w:val="20"/>
                <w:szCs w:val="20"/>
                <w:color w:val="auto"/>
              </w:rPr>
            </w:pPr>
          </w:p>
        </w:tc>
        <w:tc>
          <w:tcPr>
            <w:tcW w:w="8140" w:type="dxa"/>
            <w:vAlign w:val="bottom"/>
            <w:tcBorders>
              <w:bottom w:val="single" w:sz="8" w:color="auto"/>
              <w:right w:val="single" w:sz="8" w:color="auto"/>
            </w:tcBorders>
          </w:tcPr>
          <w:p>
            <w:pPr>
              <w:spacing w:after="0"/>
              <w:rPr>
                <w:sz w:val="20"/>
                <w:szCs w:val="20"/>
                <w:color w:val="auto"/>
              </w:rPr>
            </w:pPr>
          </w:p>
        </w:tc>
      </w:tr>
      <w:tr>
        <w:trPr>
          <w:trHeight w:val="604"/>
        </w:trPr>
        <w:tc>
          <w:tcPr>
            <w:tcW w:w="2880" w:type="dxa"/>
            <w:vAlign w:val="bottom"/>
          </w:tcPr>
          <w:p>
            <w:pPr>
              <w:spacing w:after="0"/>
              <w:rPr>
                <w:sz w:val="24"/>
                <w:szCs w:val="24"/>
                <w:color w:val="auto"/>
              </w:rPr>
            </w:pPr>
          </w:p>
        </w:tc>
        <w:tc>
          <w:tcPr>
            <w:tcW w:w="8140" w:type="dxa"/>
            <w:vAlign w:val="bottom"/>
          </w:tcPr>
          <w:p>
            <w:pPr>
              <w:ind w:left="25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47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280" w:right="240" w:firstLine="8"/>
        <w:spacing w:after="0" w:line="285" w:lineRule="auto"/>
        <w:tabs>
          <w:tab w:leader="none" w:pos="3535"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 (b)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(c)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279" w:lineRule="exact"/>
        <w:rPr>
          <w:rFonts w:ascii="Arial" w:cs="Arial" w:eastAsia="Arial" w:hAnsi="Arial"/>
          <w:sz w:val="16"/>
          <w:szCs w:val="16"/>
          <w:color w:val="auto"/>
        </w:rPr>
      </w:pPr>
    </w:p>
    <w:p>
      <w:pPr>
        <w:ind w:left="3280" w:right="460" w:firstLine="8"/>
        <w:spacing w:after="0" w:line="263" w:lineRule="auto"/>
        <w:tabs>
          <w:tab w:leader="none" w:pos="35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together with our subsidiaries, will maintain an Unencumbered Total Asset Value in an amount not less than 150% of the aggregate outstanding principal amount of all of our and our subsidiaries’ unsecured Debt, taken as a whole.</w:t>
      </w:r>
    </w:p>
    <w:p>
      <w:pPr>
        <w:sectPr>
          <w:pgSz w:w="11900" w:h="16838" w:orient="portrait"/>
          <w:cols w:equalWidth="0" w:num="1">
            <w:col w:w="11140"/>
          </w:cols>
          <w:pgMar w:left="320" w:top="459" w:right="439" w:bottom="1440" w:gutter="0" w:footer="0" w:header="0"/>
        </w:sectPr>
      </w:pPr>
    </w:p>
    <w:p>
      <w:pPr>
        <w:spacing w:after="0" w:line="7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notes will be redeemable at any time at our option, in whole or in part. If the notes are redeemed before ( months prior to the stated maturity date), the redemption price will be equal to the sum of (1) 100% of the principal amount of the notes being redeemed plus accrued and unpaid interest thereon up to, but excluding, the redemption date, and (2) the Make-Whole Amount, as defined herein, if any, with respect to such notes.</w:t>
      </w:r>
    </w:p>
    <w:p>
      <w:pPr>
        <w:spacing w:after="0" w:line="93" w:lineRule="exact"/>
        <w:rPr>
          <w:sz w:val="20"/>
          <w:szCs w:val="20"/>
          <w:color w:val="auto"/>
        </w:rPr>
      </w:pPr>
    </w:p>
    <w:p>
      <w:pPr>
        <w:sectPr>
          <w:pgSz w:w="11900" w:h="16838" w:orient="portrait"/>
          <w:cols w:equalWidth="0" w:num="2">
            <w:col w:w="2560" w:space="720"/>
            <w:col w:w="7860"/>
          </w:cols>
          <w:pgMar w:left="320" w:top="459" w:right="439" w:bottom="1440" w:gutter="0" w:footer="0" w:header="0"/>
          <w:type w:val="continuous"/>
        </w:sectPr>
      </w:pPr>
    </w:p>
    <w:p>
      <w:pPr>
        <w:ind w:left="3280"/>
        <w:spacing w:after="0"/>
        <w:tabs>
          <w:tab w:leader="none" w:pos="6460" w:val="left"/>
          <w:tab w:leader="none" w:pos="6760" w:val="left"/>
        </w:tabs>
        <w:rPr>
          <w:sz w:val="20"/>
          <w:szCs w:val="20"/>
          <w:color w:val="auto"/>
        </w:rPr>
      </w:pPr>
      <w:r>
        <w:rPr>
          <w:rFonts w:ascii="Arial" w:cs="Arial" w:eastAsia="Arial" w:hAnsi="Arial"/>
          <w:sz w:val="18"/>
          <w:szCs w:val="18"/>
          <w:color w:val="auto"/>
        </w:rPr>
        <w:t>If the notes are redeemed on or after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months prior to the maturity date), the redemption price</w:t>
      </w:r>
    </w:p>
    <w:p>
      <w:pPr>
        <w:sectPr>
          <w:pgSz w:w="11900" w:h="16838" w:orient="portrait"/>
          <w:cols w:equalWidth="0" w:num="1">
            <w:col w:w="11140"/>
          </w:cols>
          <w:pgMar w:left="320" w:top="459" w:right="439" w:bottom="1440" w:gutter="0" w:footer="0" w:header="0"/>
          <w:type w:val="continuous"/>
        </w:sectPr>
      </w:pPr>
    </w:p>
    <w:p>
      <w:pPr>
        <w:spacing w:after="0" w:line="23" w:lineRule="exact"/>
        <w:rPr>
          <w:sz w:val="20"/>
          <w:szCs w:val="20"/>
          <w:color w:val="auto"/>
        </w:rPr>
      </w:pPr>
    </w:p>
    <w:p>
      <w:pPr>
        <w:ind w:left="3280" w:right="680"/>
        <w:spacing w:after="0" w:line="260" w:lineRule="auto"/>
        <w:rPr>
          <w:sz w:val="20"/>
          <w:szCs w:val="20"/>
          <w:color w:val="auto"/>
        </w:rPr>
      </w:pPr>
      <w:r>
        <w:rPr>
          <w:rFonts w:ascii="Arial" w:cs="Arial" w:eastAsia="Arial" w:hAnsi="Arial"/>
          <w:sz w:val="18"/>
          <w:szCs w:val="18"/>
          <w:color w:val="auto"/>
        </w:rPr>
        <w:t>will be equal to 100% of the principal amount of the notes being redeemed plus accrued and unpaid interest thereon to, but excluding, the redemption date.</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p>
        </w:tc>
        <w:tc>
          <w:tcPr>
            <w:tcW w:w="8340" w:type="dxa"/>
            <w:vAlign w:val="bottom"/>
          </w:tcPr>
          <w:p>
            <w:pPr>
              <w:ind w:left="480"/>
              <w:spacing w:after="0"/>
              <w:rPr>
                <w:sz w:val="20"/>
                <w:szCs w:val="20"/>
                <w:color w:val="auto"/>
              </w:rPr>
            </w:pPr>
            <w:r>
              <w:rPr>
                <w:rFonts w:ascii="Arial" w:cs="Arial" w:eastAsia="Arial" w:hAnsi="Arial"/>
                <w:sz w:val="18"/>
                <w:szCs w:val="18"/>
                <w:color w:val="auto"/>
              </w:rPr>
              <w:t>See “Description of Notes — Optional Redemption” for more information.</w:t>
            </w:r>
          </w:p>
        </w:tc>
      </w:tr>
      <w:tr>
        <w:trPr>
          <w:trHeight w:val="310"/>
        </w:trPr>
        <w:tc>
          <w:tcPr>
            <w:tcW w:w="2680" w:type="dxa"/>
            <w:vAlign w:val="bottom"/>
          </w:tcPr>
          <w:p>
            <w:pPr>
              <w:ind w:left="180"/>
              <w:spacing w:after="0"/>
              <w:rPr>
                <w:sz w:val="20"/>
                <w:szCs w:val="20"/>
                <w:color w:val="auto"/>
              </w:rPr>
            </w:pPr>
            <w:r>
              <w:rPr>
                <w:rFonts w:ascii="Arial" w:cs="Arial" w:eastAsia="Arial" w:hAnsi="Arial"/>
                <w:sz w:val="18"/>
                <w:szCs w:val="18"/>
                <w:color w:val="auto"/>
              </w:rPr>
              <w:t>Material federal income tax</w:t>
            </w:r>
          </w:p>
        </w:tc>
        <w:tc>
          <w:tcPr>
            <w:tcW w:w="8340" w:type="dxa"/>
            <w:vAlign w:val="bottom"/>
          </w:tcPr>
          <w:p>
            <w:pPr>
              <w:ind w:left="480"/>
              <w:spacing w:after="0"/>
              <w:rPr>
                <w:sz w:val="20"/>
                <w:szCs w:val="20"/>
                <w:color w:val="auto"/>
              </w:rPr>
            </w:pPr>
            <w:r>
              <w:rPr>
                <w:rFonts w:ascii="Arial" w:cs="Arial" w:eastAsia="Arial" w:hAnsi="Arial"/>
                <w:sz w:val="18"/>
                <w:szCs w:val="18"/>
                <w:color w:val="auto"/>
                <w:w w:val="97"/>
              </w:rPr>
              <w:t>For a description of the material U.S. federal income tax considerations of an investment in the notes,</w:t>
            </w:r>
          </w:p>
        </w:tc>
      </w:tr>
      <w:tr>
        <w:trPr>
          <w:trHeight w:val="216"/>
        </w:trPr>
        <w:tc>
          <w:tcPr>
            <w:tcW w:w="2680" w:type="dxa"/>
            <w:vAlign w:val="bottom"/>
          </w:tcPr>
          <w:p>
            <w:pPr>
              <w:ind w:left="180"/>
              <w:spacing w:after="0"/>
              <w:rPr>
                <w:sz w:val="20"/>
                <w:szCs w:val="20"/>
                <w:color w:val="auto"/>
              </w:rPr>
            </w:pPr>
            <w:r>
              <w:rPr>
                <w:rFonts w:ascii="Arial" w:cs="Arial" w:eastAsia="Arial" w:hAnsi="Arial"/>
                <w:sz w:val="18"/>
                <w:szCs w:val="18"/>
                <w:color w:val="auto"/>
              </w:rPr>
              <w:t>considerations</w:t>
            </w:r>
          </w:p>
        </w:tc>
        <w:tc>
          <w:tcPr>
            <w:tcW w:w="8340" w:type="dxa"/>
            <w:vAlign w:val="bottom"/>
          </w:tcPr>
          <w:p>
            <w:pPr>
              <w:ind w:left="480"/>
              <w:spacing w:after="0"/>
              <w:rPr>
                <w:sz w:val="20"/>
                <w:szCs w:val="20"/>
                <w:color w:val="auto"/>
              </w:rPr>
            </w:pPr>
            <w:r>
              <w:rPr>
                <w:rFonts w:ascii="Arial" w:cs="Arial" w:eastAsia="Arial" w:hAnsi="Arial"/>
                <w:sz w:val="18"/>
                <w:szCs w:val="18"/>
                <w:color w:val="auto"/>
                <w:w w:val="96"/>
              </w:rPr>
              <w:t>please review the disclosure in this prospectus supplement under “Additional Material Federal Income</w:t>
            </w:r>
          </w:p>
        </w:tc>
      </w:tr>
      <w:tr>
        <w:trPr>
          <w:trHeight w:val="216"/>
        </w:trPr>
        <w:tc>
          <w:tcPr>
            <w:tcW w:w="268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Arial" w:cs="Arial" w:eastAsia="Arial" w:hAnsi="Arial"/>
                <w:sz w:val="18"/>
                <w:szCs w:val="18"/>
                <w:color w:val="auto"/>
              </w:rPr>
              <w:t>Tax Considerations” and in the accompanying prospectus under “Material Federal Income Tax</w:t>
            </w:r>
          </w:p>
        </w:tc>
      </w:tr>
      <w:tr>
        <w:trPr>
          <w:trHeight w:val="230"/>
        </w:trPr>
        <w:tc>
          <w:tcPr>
            <w:tcW w:w="2680" w:type="dxa"/>
            <w:vAlign w:val="bottom"/>
          </w:tcPr>
          <w:p>
            <w:pPr>
              <w:spacing w:after="0"/>
              <w:rPr>
                <w:sz w:val="20"/>
                <w:szCs w:val="20"/>
                <w:color w:val="auto"/>
              </w:rPr>
            </w:pPr>
          </w:p>
        </w:tc>
        <w:tc>
          <w:tcPr>
            <w:tcW w:w="8340" w:type="dxa"/>
            <w:vAlign w:val="bottom"/>
          </w:tcPr>
          <w:p>
            <w:pPr>
              <w:ind w:left="480"/>
              <w:spacing w:after="0"/>
              <w:rPr>
                <w:sz w:val="20"/>
                <w:szCs w:val="20"/>
                <w:color w:val="auto"/>
              </w:rPr>
            </w:pPr>
            <w:r>
              <w:rPr>
                <w:rFonts w:ascii="Arial" w:cs="Arial" w:eastAsia="Arial" w:hAnsi="Arial"/>
                <w:sz w:val="18"/>
                <w:szCs w:val="18"/>
                <w:color w:val="auto"/>
              </w:rPr>
              <w:t>Considerations.”</w:t>
            </w:r>
          </w:p>
        </w:tc>
      </w:tr>
      <w:tr>
        <w:trPr>
          <w:trHeight w:val="240"/>
        </w:trPr>
        <w:tc>
          <w:tcPr>
            <w:tcW w:w="2680" w:type="dxa"/>
            <w:vAlign w:val="bottom"/>
            <w:tcBorders>
              <w:bottom w:val="single" w:sz="8" w:color="auto"/>
            </w:tcBorders>
          </w:tcPr>
          <w:p>
            <w:pPr>
              <w:spacing w:after="0"/>
              <w:rPr>
                <w:sz w:val="20"/>
                <w:szCs w:val="20"/>
                <w:color w:val="auto"/>
              </w:rPr>
            </w:pPr>
          </w:p>
        </w:tc>
        <w:tc>
          <w:tcPr>
            <w:tcW w:w="8340" w:type="dxa"/>
            <w:vAlign w:val="bottom"/>
            <w:tcBorders>
              <w:bottom w:val="single" w:sz="8" w:color="auto"/>
            </w:tcBorders>
          </w:tcPr>
          <w:p>
            <w:pPr>
              <w:spacing w:after="0"/>
              <w:rPr>
                <w:sz w:val="20"/>
                <w:szCs w:val="20"/>
                <w:color w:val="auto"/>
              </w:rPr>
            </w:pPr>
          </w:p>
        </w:tc>
      </w:tr>
      <w:tr>
        <w:trPr>
          <w:trHeight w:val="604"/>
        </w:trPr>
        <w:tc>
          <w:tcPr>
            <w:tcW w:w="2680" w:type="dxa"/>
            <w:vAlign w:val="bottom"/>
          </w:tcPr>
          <w:p>
            <w:pPr>
              <w:spacing w:after="0"/>
              <w:rPr>
                <w:sz w:val="24"/>
                <w:szCs w:val="24"/>
                <w:color w:val="auto"/>
              </w:rPr>
            </w:pPr>
          </w:p>
        </w:tc>
        <w:tc>
          <w:tcPr>
            <w:tcW w:w="8340" w:type="dxa"/>
            <w:vAlign w:val="bottom"/>
          </w:tcPr>
          <w:p>
            <w:pPr>
              <w:ind w:left="270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140"/>
          </w:cols>
          <w:pgMar w:left="32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10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92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color w:val="auto"/>
                <w:w w:val="95"/>
              </w:rPr>
              <w:t>Investing in the notes involves risks. Please review the risk factors discussed beginning on page S-6 of</w:t>
            </w:r>
          </w:p>
        </w:tc>
      </w:tr>
      <w:tr>
        <w:trPr>
          <w:trHeight w:val="216"/>
        </w:trPr>
        <w:tc>
          <w:tcPr>
            <w:tcW w:w="2100" w:type="dxa"/>
            <w:vAlign w:val="bottom"/>
            <w:tcBorders>
              <w:left w:val="single" w:sz="8" w:color="auto"/>
            </w:tcBorders>
          </w:tcPr>
          <w:p>
            <w:pPr>
              <w:spacing w:after="0"/>
              <w:rPr>
                <w:sz w:val="18"/>
                <w:szCs w:val="18"/>
                <w:color w:val="auto"/>
              </w:rPr>
            </w:pPr>
          </w:p>
        </w:tc>
        <w:tc>
          <w:tcPr>
            <w:tcW w:w="89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4"/>
              </w:rPr>
              <w:t>this prospectus supplement, in our Annual Report on Form 10-K for the year ended December 31, 2019,</w:t>
            </w:r>
          </w:p>
        </w:tc>
      </w:tr>
      <w:tr>
        <w:trPr>
          <w:trHeight w:val="216"/>
        </w:trPr>
        <w:tc>
          <w:tcPr>
            <w:tcW w:w="2100" w:type="dxa"/>
            <w:vAlign w:val="bottom"/>
            <w:tcBorders>
              <w:left w:val="single" w:sz="8" w:color="auto"/>
            </w:tcBorders>
          </w:tcPr>
          <w:p>
            <w:pPr>
              <w:spacing w:after="0"/>
              <w:rPr>
                <w:sz w:val="18"/>
                <w:szCs w:val="18"/>
                <w:color w:val="auto"/>
              </w:rPr>
            </w:pPr>
          </w:p>
        </w:tc>
        <w:tc>
          <w:tcPr>
            <w:tcW w:w="89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3"/>
              </w:rPr>
              <w:t>filed with the SEC on February 10, 2020, and in our Quarterly Report on Form 10-Q for the quarter ended</w:t>
            </w:r>
          </w:p>
        </w:tc>
      </w:tr>
      <w:tr>
        <w:trPr>
          <w:trHeight w:val="216"/>
        </w:trPr>
        <w:tc>
          <w:tcPr>
            <w:tcW w:w="2100" w:type="dxa"/>
            <w:vAlign w:val="bottom"/>
            <w:tcBorders>
              <w:left w:val="single" w:sz="8" w:color="auto"/>
            </w:tcBorders>
          </w:tcPr>
          <w:p>
            <w:pPr>
              <w:spacing w:after="0"/>
              <w:rPr>
                <w:sz w:val="18"/>
                <w:szCs w:val="18"/>
                <w:color w:val="auto"/>
              </w:rPr>
            </w:pPr>
          </w:p>
        </w:tc>
        <w:tc>
          <w:tcPr>
            <w:tcW w:w="89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3"/>
              </w:rPr>
              <w:t>June 30, 2020, filed with the SEC on August 5, 2020, and the other information contained or incorporated</w:t>
            </w:r>
          </w:p>
        </w:tc>
      </w:tr>
      <w:tr>
        <w:trPr>
          <w:trHeight w:val="216"/>
        </w:trPr>
        <w:tc>
          <w:tcPr>
            <w:tcW w:w="2100" w:type="dxa"/>
            <w:vAlign w:val="bottom"/>
            <w:tcBorders>
              <w:left w:val="single" w:sz="8" w:color="auto"/>
            </w:tcBorders>
          </w:tcPr>
          <w:p>
            <w:pPr>
              <w:spacing w:after="0"/>
              <w:rPr>
                <w:sz w:val="18"/>
                <w:szCs w:val="18"/>
                <w:color w:val="auto"/>
              </w:rPr>
            </w:pPr>
          </w:p>
        </w:tc>
        <w:tc>
          <w:tcPr>
            <w:tcW w:w="89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4"/>
              </w:rPr>
              <w:t>by reference in this prospectus supplement and the accompanying prospectus for a discussion of factors</w:t>
            </w:r>
          </w:p>
        </w:tc>
      </w:tr>
      <w:tr>
        <w:trPr>
          <w:trHeight w:val="216"/>
        </w:trPr>
        <w:tc>
          <w:tcPr>
            <w:tcW w:w="2100" w:type="dxa"/>
            <w:vAlign w:val="bottom"/>
            <w:tcBorders>
              <w:left w:val="single" w:sz="8" w:color="auto"/>
            </w:tcBorders>
          </w:tcPr>
          <w:p>
            <w:pPr>
              <w:spacing w:after="0"/>
              <w:rPr>
                <w:sz w:val="18"/>
                <w:szCs w:val="18"/>
                <w:color w:val="auto"/>
              </w:rPr>
            </w:pPr>
          </w:p>
        </w:tc>
        <w:tc>
          <w:tcPr>
            <w:tcW w:w="89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5"/>
              </w:rPr>
              <w:t>you should consider before deciding to invest in the notes. You may obtain a copy of our Annual Report</w:t>
            </w:r>
          </w:p>
        </w:tc>
      </w:tr>
      <w:tr>
        <w:trPr>
          <w:trHeight w:val="216"/>
        </w:trPr>
        <w:tc>
          <w:tcPr>
            <w:tcW w:w="2100" w:type="dxa"/>
            <w:vAlign w:val="bottom"/>
            <w:tcBorders>
              <w:left w:val="single" w:sz="8" w:color="auto"/>
            </w:tcBorders>
          </w:tcPr>
          <w:p>
            <w:pPr>
              <w:spacing w:after="0"/>
              <w:rPr>
                <w:sz w:val="18"/>
                <w:szCs w:val="18"/>
                <w:color w:val="auto"/>
              </w:rPr>
            </w:pPr>
          </w:p>
        </w:tc>
        <w:tc>
          <w:tcPr>
            <w:tcW w:w="89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3"/>
              </w:rPr>
              <w:t>on Form 10-K and the other documents incorporated by reference in this prospectus supplement and the</w:t>
            </w:r>
          </w:p>
        </w:tc>
      </w:tr>
      <w:tr>
        <w:trPr>
          <w:trHeight w:val="216"/>
        </w:trPr>
        <w:tc>
          <w:tcPr>
            <w:tcW w:w="2100" w:type="dxa"/>
            <w:vAlign w:val="bottom"/>
            <w:tcBorders>
              <w:left w:val="single" w:sz="8" w:color="auto"/>
            </w:tcBorders>
          </w:tcPr>
          <w:p>
            <w:pPr>
              <w:spacing w:after="0"/>
              <w:rPr>
                <w:sz w:val="18"/>
                <w:szCs w:val="18"/>
                <w:color w:val="auto"/>
              </w:rPr>
            </w:pPr>
          </w:p>
        </w:tc>
        <w:tc>
          <w:tcPr>
            <w:tcW w:w="89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8"/>
              </w:rPr>
              <w:t>accompanying prospectus by following the procedures described under “Where You Can Find More</w:t>
            </w:r>
          </w:p>
        </w:tc>
      </w:tr>
      <w:tr>
        <w:trPr>
          <w:trHeight w:val="230"/>
        </w:trPr>
        <w:tc>
          <w:tcPr>
            <w:tcW w:w="2100" w:type="dxa"/>
            <w:vAlign w:val="bottom"/>
            <w:tcBorders>
              <w:left w:val="single" w:sz="8" w:color="auto"/>
            </w:tcBorders>
          </w:tcPr>
          <w:p>
            <w:pPr>
              <w:spacing w:after="0"/>
              <w:rPr>
                <w:sz w:val="20"/>
                <w:szCs w:val="20"/>
                <w:color w:val="auto"/>
              </w:rPr>
            </w:pPr>
          </w:p>
        </w:tc>
        <w:tc>
          <w:tcPr>
            <w:tcW w:w="89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Information” on page 51 of the accompanying prospectus.</w:t>
            </w:r>
          </w:p>
        </w:tc>
      </w:tr>
      <w:tr>
        <w:trPr>
          <w:trHeight w:val="240"/>
        </w:trPr>
        <w:tc>
          <w:tcPr>
            <w:tcW w:w="2100" w:type="dxa"/>
            <w:vAlign w:val="bottom"/>
            <w:tcBorders>
              <w:left w:val="single" w:sz="8" w:color="auto"/>
              <w:bottom w:val="single" w:sz="8" w:color="auto"/>
            </w:tcBorders>
          </w:tcPr>
          <w:p>
            <w:pPr>
              <w:spacing w:after="0"/>
              <w:rPr>
                <w:sz w:val="20"/>
                <w:szCs w:val="20"/>
                <w:color w:val="auto"/>
              </w:rPr>
            </w:pPr>
          </w:p>
        </w:tc>
        <w:tc>
          <w:tcPr>
            <w:tcW w:w="8920" w:type="dxa"/>
            <w:vAlign w:val="bottom"/>
            <w:tcBorders>
              <w:bottom w:val="single" w:sz="8" w:color="auto"/>
              <w:right w:val="single" w:sz="8" w:color="auto"/>
            </w:tcBorders>
          </w:tcPr>
          <w:p>
            <w:pPr>
              <w:spacing w:after="0"/>
              <w:rPr>
                <w:sz w:val="20"/>
                <w:szCs w:val="20"/>
                <w:color w:val="auto"/>
              </w:rPr>
            </w:pPr>
          </w:p>
        </w:tc>
      </w:tr>
      <w:tr>
        <w:trPr>
          <w:trHeight w:val="604"/>
        </w:trPr>
        <w:tc>
          <w:tcPr>
            <w:tcW w:w="2100" w:type="dxa"/>
            <w:vAlign w:val="bottom"/>
          </w:tcPr>
          <w:p>
            <w:pPr>
              <w:spacing w:after="0"/>
              <w:rPr>
                <w:sz w:val="24"/>
                <w:szCs w:val="24"/>
                <w:color w:val="auto"/>
              </w:rPr>
            </w:pPr>
          </w:p>
        </w:tc>
        <w:tc>
          <w:tcPr>
            <w:tcW w:w="8920" w:type="dxa"/>
            <w:vAlign w:val="bottom"/>
          </w:tcPr>
          <w:p>
            <w:pPr>
              <w:ind w:left="328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An investment in the notes involves a significant degree of risk. You should carefully consider the following risk factors, together with all of the other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information contained in or incorporated by reference in this prospectus supplement, including the risk factors included in our Annual Report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Form 10-K for the year ended December 31, 2019, filed with the SEC on February 10, 2020, and in our Quarterly Report on Form 10-Q for the quarter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ended June 30, 2020, filed with the SEC on August 5, 2020, before you decide to purchase the notes. The risks and uncertainties described below and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the incorporated Annual Report for the year ended December 31, 2019 and Quarterly Report for the quarter ended June 30, 2020 are not the only risks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we may confront. Additional risks and uncertainties not currently known to us or that we currently deem immaterial also may impair our business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operations. If any of those risks actually occur, our financial condition, operating results, liquidity and prospects could be materially adversely affected.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This section contains forward-looking statements.</w:t>
      </w:r>
    </w:p>
    <w:p>
      <w:pPr>
        <w:spacing w:after="0" w:line="315"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b w:val="1"/>
          <w:bCs w:val="1"/>
          <w:color w:val="auto"/>
        </w:rPr>
        <w:t>The COVID-19 pandemic and measures instituted by governments, businesses and households to limit its spread could have a material adverse effect on our business, results of operations, cash flows, liquidity, financial condition and growth prospects, which could adversely affect our ability to service our debt, including the notes.</w:t>
      </w:r>
    </w:p>
    <w:p>
      <w:pPr>
        <w:spacing w:after="0" w:line="7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March 2020, the World Health Organization declared the outbreak of novel coronavirus disease (“COVID-19”) as a pandemic. The spread of COVID-19 and measures instituted by governments as well as personal choices intended to prevent its spread, including stay-at-home orders, mandatory business closures and continued limitations on business operations, could inhibit global, national and local economic activity; adversely affect trading activity in securities markets, which could negatively impact the trading prices of our common shares and debt securities, including the notes, and our ability to access the securities markets as a source of liquidity; adversely affect our tenants’ financial condition by limiting foot traffic and staffing at their businesses, which could affect their ability to pay rent and willingness to make new leasing commitments; reduce our cash flow, which could impact our ability to pay dividends or to service our debt, including the notes; temporarily or permanently reduce the demand for retail and office space; interfere with our business operations by requiring our personnel to work remotely; increase the frequency of cyber-attacks; disrupt supply chains that could be important in our development and redevelopment activities; interfere with potential purchases and sales of properties; and have other direct and indirect effects that are difficult to predict. We expect these and other factors to have an adverse effect on our business, results of operations, cash flows, liquidity, financial condition and growth prospects, but the full extent is highly uncertain and will ultimately depend on future developments, none of which can be predicted with any certainty. Any such adverse effects may make it more difficult for us to meet our obligations under the notes. For more information, see “Impacts of COVID-19 Pandemic” under Part I, Item 2 – Management’s Discussion and Analysis of Financial Condition and Results of Operations” – in our Quarterly Report on Form 10-Q for the quarter ended June 30, 2020, which is incorporated by reference into this prospectus supplement.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121"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The notes will be structurally subordinated to the claims of our subsidiaries’ creditors and our subsidiaries’ preferred equity holders.</w:t>
      </w:r>
    </w:p>
    <w:p>
      <w:pPr>
        <w:spacing w:after="0" w:line="133"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Because the notes will not be guaranteed by our subsidiaries, the notes will be effectively subordinated in right of payment to all of our subsidiaries’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June 30, 2020, our consolidated subsidiaries had approximately $557 million of total secured and unsecured debt outstanding (excluding net unamortized premium and debt issuance costs),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notes will be unsecured and are effectively subordinated to our secured indebtedness.</w:t>
      </w:r>
    </w:p>
    <w:p>
      <w:pPr>
        <w:spacing w:after="0" w:line="121"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June 30, 2020, we had approximately $553 million (excluding net unamortized premium and debt issuance costs) of consolidated secured debt outstanding, all of which was effectively senior to the notes to the extent of the value of the securing collateral.</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131"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225"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228" w:lineRule="exact"/>
        <w:rPr>
          <w:sz w:val="20"/>
          <w:szCs w:val="20"/>
          <w:color w:val="auto"/>
        </w:rPr>
      </w:pPr>
    </w:p>
    <w:p>
      <w:pPr>
        <w:ind w:left="120" w:right="340"/>
        <w:spacing w:after="0" w:line="282" w:lineRule="auto"/>
        <w:rPr>
          <w:sz w:val="20"/>
          <w:szCs w:val="20"/>
          <w:color w:val="auto"/>
        </w:rPr>
      </w:pPr>
      <w:r>
        <w:rPr>
          <w:rFonts w:ascii="Arial" w:cs="Arial" w:eastAsia="Arial" w:hAnsi="Arial"/>
          <w:sz w:val="18"/>
          <w:szCs w:val="18"/>
          <w:b w:val="1"/>
          <w:bCs w:val="1"/>
          <w:color w:val="auto"/>
        </w:rPr>
        <w:t>We are not contractually committed to allocate the net proceeds from this offering to Eligible Green Projects, and our failure to do so could adversely impact the value of the notes.</w:t>
      </w:r>
    </w:p>
    <w:p>
      <w:pPr>
        <w:spacing w:after="0" w:line="5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market price of the notes may also be impacted by any failure by us to allocate the net proceeds from this offering to Eligible Green Projects, as defined herein, or to meet or continue to meet the investment requirements of certain environmentally focused investors with respect to the notes. Although we intend to allocate all of the net proceeds from this offering to Eligible Green Projects as described herein under “Use of Proceeds,” it will not be an event of default under the indenture governing the notes if we fail to do so.</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780"/>
        <w:spacing w:after="0" w:line="282" w:lineRule="auto"/>
        <w:rPr>
          <w:sz w:val="20"/>
          <w:szCs w:val="20"/>
          <w:color w:val="auto"/>
        </w:rPr>
      </w:pPr>
      <w:r>
        <w:rPr>
          <w:rFonts w:ascii="Arial" w:cs="Arial" w:eastAsia="Arial" w:hAnsi="Arial"/>
          <w:sz w:val="18"/>
          <w:szCs w:val="18"/>
          <w:b w:val="1"/>
          <w:bCs w:val="1"/>
          <w:color w:val="auto"/>
        </w:rPr>
        <w:t>We may use or allocate the net proceeds from this offering in ways with which you may not agree, and the notes may not be a suitable investment for all investors seeking exposure to green assets.</w:t>
      </w:r>
    </w:p>
    <w:p>
      <w:pPr>
        <w:spacing w:after="0" w:line="58"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We intend to allocate an amount equal to the net proceeds from this offering to the financing and refinancing of recently completed and future Eligible Green Projects, as defined herein, in the United States. Pending such allocation, we may invest the net proceeds in short-term income-producing investments or may use the net proceeds to temporarily repay future amounts outstanding under our revolving credit facility. Net proceeds allocated to previously incurred costs associated with Eligible Green Projects will be available for repayment of debt or other uses. We will retain broad discretion over the use or allocation of the net proceeds from this offering and you may not agree with the ultimate use or allocation of these net proceeds.</w:t>
      </w:r>
    </w:p>
    <w:p>
      <w:pPr>
        <w:spacing w:after="0" w:line="16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We cannot assure you that the projects funded with the net proceeds from this offering will satisfy investor criteria and expectations regarding environmental impact and sustainability performance. In particular, no assurance is given that the use or allocation of such proceeds for any Eligible Green Projects will satisfy, in whole or in part, any present or future investor expectations or requirements regarding any investment criteria or guidelines with which such investor or its investments are required to comply, whether by any present or future applicable laws or regulations or by its own bylaws or other governing rules or investment portfolio mandates (in particular with regard to any direct or indirect environmental, sustainability or social impact of any projects or uses). Adverse environmental or social impacts may occur during the design, construction and operation of the applicable projects, or the projects may become controversial or criticized by activist groups or other stakeholders. In addition, although we intend to limit the use or allocation of the net proceeds from this offering to Eligible Green Projects, there can be no assurance that one or more development, redevelopment or tenant improvement projects that we expect will receive a LEED certification will actually receive such certification.</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tabs>
          <w:tab w:leader="none" w:pos="7560" w:val="left"/>
        </w:tabs>
        <w:rPr>
          <w:sz w:val="20"/>
          <w:szCs w:val="20"/>
          <w:color w:val="auto"/>
        </w:rPr>
      </w:pPr>
      <w:r>
        <w:rPr>
          <w:rFonts w:ascii="Arial" w:cs="Arial" w:eastAsia="Arial" w:hAnsi="Arial"/>
          <w:sz w:val="18"/>
          <w:szCs w:val="18"/>
          <w:color w:val="auto"/>
        </w:rPr>
        <w:t>The net proceeds to us from the issuance and sale of the notes are estimated to be approximately $</w:t>
      </w:r>
      <w:r>
        <w:rPr>
          <w:sz w:val="20"/>
          <w:szCs w:val="20"/>
          <w:color w:val="auto"/>
        </w:rPr>
        <w:tab/>
      </w:r>
      <w:r>
        <w:rPr>
          <w:rFonts w:ascii="Arial" w:cs="Arial" w:eastAsia="Arial" w:hAnsi="Arial"/>
          <w:sz w:val="16"/>
          <w:szCs w:val="16"/>
          <w:color w:val="auto"/>
        </w:rPr>
        <w:t>million after deducting the underwriting discount</w:t>
      </w:r>
    </w:p>
    <w:p>
      <w:pPr>
        <w:spacing w:after="0" w:line="23"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and other estimated expenses of this offering payable by us. We intend to allocate an amount equal to the net proceeds from this offering to the financing and refinancing of recently completed and future Eligible Green Projects, as defined herein, in the United States. Net proceeds allocated to previously incurred costs associated with Eligible Green Projects will be available for repayment of indebtedness, which may include funding the redemption, in whole or in part, of our outstanding 2.55% Notes due 2021 and 3.00% Notes due 2022, or the repayment, in whole or in part, of our unsecured term loan, or for general corporate purposes. Pending any such applications of the net proceeds, we may invest the net proceeds in short-term income-producing investments or may use the net proceeds to temporarily repay future amounts outstanding under our revolving credit facility.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“Eligible Green Projects”</w:t>
      </w:r>
    </w:p>
    <w:p>
      <w:pPr>
        <w:spacing w:after="0" w:line="121"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“Eligible Green Projects” means: (i) investments in acquisitions of buildings; (ii) building developments or redevelopments; (iii) renovations in existing buildings; and (iv) tenant improvement projects, in each case, that have received, or are expected to receive, in the three years prior to the issuance of the notes or during the term of the notes, a LEED Silver, Gold or Platinum certification (or environmentally equivalent successor standards).</w:t>
      </w:r>
    </w:p>
    <w:p>
      <w:pPr>
        <w:spacing w:after="0" w:line="149" w:lineRule="exact"/>
        <w:rPr>
          <w:sz w:val="20"/>
          <w:szCs w:val="20"/>
          <w:color w:val="auto"/>
        </w:rPr>
      </w:pPr>
    </w:p>
    <w:p>
      <w:pPr>
        <w:ind w:left="120" w:right="300"/>
        <w:spacing w:after="0" w:line="287" w:lineRule="auto"/>
        <w:rPr>
          <w:sz w:val="20"/>
          <w:szCs w:val="20"/>
          <w:color w:val="auto"/>
        </w:rPr>
      </w:pPr>
      <w:r>
        <w:rPr>
          <w:rFonts w:ascii="Arial" w:cs="Arial" w:eastAsia="Arial" w:hAnsi="Arial"/>
          <w:sz w:val="16"/>
          <w:szCs w:val="16"/>
          <w:color w:val="auto"/>
        </w:rPr>
        <w:t>Leadership in Energy and Environmental Design (“LEED”) is a voluntary, third-party building certification process developed by the U.S. Green Building Council (“USGBC”), a non-profit organization. The USGBC developed the LEED certification process to (i) evaluate the environmental performance from a whole-building perspective over a building’s life cycle, (ii) provide a definitive standard for what constitutes a “green building,”</w:t>
      </w:r>
    </w:p>
    <w:p>
      <w:pPr>
        <w:spacing w:after="0" w:line="2" w:lineRule="exact"/>
        <w:rPr>
          <w:sz w:val="20"/>
          <w:szCs w:val="20"/>
          <w:color w:val="auto"/>
        </w:rPr>
      </w:pPr>
    </w:p>
    <w:p>
      <w:pPr>
        <w:ind w:left="120" w:right="160" w:hanging="4"/>
        <w:spacing w:after="0" w:line="277" w:lineRule="auto"/>
        <w:tabs>
          <w:tab w:leader="none" w:pos="435"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enhance environmental awareness among architects and building contractors and (iv) encourage the design and construction of energy-efficient, water-conserving buildings that use sustainable or green resources and materials. (Please see </w:t>
      </w:r>
      <w:r>
        <w:rPr>
          <w:rFonts w:ascii="Arial" w:cs="Arial" w:eastAsia="Arial" w:hAnsi="Arial"/>
          <w:sz w:val="17"/>
          <w:szCs w:val="17"/>
          <w:u w:val="single" w:color="auto"/>
          <w:color w:val="auto"/>
        </w:rPr>
        <w:t>www.usgbc.org</w:t>
      </w:r>
      <w:r>
        <w:rPr>
          <w:rFonts w:ascii="Arial" w:cs="Arial" w:eastAsia="Arial" w:hAnsi="Arial"/>
          <w:sz w:val="17"/>
          <w:szCs w:val="17"/>
          <w:color w:val="auto"/>
        </w:rPr>
        <w:t xml:space="preserve"> for more information; the contents of this website are not incorporated by reference herein or otherwise a part of this prospectus supplement).</w:t>
      </w:r>
    </w:p>
    <w:p>
      <w:pPr>
        <w:spacing w:after="0" w:line="173" w:lineRule="exact"/>
        <w:rPr>
          <w:sz w:val="20"/>
          <w:szCs w:val="20"/>
          <w:color w:val="auto"/>
        </w:rPr>
      </w:pPr>
    </w:p>
    <w:p>
      <w:pPr>
        <w:ind w:left="120" w:right="520"/>
        <w:spacing w:after="0" w:line="308" w:lineRule="auto"/>
        <w:rPr>
          <w:sz w:val="20"/>
          <w:szCs w:val="20"/>
          <w:color w:val="auto"/>
        </w:rPr>
      </w:pPr>
      <w:r>
        <w:rPr>
          <w:rFonts w:ascii="Arial" w:cs="Arial" w:eastAsia="Arial" w:hAnsi="Arial"/>
          <w:sz w:val="17"/>
          <w:szCs w:val="17"/>
          <w:color w:val="auto"/>
        </w:rPr>
        <w:t>Including amounts that we currently expect to invest on buildings in progress, we estimate that our approximate investment in buildings that have received, or are expected to receive upon completion, LEED certification since 2018 is between $1.4 billion and $1.6 billion.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Process for Project Evaluation and Selection</w:t>
      </w:r>
    </w:p>
    <w:p>
      <w:pPr>
        <w:spacing w:after="0" w:line="121"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To determine the allocation of net proceeds from this offering to Eligible Green Projects, our sustainability department will make recommendations to our Chief Financial Officer, and our Chief Financial Officer will make the final determination as to which Eligible Green Projects will be allocated a portion of the net proceeds from this offering and the portion of the net proceeds to be allocated to each Eligible Green Project selected. We intend to prioritize allocation to LEED Gold or higher certified investments; however, we reserve the right to allocate to LEED Silver certified investments.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of Proceeds of the Notes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intend to allocate an amount equal to the net proceeds from this offering to the financing and refinancing of recently completed and future Eligible Green Projects. As long as the notes are outstanding, our internal records will show the allocation of the portion of the amount equal to the net proceeds from this offering to Eligible Green Projects.</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Pending such allocation, we may invest the net proceeds in short-term income-producing investments or may use the net proceeds to temporarily repay future amounts outstanding under our revolving credit facility. Net proceeds allocated to previously incurred costs associated with Eligible Green Projects will be available for repayment of debt or other uses.</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Payment of principal of and interest on the notes will be made from our general funds and will not be directly linked to the performance of any Eligible Green Projects.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Reporting</w:t>
      </w:r>
    </w:p>
    <w:p>
      <w:pPr>
        <w:spacing w:after="0" w:line="121"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During the term of the notes, until such time as an amount equal to the net proceeds from this offering have been fully allocated to Eligible Green Projects, we will publish annual updates in a report on our website detailing, at a minimum, the allocation of the net proceeds from this offering to specific Eligible Green Projects, together with the total square footage achieving each level of LEED certification. Our updates will be accompanied by</w:t>
      </w:r>
    </w:p>
    <w:p>
      <w:pPr>
        <w:spacing w:after="0" w:line="2" w:lineRule="exact"/>
        <w:rPr>
          <w:sz w:val="20"/>
          <w:szCs w:val="20"/>
          <w:color w:val="auto"/>
        </w:rPr>
      </w:pPr>
    </w:p>
    <w:p>
      <w:pPr>
        <w:ind w:left="120" w:right="200" w:hanging="4"/>
        <w:spacing w:after="0" w:line="292" w:lineRule="auto"/>
        <w:tabs>
          <w:tab w:leader="none" w:pos="335"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assertion by management that the net proceeds from this offering were invested in qualifying Eligible Green Projects and (ii) a report from an independent accountant in respect of the independent accountant’s examination of management’s assertion conducted in accordance with attestation standards established by the American Institute of Certified Public Accountants. Please note that the information and materials found on our website, except for our Securities and Exchange Commission filings expressly described under “Where You Can Find More Information” in the accompanying prospectus, are not part of this prospectus supplement or the accompanying prospectus and are not incorporated by reference herein or therein.</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2.55% Notes due 2021</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As of September 30, 2020, 2.55% Notes due 2021 with an aggregate principal amount of $250 million were outstanding. The 2.55% Notes due 2021 are scheduled to mature on January 15,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3.00% Notes due 2022</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As of September 30, 2020, 3.00% Notes due 2022 with an aggregate principal amount of $250 million were outstanding. The 3.00% Notes due 2022 are scheduled to mature on August 1,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Unsecured Term Loan</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$400 million unsecured term loan is governed by a term loan agreement entered into as of May 6, 2020 and matures on May 6, 2021, subject to one 12-month extension at our option. As of September 30, 2020, our unsecured term loan accrued interest at a rate of LIBOR plus 1.35%. The proceeds of the unsecured term loan were used to reduce amounts outstanding under our revolving credit facility.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Revolving Credit Facility</w:t>
      </w:r>
    </w:p>
    <w:p>
      <w:pPr>
        <w:spacing w:after="0" w:line="121"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Our $1.0 billion revolving credit facility matures on January 19, 2024, subject to two six-month extensions at our option. LIBOR loans outstanding under our revolving credit facility bear interest at seven day, one month, three month or six month LIBOR, at our election, plus a spread of 77.5 basis points, subject to adjustment based on our credit rating. In addition, we have an option (subject to the approval of the lenders under our revolving credit facility) to increase our revolving credit facility through an accordion feature to $1.5 billion. As of June 30, 2020 and October 7, 2020, there was no outstanding balance under our revolving credit facility.</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Affiliates of certain of the underwriters are lenders under our revolving credit facility and unsecured term loan and/or may be beneficial owners of some of our 2.55% Notes due 2021 and/or 3.00% Notes due 2022. Any such affiliates will receive a pro rata portion of the net proceeds used to repay amounts outstanding under our revolving credit facility and unsecured term loan and/or to redeem our 2.55% Notes due 2021 and 3.00% Notes due 2022. See “Underwriting (Conflicts of Interest) — Conflicts of Interest.”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i w:val="1"/>
          <w:iCs w:val="1"/>
          <w:color w:val="auto"/>
        </w:rPr>
        <w:t>The following description of the particular terms of the notes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120"/>
          </w:cols>
          <w:pgMar w:left="320" w:top="459" w:right="459" w:bottom="1440" w:gutter="0" w:footer="0" w:header="0"/>
        </w:sectPr>
      </w:pP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are offering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million of our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notes maturing 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which may be redeemed prior to such date in accordance with their terms.</w:t>
      </w:r>
    </w:p>
    <w:p>
      <w:pPr>
        <w:spacing w:after="0" w:line="211" w:lineRule="exact"/>
        <w:rPr>
          <w:sz w:val="20"/>
          <w:szCs w:val="20"/>
          <w:color w:val="auto"/>
        </w:rPr>
      </w:pPr>
    </w:p>
    <w:p>
      <w:pPr>
        <w:sectPr>
          <w:pgSz w:w="11900" w:h="16838" w:orient="portrait"/>
          <w:cols w:equalWidth="0" w:num="5">
            <w:col w:w="1380" w:space="400"/>
            <w:col w:w="1000" w:space="220"/>
            <w:col w:w="1540" w:space="720"/>
            <w:col w:w="280" w:space="180"/>
            <w:col w:w="5400"/>
          </w:cols>
          <w:pgMar w:left="320" w:top="459" w:right="459" w:bottom="1440" w:gutter="0" w:footer="0" w:header="0"/>
          <w:type w:val="continuous"/>
        </w:sectPr>
      </w:pPr>
    </w:p>
    <w:p>
      <w:pPr>
        <w:spacing w:after="0" w:line="37" w:lineRule="exact"/>
        <w:rPr>
          <w:sz w:val="20"/>
          <w:szCs w:val="20"/>
          <w:color w:val="auto"/>
        </w:rPr>
      </w:pPr>
    </w:p>
    <w:p>
      <w:pPr>
        <w:ind w:left="120"/>
        <w:spacing w:after="0"/>
        <w:tabs>
          <w:tab w:leader="none" w:pos="5880" w:val="left"/>
          <w:tab w:leader="none" w:pos="6660" w:val="left"/>
          <w:tab w:leader="none" w:pos="7660" w:val="left"/>
          <w:tab w:leader="none" w:pos="8720" w:val="left"/>
        </w:tabs>
        <w:rPr>
          <w:sz w:val="20"/>
          <w:szCs w:val="20"/>
          <w:color w:val="auto"/>
        </w:rPr>
      </w:pPr>
      <w:r>
        <w:rPr>
          <w:rFonts w:ascii="Arial" w:cs="Arial" w:eastAsia="Arial" w:hAnsi="Arial"/>
          <w:sz w:val="17"/>
          <w:szCs w:val="17"/>
          <w:color w:val="auto"/>
        </w:rPr>
        <w:t>We will pay interest on the notes semi-annually in arrears at an annual rate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of each year, beginning</w:t>
      </w:r>
    </w:p>
    <w:p>
      <w:pPr>
        <w:spacing w:after="0" w:line="23" w:lineRule="exact"/>
        <w:rPr>
          <w:sz w:val="20"/>
          <w:szCs w:val="20"/>
          <w:color w:val="auto"/>
        </w:rPr>
      </w:pPr>
    </w:p>
    <w:p>
      <w:pPr>
        <w:ind w:left="840"/>
        <w:spacing w:after="0"/>
        <w:tabs>
          <w:tab w:leader="none" w:pos="6020" w:val="left"/>
          <w:tab w:leader="none" w:pos="7060" w:val="left"/>
        </w:tabs>
        <w:rPr>
          <w:sz w:val="20"/>
          <w:szCs w:val="20"/>
          <w:color w:val="auto"/>
        </w:rPr>
      </w:pPr>
      <w:r>
        <w:rPr>
          <w:rFonts w:ascii="Arial" w:cs="Arial" w:eastAsia="Arial" w:hAnsi="Arial"/>
          <w:sz w:val="18"/>
          <w:szCs w:val="18"/>
          <w:color w:val="auto"/>
        </w:rPr>
        <w:t>, 2021, to the registered holders of the notes on the preceding</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Interest will be computed and paid on the basis of</w:t>
      </w:r>
    </w:p>
    <w:p>
      <w:pPr>
        <w:sectPr>
          <w:pgSz w:w="11900" w:h="16838" w:orient="portrait"/>
          <w:cols w:equalWidth="0" w:num="1">
            <w:col w:w="11120"/>
          </w:cols>
          <w:pgMar w:left="320" w:top="459" w:right="459" w:bottom="1440" w:gutter="0" w:footer="0" w:header="0"/>
          <w:type w:val="continuous"/>
        </w:sectPr>
      </w:pPr>
    </w:p>
    <w:p>
      <w:pPr>
        <w:spacing w:after="0" w:line="9"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a 360-day year consisting of twelve 30-day months. If any 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issued only in registered form in denominations of $2,000 and integral multiples of $1,000 in excess thereof.</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24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public offer price, the date on which interest begins to accrue and, in some circumstances, the first interest payment date, such that these additional debt securities would form a single series with the notes. If any such additional debt securities are not fungible with the notes offered hereby for the U.S. federal income tax purposes, the additional debt securities will have a separate CUSIP number. We also may issue from time to time other series of debt securities under the indenture consisting of notes or other unsecured evidences of indebtedness.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The notes will be our senior unsecured obligations and will rank </w:t>
      </w:r>
      <w:r>
        <w:rPr>
          <w:rFonts w:ascii="Arial" w:cs="Arial" w:eastAsia="Arial" w:hAnsi="Arial"/>
          <w:sz w:val="17"/>
          <w:szCs w:val="17"/>
          <w:i w:val="1"/>
          <w:iCs w:val="1"/>
          <w:color w:val="auto"/>
        </w:rPr>
        <w:t>pari passu</w:t>
      </w:r>
      <w:r>
        <w:rPr>
          <w:rFonts w:ascii="Arial" w:cs="Arial" w:eastAsia="Arial" w:hAnsi="Arial"/>
          <w:sz w:val="17"/>
          <w:szCs w:val="17"/>
          <w:color w:val="auto"/>
        </w:rPr>
        <w:t>, or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 At June 30, 2020, we had outstanding approximately $553 million (excluding net unamortized premium and debt issuance costs) of consolidated secured indebtedness, which was issued by our subsidiaries and is collateralized by all or parts of 13 properties, and which ranks senior to the notes to the extent of securing collateral and will also be structurally senior to the notes, approximately $4 million (excluding net unamortized debt issuance costs) of unsecured indebtedness issued by our subsidiaries, which will be structurally senior to the notes, and approximately $3,919 million of unsecured indebtedness (excluding net unamortized premium or discount and debt issuance costs), which will rank equally with the notes.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spacing w:after="0"/>
        <w:tabs>
          <w:tab w:leader="none" w:pos="8680" w:val="left"/>
        </w:tabs>
        <w:rPr>
          <w:sz w:val="20"/>
          <w:szCs w:val="20"/>
          <w:color w:val="auto"/>
        </w:rPr>
      </w:pPr>
      <w:r>
        <w:rPr>
          <w:rFonts w:ascii="Arial" w:cs="Arial" w:eastAsia="Arial" w:hAnsi="Arial"/>
          <w:sz w:val="18"/>
          <w:szCs w:val="18"/>
          <w:color w:val="auto"/>
        </w:rPr>
        <w:t>The notes will be redeemable at any time at our option, in whole or in part. If the notes are redeemed before (</w:t>
      </w:r>
      <w:r>
        <w:rPr>
          <w:sz w:val="20"/>
          <w:szCs w:val="20"/>
          <w:color w:val="auto"/>
        </w:rPr>
        <w:tab/>
      </w:r>
      <w:r>
        <w:rPr>
          <w:rFonts w:ascii="Arial" w:cs="Arial" w:eastAsia="Arial" w:hAnsi="Arial"/>
          <w:sz w:val="16"/>
          <w:szCs w:val="16"/>
          <w:color w:val="auto"/>
        </w:rPr>
        <w:t>months prior to the stated</w:t>
      </w:r>
    </w:p>
    <w:p>
      <w:pPr>
        <w:spacing w:after="0" w:line="23"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maturity date) (the “Par Call Date”), the redemption price will be equal to the sum of (1) 100% of the principal amount of the notes being redeemed plus accrued and unpaid interest thereon up to, but excluding, the redemption date, and (2) the Make-Whole Amount, if any, with respect to such notes. If the notes are redeemed on or after the Par Call Date, the redemption price will be equal to 100% of the principal amount of the notes being redeemed plus accrued and unpaid interest thereon to, but excluding, the redemption date.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Make-Whole Amount</w:t>
      </w:r>
      <w:r>
        <w:rPr>
          <w:rFonts w:ascii="Arial" w:cs="Arial" w:eastAsia="Arial" w:hAnsi="Arial"/>
          <w:sz w:val="18"/>
          <w:szCs w:val="18"/>
          <w:color w:val="auto"/>
        </w:rPr>
        <w:t>” means, in connection with any optional redemption of the notes, the excess, if any, of:</w:t>
      </w:r>
    </w:p>
    <w:p>
      <w:pPr>
        <w:spacing w:after="0" w:line="131" w:lineRule="exact"/>
        <w:rPr>
          <w:sz w:val="20"/>
          <w:szCs w:val="20"/>
          <w:color w:val="auto"/>
        </w:rPr>
      </w:pPr>
    </w:p>
    <w:p>
      <w:pPr>
        <w:ind w:left="1080" w:right="140" w:hanging="424"/>
        <w:spacing w:after="0" w:line="296"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aggregate present value as of the redemption date of each dollar of principal being redeemed and the amount of interest, calculated by us, excluding interest accrued to the redemption date, that would have been payable in respect of such dollar if such redemption had been made on the Par Call Date, determined by discounting, on a semi-annual basis, such principal and interest at the Reinvestment Rate, determined on the third business day preceding the date notice of such redemption is given, from the respective dates on which the principal and interest would have been payable if such redemption had been made on the Par Call Date, over</w:t>
      </w:r>
    </w:p>
    <w:p>
      <w:pPr>
        <w:spacing w:after="0" w:line="66" w:lineRule="exact"/>
        <w:rPr>
          <w:rFonts w:ascii="Arial" w:cs="Arial" w:eastAsia="Arial" w:hAnsi="Arial"/>
          <w:sz w:val="16"/>
          <w:szCs w:val="16"/>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aggregate principal amount of the notes being redeemed.</w:t>
      </w:r>
    </w:p>
    <w:p>
      <w:pPr>
        <w:spacing w:after="0" w:line="225" w:lineRule="exact"/>
        <w:rPr>
          <w:sz w:val="20"/>
          <w:szCs w:val="20"/>
          <w:color w:val="auto"/>
        </w:rPr>
      </w:pPr>
    </w:p>
    <w:p>
      <w:pPr>
        <w:ind w:left="120" w:right="1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Reinvestment Rate</w:t>
      </w:r>
      <w:r>
        <w:rPr>
          <w:rFonts w:ascii="Arial" w:cs="Arial" w:eastAsia="Arial" w:hAnsi="Arial"/>
          <w:sz w:val="16"/>
          <w:szCs w:val="16"/>
          <w:color w:val="auto"/>
        </w:rPr>
        <w:t>” means a rate per annum equal to the sum of basis points ( %) plus the yield on treasury securities at constant maturity under the heading “Week Ending” published in the Statistical Release under the caption “Treasury Constant Maturities” for the maturity (rounded to the nearest month) corresponding to the remaining life to maturity of the notes (which maturity shall be deemed to be the Par Call Date) as of the payment date of the principal being redeemed. If no maturity exactly corresponds to such maturity, yields for the two published maturities most closely corresponding to such maturity shall be calculated pursuant to the immediately preceding sentence and the Reinvestment Rate shall be interpolated or extrapolated from such yields on a straight-line basis, rounding in each of such relevant periods to the nearest month. For purposes of calculating the Reinvestment Rate, the most recent Statistical Release published prior to the date of determination of the Make-Whole Amount shall be used. If the format or content of the Statistical Release changes in a manner that precludes determination of the yield on treasury in the above manner, then the yield on treasury will be determined in the manner that most closely approximates the above manner, as we reasonably determine.</w:t>
      </w:r>
    </w:p>
    <w:p>
      <w:pPr>
        <w:spacing w:after="0" w:line="166"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Statistical Release</w:t>
      </w:r>
      <w:r>
        <w:rPr>
          <w:rFonts w:ascii="Arial" w:cs="Arial" w:eastAsia="Arial" w:hAnsi="Arial"/>
          <w:sz w:val="17"/>
          <w:szCs w:val="17"/>
          <w:color w:val="auto"/>
        </w:rPr>
        <w:t>” means the statistical release designated “Selected Interest Rates (Daily)—H.15” or any successor publication which is published by the Federal Reserve System and which establishes yields on actively traded United States government securities adjusted to constant maturities or, if such statistical release is not published at the time of any determination under the indenture, then any publicly available source of similar market data used for this purpose in accordance with customary market practice which shall be designated by us.</w:t>
      </w:r>
    </w:p>
    <w:p>
      <w:pPr>
        <w:spacing w:after="0" w:line="17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Notice of any redemption of the notes will be mailed at least 15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not, and will not permit any subsidiary to, incur any Debt if, immediately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w:t>
      </w:r>
    </w:p>
    <w:p>
      <w:pPr>
        <w:spacing w:after="0" w:line="2" w:lineRule="exact"/>
        <w:rPr>
          <w:sz w:val="20"/>
          <w:szCs w:val="20"/>
          <w:color w:val="auto"/>
        </w:rPr>
      </w:pPr>
    </w:p>
    <w:p>
      <w:pPr>
        <w:jc w:val="both"/>
        <w:ind w:left="120"/>
        <w:spacing w:after="0" w:line="295" w:lineRule="auto"/>
        <w:rPr>
          <w:sz w:val="20"/>
          <w:szCs w:val="20"/>
          <w:color w:val="auto"/>
        </w:rPr>
      </w:pPr>
      <w:r>
        <w:rPr>
          <w:rFonts w:ascii="Arial" w:cs="Arial" w:eastAsia="Arial" w:hAnsi="Arial"/>
          <w:sz w:val="16"/>
          <w:szCs w:val="16"/>
          <w:color w:val="auto"/>
        </w:rPr>
        <w:t>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 xml:space="preserve">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172"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70" w:lineRule="exact"/>
        <w:rPr>
          <w:sz w:val="20"/>
          <w:szCs w:val="20"/>
          <w:color w:val="auto"/>
        </w:rPr>
      </w:pPr>
    </w:p>
    <w:p>
      <w:pPr>
        <w:ind w:left="120" w:right="600"/>
        <w:spacing w:after="0" w:line="266"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176" w:lineRule="exact"/>
        <w:rPr>
          <w:sz w:val="20"/>
          <w:szCs w:val="20"/>
          <w:color w:val="auto"/>
        </w:rPr>
      </w:pPr>
    </w:p>
    <w:p>
      <w:pPr>
        <w:ind w:left="120" w:right="360"/>
        <w:spacing w:after="0" w:line="256" w:lineRule="auto"/>
        <w:rPr>
          <w:sz w:val="20"/>
          <w:szCs w:val="20"/>
          <w:color w:val="auto"/>
        </w:rPr>
      </w:pPr>
      <w:r>
        <w:rPr>
          <w:rFonts w:ascii="Arial" w:cs="Arial" w:eastAsia="Arial" w:hAnsi="Arial"/>
          <w:sz w:val="18"/>
          <w:szCs w:val="18"/>
          <w:b w:val="1"/>
          <w:bCs w:val="1"/>
          <w:i w:val="1"/>
          <w:iCs w:val="1"/>
          <w:color w:val="auto"/>
        </w:rPr>
        <w:t>Insurance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will provide that we will, and will cause each of our subsidiaries to, maintain insurance with financially sound and reputable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companies against such risks and in such amounts as is customarily maintained by persons engaged in similar businesses or as may be required by applicable law, and that we will from time to time deliver to the Administrative Agent (as defined in our amended and restated credit agreement dated as of July 25, 2019,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8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70" w:lineRule="exact"/>
        <w:rPr>
          <w:sz w:val="20"/>
          <w:szCs w:val="20"/>
          <w:color w:val="auto"/>
        </w:rPr>
      </w:pPr>
    </w:p>
    <w:p>
      <w:pPr>
        <w:ind w:left="120" w:right="8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w:t>
      </w:r>
    </w:p>
    <w:p>
      <w:pPr>
        <w:spacing w:after="0" w:line="2" w:lineRule="exact"/>
        <w:rPr>
          <w:sz w:val="20"/>
          <w:szCs w:val="20"/>
          <w:color w:val="auto"/>
        </w:rPr>
      </w:pPr>
    </w:p>
    <w:p>
      <w:pPr>
        <w:ind w:left="120" w:hanging="4"/>
        <w:spacing w:after="0" w:line="286" w:lineRule="auto"/>
        <w:tabs>
          <w:tab w:leader="none" w:pos="3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principal amount of all of our or any of our subsidiaries’ obligations with respect to redemption, repayment or other repurchase of any Disqualified Stock or (5) any lease of property by us or any subsidiary as lessee which is reflected on our consolidated balance sheet as a financing lease liability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72"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5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70" w:lineRule="exact"/>
        <w:rPr>
          <w:sz w:val="20"/>
          <w:szCs w:val="20"/>
          <w:color w:val="auto"/>
        </w:rPr>
      </w:pPr>
    </w:p>
    <w:p>
      <w:pPr>
        <w:ind w:left="120" w:right="8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Assets</w:t>
      </w:r>
      <w:r>
        <w:rPr>
          <w:rFonts w:ascii="Arial" w:cs="Arial" w:eastAsia="Arial" w:hAnsi="Arial"/>
          <w:sz w:val="17"/>
          <w:szCs w:val="17"/>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14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the cost (original cost plus capital improvements) of our and our subsidiaries’ real estate assets and finance lease right of use assets on such date, before depreciation and amortization determined on a consolidated basis in accordance with generally accepted accounting principles.</w:t>
      </w:r>
    </w:p>
    <w:p>
      <w:pPr>
        <w:spacing w:after="0" w:line="18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i w:val="1"/>
          <w:iCs w:val="1"/>
          <w:color w:val="auto"/>
        </w:rPr>
        <w:t xml:space="preserve">“Unencumbered Total Asset Value” </w:t>
      </w:r>
      <w:r>
        <w:rPr>
          <w:rFonts w:ascii="Arial" w:cs="Arial" w:eastAsia="Arial" w:hAnsi="Arial"/>
          <w:sz w:val="16"/>
          <w:szCs w:val="16"/>
          <w:color w:val="auto"/>
        </w:rPr>
        <w:t>as of any date means the sum of (a) those Undepreciated Real Estate Assets not encumbered by any mortgage, lien,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See “Description of Debt Securities — Certain Covenants” in the accompanying prospectus for a description of additional covenants applicable to us.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subject to the following events of default:</w:t>
      </w:r>
    </w:p>
    <w:p>
      <w:pPr>
        <w:spacing w:after="0" w:line="117" w:lineRule="exact"/>
        <w:rPr>
          <w:sz w:val="20"/>
          <w:szCs w:val="20"/>
          <w:color w:val="auto"/>
        </w:rPr>
      </w:pPr>
    </w:p>
    <w:p>
      <w:pPr>
        <w:ind w:left="120" w:right="240" w:hanging="4"/>
        <w:spacing w:after="0" w:line="277" w:lineRule="auto"/>
        <w:tabs>
          <w:tab w:leader="none" w:pos="2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62" w:lineRule="exact"/>
        <w:rPr>
          <w:rFonts w:ascii="Arial" w:cs="Arial" w:eastAsia="Arial" w:hAnsi="Arial"/>
          <w:sz w:val="18"/>
          <w:szCs w:val="18"/>
          <w:color w:val="auto"/>
        </w:rPr>
      </w:pPr>
    </w:p>
    <w:p>
      <w:pPr>
        <w:ind w:left="120" w:right="360" w:hanging="4"/>
        <w:spacing w:after="0" w:line="277"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62" w:lineRule="exact"/>
        <w:rPr>
          <w:rFonts w:ascii="Arial" w:cs="Arial" w:eastAsia="Arial" w:hAnsi="Arial"/>
          <w:sz w:val="18"/>
          <w:szCs w:val="18"/>
          <w:color w:val="auto"/>
        </w:rPr>
      </w:pPr>
    </w:p>
    <w:p>
      <w:pPr>
        <w:ind w:left="300" w:hanging="184"/>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17" w:lineRule="exact"/>
        <w:rPr>
          <w:rFonts w:ascii="Arial" w:cs="Arial" w:eastAsia="Arial" w:hAnsi="Arial"/>
          <w:sz w:val="18"/>
          <w:szCs w:val="18"/>
          <w:color w:val="auto"/>
        </w:rPr>
      </w:pPr>
    </w:p>
    <w:p>
      <w:pPr>
        <w:ind w:left="120" w:hanging="4"/>
        <w:spacing w:after="0" w:line="263"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76" w:lineRule="exact"/>
        <w:rPr>
          <w:sz w:val="20"/>
          <w:szCs w:val="20"/>
          <w:color w:val="auto"/>
        </w:rPr>
      </w:pPr>
    </w:p>
    <w:p>
      <w:pPr>
        <w:ind w:left="360" w:hanging="244"/>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17" w:lineRule="exact"/>
        <w:rPr>
          <w:rFonts w:ascii="Arial" w:cs="Arial" w:eastAsia="Arial" w:hAnsi="Arial"/>
          <w:sz w:val="18"/>
          <w:szCs w:val="18"/>
          <w:color w:val="auto"/>
        </w:rPr>
      </w:pPr>
    </w:p>
    <w:p>
      <w:pPr>
        <w:ind w:left="380" w:hanging="264"/>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117" w:lineRule="exact"/>
        <w:rPr>
          <w:sz w:val="20"/>
          <w:szCs w:val="20"/>
          <w:color w:val="auto"/>
        </w:rPr>
      </w:pPr>
    </w:p>
    <w:p>
      <w:pPr>
        <w:ind w:left="120" w:right="40" w:hanging="4"/>
        <w:spacing w:after="0" w:line="290" w:lineRule="auto"/>
        <w:tabs>
          <w:tab w:leader="none" w:pos="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reflected on the balance sheet of the lessee as financing lease liabilities under generally accepted accounting principles but not including any indebtedness or obligations for which recourse is limited to one or more properties)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one or more properties)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57" w:lineRule="exact"/>
        <w:rPr>
          <w:rFonts w:ascii="Arial" w:cs="Arial" w:eastAsia="Arial" w:hAnsi="Arial"/>
          <w:sz w:val="16"/>
          <w:szCs w:val="16"/>
          <w:color w:val="auto"/>
        </w:rPr>
      </w:pPr>
    </w:p>
    <w:p>
      <w:pPr>
        <w:ind w:left="300" w:hanging="184"/>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117" w:lineRule="exact"/>
        <w:rPr>
          <w:sz w:val="20"/>
          <w:szCs w:val="20"/>
          <w:color w:val="auto"/>
        </w:rPr>
      </w:pPr>
    </w:p>
    <w:p>
      <w:pPr>
        <w:ind w:left="360" w:hanging="244"/>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17" w:lineRule="exact"/>
        <w:rPr>
          <w:rFonts w:ascii="Arial" w:cs="Arial" w:eastAsia="Arial" w:hAnsi="Arial"/>
          <w:sz w:val="18"/>
          <w:szCs w:val="18"/>
          <w:color w:val="auto"/>
        </w:rPr>
      </w:pPr>
    </w:p>
    <w:p>
      <w:pPr>
        <w:ind w:left="380" w:hanging="264"/>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117" w:lineRule="exact"/>
        <w:rPr>
          <w:rFonts w:ascii="Arial" w:cs="Arial" w:eastAsia="Arial" w:hAnsi="Arial"/>
          <w:sz w:val="18"/>
          <w:szCs w:val="18"/>
          <w:color w:val="auto"/>
        </w:rPr>
      </w:pPr>
    </w:p>
    <w:p>
      <w:pPr>
        <w:ind w:left="360" w:hanging="244"/>
        <w:spacing w:after="0"/>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 90 days.</w:t>
      </w:r>
    </w:p>
    <w:p>
      <w:pPr>
        <w:spacing w:after="0" w:line="140"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7. We or any of our significant subsidiaries do any of the following:</w:t>
      </w:r>
    </w:p>
    <w:p>
      <w:pPr>
        <w:spacing w:after="0" w:line="117" w:lineRule="exact"/>
        <w:rPr>
          <w:rFonts w:ascii="Arial" w:cs="Arial" w:eastAsia="Arial" w:hAnsi="Arial"/>
          <w:sz w:val="16"/>
          <w:szCs w:val="16"/>
          <w:color w:val="auto"/>
        </w:rPr>
      </w:pPr>
    </w:p>
    <w:p>
      <w:pPr>
        <w:ind w:left="360" w:hanging="244"/>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117" w:lineRule="exact"/>
        <w:rPr>
          <w:sz w:val="20"/>
          <w:szCs w:val="20"/>
          <w:color w:val="auto"/>
        </w:rPr>
      </w:pPr>
    </w:p>
    <w:p>
      <w:pPr>
        <w:ind w:left="120" w:right="240" w:hanging="4"/>
        <w:spacing w:after="0" w:line="277" w:lineRule="auto"/>
        <w:tabs>
          <w:tab w:leader="none" w:pos="3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62" w:lineRule="exact"/>
        <w:rPr>
          <w:rFonts w:ascii="Arial" w:cs="Arial" w:eastAsia="Arial" w:hAnsi="Arial"/>
          <w:sz w:val="18"/>
          <w:szCs w:val="18"/>
          <w:color w:val="auto"/>
        </w:rPr>
      </w:pPr>
    </w:p>
    <w:p>
      <w:pPr>
        <w:ind w:left="360" w:hanging="244"/>
        <w:spacing w:after="0"/>
        <w:tabs>
          <w:tab w:leader="none" w:pos="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128" w:lineRule="exact"/>
        <w:rPr>
          <w:rFonts w:ascii="Arial" w:cs="Arial" w:eastAsia="Arial" w:hAnsi="Arial"/>
          <w:sz w:val="17"/>
          <w:szCs w:val="17"/>
          <w:color w:val="auto"/>
        </w:rPr>
      </w:pPr>
    </w:p>
    <w:p>
      <w:pPr>
        <w:ind w:left="380" w:hanging="264"/>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Form</w:t>
      </w:r>
    </w:p>
    <w:p>
      <w:pPr>
        <w:spacing w:after="0" w:line="121"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7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96"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w:t>
      </w:r>
    </w:p>
    <w:p>
      <w:pPr>
        <w:spacing w:after="0" w:line="1" w:lineRule="exact"/>
        <w:rPr>
          <w:sz w:val="20"/>
          <w:szCs w:val="20"/>
          <w:color w:val="auto"/>
        </w:rPr>
      </w:pPr>
    </w:p>
    <w:p>
      <w:pPr>
        <w:ind w:left="120" w:right="60" w:hanging="4"/>
        <w:spacing w:after="0" w:line="271" w:lineRule="auto"/>
        <w:tabs>
          <w:tab w:leader="none" w:pos="3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8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68"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5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92"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4"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7"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6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70"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22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For a discussion of the material federal income tax issues that you may consider relevant relating to our taxation as a REIT, see “Material Federal Income Tax Considerations” beginning on page 29 of the accompanying prospectus. For a general discussion of the material U.S. federal income tax considerations applicable to the acquisition, ownership and disposition of the notes, see below under “— Taxation of Holders of the Notes.” These discussions apply only to initial beneficial owners of the notes who purchase notes in this offering at their issue price (as defined below) and who hold the notes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generation-skipping or gift tax) other than U.S. federal income tax considerations, that may be applicable to particular holders. This discussion does not address all the tax consequences that may be relevant to specific holders in light of their particular circumstances (including holders that are directly or indirectly related to us)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United States persons within the meaning of Section 7701(a)(30) of the Code (“United States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This discussion does not address the tax consequences applicable to taxpayers subject to Section 451(b) of the Code. Except as specifically provided below with respect to Non-U.S. Holders (as defined below), the discussion is limited to beneficial owners of notes that are U.S. Holders.</w:t>
      </w:r>
    </w:p>
    <w:p>
      <w:pPr>
        <w:spacing w:after="0" w:line="292" w:lineRule="exact"/>
        <w:rPr>
          <w:sz w:val="20"/>
          <w:szCs w:val="20"/>
          <w:color w:val="auto"/>
        </w:rPr>
      </w:pPr>
    </w:p>
    <w:p>
      <w:pPr>
        <w:ind w:left="120" w:right="640"/>
        <w:spacing w:after="0" w:line="312" w:lineRule="auto"/>
        <w:rPr>
          <w:sz w:val="20"/>
          <w:szCs w:val="20"/>
          <w:color w:val="auto"/>
        </w:rPr>
      </w:pPr>
      <w:r>
        <w:rPr>
          <w:rFonts w:ascii="Arial" w:cs="Arial" w:eastAsia="Arial" w:hAnsi="Arial"/>
          <w:sz w:val="17"/>
          <w:szCs w:val="17"/>
          <w:b w:val="1"/>
          <w:bCs w:val="1"/>
          <w:color w:val="auto"/>
        </w:rPr>
        <w:t>PROSPECTIVE INVESTORS SHOULD CONSULT THEIR TAX ADVISORS REGARDING THE U.S. FEDERAL, STATE, LOCAL, FOREIGN AND OTHER TAX CONSEQUENCES OF THE ACQUISITION, OWNERSHIP AND DISPOSITION OF THE NOTES.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Proposed and Enacted Legislation and IRS Guidance Affecting Taxation of Our Company</w:t>
      </w:r>
    </w:p>
    <w:p>
      <w:pPr>
        <w:spacing w:after="0" w:line="12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This discussion supplements and updates the discussion contained in the prospectus under the heading “Material Federal Income Tax Considerations,” and supersedes such discussion to the extent inconsistent with such discussion. As supplemented and updated by this summary, investors should review the discussion in the prospectus under the heading “Material Federal Income Tax Considerations” for a more detailed summary of the federal income tax consequences of our election to be subject to federal income tax as a REIT.</w:t>
      </w:r>
    </w:p>
    <w:p>
      <w:pPr>
        <w:spacing w:after="0" w:line="18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b w:val="1"/>
          <w:bCs w:val="1"/>
          <w:i w:val="1"/>
          <w:iCs w:val="1"/>
          <w:color w:val="auto"/>
        </w:rPr>
        <w:t xml:space="preserve">Distribution Requirement. </w:t>
      </w:r>
      <w:r>
        <w:rPr>
          <w:rFonts w:ascii="Arial" w:cs="Arial" w:eastAsia="Arial" w:hAnsi="Arial"/>
          <w:sz w:val="16"/>
          <w:szCs w:val="16"/>
          <w:color w:val="auto"/>
        </w:rPr>
        <w:t>We may satisfy the 90% distribution requirement with taxable distributions of our stock or debt securities. The IRS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issued private letter rulings to other REITs treating certain distributions that are paid partly in cash and partly in stock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provides that the IRS will treat distributions that, at the election of each stockholder, are paid partly in cash and partly in stock as dividends that satisfy the REIT annual distribution requirement and as distributions that qualify for the dividends paid deduction for federal income tax purposes, provided certain conditions are satisfied, including a requirement that at least 20% of the total dividend is available in cash. On May 4, 2020, the IRS issued another revenue procedure, which temporarily reduces (through the end of 2020) the minimum amount of the distribution that must be available in cash to 10%. We have no current intention to make such an elective cash/stock distribution or a distribution of debt securities, but in the event of an elective cash/stock distribution we expect to structure it so as to comply with the applicable revenue procedures. If we were to choose to make a cash/stock distribution, stockholders may be required to pay tax in excess of the cash that they receive or may be subject to withholding taxes, including with respect to all or a portion of such dividend that is payable in stock.</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b w:val="1"/>
          <w:bCs w:val="1"/>
          <w:i w:val="1"/>
          <w:iCs w:val="1"/>
          <w:color w:val="auto"/>
        </w:rPr>
        <w:t xml:space="preserve">Changes to Tax Laws and Regulations. </w:t>
      </w:r>
      <w:r>
        <w:rPr>
          <w:rFonts w:ascii="Arial" w:cs="Arial" w:eastAsia="Arial" w:hAnsi="Arial"/>
          <w:sz w:val="18"/>
          <w:szCs w:val="18"/>
          <w:color w:val="auto"/>
        </w:rPr>
        <w:t>The rules dealing with federal income taxation are subject to revision by the U.S. Congress, the IRS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Tax Cuts and Jobs Act of 2017. In addition, legislation, regulations and other guidance has been enacted to respond to the COVID-19 pandemic, including the 2020 CARES Act, and further legislative enactments and other IRS or Treasury action is possible. No prediction can be made as to the likelihood of passage of new tax legislation or other provisions, or the direct or indirect effect on us and our stockholders. Revisions to tax laws and interpretations of these laws could adversely affect our ability to qualify and be taxed as a REIT, as well as the tax or other consequences of an investment in our common or preferred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Holders of the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131"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84"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“Non-U.S. Holder” means any beneficial owner of a note that is neither a U.S. Holder nor an entity or arrangement treated as a partnership for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purposes.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b w:val="1"/>
          <w:bCs w:val="1"/>
          <w:i w:val="1"/>
          <w:iCs w:val="1"/>
          <w:color w:val="auto"/>
        </w:rPr>
        <w:t xml:space="preserve">Stated Interest on the Notes. </w:t>
      </w:r>
      <w:r>
        <w:rPr>
          <w:rFonts w:ascii="Arial" w:cs="Arial" w:eastAsia="Arial" w:hAnsi="Arial"/>
          <w:sz w:val="18"/>
          <w:szCs w:val="18"/>
          <w:color w:val="auto"/>
        </w:rPr>
        <w:t>A 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generally will be required to include stated interest payable on the notes as ordinary income when received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accrued in accordance with the U.S. Holder’s regular method of tax accounting to the extent such interest is “qualified stated interest.” In general, stated interest is qualified stated interest if it is unconditionally payable in cash at least annually at a single fixed rate or one or more qualified floating rates. The stated interest on the notes will be qualified stated interest.</w:t>
      </w:r>
    </w:p>
    <w:p>
      <w:pPr>
        <w:spacing w:after="0" w:line="18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b w:val="1"/>
          <w:bCs w:val="1"/>
          <w:i w:val="1"/>
          <w:iCs w:val="1"/>
          <w:color w:val="auto"/>
        </w:rPr>
        <w:t xml:space="preserve">OID and Issue Price of the Notes. </w:t>
      </w:r>
      <w:r>
        <w:rPr>
          <w:rFonts w:ascii="Arial" w:cs="Arial" w:eastAsia="Arial" w:hAnsi="Arial"/>
          <w:sz w:val="17"/>
          <w:szCs w:val="17"/>
          <w:color w:val="auto"/>
        </w:rPr>
        <w:t>A debt instrument generally has original issue discount, or OID, if its “stated redemption price at maturity” exceeds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its “issue price” by an amount that is equal to or greater than a statutory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176"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 xml:space="preserve">It is expected, and this discussion assumes, that the issue price of the notes will not be less than the stated principal amount of the notes by an amount that is equal to or greater than the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should consult their tax advisors regarding the determination of the issue price of the notes and the possible application of the OID rules.</w:t>
      </w:r>
    </w:p>
    <w:p>
      <w:pPr>
        <w:spacing w:after="0" w:line="184"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b w:val="1"/>
          <w:bCs w:val="1"/>
          <w:i w:val="1"/>
          <w:iCs w:val="1"/>
          <w:color w:val="auto"/>
        </w:rPr>
        <w:t xml:space="preserve">Sale, Exchange, Redemption, or Other Taxable Disposition of the Notes. </w:t>
      </w:r>
      <w:r>
        <w:rPr>
          <w:rFonts w:ascii="Arial" w:cs="Arial" w:eastAsia="Arial" w:hAnsi="Arial"/>
          <w:sz w:val="17"/>
          <w:szCs w:val="17"/>
          <w:color w:val="auto"/>
        </w:rPr>
        <w:t>Unless a non-recognition provision applies, upon the sale,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redemption or 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74"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i w:val="1"/>
          <w:iCs w:val="1"/>
          <w:color w:val="auto"/>
        </w:rPr>
        <w:t>Unearned Income Medicare Contribution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U.S. Holders that are individuals, estates or trusts are subject to a 3.8% Medicare tax on all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84" w:lineRule="exact"/>
        <w:rPr>
          <w:sz w:val="20"/>
          <w:szCs w:val="20"/>
          <w:color w:val="auto"/>
        </w:rPr>
      </w:pPr>
    </w:p>
    <w:p>
      <w:pPr>
        <w:ind w:left="120" w:right="1020"/>
        <w:spacing w:after="0" w:line="277" w:lineRule="auto"/>
        <w:rPr>
          <w:sz w:val="20"/>
          <w:szCs w:val="20"/>
          <w:color w:val="auto"/>
        </w:rPr>
      </w:pPr>
      <w:r>
        <w:rPr>
          <w:rFonts w:ascii="Arial" w:cs="Arial" w:eastAsia="Arial" w:hAnsi="Arial"/>
          <w:sz w:val="18"/>
          <w:szCs w:val="18"/>
          <w:b w:val="1"/>
          <w:bCs w:val="1"/>
          <w:i w:val="1"/>
          <w:iCs w:val="1"/>
          <w:color w:val="auto"/>
        </w:rPr>
        <w:t xml:space="preserve">U.S. Holders Holding Notes Through Foreign Accounts or Intermediaries. </w:t>
      </w:r>
      <w:r>
        <w:rPr>
          <w:rFonts w:ascii="Arial" w:cs="Arial" w:eastAsia="Arial" w:hAnsi="Arial"/>
          <w:sz w:val="18"/>
          <w:szCs w:val="18"/>
          <w:color w:val="auto"/>
        </w:rPr>
        <w:t>U.S. Holders holding their notes through foreign accounts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intermediaries should refer to “— Non-U.S. Holders — FATCA Regime” below.</w:t>
      </w:r>
    </w:p>
    <w:p>
      <w:pPr>
        <w:spacing w:after="0" w:line="166" w:lineRule="exact"/>
        <w:rPr>
          <w:sz w:val="20"/>
          <w:szCs w:val="20"/>
          <w:color w:val="auto"/>
        </w:rPr>
      </w:pPr>
    </w:p>
    <w:p>
      <w:pPr>
        <w:ind w:left="120" w:right="440"/>
        <w:spacing w:after="0" w:line="312" w:lineRule="auto"/>
        <w:rPr>
          <w:sz w:val="20"/>
          <w:szCs w:val="20"/>
          <w:color w:val="auto"/>
        </w:rPr>
      </w:pPr>
      <w:r>
        <w:rPr>
          <w:rFonts w:ascii="Arial" w:cs="Arial" w:eastAsia="Arial" w:hAnsi="Arial"/>
          <w:sz w:val="17"/>
          <w:szCs w:val="17"/>
          <w:b w:val="1"/>
          <w:bCs w:val="1"/>
          <w:i w:val="1"/>
          <w:iCs w:val="1"/>
          <w:color w:val="auto"/>
        </w:rPr>
        <w:t>Information Reporting and Backup Withholding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general, information reporting will apply to a U.S. Holder (other than an “exempt recipient,”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 corporation and certain other persons who, when required, demonstrate their exempt status) with respect to:</w:t>
      </w:r>
    </w:p>
    <w:p>
      <w:pPr>
        <w:spacing w:after="0" w:line="4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225"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16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184"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b w:val="1"/>
          <w:bCs w:val="1"/>
          <w:i w:val="1"/>
          <w:iCs w:val="1"/>
          <w:color w:val="auto"/>
        </w:rPr>
        <w:t xml:space="preserve">Interest on the Notes. </w:t>
      </w:r>
      <w:r>
        <w:rPr>
          <w:rFonts w:ascii="Arial" w:cs="Arial" w:eastAsia="Arial" w:hAnsi="Arial"/>
          <w:sz w:val="16"/>
          <w:szCs w:val="16"/>
          <w:color w:val="auto"/>
        </w:rPr>
        <w:t>Subject to the rules described below under “— Information Reporting and Backup Withholding” and “— FATCA Regime,”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Holder generally will not be subject to U.S. federal income or withholding tax on payments of interest on a note, provided that:</w:t>
      </w:r>
    </w:p>
    <w:p>
      <w:pPr>
        <w:spacing w:after="0" w:line="2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direct, indirect or constructive owner of 10% or more of our voting stock;</w:t>
      </w:r>
    </w:p>
    <w:p>
      <w:pPr>
        <w:spacing w:after="0" w:line="130" w:lineRule="exact"/>
        <w:rPr>
          <w:rFonts w:ascii="Arial" w:cs="Arial" w:eastAsia="Arial" w:hAnsi="Arial"/>
          <w:sz w:val="18"/>
          <w:szCs w:val="18"/>
          <w:color w:val="auto"/>
        </w:rPr>
      </w:pPr>
    </w:p>
    <w:p>
      <w:pPr>
        <w:ind w:left="5460" w:right="4280" w:hanging="4251"/>
        <w:spacing w:after="0" w:line="490" w:lineRule="auto"/>
        <w:tabs>
          <w:tab w:leader="none" w:pos="1539" w:val="left"/>
        </w:tabs>
        <w:numPr>
          <w:ilvl w:val="1"/>
          <w:numId w:val="21"/>
        </w:numPr>
        <w:rPr>
          <w:rFonts w:ascii="Arial" w:cs="Arial" w:eastAsia="Arial" w:hAnsi="Arial"/>
          <w:sz w:val="17"/>
          <w:szCs w:val="17"/>
          <w:color w:val="auto"/>
        </w:rPr>
      </w:pPr>
      <w:r>
        <w:rPr>
          <w:rFonts w:ascii="Arial" w:cs="Arial" w:eastAsia="Arial" w:hAnsi="Arial"/>
          <w:sz w:val="17"/>
          <w:szCs w:val="17"/>
          <w:color w:val="auto"/>
        </w:rPr>
        <w:t>a controlled foreign corporation related to us through stock ownership; or S-20</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 bank whose receipt of interest on a note is pursuant to a loan agreement entered into in the ordinary course of business;</w:t>
      </w:r>
    </w:p>
    <w:p>
      <w:pPr>
        <w:spacing w:after="0" w:line="142" w:lineRule="exact"/>
        <w:rPr>
          <w:rFonts w:ascii="Arial" w:cs="Arial" w:eastAsia="Arial" w:hAnsi="Arial"/>
          <w:sz w:val="17"/>
          <w:szCs w:val="17"/>
          <w:color w:val="auto"/>
        </w:rPr>
      </w:pPr>
    </w:p>
    <w:p>
      <w:pPr>
        <w:ind w:left="1080" w:right="3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interest payments are not effectively connected with the conduct by the Non-U.S. Holder of a trade or business within the United States; and</w:t>
      </w:r>
    </w:p>
    <w:p>
      <w:pPr>
        <w:spacing w:after="0" w:line="75" w:lineRule="exact"/>
        <w:rPr>
          <w:rFonts w:ascii="Arial" w:cs="Arial" w:eastAsia="Arial" w:hAnsi="Arial"/>
          <w:sz w:val="18"/>
          <w:szCs w:val="18"/>
          <w:color w:val="auto"/>
        </w:rPr>
      </w:pPr>
    </w:p>
    <w:p>
      <w:pPr>
        <w:ind w:left="1080" w:right="180" w:hanging="424"/>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146"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 Non-U.S. Holder that is not exempt from tax under these rules generally will be subject to U.S. federal income tax withholding at a rate of 30% unless:</w:t>
      </w:r>
    </w:p>
    <w:p>
      <w:pPr>
        <w:spacing w:after="0" w:line="76" w:lineRule="exact"/>
        <w:rPr>
          <w:sz w:val="20"/>
          <w:szCs w:val="20"/>
          <w:color w:val="auto"/>
        </w:rPr>
      </w:pPr>
    </w:p>
    <w:p>
      <w:pPr>
        <w:ind w:left="1080" w:right="1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Non-U.S. Holder is entitled to the benefits of an applicable income tax treaty, which provides for a lower rate of, or exemption from, withholding tax.</w:t>
      </w:r>
    </w:p>
    <w:p>
      <w:pPr>
        <w:spacing w:after="0" w:line="170"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United States persons. A Non-U.S. Holder that is treated as a corporation for U.S. federal income tax purposes may also be subject to a branch profits tax, which is generally imposed on a foreign corporation on the actual or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federal income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may be required to be periodically updated.</w:t>
      </w:r>
    </w:p>
    <w:p>
      <w:pPr>
        <w:spacing w:after="0" w:line="182"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 Information Reporting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Backup Withholding” and “— FATCA Regime,” a Non-U.S. Holder generally will not be subject to U.S. federal income or withholding tax on gain from the sale, exchange, redemption or other taxable disposition of a note unless:</w:t>
      </w:r>
    </w:p>
    <w:p>
      <w:pPr>
        <w:spacing w:after="0" w:line="89" w:lineRule="exact"/>
        <w:rPr>
          <w:sz w:val="20"/>
          <w:szCs w:val="20"/>
          <w:color w:val="auto"/>
        </w:rPr>
      </w:pPr>
    </w:p>
    <w:p>
      <w:pPr>
        <w:ind w:left="1080" w:right="20" w:hanging="424"/>
        <w:spacing w:after="0" w:line="34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70"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United States persons. A Non-U.S. Holder that is treated as a corporation for U.S. federal income tax purposes may also be subject to the branch profits tax described above. If such gains are realized by a Non-U.S. Holder who is an individual present in the United States for 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Interest on the Notes.” Non-U.S. Holders should consult their tax advisors on the treatment of any accrued but unpaid interest on the notes.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Payments to a Non-U.S. Holder of interest on a note generally will be reported to the IRS and to</w:t>
      </w:r>
    </w:p>
    <w:p>
      <w:pPr>
        <w:spacing w:after="0" w:line="46"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the 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United States person for U.S. federal income tax purposes, as described under the heading “— Interest on the Notes” above, has been received or an exemption has otherwise been established provided that neither we nor our paying agent have actual knowledge or reason to know that the Non-U.S. Holder is a United States person or that the conditions of any other exemption are not, in fact, satisfied.</w:t>
      </w:r>
    </w:p>
    <w:p>
      <w:pPr>
        <w:spacing w:after="0" w:line="19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8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derives 50% or more of its gross income for a specified three-year period from the conduct of a trade or business in the United States;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is a “controlled foreign corporation” (a foreign corporation controlled by certain U.S. shareholders) for U.S. federal income tax purposes;</w:t>
      </w:r>
    </w:p>
    <w:p>
      <w:pPr>
        <w:spacing w:after="0" w:line="153" w:lineRule="exact"/>
        <w:rPr>
          <w:rFonts w:ascii="Arial" w:cs="Arial" w:eastAsia="Arial" w:hAnsi="Arial"/>
          <w:sz w:val="16"/>
          <w:szCs w:val="16"/>
          <w:color w:val="auto"/>
        </w:rPr>
      </w:pPr>
    </w:p>
    <w:p>
      <w:pPr>
        <w:ind w:left="1080" w:right="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United States persons or if it is engaged in the conduct of a trade or business in the United States;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a U.S. branch of a foreign bank or insurance company that is treated as a United States person;</w:t>
      </w:r>
    </w:p>
    <w:p>
      <w:pPr>
        <w:spacing w:after="0" w:line="225"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176"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16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b w:val="1"/>
          <w:bCs w:val="1"/>
          <w:i w:val="1"/>
          <w:iCs w:val="1"/>
          <w:color w:val="auto"/>
        </w:rPr>
        <w:t>FATCA Regime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sections 1471 through 1474 of the Code, Treasury regulations and related guidance (commonly referred to as “FATCA”), a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withholding tax will be imposed in certain circumstances on payments of (i) interest on the notes and (ii) subject to the proposed Treasury regulations discussed below, gross proceeds from the sale or other disposition of the notes (which includes redemption and retirement of the notes). Proposed Treasury regulations would, when finalized, eliminate FATCA withholding on the gross proceeds from a sale or other disposition of instruments, such as the notes, that produce U.S. source interest. In the preamble to such proposed Treasury regulations, the IRS stated that taxpayers and withholding agents may generally rely on the proposed Treasury regulations until final Treasury regulations are issued.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provides the withholding agent with a certification as to its FATCA status and, in certain cases, identifies any “substantial” U.S. owner (generally, any specified United States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interest on the notes or payments in retirement or redemption of the notes,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notes.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We intend to offer the notes through the underwriters named below, for whom BofA Securities, Inc., Deutsche Bank Securities Inc., J.P. Morgan Securities LLC and Wells Fargo Securities, LLC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7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5960" w:type="dxa"/>
            <w:vAlign w:val="bottom"/>
            <w:vMerge w:val="restart"/>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9"/>
              </w:rPr>
              <w:t>Amount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5960" w:type="dxa"/>
            <w:vAlign w:val="bottom"/>
            <w:vMerge w:val="continue"/>
          </w:tcPr>
          <w:p>
            <w:pPr>
              <w:spacing w:after="0"/>
              <w:rPr>
                <w:sz w:val="15"/>
                <w:szCs w:val="15"/>
                <w:color w:val="auto"/>
              </w:rPr>
            </w:pPr>
          </w:p>
        </w:tc>
        <w:tc>
          <w:tcPr>
            <w:tcW w:w="74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03"/>
        </w:trPr>
        <w:tc>
          <w:tcPr>
            <w:tcW w:w="6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6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18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 We cannot assure the liquidity of the trading market 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public offering price, depending on prevailing interest rates, the market for similar securities, our operating performance and financial condition, general economic conditions and other factors.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$750,000.</w:t>
      </w:r>
    </w:p>
    <w:p>
      <w:pPr>
        <w:spacing w:after="0" w:line="225"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 of the principal amount of the notes. The underwriters may allow, and the dealers may reallow, a discount not in excess of % of the principal amount of the notes on sales to other dealers. After the initial offering, the public offering price and concession to dealers may be changed.</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2"/>
              </w:rPr>
              <w:t>Paid by Us</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6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Short Positions</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In connection with this offering, the representatives, on behalf of the underwriters, may purchase and sell notes in the open market. These transactions may include short sales and purchases on the open market to cover positions created by short sales. Short sales involve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w:t>
      </w:r>
    </w:p>
    <w:p>
      <w:pPr>
        <w:spacing w:after="0" w:line="15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These activities may have the effect of raising or maintaining the market price of the notes or preventing or retarding a decline in the market price of the notes. They may also cause the price of the notes to be higher than the price that otherwise would exist in the open market in the absence of these transactions. 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Affiliates of certain of the underwriters are lenders under our revolving credit facility and unsecured term loan and/or may be beneficial owners of some of our 2.55% Notes due 2021 and/or 3.00% Notes due 2022. Any such affiliates will receive a pro rata portion of the net proceeds used to repay amounts outstanding under our revolving credit facility and unsecured term loan and/or to redeem our 2.55% Notes due 2021 and 3.00% Notes due 2022.</w:t>
      </w:r>
    </w:p>
    <w:p>
      <w:pPr>
        <w:spacing w:after="0" w:line="2"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 U.S. Bank National Association, the trustee under the indenture, is an affiliate of U.S. Bancorp Investments, Inc., one of the underwriters.</w:t>
      </w:r>
    </w:p>
    <w:p>
      <w:pPr>
        <w:spacing w:after="0" w:line="184"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jc w:val="both"/>
        <w:ind w:left="120" w:right="540"/>
        <w:spacing w:after="0" w:line="287" w:lineRule="auto"/>
        <w:rPr>
          <w:sz w:val="20"/>
          <w:szCs w:val="20"/>
          <w:color w:val="auto"/>
        </w:rPr>
      </w:pPr>
      <w:r>
        <w:rPr>
          <w:rFonts w:ascii="Arial" w:cs="Arial" w:eastAsia="Arial" w:hAnsi="Arial"/>
          <w:sz w:val="16"/>
          <w:szCs w:val="16"/>
          <w:color w:val="auto"/>
        </w:rPr>
        <w:t>The communication of this prospectus supplement, the accompanying prospectus, any related free writing prospectus, and any other document or materials relating to the issue of the notes offered hereby is not being made, and such documents and/or materials have not been approved, by an authorized person for the purposes of section 21 of the United Kingdom’s Financial Services and Markets Act 2000, as amended (the “FSMA”).</w:t>
      </w:r>
    </w:p>
    <w:p>
      <w:pPr>
        <w:spacing w:after="0" w:line="2"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Accordingly, such documents and/or materials are not being distributed to, and must not be passed on to, the general public in the United Kingdom. The communication of such documents and/or materials as a financial promotion is only being made to those persons in the United Kingdom who have professional experience in matters relating to investments and who fall within the definition of investment professionals (as defined in Article 19(5) of the Financial Services and Markets Act 2000 (Financial Promotion) Order 2005, as amended (the “Financial Promotion Order”)) or who fall within Article 49(2)(a) to (d) of the Financial Promotion Order or who are any other persons to whom it may otherwise lawfully be communicated under the Financial Promotion Order (all such persons being referred to as “relevant persons”). In the United Kingdom, the notes are only available to, and any investment or investment activity to which this prospectus supplement and the accompanying prospectus relate will be engaged in only with, relevant persons. Any person in the United Kingdom who is not a relevant person should not act or rely on this prospectus supplement or the accompanying prospectus or any of their contents.</w:t>
      </w:r>
    </w:p>
    <w:p>
      <w:pPr>
        <w:spacing w:after="0" w:line="181"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FSMA) in connection with the issue or sale of the notes may only be communicated or caused to be communicated in circumstances in which Section 21(1) of the FSMA does not apply to Federal Realty Investment Trust.</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notes in, from or otherwise involving the United Kingdom.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the United Kingdom</w:t>
      </w:r>
    </w:p>
    <w:p>
      <w:pPr>
        <w:spacing w:after="0" w:line="117"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Neither this prospectus supplement nor the accompanying prospectus and any related free writing prospectus is a prospectus for the purposes of the Prospectus Regulation (as defined below). This prospectus supplement, the accompanying prospectus and any related free writing prospectus have been prepared on the basis that any offer of notes in any Member State of the European Economic Area (the “EEA”) or in the United Kingdom (each, a “Relevant State”) will only be made to a legal entity which is a qualified investor under the Prospectus Regulation (“Qualified Investors”). Accordingly any person making or intending to make an offer in that Relevant State of notes which are the subject of the offering contemplated in this prospectus supplement, the accompanying prospectus and any related free writing prospectus may only do so with respect to Qualified Investors. Neither Federal Realty Investment Trust nor the underwriters have authorized, nor do they authorize, the making of any offer of notes other than to Qualified Investors. The expression “Prospectus Regulation” means Regulation (EU) 2017/1129.</w:t>
      </w:r>
    </w:p>
    <w:p>
      <w:pPr>
        <w:spacing w:after="0" w:line="178"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i w:val="1"/>
          <w:iCs w:val="1"/>
          <w:color w:val="auto"/>
        </w:rPr>
        <w:t xml:space="preserve">Prohibition of Sales to EEA and United Kingdom Retail Investors </w:t>
      </w:r>
      <w:r>
        <w:rPr>
          <w:rFonts w:ascii="Arial" w:cs="Arial" w:eastAsia="Arial" w:hAnsi="Arial"/>
          <w:sz w:val="16"/>
          <w:szCs w:val="16"/>
          <w:color w:val="auto"/>
        </w:rPr>
        <w:t>– The notes are not intended to be offered, sold or otherwise made available to and</w:t>
      </w:r>
      <w:r>
        <w:rPr>
          <w:rFonts w:ascii="Arial" w:cs="Arial" w:eastAsia="Arial" w:hAnsi="Arial"/>
          <w:sz w:val="16"/>
          <w:szCs w:val="16"/>
          <w:i w:val="1"/>
          <w:iCs w:val="1"/>
          <w:color w:val="auto"/>
        </w:rPr>
        <w:t xml:space="preserve"> </w:t>
      </w:r>
      <w:r>
        <w:rPr>
          <w:rFonts w:ascii="Arial" w:cs="Arial" w:eastAsia="Arial" w:hAnsi="Arial"/>
          <w:sz w:val="16"/>
          <w:szCs w:val="16"/>
          <w:color w:val="auto"/>
        </w:rPr>
        <w:t>should not be offered, sold or otherwise made available to any retail investor in the EEA or the United Kingdom. For these purposes: (1) a retail investor means a person who is one (or more) of: (a) a retail client as defined in point (11) of Article 4(1) of Directive 2014/65/EU, as amended (“MiFID II”); or</w:t>
      </w:r>
    </w:p>
    <w:p>
      <w:pPr>
        <w:spacing w:after="0" w:line="2" w:lineRule="exact"/>
        <w:rPr>
          <w:sz w:val="20"/>
          <w:szCs w:val="20"/>
          <w:color w:val="auto"/>
        </w:rPr>
      </w:pPr>
    </w:p>
    <w:p>
      <w:pPr>
        <w:ind w:left="120" w:hanging="4"/>
        <w:spacing w:after="0" w:line="269" w:lineRule="auto"/>
        <w:tabs>
          <w:tab w:leader="none" w:pos="37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customer within the meaning of Directive (EU) 2016/97 (the Insurance Distribution Directive), where that customer would not qualify as a professional client as defined in point (10) of Article 4(1) of MiFID II; or (c) not a qualified investor as defined in the Prospectus Regulation; and (2)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or in the United Kingdom may be unlawful under the PRIIPs Regulation.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 xml:space="preserve">The notes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notes must be made in accordance with an exemption from, or in a transaction not subject to, the prospectus requirements of applicable securities laws.</w:t>
      </w:r>
    </w:p>
    <w:p>
      <w:pPr>
        <w:spacing w:after="0" w:line="17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11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Neither this prospectus supplement nor any other offering material relating to the notes described in this prospectus supplement has been submitted to the clearance procedures of the Autorite des Marches Financiers or of the competent authority of another member state of the European Economic Area and notified to the Autorite des Marches Financiers. The notes have not been offered or sold and will not be offered or sold, directly or indirectly, to the public in France. Neither this prospectus supplement nor any other offering material relating to the notes has been or will be:</w:t>
      </w:r>
    </w:p>
    <w:p>
      <w:pPr>
        <w:spacing w:after="0" w:line="63"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1100" w:right="3300" w:hanging="444"/>
        <w:spacing w:after="0" w:line="446" w:lineRule="auto"/>
        <w:tabs>
          <w:tab w:leader="none" w:pos="1081"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 Such offers, sales and distributions will be made in France only:</w:t>
      </w:r>
    </w:p>
    <w:p>
      <w:pPr>
        <w:ind w:left="1080" w:right="14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monetaire et financier;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 -or-2° -or 3° of the French Code monetaire et financier and article 211-2 of the General Regulations (Reglement General) of the Autorite des Marches Financiers, does not constitute a public offer (appelpublic dl’epargne).</w:t>
      </w:r>
    </w:p>
    <w:p>
      <w:pPr>
        <w:spacing w:after="0" w:line="184"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The notes may be resold directly or indirectly, only in compliance with articles L.411-1, L.411-2, L.412-1 and L.621-8 through L.621-8-3 of the French Code monétaire etfinancier.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Germany</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Any offer or solicitation of the notes within Germany must be in full compliance with the German Securities Prospectus Act Wertpapierprospektgesetz —WpPG. The offer and solicitation of the notes to the public in Germany requires the publication of a prospectus that has to be filed with and approved by the German Federal Financial Services Supervisory Authority Bundesanstalt fur Finanzdienstleistungsaufsicht—BaFin. This prospectus supplement has not been and will not be submitted for filing and approval to the BaFin and consequently will not be published. Therefore, this prospectus supplement does not constitute a public offer under the German Securities Prospectus Act Wertpapierprospektgesetz. This prospectus supplement and any other document relating to the notes as well as any information contained therein must therefore not be supplied to the public in Germany or used in connection with any offer for subscription of the notes to the public in Germany, any public marketing of the notes or any public solicitation for offers to subscribe for or otherwise acquire the notes. This prospectus supplement and other offering materials relating to the offer of the notes are strictly confidential and may not be distributed to any person or entity other than the designated recipients hereof.</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117"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color w:val="auto"/>
        </w:rPr>
        <w:t>This prospectus supplement and the accompanying prospectus do not constitute a prospectus under the Israeli Securities Law, 5728-1968 (the “Securities Law”), and have not been filed with or approved by the Israel Securities Authority. In Israel, this prospectus supplement and the accompanying prospectus are being distributed only to, and are directed only at, and any offer of the notes is directed only at (i) a limited number of persons in accordance with the Securities Law and (ii) investors listed in the first addendum (the “Addendum”), to the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Norway</w:t>
      </w:r>
    </w:p>
    <w:p>
      <w:pPr>
        <w:spacing w:after="0" w:line="117"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This offer of the notes and the related materials do not constitute a prospectus under Norwegian law and have not been filed with or approved by the Norwegian Financial Supervisory Authority, the Oslo Stock Exchange or the Norwegian Registry of Business Enterprises, as the offer of the notes and the related materials have not been prepared in the context of a public offering of securities in Norway within the meaning of the Norwegian Securities Trading Act or any Regulations issued pursuant thereto. The offer of the notes will only be directed to qualified investors as defined in the Norwegian Securities Regulation section 7-1 or in accordance with other relevant exceptions from the prospectus requirements. Accordingly, the offer of the notes and the related materials may not be made available to the public in Norway nor may the offer of the notes otherwise be marketed and offered to the public in Norway.</w:t>
      </w: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audited consolidated financial statements, schedules and management’s assessment of the effectiveness of our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underwriters.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171450</wp:posOffset>
            </wp:positionV>
            <wp:extent cx="2245995" cy="908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24599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700"/>
        <w:spacing w:after="0"/>
        <w:rPr>
          <w:sz w:val="20"/>
          <w:szCs w:val="20"/>
          <w:color w:val="auto"/>
        </w:rPr>
      </w:pPr>
      <w:r>
        <w:rPr>
          <w:rFonts w:ascii="Arial" w:cs="Arial" w:eastAsia="Arial" w:hAnsi="Arial"/>
          <w:sz w:val="22"/>
          <w:szCs w:val="22"/>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213995</wp:posOffset>
            </wp:positionV>
            <wp:extent cx="1474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8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194945</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date of this prospectus is May 7, 2018.</w:t>
      </w:r>
    </w:p>
    <w:p>
      <w:pPr>
        <w:sectPr>
          <w:pgSz w:w="11900" w:h="16838" w:orient="portrait"/>
          <w:cols w:equalWidth="0" w:num="1">
            <w:col w:w="11060"/>
          </w:cols>
          <w:pgMar w:left="320" w:top="459"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100" w:type="dxa"/>
            <w:vAlign w:val="bottom"/>
            <w:gridSpan w:val="3"/>
          </w:tcPr>
          <w:p>
            <w:pPr>
              <w:jc w:val="center"/>
              <w:ind w:right="386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392"/>
        </w:trPr>
        <w:tc>
          <w:tcPr>
            <w:tcW w:w="3880" w:type="dxa"/>
            <w:vAlign w:val="bottom"/>
            <w:vMerge w:val="restart"/>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About this Prospectus</w:t>
              </w:r>
            </w:hyperlink>
          </w:p>
        </w:tc>
        <w:tc>
          <w:tcPr>
            <w:tcW w:w="678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24"/>
        </w:trPr>
        <w:tc>
          <w:tcPr>
            <w:tcW w:w="3880" w:type="dxa"/>
            <w:vAlign w:val="bottom"/>
            <w:vMerge w:val="continue"/>
          </w:tcPr>
          <w:p>
            <w:pPr>
              <w:spacing w:after="0"/>
              <w:rPr>
                <w:sz w:val="19"/>
                <w:szCs w:val="19"/>
                <w:color w:val="auto"/>
              </w:rPr>
            </w:pPr>
          </w:p>
        </w:tc>
        <w:tc>
          <w:tcPr>
            <w:tcW w:w="678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88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Forward-Looking Statements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Prospectus Summary</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Risk Factors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Use of Proceeds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Description of Debt Securities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Description of Shares of Beneficial Interest</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Material Federal Income Tax Considerations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Plan of Distribution</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Legal Matters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Experts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Where You Can Find More Information</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64"/>
        </w:trPr>
        <w:tc>
          <w:tcPr>
            <w:tcW w:w="3880" w:type="dxa"/>
            <w:vAlign w:val="bottom"/>
          </w:tcPr>
          <w:p>
            <w:pPr>
              <w:spacing w:after="0"/>
              <w:rPr>
                <w:sz w:val="24"/>
                <w:szCs w:val="24"/>
                <w:color w:val="auto"/>
              </w:rPr>
            </w:pPr>
          </w:p>
        </w:tc>
        <w:tc>
          <w:tcPr>
            <w:tcW w:w="7100" w:type="dxa"/>
            <w:vAlign w:val="bottom"/>
            <w:gridSpan w:val="3"/>
          </w:tcPr>
          <w:p>
            <w:pPr>
              <w:jc w:val="center"/>
              <w:ind w:right="3860"/>
              <w:spacing w:after="0"/>
              <w:rPr>
                <w:sz w:val="20"/>
                <w:szCs w:val="20"/>
                <w:color w:val="auto"/>
              </w:rPr>
            </w:pPr>
            <w:r>
              <w:rPr>
                <w:rFonts w:ascii="Arial" w:cs="Arial" w:eastAsia="Arial" w:hAnsi="Arial"/>
                <w:sz w:val="18"/>
                <w:szCs w:val="18"/>
                <w:color w:val="auto"/>
                <w:w w:val="98"/>
              </w:rPr>
              <w:t>i</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9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913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998970" cy="69132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20" w:firstLine="426"/>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2018, we owned or had a majority interest in community and neighborhood shopping centers and mixed-use properties which are operated as 104 predominantly retail real estate projects comprising approximately 24.2 million square feet. In total, the real estate projects were 94.8% leased and 93.3% occupied at March 31, 2018. We have paid quarterly dividends to our shareholders continuously since our founding in 1962 and have increased our dividends per common share for 50 consecutive years.</w:t>
      </w:r>
    </w:p>
    <w:p>
      <w:pPr>
        <w:spacing w:after="0" w:line="195"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auto"/>
        </w:rPr>
        <w:t>We have qualified for taxation as a REIT pursuant to the Internal Revenue Code of 1986, as amended, or the Code, since we were founded, and we intend to operate in a manner that will allow us to maintain such qualification.</w:t>
      </w:r>
    </w:p>
    <w:p>
      <w:pPr>
        <w:spacing w:after="0" w:line="170" w:lineRule="exact"/>
        <w:rPr>
          <w:sz w:val="20"/>
          <w:szCs w:val="20"/>
          <w:color w:val="auto"/>
        </w:rPr>
      </w:pPr>
    </w:p>
    <w:p>
      <w:pPr>
        <w:ind w:left="300" w:right="140" w:firstLine="426"/>
        <w:spacing w:after="0" w:line="291" w:lineRule="auto"/>
        <w:rPr>
          <w:sz w:val="20"/>
          <w:szCs w:val="20"/>
          <w:color w:val="auto"/>
        </w:rPr>
      </w:pPr>
      <w:r>
        <w:rPr>
          <w:rFonts w:ascii="Arial" w:cs="Arial" w:eastAsia="Arial" w:hAnsi="Arial"/>
          <w:sz w:val="16"/>
          <w:szCs w:val="16"/>
          <w:color w:val="auto"/>
        </w:rPr>
        <w:t>We were founded in 1962 as a REIT under the laws of the District of Columbia and re-formed as a real estate investment trust in the state of Maryland in 1999. Our principal executive offices are located at 1626 East Jefferson Street, Rockville, Maryland 20852. Our telephone number is</w:t>
      </w:r>
    </w:p>
    <w:p>
      <w:pPr>
        <w:ind w:left="300" w:right="40" w:hanging="2"/>
        <w:spacing w:after="0" w:line="260"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Ratios of Earnings to Fixed Charges and Combined Fixed Charges and Preferred Share Dividends</w:t>
      </w:r>
    </w:p>
    <w:p>
      <w:pPr>
        <w:spacing w:after="0" w:line="229"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The following table sets forth our historical ratios of earnings to fixed charges and combined Fixed Charges and preferred share dividends for the periods indicated:</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For the Three Months</w:t>
            </w:r>
          </w:p>
        </w:tc>
        <w:tc>
          <w:tcPr>
            <w:tcW w:w="300" w:type="dxa"/>
            <w:vAlign w:val="bottom"/>
          </w:tcPr>
          <w:p>
            <w:pPr>
              <w:spacing w:after="0"/>
              <w:rPr>
                <w:sz w:val="14"/>
                <w:szCs w:val="14"/>
                <w:color w:val="auto"/>
              </w:rPr>
            </w:pPr>
          </w:p>
        </w:tc>
        <w:tc>
          <w:tcPr>
            <w:tcW w:w="226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w w:val="93"/>
              </w:rPr>
              <w:t>For the Years Ended December 31,</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Ended March 31,</w:t>
            </w:r>
          </w:p>
        </w:tc>
        <w:tc>
          <w:tcPr>
            <w:tcW w:w="300" w:type="dxa"/>
            <w:vAlign w:val="bottom"/>
          </w:tcPr>
          <w:p>
            <w:pPr>
              <w:spacing w:after="0"/>
              <w:rPr>
                <w:sz w:val="14"/>
                <w:szCs w:val="14"/>
                <w:color w:val="auto"/>
              </w:rPr>
            </w:pPr>
          </w:p>
        </w:tc>
        <w:tc>
          <w:tcPr>
            <w:tcW w:w="2260" w:type="dxa"/>
            <w:vAlign w:val="bottom"/>
            <w:gridSpan w:val="7"/>
            <w:vMerge w:val="continue"/>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1360" w:type="dxa"/>
            <w:vAlign w:val="bottom"/>
            <w:tcBorders>
              <w:top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46" w:lineRule="exact"/>
        <w:rPr>
          <w:sz w:val="20"/>
          <w:szCs w:val="20"/>
          <w:color w:val="auto"/>
        </w:rPr>
      </w:pPr>
    </w:p>
    <w:p>
      <w:pPr>
        <w:ind w:left="300" w:hanging="2"/>
        <w:spacing w:after="0" w:line="253" w:lineRule="auto"/>
        <w:tabs>
          <w:tab w:leader="none" w:pos="5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3" w:lineRule="exact"/>
        <w:rPr>
          <w:sz w:val="20"/>
          <w:szCs w:val="20"/>
          <w:color w:val="auto"/>
        </w:rPr>
      </w:pPr>
    </w:p>
    <w:p>
      <w:pPr>
        <w:ind w:left="300" w:right="80" w:firstLine="426"/>
        <w:spacing w:after="0" w:line="254" w:lineRule="auto"/>
        <w:rPr>
          <w:sz w:val="20"/>
          <w:szCs w:val="20"/>
          <w:color w:val="auto"/>
        </w:rPr>
      </w:pPr>
      <w:r>
        <w:rPr>
          <w:rFonts w:ascii="Arial" w:cs="Arial" w:eastAsia="Arial" w:hAnsi="Arial"/>
          <w:sz w:val="18"/>
          <w:szCs w:val="18"/>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Investing in our securities involves risks. Before making an investment decision, please consider the risks described under the caption “Risk Factors” in our Annual Report on Form 10-K for the fiscal year ended December 31, 2017,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jc w:val="both"/>
        <w:ind w:left="120" w:right="600" w:firstLine="440"/>
        <w:spacing w:after="0" w:line="311"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54"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determining such date or dates.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calculating such rate or rates.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Interest Accrual. </w:t>
      </w:r>
      <w:r>
        <w:rPr>
          <w:rFonts w:ascii="Arial" w:cs="Arial" w:eastAsia="Arial" w:hAnsi="Arial"/>
          <w:sz w:val="17"/>
          <w:szCs w:val="17"/>
          <w:color w:val="auto"/>
        </w:rPr>
        <w:t>The date or dates from which interest will accrue or the method by which such date or dates will be determined.</w:t>
      </w:r>
    </w:p>
    <w:p>
      <w:pPr>
        <w:spacing w:after="0" w:line="142" w:lineRule="exact"/>
        <w:rPr>
          <w:rFonts w:ascii="Arial" w:cs="Arial" w:eastAsia="Arial" w:hAnsi="Arial"/>
          <w:sz w:val="17"/>
          <w:szCs w:val="17"/>
          <w:color w:val="auto"/>
        </w:rPr>
      </w:pPr>
    </w:p>
    <w:p>
      <w:pPr>
        <w:ind w:left="1080" w:right="40" w:hanging="532"/>
        <w:spacing w:after="0" w:line="34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1080" w:right="4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the offered debt securities may be surrendered for registration of transfer or exchange.</w:t>
      </w:r>
    </w:p>
    <w:p>
      <w:pPr>
        <w:spacing w:after="0" w:line="75"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dollars), including currency unit or units, in which, and the other terms and conditions upon which, the offered debt securities may be redeemed, in whole or in part, at our option, if we have that option.</w:t>
      </w:r>
    </w:p>
    <w:p>
      <w:pPr>
        <w:spacing w:after="0" w:line="48"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Mandatory Redemption. </w:t>
      </w:r>
      <w:r>
        <w:rPr>
          <w:rFonts w:ascii="Arial" w:cs="Arial" w:eastAsia="Arial" w:hAnsi="Arial"/>
          <w:sz w:val="18"/>
          <w:szCs w:val="18"/>
          <w:color w:val="auto"/>
        </w:rPr>
        <w:t>The obligation, if any, we have to redeem or repurchase the offered debt securities pursuant to any sinking fund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similar provisions or upon the happening of a specified event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63" w:lineRule="auto"/>
        <w:rPr>
          <w:sz w:val="20"/>
          <w:szCs w:val="20"/>
          <w:color w:val="auto"/>
        </w:rPr>
      </w:pPr>
      <w:r>
        <w:rPr>
          <w:rFonts w:ascii="Arial" w:cs="Arial" w:eastAsia="Arial" w:hAnsi="Arial"/>
          <w:sz w:val="18"/>
          <w:szCs w:val="18"/>
          <w:color w:val="auto"/>
        </w:rPr>
        <w:t>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8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1080" w:right="180" w:hanging="532"/>
        <w:spacing w:after="0" w:line="279"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Currency. </w:t>
      </w:r>
      <w:r>
        <w:rPr>
          <w:rFonts w:ascii="Arial" w:cs="Arial" w:eastAsia="Arial" w:hAnsi="Arial"/>
          <w:sz w:val="17"/>
          <w:szCs w:val="17"/>
          <w:color w:val="auto"/>
        </w:rPr>
        <w:t>The currency or currency unit in which the offered debt securities may be denominated and/or the currency or currencies,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76" w:lineRule="exact"/>
        <w:rPr>
          <w:rFonts w:ascii="Arial" w:cs="Arial" w:eastAsia="Arial" w:hAnsi="Arial"/>
          <w:sz w:val="17"/>
          <w:szCs w:val="17"/>
          <w:color w:val="auto"/>
        </w:rPr>
      </w:pPr>
    </w:p>
    <w:p>
      <w:pPr>
        <w:ind w:left="1080" w:right="340" w:hanging="532"/>
        <w:spacing w:after="0" w:line="308"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Indexed Principal. </w:t>
      </w:r>
      <w:r>
        <w:rPr>
          <w:rFonts w:ascii="Arial" w:cs="Arial" w:eastAsia="Arial" w:hAnsi="Arial"/>
          <w:sz w:val="17"/>
          <w:szCs w:val="17"/>
          <w:color w:val="auto"/>
        </w:rPr>
        <w:t>If the amount of principal of, or premium, if any, or interest on, the offered debt securities may be determined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reference to an index or pursuant to a formula or other method, the manner in which such amounts will be determined.</w:t>
      </w:r>
    </w:p>
    <w:p>
      <w:pPr>
        <w:spacing w:after="0" w:line="5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53" w:lineRule="exact"/>
        <w:rPr>
          <w:rFonts w:ascii="Arial" w:cs="Arial" w:eastAsia="Arial" w:hAnsi="Arial"/>
          <w:sz w:val="16"/>
          <w:szCs w:val="16"/>
          <w:color w:val="auto"/>
        </w:rPr>
      </w:pPr>
    </w:p>
    <w:p>
      <w:pPr>
        <w:ind w:left="1080" w:right="12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persons for taxes, assessments or similar charges.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30" w:lineRule="exact"/>
        <w:rPr>
          <w:rFonts w:ascii="Arial" w:cs="Arial" w:eastAsia="Arial" w:hAnsi="Arial"/>
          <w:sz w:val="18"/>
          <w:szCs w:val="18"/>
          <w:color w:val="auto"/>
        </w:rPr>
      </w:pPr>
    </w:p>
    <w:p>
      <w:pPr>
        <w:ind w:left="1080" w:right="460" w:hanging="532"/>
        <w:spacing w:after="0" w:line="308"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Dates of Certificates. </w:t>
      </w:r>
      <w:r>
        <w:rPr>
          <w:rFonts w:ascii="Arial" w:cs="Arial" w:eastAsia="Arial" w:hAnsi="Arial"/>
          <w:sz w:val="17"/>
          <w:szCs w:val="17"/>
          <w:color w:val="auto"/>
        </w:rPr>
        <w:t>The date as of which any offered debt securities in bearer form and any temporary global security representing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securities are dated, if other than the original issuance date of the offered debt securities.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Global Securities. </w:t>
      </w:r>
      <w:r>
        <w:rPr>
          <w:rFonts w:ascii="Arial" w:cs="Arial" w:eastAsia="Arial" w:hAnsi="Arial"/>
          <w:sz w:val="17"/>
          <w:szCs w:val="17"/>
          <w:color w:val="auto"/>
        </w:rPr>
        <w:t>Whether the offered debt securities are to be issued in whole or in part in the form of one or more temporary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permanent 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76"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9" w:lineRule="exact"/>
        <w:rPr>
          <w:rFonts w:ascii="Arial" w:cs="Arial" w:eastAsia="Arial" w:hAnsi="Arial"/>
          <w:sz w:val="18"/>
          <w:szCs w:val="18"/>
          <w:color w:val="auto"/>
        </w:rPr>
      </w:pPr>
    </w:p>
    <w:p>
      <w:pPr>
        <w:ind w:left="1080" w:right="160" w:hanging="532"/>
        <w:spacing w:after="0" w:line="34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payable and the manner in which, or the person to whom, any interest on any bearer securities of the series will be payable.</w:t>
      </w:r>
    </w:p>
    <w:p>
      <w:pPr>
        <w:spacing w:after="0" w:line="29" w:lineRule="exact"/>
        <w:rPr>
          <w:rFonts w:ascii="Arial" w:cs="Arial" w:eastAsia="Arial" w:hAnsi="Arial"/>
          <w:sz w:val="16"/>
          <w:szCs w:val="16"/>
          <w:color w:val="auto"/>
        </w:rPr>
      </w:pPr>
    </w:p>
    <w:p>
      <w:pPr>
        <w:ind w:left="1080" w:right="80" w:hanging="532"/>
        <w:spacing w:after="0" w:line="308"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applicable indenture, including, without limitation, the definition of “unrestricted subsidiary” to be used for such series.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Subordination. </w:t>
      </w:r>
      <w:r>
        <w:rPr>
          <w:rFonts w:ascii="Arial" w:cs="Arial" w:eastAsia="Arial" w:hAnsi="Arial"/>
          <w:sz w:val="18"/>
          <w:szCs w:val="18"/>
          <w:color w:val="auto"/>
        </w:rPr>
        <w:t>In the case of any subordinated indenture that we may enter into, the relative degree to which the offered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senior to or junior to other debt securities, whether currently outstanding or to be offered in the future, and to other debt, in right of payment.</w:t>
      </w:r>
    </w:p>
    <w:p>
      <w:pPr>
        <w:spacing w:after="0" w:line="89" w:lineRule="exact"/>
        <w:rPr>
          <w:rFonts w:ascii="Arial" w:cs="Arial" w:eastAsia="Arial" w:hAnsi="Arial"/>
          <w:sz w:val="18"/>
          <w:szCs w:val="18"/>
          <w:color w:val="auto"/>
        </w:rPr>
      </w:pPr>
    </w:p>
    <w:p>
      <w:pPr>
        <w:ind w:left="1080" w:right="520" w:hanging="532"/>
        <w:spacing w:after="0" w:line="34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guarantees (including whether and the extent to which the guarantees are subordinated to other debt of the guarantors).</w:t>
      </w:r>
    </w:p>
    <w:p>
      <w:pPr>
        <w:spacing w:after="0" w:line="29" w:lineRule="exact"/>
        <w:rPr>
          <w:rFonts w:ascii="Arial" w:cs="Arial" w:eastAsia="Arial" w:hAnsi="Arial"/>
          <w:sz w:val="16"/>
          <w:szCs w:val="16"/>
          <w:color w:val="auto"/>
        </w:rPr>
      </w:pPr>
    </w:p>
    <w:p>
      <w:pPr>
        <w:ind w:left="1080" w:right="20" w:hanging="532"/>
        <w:spacing w:after="0" w:line="311"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54"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Terms. </w:t>
      </w:r>
      <w:r>
        <w:rPr>
          <w:rFonts w:ascii="Arial" w:cs="Arial" w:eastAsia="Arial" w:hAnsi="Arial"/>
          <w:sz w:val="18"/>
          <w:szCs w:val="18"/>
          <w:color w:val="auto"/>
        </w:rPr>
        <w:t>Any other terms not inconsistent with the terms of the applicable indenture pertaining to the offered debt securities or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required or advisable under U.S. laws or regulations or advisable, as we determine, in connection with marketing of securities of the series.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1080" w:right="60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ind w:left="1080" w:right="46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other currency may be a currency unit composed of various currencies. Payments on debt securities may also be based on an index.</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w:t>
      </w:r>
    </w:p>
    <w:p>
      <w:pPr>
        <w:spacing w:after="0" w:line="34" w:lineRule="exact"/>
        <w:rPr>
          <w:sz w:val="20"/>
          <w:szCs w:val="20"/>
          <w:color w:val="auto"/>
        </w:rPr>
      </w:pPr>
    </w:p>
    <w:p>
      <w:pPr>
        <w:jc w:val="both"/>
        <w:ind w:left="120" w:right="140"/>
        <w:spacing w:after="0" w:line="325" w:lineRule="auto"/>
        <w:rPr>
          <w:sz w:val="20"/>
          <w:szCs w:val="20"/>
          <w:color w:val="auto"/>
        </w:rPr>
      </w:pPr>
      <w:r>
        <w:rPr>
          <w:rFonts w:ascii="Arial" w:cs="Arial" w:eastAsia="Arial" w:hAnsi="Arial"/>
          <w:sz w:val="16"/>
          <w:szCs w:val="16"/>
          <w:color w:val="auto"/>
        </w:rPr>
        <w:t>amounts on the debt securities is U.S. Bank National Association, 214 North Tryon Street, 27</w:t>
      </w:r>
      <w:r>
        <w:rPr>
          <w:rFonts w:ascii="Arial" w:cs="Arial" w:eastAsia="Arial" w:hAnsi="Arial"/>
          <w:sz w:val="13"/>
          <w:szCs w:val="13"/>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42"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may issue debt securities of a series in the form of one or more fully registered global securities. Each registered global security will:</w:t>
      </w:r>
    </w:p>
    <w:p>
      <w:pPr>
        <w:spacing w:after="0" w:line="142"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4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good 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Payment of Taxes and Other Claims. </w:t>
      </w:r>
      <w:r>
        <w:rPr>
          <w:rFonts w:ascii="Arial" w:cs="Arial" w:eastAsia="Arial" w:hAnsi="Arial"/>
          <w:sz w:val="17"/>
          <w:szCs w:val="17"/>
          <w:color w:val="auto"/>
        </w:rPr>
        <w:t>We will pay or discharge or cause to be paid or discharged, before they shall become delinquent:</w:t>
      </w:r>
    </w:p>
    <w:p>
      <w:pPr>
        <w:spacing w:after="0" w:line="142"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Provision of Financial Information. </w:t>
      </w:r>
      <w:r>
        <w:rPr>
          <w:rFonts w:ascii="Arial" w:cs="Arial" w:eastAsia="Arial" w:hAnsi="Arial"/>
          <w:sz w:val="18"/>
          <w:szCs w:val="18"/>
          <w:color w:val="auto"/>
        </w:rPr>
        <w:t>Whether or not we are subject to Section 13 or 15(d) of the Exchange Act, we will, within 15 days of each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respective dates by which we would have been required to file annual reports, quarterly reports and other documents with the SEC if we were so subject:</w:t>
      </w:r>
    </w:p>
    <w:p>
      <w:pPr>
        <w:spacing w:after="0" w:line="89" w:lineRule="exact"/>
        <w:rPr>
          <w:sz w:val="20"/>
          <w:szCs w:val="20"/>
          <w:color w:val="auto"/>
        </w:rPr>
      </w:pPr>
    </w:p>
    <w:p>
      <w:pPr>
        <w:ind w:left="1080" w:right="40" w:hanging="532"/>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9"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540" w:right="60" w:hanging="439"/>
        <w:spacing w:after="0" w:line="263" w:lineRule="auto"/>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9"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1080" w:right="140" w:hanging="532"/>
        <w:spacing w:after="0" w:line="342"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540" w:right="320" w:hanging="439"/>
        <w:spacing w:after="0" w:line="259"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92" w:lineRule="exact"/>
        <w:rPr>
          <w:rFonts w:ascii="Arial" w:cs="Arial" w:eastAsia="Arial" w:hAnsi="Arial"/>
          <w:sz w:val="18"/>
          <w:szCs w:val="18"/>
          <w:color w:val="auto"/>
        </w:rPr>
      </w:pPr>
    </w:p>
    <w:p>
      <w:pPr>
        <w:ind w:left="1540" w:right="280" w:hanging="439"/>
        <w:spacing w:after="0" w:line="277"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Unless we say otherwise in a prospectus supplement, there will be no restrictions in any subordinated indenture upon the creation of additional senior debt.</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we may not:</w:t>
      </w:r>
    </w:p>
    <w:p>
      <w:pPr>
        <w:spacing w:after="0" w:line="76"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54"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left="120" w:right="580" w:firstLine="440"/>
        <w:spacing w:after="0" w:line="263"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9" w:lineRule="exact"/>
        <w:rPr>
          <w:sz w:val="20"/>
          <w:szCs w:val="20"/>
          <w:color w:val="auto"/>
        </w:rPr>
      </w:pPr>
    </w:p>
    <w:p>
      <w:pPr>
        <w:ind w:left="1080" w:right="6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that is 179 days after receipt of notice (unless we have previously been required to pay all amounts owing on the applicable senior debt);</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the default and all other similar defaults as to which notice has been given shall have been cured, waived or shall have ceased to exist;</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the applicable senior debt (and all other senior debt as to which notice has been given) shall have been discharged or paid in full; and</w:t>
      </w:r>
    </w:p>
    <w:p>
      <w:pPr>
        <w:spacing w:after="0" w:line="75"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left="120" w:right="360" w:firstLine="436"/>
        <w:spacing w:after="0" w:line="277" w:lineRule="auto"/>
        <w:tabs>
          <w:tab w:leader="none" w:pos="7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left="120" w:right="120" w:firstLine="436"/>
        <w:spacing w:after="0" w:line="277" w:lineRule="auto"/>
        <w:tabs>
          <w:tab w:leader="none" w:pos="7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720" w:hanging="164"/>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left="120" w:firstLine="436"/>
        <w:spacing w:after="0" w:line="263" w:lineRule="auto"/>
        <w:tabs>
          <w:tab w:leader="none" w:pos="7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4" w:lineRule="exact"/>
        <w:rPr>
          <w:sz w:val="20"/>
          <w:szCs w:val="20"/>
          <w:color w:val="auto"/>
        </w:rPr>
      </w:pPr>
    </w:p>
    <w:p>
      <w:pPr>
        <w:ind w:left="800" w:hanging="244"/>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left="120" w:right="160" w:firstLine="436"/>
        <w:spacing w:after="0" w:line="290" w:lineRule="auto"/>
        <w:tabs>
          <w:tab w:leader="none" w:pos="737"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65" w:lineRule="exact"/>
        <w:rPr>
          <w:rFonts w:ascii="Arial" w:cs="Arial" w:eastAsia="Arial" w:hAnsi="Arial"/>
          <w:sz w:val="16"/>
          <w:szCs w:val="16"/>
          <w:color w:val="auto"/>
        </w:rPr>
      </w:pPr>
    </w:p>
    <w:p>
      <w:pPr>
        <w:ind w:left="740" w:hanging="184"/>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800" w:hanging="244"/>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appoints a receiver in respect of us or any of our significant subsidiaries or for all or substantially all of the property of any of us; or</w:t>
      </w:r>
    </w:p>
    <w:p>
      <w:pPr>
        <w:spacing w:after="0" w:line="236" w:lineRule="exact"/>
        <w:rPr>
          <w:rFonts w:ascii="Arial" w:cs="Arial" w:eastAsia="Arial" w:hAnsi="Arial"/>
          <w:sz w:val="17"/>
          <w:szCs w:val="17"/>
          <w:color w:val="auto"/>
        </w:rPr>
      </w:pPr>
    </w:p>
    <w:p>
      <w:pPr>
        <w:ind w:left="800" w:hanging="244"/>
        <w:spacing w:after="0"/>
        <w:tabs>
          <w:tab w:leader="none" w:pos="8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 90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days.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7. We or any of our significant subsidiaries do any of the following:</w:t>
      </w:r>
    </w:p>
    <w:p>
      <w:pPr>
        <w:spacing w:after="0" w:line="225" w:lineRule="exact"/>
        <w:rPr>
          <w:sz w:val="20"/>
          <w:szCs w:val="20"/>
          <w:color w:val="auto"/>
        </w:rPr>
      </w:pPr>
    </w:p>
    <w:p>
      <w:pPr>
        <w:ind w:left="800" w:hanging="244"/>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left="120" w:right="240" w:firstLine="436"/>
        <w:spacing w:after="0" w:line="277" w:lineRule="auto"/>
        <w:tabs>
          <w:tab w:leader="none" w:pos="8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800" w:hanging="244"/>
        <w:spacing w:after="0"/>
        <w:tabs>
          <w:tab w:leader="none" w:pos="8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consent to the appointment of a receiver in respect of us or any of our significant subsidiaries for all or substantially all of our or its property;</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820" w:hanging="264"/>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waive any past default except for:</w:t>
      </w:r>
    </w:p>
    <w:p>
      <w:pPr>
        <w:spacing w:after="0" w:line="76"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i w:val="1"/>
          <w:iCs w:val="1"/>
          <w:color w:val="auto"/>
        </w:rPr>
        <w:t xml:space="preserve">Acceleration of Payment. </w:t>
      </w:r>
      <w:r>
        <w:rPr>
          <w:rFonts w:ascii="Arial" w:cs="Arial" w:eastAsia="Arial" w:hAnsi="Arial"/>
          <w:sz w:val="18"/>
          <w:szCs w:val="18"/>
          <w:color w:val="auto"/>
        </w:rPr>
        <w:t>Unless we say otherwise in a prospectus supplement, each indenture provides or will provide that if an event of default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92"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540" w:right="280" w:hanging="439"/>
        <w:spacing w:after="0" w:line="277" w:lineRule="auto"/>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540" w:right="460" w:hanging="439"/>
        <w:spacing w:after="0" w:line="277" w:lineRule="auto"/>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57"/>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540" w:right="620" w:hanging="439"/>
        <w:spacing w:after="0" w:line="277" w:lineRule="auto"/>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than 120 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of 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8"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powers 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5"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4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9" w:lineRule="exact"/>
        <w:rPr>
          <w:sz w:val="20"/>
          <w:szCs w:val="20"/>
          <w:color w:val="auto"/>
        </w:rPr>
      </w:pPr>
    </w:p>
    <w:p>
      <w:pPr>
        <w:ind w:left="1080" w:right="42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108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must irrevocably deposit with the trustee, in trust, for the benefit of the holders of the debt securities of the applicable series, an amount in (i)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71"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9" w:lineRule="exact"/>
        <w:rPr>
          <w:sz w:val="20"/>
          <w:szCs w:val="20"/>
          <w:color w:val="auto"/>
        </w:rPr>
      </w:pPr>
    </w:p>
    <w:p>
      <w:pPr>
        <w:ind w:left="108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jc w:val="both"/>
        <w:ind w:left="1080" w:right="140" w:hanging="532"/>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9"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1080" w:right="40" w:hanging="532"/>
        <w:spacing w:after="0" w:line="311"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92"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9"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108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adds to our covenants for the benefit of the holders of all or any series of debt securities or surrenders any of our rights or powers;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1080" w:right="60" w:hanging="532"/>
        <w:spacing w:after="0" w:line="25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4"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82"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and Series C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the articles supplementary with respect to our Series 1 preferred shares, and the articles supplementary with respect to our Series C preferred shares.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declaration of trust allows us to issue up to 100,000,000 common shares of beneficial interest, par value $0.01 per share, and 15,000,000 preferred shares of beneficial interest, par value $0.01 per share. As of May 4, 2018, we had issued and outstanding 73,221,458 common shares, 399,896 preferred shares, which are designated as 5.417% Series 1 Cumulative Convertible Preferred Shares, which we refer to as the Series 1 preferred shares, and 6,000 preferred shares, which are designated as 5.000% Series C Cumulative Redeemable Preferred Shares, which we refer to as the Series C preferred shares.</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take the following actions without approval by you or any shareholder:</w:t>
      </w:r>
    </w:p>
    <w:p>
      <w:pPr>
        <w:spacing w:after="0" w:line="76" w:lineRule="exact"/>
        <w:rPr>
          <w:sz w:val="20"/>
          <w:szCs w:val="20"/>
          <w:color w:val="auto"/>
        </w:rPr>
      </w:pPr>
    </w:p>
    <w:p>
      <w:pPr>
        <w:ind w:left="1080" w:right="620" w:hanging="532"/>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amend the declaration of trust to change the authorized number of shares of any class or series of shares of beneficial interest.</w:t>
      </w:r>
    </w:p>
    <w:p>
      <w:pPr>
        <w:spacing w:after="0" w:line="23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8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71" w:lineRule="exact"/>
        <w:rPr>
          <w:sz w:val="20"/>
          <w:szCs w:val="20"/>
          <w:color w:val="auto"/>
        </w:rPr>
      </w:pPr>
    </w:p>
    <w:p>
      <w:pPr>
        <w:ind w:left="1080" w:right="80" w:hanging="532"/>
        <w:spacing w:after="0" w:line="279"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79"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76" w:lineRule="exact"/>
        <w:rPr>
          <w:rFonts w:ascii="Arial" w:cs="Arial" w:eastAsia="Arial" w:hAnsi="Arial"/>
          <w:sz w:val="17"/>
          <w:szCs w:val="17"/>
          <w:color w:val="auto"/>
        </w:rPr>
      </w:pPr>
    </w:p>
    <w:p>
      <w:pPr>
        <w:ind w:left="1080" w:right="100" w:hanging="532"/>
        <w:spacing w:after="0" w:line="311"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54" w:lineRule="exact"/>
        <w:rPr>
          <w:rFonts w:ascii="Arial" w:cs="Arial" w:eastAsia="Arial" w:hAnsi="Arial"/>
          <w:sz w:val="16"/>
          <w:szCs w:val="16"/>
          <w:color w:val="auto"/>
        </w:rPr>
      </w:pPr>
    </w:p>
    <w:p>
      <w:pPr>
        <w:ind w:left="1080" w:right="36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The Series 1 preferred shares rank pari pasu with the Series C preferred shares and senior to the common shares with respect to the payment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92"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Series 1 preferred share is entitled to receive, when, as and if authorized by our Board of Trustees out of funds legally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that purpose, cumulative preferential dividends payable in cash at a rate of 5.417% of the liquidation price of $25, which is equivalent to $1.35425 per annum.</w:t>
      </w:r>
    </w:p>
    <w:p>
      <w:pPr>
        <w:spacing w:after="0" w:line="184"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$25 per share, plus all accrued and unpaid dividends, before any distribution shall be made with respect to the common shares.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Conversion Rights. </w:t>
      </w:r>
      <w:r>
        <w:rPr>
          <w:rFonts w:ascii="Arial" w:cs="Arial" w:eastAsia="Arial" w:hAnsi="Arial"/>
          <w:sz w:val="17"/>
          <w:szCs w:val="17"/>
          <w:color w:val="auto"/>
        </w:rPr>
        <w:t>Subject to other applicable provisions within the articles supplementary for the Series 1 preferred shares, from the date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issuance, 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7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New York,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C Preferred Shares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September 2017, we issued 6,000 Series C preferred shares and we filed articles supplementary to our declaration of trust setting forth the terms of the Series C preferred shares. Below is a brief description of the terms of the Series C preferred shares, which is subject to and qualified in its entirety by reference to the articles supplementary.</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i w:val="1"/>
          <w:iCs w:val="1"/>
          <w:color w:val="auto"/>
        </w:rPr>
        <w:t xml:space="preserve">Rank. </w:t>
      </w:r>
      <w:r>
        <w:rPr>
          <w:rFonts w:ascii="Arial" w:cs="Arial" w:eastAsia="Arial" w:hAnsi="Arial"/>
          <w:sz w:val="16"/>
          <w:szCs w:val="16"/>
          <w:color w:val="auto"/>
        </w:rPr>
        <w:t>The Series C preferred shares rank pari pasu with the Series 1 preferred shares and senior to the common shares with respect to the 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dividends and the distribution of assets upon our liquidation, dissolution or winding up. Our declaration of trust provides that, unless full cumulative dividends on all outstanding Series C preferred shares and any other class or series of our shares of beneficial interest ranking, as to the payment of dividends and the distribution of assets upon liquidation, dissolution or winding up, on parity with the Series C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C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68"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Series C preferred share is entitled to receive, when, as and if authorized by our Board of Trustees out of funds legally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that purpose, cumulative preferential dividends payable in cash at a rate of 5.000% of the liquidation price of $25,000, which is equivalent to $1,250 per annum.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C preferred shares shall be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$25,000 per share, plus all accrued and unpaid dividends, before any distribution shall be made with respect to the common shares.</w:t>
      </w:r>
    </w:p>
    <w:p>
      <w:pPr>
        <w:spacing w:after="0" w:line="124"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The Series C preferred shares generally have no voting rights. However, if and whenever dividends payable on the Series 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Series C preferred shares have no conversion rights.</w:t>
      </w:r>
    </w:p>
    <w:p>
      <w:pPr>
        <w:spacing w:after="0" w:line="22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Redemption by the Trust. </w:t>
      </w:r>
      <w:r>
        <w:rPr>
          <w:rFonts w:ascii="Arial" w:cs="Arial" w:eastAsia="Arial" w:hAnsi="Arial"/>
          <w:sz w:val="18"/>
          <w:szCs w:val="18"/>
          <w:color w:val="auto"/>
        </w:rPr>
        <w:t>The Series C preferred shares may be redeemed for cash, in whole or from time to time in part, on any date on or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29, 2022 at the option of the Trust at a price per share equal to $25,000.00 plus accrued and unpaid dividends thereon, if any, to, but excluding, the redemption date.</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Depositary Shares. </w:t>
      </w:r>
      <w:r>
        <w:rPr>
          <w:rFonts w:ascii="Arial" w:cs="Arial" w:eastAsia="Arial" w:hAnsi="Arial"/>
          <w:sz w:val="16"/>
          <w:szCs w:val="16"/>
          <w:color w:val="auto"/>
        </w:rPr>
        <w:t>Interests in the Series C preferred shares are represented by depositary shares, which we refer to as the Series C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Each Series C depositary share represents a 1/1000th fractional interest in a Series C preferred share. The Series C preferred shares have been deposited with American Stock Transfer &amp;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Stock Exchange Listing. </w:t>
      </w:r>
      <w:r>
        <w:rPr>
          <w:rFonts w:ascii="Arial" w:cs="Arial" w:eastAsia="Arial" w:hAnsi="Arial"/>
          <w:sz w:val="16"/>
          <w:szCs w:val="16"/>
          <w:color w:val="auto"/>
        </w:rPr>
        <w:t>The Series C depositary shares are traded on the New York Stock Exchange under the trading symbol “FRTPRC.”</w:t>
      </w:r>
    </w:p>
    <w:p>
      <w:pPr>
        <w:spacing w:after="0" w:line="24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C preferred shares is American Stock Transfer &amp; Trust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New York,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4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Terms. </w:t>
      </w:r>
      <w:r>
        <w:rPr>
          <w:rFonts w:ascii="Arial" w:cs="Arial" w:eastAsia="Arial" w:hAnsi="Arial"/>
          <w:sz w:val="18"/>
          <w:szCs w:val="18"/>
          <w:color w:val="auto"/>
        </w:rPr>
        <w:t>You should refer to the prospectus supplement relating to the offering of any preferred shares for specific terms, including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w:t>
      </w:r>
    </w:p>
    <w:p>
      <w:pPr>
        <w:spacing w:after="0" w:line="76"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1080" w:right="78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70"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and rights upon our liquidation, dissolution or winding up, rank:</w:t>
      </w:r>
    </w:p>
    <w:p>
      <w:pPr>
        <w:spacing w:after="0" w:line="76"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Subject to any preferential rights of any outstanding shares or series of shares and to the provisions of our declaration of trust regarding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mandatory redemption or redemption at our option, in whole or in part, in each case upon the terms, at the times and at the redemption prices set forth in that supplement.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7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prospectus supplement relating to the offering of those preferred shares. These terms typically will include:</w:t>
      </w:r>
    </w:p>
    <w:p>
      <w:pPr>
        <w:spacing w:after="0" w:line="76"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We may issue receipts for depositary shares, each of which will represent a fractional interest of a share of a particular series of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May 4, 2018, we had 6,000,000 depositary shares issued and outstanding, each representing a 1/1000th fractional interest in a Series C preferred share. See “—Series C Preferred Shares.”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6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Redemption of Depositary Shares. </w:t>
      </w:r>
      <w:r>
        <w:rPr>
          <w:rFonts w:ascii="Arial" w:cs="Arial" w:eastAsia="Arial" w:hAnsi="Arial"/>
          <w:sz w:val="17"/>
          <w:szCs w:val="17"/>
          <w:color w:val="auto"/>
        </w:rPr>
        <w:t>If we redeem a series of preferred shares represented by depositary receipts, the depositary will redeem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depositary 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7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w:t>
      </w:r>
    </w:p>
    <w:p>
      <w:pPr>
        <w:spacing w:after="0" w:line="3" w:lineRule="exact"/>
        <w:rPr>
          <w:sz w:val="20"/>
          <w:szCs w:val="20"/>
          <w:color w:val="auto"/>
        </w:rPr>
      </w:pPr>
    </w:p>
    <w:p>
      <w:pPr>
        <w:ind w:left="120" w:right="60"/>
        <w:spacing w:after="0" w:line="295" w:lineRule="auto"/>
        <w:rPr>
          <w:sz w:val="20"/>
          <w:szCs w:val="20"/>
          <w:color w:val="auto"/>
        </w:rPr>
      </w:pPr>
      <w:r>
        <w:rPr>
          <w:rFonts w:ascii="Arial" w:cs="Arial" w:eastAsia="Arial" w:hAnsi="Arial"/>
          <w:sz w:val="16"/>
          <w:szCs w:val="16"/>
          <w:color w:val="auto"/>
        </w:rPr>
        <w:t>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61"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 holder of depositary shares, to the fraction of the liquidation preference accorded each applicable preferred share, as has been set forth in a prospectus supplement.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5"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1080" w:right="80" w:hanging="532"/>
        <w:spacing w:after="0" w:line="342"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29" w:lineRule="exact"/>
        <w:rPr>
          <w:rFonts w:ascii="Arial" w:cs="Arial" w:eastAsia="Arial" w:hAnsi="Arial"/>
          <w:sz w:val="16"/>
          <w:szCs w:val="16"/>
          <w:color w:val="auto"/>
        </w:rPr>
      </w:pPr>
    </w:p>
    <w:p>
      <w:pPr>
        <w:ind w:left="1080" w:right="30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Charges of Depositary. </w:t>
      </w:r>
      <w:r>
        <w:rPr>
          <w:rFonts w:ascii="Arial" w:cs="Arial" w:eastAsia="Arial" w:hAnsi="Arial"/>
          <w:sz w:val="17"/>
          <w:szCs w:val="17"/>
          <w:color w:val="auto"/>
        </w:rPr>
        <w:t>We will pay all transfer and other taxes and governmental charges arising solely from the existence of the depositary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71"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b w:val="1"/>
          <w:bCs w:val="1"/>
          <w:i w:val="1"/>
          <w:iCs w:val="1"/>
          <w:color w:val="auto"/>
        </w:rPr>
        <w:t xml:space="preserve">Miscellaneous. </w:t>
      </w:r>
      <w:r>
        <w:rPr>
          <w:rFonts w:ascii="Arial" w:cs="Arial" w:eastAsia="Arial" w:hAnsi="Arial"/>
          <w:sz w:val="17"/>
          <w:szCs w:val="17"/>
          <w:color w:val="auto"/>
        </w:rPr>
        <w:t>The depositary will forward to you all reports and communications from us that we are required, or otherwise determine,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furnish to 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6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59"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92" w:lineRule="exact"/>
        <w:rPr>
          <w:rFonts w:ascii="Arial" w:cs="Arial" w:eastAsia="Arial" w:hAnsi="Arial"/>
          <w:sz w:val="18"/>
          <w:szCs w:val="18"/>
          <w:color w:val="auto"/>
        </w:rPr>
      </w:pPr>
    </w:p>
    <w:p>
      <w:pPr>
        <w:ind w:left="1080" w:right="200" w:hanging="532"/>
        <w:spacing w:after="0" w:line="308" w:lineRule="auto"/>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1" w:lineRule="exact"/>
        <w:rPr>
          <w:rFonts w:ascii="Arial" w:cs="Arial" w:eastAsia="Arial" w:hAnsi="Arial"/>
          <w:sz w:val="17"/>
          <w:szCs w:val="17"/>
          <w:color w:val="auto"/>
        </w:rPr>
      </w:pPr>
    </w:p>
    <w:p>
      <w:pPr>
        <w:ind w:left="1080" w:right="260" w:hanging="532"/>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b w:val="1"/>
          <w:bCs w:val="1"/>
          <w:i w:val="1"/>
          <w:iCs w:val="1"/>
          <w:color w:val="auto"/>
        </w:rPr>
        <w:t>Automatic Transfer of Shares to Trust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certain exceptions described below, if any purported transfer of shares would violate any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91"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5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54"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540" w:right="240" w:hanging="439"/>
        <w:spacing w:after="0" w:line="277" w:lineRule="auto"/>
        <w:tabs>
          <w:tab w:leader="none" w:pos="15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6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9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6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left="120" w:right="40" w:firstLine="440"/>
        <w:spacing w:after="0" w:line="281"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designation, number and terms of the preferred shares or common shares that may be purchased on exercise of the warrant;</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summary of certain provisions of the Maryland General Corporation Law and our declaration of trust and bylaws is not complete.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should read the Maryland General Corporation Law and our declaration of trust and bylaws for more complete information.</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91"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89"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61" w:lineRule="exact"/>
        <w:rPr>
          <w:sz w:val="20"/>
          <w:szCs w:val="20"/>
          <w:color w:val="auto"/>
        </w:rPr>
      </w:pPr>
    </w:p>
    <w:p>
      <w:pPr>
        <w:jc w:val="both"/>
        <w:ind w:left="120" w:right="120" w:firstLine="440"/>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b w:val="1"/>
          <w:bCs w:val="1"/>
          <w:i w:val="1"/>
          <w:iCs w:val="1"/>
          <w:color w:val="auto"/>
        </w:rPr>
        <w:t xml:space="preserve">Number of Trustees. </w:t>
      </w:r>
      <w:r>
        <w:rPr>
          <w:rFonts w:ascii="Arial" w:cs="Arial" w:eastAsia="Arial" w:hAnsi="Arial"/>
          <w:sz w:val="17"/>
          <w:szCs w:val="17"/>
          <w:color w:val="auto"/>
        </w:rPr>
        <w:t>The number of trustees may be increased or decreased pursuant to the bylaws, provided that the total number of trustees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be less than five or more than 10. Under Maryland law and our declaration of trust, trustees are elected for one-year terms.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60" w:firstLine="440"/>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cause, as defined in our declaration of trust, by the vote of all the other trustees or the shareholders may remove a trustee, with or without cause, at any meeting of shareholders called for that purpose, either by:</w:t>
      </w:r>
    </w:p>
    <w:p>
      <w:pPr>
        <w:spacing w:after="0" w:line="85" w:lineRule="exact"/>
        <w:rPr>
          <w:sz w:val="20"/>
          <w:szCs w:val="20"/>
          <w:color w:val="auto"/>
        </w:rPr>
      </w:pPr>
    </w:p>
    <w:p>
      <w:pPr>
        <w:ind w:left="1080" w:right="28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left="120" w:right="280" w:firstLine="440"/>
        <w:spacing w:after="0" w:line="303"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5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80"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b w:val="1"/>
          <w:bCs w:val="1"/>
          <w:i w:val="1"/>
          <w:iCs w:val="1"/>
          <w:color w:val="auto"/>
        </w:rPr>
        <w:t>Advance Notice for Shareholder Nominations and Shareholder New Business Proposals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require advance written notice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4"/>
          <w:szCs w:val="14"/>
          <w:color w:val="auto"/>
        </w:rPr>
        <w:t>th</w:t>
      </w:r>
      <w:r>
        <w:rPr>
          <w:rFonts w:ascii="Arial" w:cs="Arial" w:eastAsia="Arial" w:hAnsi="Arial"/>
          <w:sz w:val="17"/>
          <w:szCs w:val="17"/>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7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64"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Shareholder Liability and Indemnification. </w:t>
      </w:r>
      <w:r>
        <w:rPr>
          <w:rFonts w:ascii="Arial" w:cs="Arial" w:eastAsia="Arial" w:hAnsi="Arial"/>
          <w:sz w:val="16"/>
          <w:szCs w:val="16"/>
          <w:color w:val="auto"/>
        </w:rPr>
        <w:t>Under Maryland law, you will not be personally liable for any obligation of ours solely because you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8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to 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4" w:lineRule="exact"/>
        <w:rPr>
          <w:sz w:val="20"/>
          <w:szCs w:val="20"/>
          <w:color w:val="auto"/>
        </w:rPr>
      </w:pPr>
    </w:p>
    <w:p>
      <w:pPr>
        <w:jc w:val="both"/>
        <w:ind w:left="120" w:right="3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permitted 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82"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84"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2017;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0"/>
          </w:cols>
          <w:pgMar w:left="320" w:top="459" w:right="5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92" w:lineRule="exact"/>
        <w:rPr>
          <w:sz w:val="20"/>
          <w:szCs w:val="20"/>
          <w:color w:val="auto"/>
        </w:rPr>
      </w:pPr>
    </w:p>
    <w:p>
      <w:pPr>
        <w:ind w:left="1080" w:right="480" w:hanging="532"/>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 our taxable years ending on or prior to December 31, 2017, we may be subject to the “alternative minimum tax” on any items of tax preference that we do not distribute or allocate to our shareholders;</w:t>
      </w:r>
    </w:p>
    <w:p>
      <w:pPr>
        <w:spacing w:after="0" w:line="75" w:lineRule="exact"/>
        <w:rPr>
          <w:rFonts w:ascii="Arial" w:cs="Arial" w:eastAsia="Arial" w:hAnsi="Arial"/>
          <w:sz w:val="18"/>
          <w:szCs w:val="18"/>
          <w:color w:val="auto"/>
        </w:rPr>
      </w:pPr>
    </w:p>
    <w:p>
      <w:pPr>
        <w:ind w:left="1080" w:right="20" w:hanging="532"/>
        <w:spacing w:after="0" w:line="286" w:lineRule="auto"/>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70" w:lineRule="exact"/>
        <w:rPr>
          <w:rFonts w:ascii="Arial" w:cs="Arial" w:eastAsia="Arial" w:hAnsi="Arial"/>
          <w:sz w:val="17"/>
          <w:szCs w:val="17"/>
          <w:color w:val="auto"/>
        </w:rPr>
      </w:pPr>
    </w:p>
    <w:p>
      <w:pPr>
        <w:ind w:left="1080" w:right="260" w:hanging="532"/>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we will pay a 100% excise tax on transactions with a “taxable REIT subsidiary” that are not conducted on an arm’s-length basis;</w:t>
      </w:r>
    </w:p>
    <w:p>
      <w:pPr>
        <w:spacing w:after="0" w:line="142" w:lineRule="exact"/>
        <w:rPr>
          <w:rFonts w:ascii="Arial" w:cs="Arial" w:eastAsia="Arial" w:hAnsi="Arial"/>
          <w:sz w:val="17"/>
          <w:szCs w:val="17"/>
          <w:color w:val="auto"/>
        </w:rPr>
      </w:pPr>
    </w:p>
    <w:p>
      <w:pPr>
        <w:ind w:left="1080" w:right="100" w:hanging="532"/>
        <w:spacing w:after="0" w:line="259"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we fail to satisfy the 75% gross income test or the 95% gross income test (as described below under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2" w:lineRule="exact"/>
        <w:rPr>
          <w:rFonts w:ascii="Arial" w:cs="Arial" w:eastAsia="Arial" w:hAnsi="Arial"/>
          <w:sz w:val="18"/>
          <w:szCs w:val="18"/>
          <w:color w:val="auto"/>
        </w:rPr>
      </w:pPr>
    </w:p>
    <w:p>
      <w:pPr>
        <w:ind w:left="1080" w:right="60" w:hanging="532"/>
        <w:spacing w:after="0" w:line="279" w:lineRule="auto"/>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76" w:lineRule="exact"/>
        <w:rPr>
          <w:rFonts w:ascii="Arial" w:cs="Arial" w:eastAsia="Arial" w:hAnsi="Arial"/>
          <w:sz w:val="17"/>
          <w:szCs w:val="17"/>
          <w:color w:val="auto"/>
        </w:rPr>
      </w:pPr>
    </w:p>
    <w:p>
      <w:pPr>
        <w:ind w:left="1080" w:right="120" w:hanging="532"/>
        <w:spacing w:after="0" w:line="286" w:lineRule="auto"/>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59"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1080" w:right="60" w:hanging="532"/>
        <w:spacing w:after="0" w:line="273" w:lineRule="auto"/>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1080" w:right="940" w:hanging="532"/>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w:t>
      </w:r>
    </w:p>
    <w:p>
      <w:pPr>
        <w:spacing w:after="0" w:line="4"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Section 401(a), and beneficiaries of such a trust will be treated as holding our shares in proportion to their actuarial interests in the trust for purposes of the 5/50 Rule.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6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 Under partnership audit changes enacted in 2015 and generally effective for audits in 2018 and later, a partnership (and not the partners) must pay any “imputed underpayments,” consisting of delinquent taxes, interest, and penalties deemed to arise out of an audit of the partnership, unless certain alternative methods are available and the partnership elects to utilize them. The IRS has proposed regulations providing details on some of these provisions, but the timing and content of final regulations remains uncertain.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1080" w:right="20" w:hanging="532"/>
        <w:spacing w:after="0" w:line="290"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1080" w:right="100" w:hanging="532"/>
        <w:spacing w:after="0" w:line="301"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 property that we own and lease to tenants will qualify as “rents from real property” (which is qualifying income for purposes of the 75% and 95% gross income tests) under the REIT tax rules:</w:t>
      </w:r>
    </w:p>
    <w:p>
      <w:pPr>
        <w:spacing w:after="0" w:line="89" w:lineRule="exact"/>
        <w:rPr>
          <w:sz w:val="20"/>
          <w:szCs w:val="20"/>
          <w:color w:val="auto"/>
        </w:rPr>
      </w:pPr>
    </w:p>
    <w:p>
      <w:pPr>
        <w:ind w:left="1080" w:right="20" w:hanging="532"/>
        <w:spacing w:after="0" w:line="255"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9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91" w:lineRule="exact"/>
        <w:rPr>
          <w:rFonts w:ascii="Arial" w:cs="Arial" w:eastAsia="Arial" w:hAnsi="Arial"/>
          <w:sz w:val="17"/>
          <w:szCs w:val="17"/>
          <w:color w:val="auto"/>
        </w:rPr>
      </w:pPr>
    </w:p>
    <w:p>
      <w:pPr>
        <w:ind w:left="1080" w:right="180" w:hanging="532"/>
        <w:spacing w:after="0" w:line="293"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69" w:lineRule="exact"/>
        <w:rPr>
          <w:rFonts w:ascii="Arial" w:cs="Arial" w:eastAsia="Arial" w:hAnsi="Arial"/>
          <w:sz w:val="16"/>
          <w:szCs w:val="16"/>
          <w:color w:val="auto"/>
        </w:rPr>
      </w:pPr>
    </w:p>
    <w:p>
      <w:pPr>
        <w:ind w:left="1080" w:right="20" w:hanging="532"/>
        <w:spacing w:after="0" w:line="270"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69" w:lineRule="auto"/>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In general,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8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72"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4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foreclosure 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“Foreclosure property” is any real property (including interests in real property) and any personal property incident to such real property:</w:t>
      </w:r>
    </w:p>
    <w:p>
      <w:pPr>
        <w:spacing w:after="0" w:line="142" w:lineRule="exact"/>
        <w:rPr>
          <w:sz w:val="20"/>
          <w:szCs w:val="20"/>
          <w:color w:val="auto"/>
        </w:rPr>
      </w:pPr>
    </w:p>
    <w:p>
      <w:pPr>
        <w:ind w:left="1080" w:right="280" w:hanging="532"/>
        <w:spacing w:after="0" w:line="342"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9" w:lineRule="exact"/>
        <w:rPr>
          <w:sz w:val="20"/>
          <w:szCs w:val="20"/>
          <w:color w:val="auto"/>
        </w:rPr>
      </w:pPr>
    </w:p>
    <w:p>
      <w:pPr>
        <w:ind w:left="1080" w:right="540" w:hanging="532"/>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9"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1080" w:right="60" w:hanging="532"/>
        <w:spacing w:after="0" w:line="263"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84" w:lineRule="exact"/>
        <w:rPr>
          <w:sz w:val="20"/>
          <w:szCs w:val="20"/>
          <w:color w:val="auto"/>
        </w:rPr>
      </w:pPr>
    </w:p>
    <w:p>
      <w:pPr>
        <w:ind w:left="120" w:right="240" w:firstLine="440"/>
        <w:spacing w:after="0" w:line="272" w:lineRule="auto"/>
        <w:rPr>
          <w:sz w:val="20"/>
          <w:szCs w:val="20"/>
          <w:color w:val="auto"/>
        </w:rPr>
      </w:pPr>
      <w:r>
        <w:rPr>
          <w:rFonts w:ascii="Arial" w:cs="Arial" w:eastAsia="Arial" w:hAnsi="Arial"/>
          <w:sz w:val="17"/>
          <w:szCs w:val="17"/>
          <w:b w:val="1"/>
          <w:bCs w:val="1"/>
          <w:i w:val="1"/>
          <w:iCs w:val="1"/>
          <w:color w:val="auto"/>
        </w:rPr>
        <w:t xml:space="preserve">Tax on Prohibited Transactions. </w:t>
      </w:r>
      <w:r>
        <w:rPr>
          <w:rFonts w:ascii="Arial" w:cs="Arial" w:eastAsia="Arial" w:hAnsi="Arial"/>
          <w:sz w:val="17"/>
          <w:szCs w:val="17"/>
          <w:color w:val="auto"/>
        </w:rPr>
        <w:t>A REIT will incur a 100% tax on net income (taking into account foreign currency gains and losses) derived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any “prohibited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7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w:t>
      </w:r>
    </w:p>
    <w:p>
      <w:pPr>
        <w:spacing w:after="0" w:line="1" w:lineRule="exact"/>
        <w:rPr>
          <w:sz w:val="20"/>
          <w:szCs w:val="20"/>
          <w:color w:val="auto"/>
        </w:rPr>
      </w:pPr>
    </w:p>
    <w:p>
      <w:pPr>
        <w:ind w:left="120" w:right="60" w:hanging="4"/>
        <w:spacing w:after="0" w:line="286" w:lineRule="auto"/>
        <w:tabs>
          <w:tab w:leader="none" w:pos="435" w:val="left"/>
        </w:tabs>
        <w:numPr>
          <w:ilvl w:val="0"/>
          <w:numId w:val="94"/>
        </w:numPr>
        <w:rPr>
          <w:rFonts w:ascii="Arial" w:cs="Arial" w:eastAsia="Arial" w:hAnsi="Arial"/>
          <w:sz w:val="16"/>
          <w:szCs w:val="16"/>
          <w:color w:val="auto"/>
        </w:rPr>
      </w:pPr>
      <w:r>
        <w:rPr>
          <w:rFonts w:ascii="Arial" w:cs="Arial" w:eastAsia="Arial" w:hAnsi="Arial"/>
          <w:sz w:val="16"/>
          <w:szCs w:val="16"/>
          <w:color w:val="auto"/>
        </w:rPr>
        <w:t>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b w:val="1"/>
          <w:bCs w:val="1"/>
          <w:i w:val="1"/>
          <w:iCs w:val="1"/>
          <w:color w:val="auto"/>
        </w:rPr>
        <w:t xml:space="preserve">Tax and Deduction Limits on Certain Transactions with Taxable REIT Subsidiaries. </w:t>
      </w:r>
      <w:r>
        <w:rPr>
          <w:rFonts w:ascii="Arial" w:cs="Arial" w:eastAsia="Arial" w:hAnsi="Arial"/>
          <w:sz w:val="17"/>
          <w:szCs w:val="17"/>
          <w:color w:val="auto"/>
        </w:rPr>
        <w:t>A REIT will incur a 100% tax on certain transactions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a 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but recent changes to the interest deduction rules may affect interest deductions of our taxable REIT subsidiaries under some circumstances.</w:t>
      </w:r>
    </w:p>
    <w:p>
      <w:pPr>
        <w:spacing w:after="0" w:line="176"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Hedging Transactions. </w:t>
      </w:r>
      <w:r>
        <w:rPr>
          <w:rFonts w:ascii="Arial" w:cs="Arial" w:eastAsia="Arial" w:hAnsi="Arial"/>
          <w:sz w:val="17"/>
          <w:szCs w:val="17"/>
          <w:color w:val="auto"/>
        </w:rPr>
        <w:t>Except to the extent provided by Treasury regulations, any income we derive from a hedging transaction (which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78"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b w:val="1"/>
          <w:bCs w:val="1"/>
          <w:i w:val="1"/>
          <w:iCs w:val="1"/>
          <w:color w:val="auto"/>
        </w:rPr>
        <w:t xml:space="preserve">Like-Kind Exchanges. </w:t>
      </w:r>
      <w:r>
        <w:rPr>
          <w:rFonts w:ascii="Arial" w:cs="Arial" w:eastAsia="Arial" w:hAnsi="Arial"/>
          <w:sz w:val="17"/>
          <w:szCs w:val="17"/>
          <w:color w:val="auto"/>
        </w:rPr>
        <w:t>We may dispose of properties in transactions intended to qualify as like-kind exchanges under the Code. Such like-kind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Recent legislative changes eliminate like-kind exchanges for most personal property.</w:t>
      </w:r>
    </w:p>
    <w:p>
      <w:pPr>
        <w:spacing w:after="0" w:line="17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taxable 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1080" w:right="300" w:hanging="532"/>
        <w:spacing w:after="0" w:line="308"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51" w:lineRule="exact"/>
        <w:rPr>
          <w:rFonts w:ascii="Arial" w:cs="Arial" w:eastAsia="Arial" w:hAnsi="Arial"/>
          <w:sz w:val="17"/>
          <w:szCs w:val="17"/>
          <w:color w:val="auto"/>
        </w:rPr>
      </w:pPr>
    </w:p>
    <w:p>
      <w:pPr>
        <w:ind w:left="1540" w:right="160" w:hanging="439"/>
        <w:spacing w:after="0" w:line="279" w:lineRule="auto"/>
        <w:tabs>
          <w:tab w:leader="none" w:pos="15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our properties qualify as real estate assets.</w:t>
      </w:r>
    </w:p>
    <w:p>
      <w:pPr>
        <w:spacing w:after="0" w:line="76" w:lineRule="exact"/>
        <w:rPr>
          <w:rFonts w:ascii="Arial" w:cs="Arial" w:eastAsia="Arial" w:hAnsi="Arial"/>
          <w:sz w:val="17"/>
          <w:szCs w:val="17"/>
          <w:color w:val="auto"/>
        </w:rPr>
      </w:pPr>
    </w:p>
    <w:p>
      <w:pPr>
        <w:ind w:left="1540" w:right="180" w:hanging="439"/>
        <w:spacing w:after="0" w:line="263" w:lineRule="auto"/>
        <w:tabs>
          <w:tab w:leader="none" w:pos="15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9" w:lineRule="exact"/>
        <w:rPr>
          <w:rFonts w:ascii="Arial" w:cs="Arial" w:eastAsia="Arial" w:hAnsi="Arial"/>
          <w:sz w:val="18"/>
          <w:szCs w:val="18"/>
          <w:color w:val="auto"/>
        </w:rPr>
      </w:pPr>
    </w:p>
    <w:p>
      <w:pPr>
        <w:ind w:left="1540" w:right="180" w:hanging="439"/>
        <w:spacing w:after="0" w:line="277" w:lineRule="auto"/>
        <w:tabs>
          <w:tab w:leader="none" w:pos="15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84"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in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and (C) no more than 25% of the value of our total assets may consist of the securities of taxable REIT subsidiaries (unless they would otherwise be treated as real estate assets) and our assets that are not qualifying assets for purposes of the 75% asset test. For purposes of the 10% asset test that relates to value, the following are not treated as securities: (i) loans to individuals and estates,</w:t>
      </w:r>
    </w:p>
    <w:p>
      <w:pPr>
        <w:spacing w:after="0" w:line="2" w:lineRule="exact"/>
        <w:rPr>
          <w:rFonts w:ascii="Arial" w:cs="Arial" w:eastAsia="Arial" w:hAnsi="Arial"/>
          <w:sz w:val="16"/>
          <w:szCs w:val="16"/>
          <w:color w:val="auto"/>
        </w:rPr>
      </w:pPr>
    </w:p>
    <w:p>
      <w:pPr>
        <w:ind w:left="1080" w:right="120" w:firstLine="8"/>
        <w:spacing w:after="0" w:line="281" w:lineRule="auto"/>
        <w:tabs>
          <w:tab w:leader="none" w:pos="1345" w:val="left"/>
        </w:tabs>
        <w:numPr>
          <w:ilvl w:val="1"/>
          <w:numId w:val="96"/>
        </w:numPr>
        <w:rPr>
          <w:rFonts w:ascii="Arial" w:cs="Arial" w:eastAsia="Arial" w:hAnsi="Arial"/>
          <w:sz w:val="16"/>
          <w:szCs w:val="16"/>
          <w:color w:val="auto"/>
        </w:rPr>
      </w:pPr>
      <w:r>
        <w:rPr>
          <w:rFonts w:ascii="Arial" w:cs="Arial" w:eastAsia="Arial" w:hAnsi="Arial"/>
          <w:sz w:val="16"/>
          <w:szCs w:val="16"/>
          <w:color w:val="auto"/>
        </w:rPr>
        <w:t>securities issued by REITs, (iii) accrued obligations to pay rent; (iv) certain debt meeting the definition of “straight debt” if neither we nor a taxable REIT subsidiary that we control hold more than 1% of the issuer’s securities that do not qualify as “straight debt,” and</w:t>
      </w:r>
    </w:p>
    <w:p>
      <w:pPr>
        <w:spacing w:after="0" w:line="1" w:lineRule="exact"/>
        <w:rPr>
          <w:rFonts w:ascii="Arial" w:cs="Arial" w:eastAsia="Arial" w:hAnsi="Arial"/>
          <w:sz w:val="16"/>
          <w:szCs w:val="16"/>
          <w:color w:val="auto"/>
        </w:rPr>
      </w:pPr>
    </w:p>
    <w:p>
      <w:pPr>
        <w:ind w:left="1080" w:right="20" w:firstLine="8"/>
        <w:spacing w:after="0" w:line="253" w:lineRule="auto"/>
        <w:tabs>
          <w:tab w:leader="none" w:pos="1335"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98"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value of our securities in one or more taxable REIT subsidiaries (unless they would otherwise be treated as real estate assets) may not exceed 20% of the value of our total assets.</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value of our holdings in debt instruments of publicly offered REITs (unless they would otherwise be treated as real estate assets) may not exceed 25% of the value of our total assets.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described above, we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85"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88" w:lineRule="exact"/>
        <w:rPr>
          <w:sz w:val="20"/>
          <w:szCs w:val="20"/>
          <w:color w:val="auto"/>
        </w:rPr>
      </w:pPr>
    </w:p>
    <w:p>
      <w:pPr>
        <w:ind w:left="120" w:right="380" w:firstLine="440"/>
        <w:spacing w:after="0" w:line="287" w:lineRule="auto"/>
        <w:rPr>
          <w:sz w:val="20"/>
          <w:szCs w:val="20"/>
          <w:color w:val="auto"/>
        </w:rPr>
      </w:pPr>
      <w:r>
        <w:rPr>
          <w:rFonts w:ascii="Arial" w:cs="Arial" w:eastAsia="Arial" w:hAnsi="Arial"/>
          <w:sz w:val="16"/>
          <w:szCs w:val="16"/>
          <w:b w:val="1"/>
          <w:bCs w:val="1"/>
          <w:i w:val="1"/>
          <w:iCs w:val="1"/>
          <w:color w:val="auto"/>
        </w:rPr>
        <w:t xml:space="preserve">Distribution Requirements. </w:t>
      </w:r>
      <w:r>
        <w:rPr>
          <w:rFonts w:ascii="Arial" w:cs="Arial" w:eastAsia="Arial" w:hAnsi="Arial"/>
          <w:sz w:val="16"/>
          <w:szCs w:val="16"/>
          <w:color w:val="auto"/>
        </w:rPr>
        <w:t>Each taxable year, we must distribute dividends (other than capital gain dividends and deemed distributions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retained capital gain) to our shareholders in an aggregate amount at least equal to (1) the sum of 90% of (A) our “REIT taxable income” (computed without regard to the dividends paid deduction and our net capital gain) and (B) our net income (after tax), if any, from foreclosure property, minus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 certain items of non-cash income.</w:t>
      </w:r>
    </w:p>
    <w:p>
      <w:pPr>
        <w:spacing w:after="0" w:line="21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Further, with respect to our 2014 and prior taxable years, in order for distributions to have been counted as satisfying the annual distribution requirements for REITs and to provide us with a dividends paid deduction, our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our organizational documents. For taxable years beginning after December 31, 2014, the preferential dividend rule does not apply to publicly offered REITs. We are a publicly offered REIT. Thus, so long as we continue to qualify as a publicly offered REIT, the preferential dividend rule does not apply to our 2015 and subsequent taxable years.</w:t>
      </w:r>
    </w:p>
    <w:p>
      <w:pPr>
        <w:spacing w:after="0" w:line="164"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92" w:lineRule="exact"/>
        <w:rPr>
          <w:sz w:val="20"/>
          <w:szCs w:val="20"/>
          <w:color w:val="auto"/>
        </w:rPr>
      </w:pPr>
    </w:p>
    <w:p>
      <w:pPr>
        <w:ind w:left="120" w:right="420" w:firstLine="440"/>
        <w:spacing w:after="0" w:line="301" w:lineRule="auto"/>
        <w:rPr>
          <w:sz w:val="20"/>
          <w:szCs w:val="20"/>
          <w:color w:val="auto"/>
        </w:rPr>
      </w:pPr>
      <w:r>
        <w:rPr>
          <w:rFonts w:ascii="Arial" w:cs="Arial" w:eastAsia="Arial" w:hAnsi="Arial"/>
          <w:sz w:val="16"/>
          <w:szCs w:val="16"/>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procedure applicable to publicly offered REITs that will treat distributions that, at the election of each shareholder, are paid partly in cash and partly in shares as dividends that satisfy the REIT annual distribution requirement and qualify for the dividends paid deduction for federal income tax purposes, provided certain conditions are satisfied. We have no current intention to make such an elective cash/shares distribution or a distribution of debt securities, but in the event of an elective cash/shares distribution we expect to structure it so as to comply with the revenue procedure.</w:t>
      </w:r>
    </w:p>
    <w:p>
      <w:pPr>
        <w:spacing w:after="0" w:line="15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1080" w:right="160" w:hanging="532"/>
        <w:spacing w:after="0" w:line="342"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12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Dividends and Other Taxable U.S. Shareholder Distributions. </w:t>
      </w:r>
      <w:r>
        <w:rPr>
          <w:rFonts w:ascii="Arial" w:cs="Arial" w:eastAsia="Arial" w:hAnsi="Arial"/>
          <w:sz w:val="17"/>
          <w:szCs w:val="17"/>
          <w:color w:val="auto"/>
        </w:rPr>
        <w:t>As long as we qualify as a REIT, a taxable U.S. shareholder must take into account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after 2017 and prior to 2026, generally non-corporate shareholders are allowed to deduct 20% of the aggregate amount of ordinary dividends distributed by us, subject to certain limitations.</w:t>
      </w:r>
    </w:p>
    <w:p>
      <w:pPr>
        <w:spacing w:after="0" w:line="178"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66"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85"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must treat any gain or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realized 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6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7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8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Redemption or Conversion of Preferred Shares to Common Shares. </w:t>
      </w:r>
      <w:r>
        <w:rPr>
          <w:rFonts w:ascii="Arial" w:cs="Arial" w:eastAsia="Arial" w:hAnsi="Arial"/>
          <w:sz w:val="18"/>
          <w:szCs w:val="18"/>
          <w:color w:val="auto"/>
        </w:rPr>
        <w:t>Assuming that preferred shares will not be redeemed or converted at a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92"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84" w:lineRule="exact"/>
        <w:rPr>
          <w:sz w:val="20"/>
          <w:szCs w:val="20"/>
          <w:color w:val="auto"/>
        </w:rPr>
      </w:pPr>
    </w:p>
    <w:p>
      <w:pPr>
        <w:ind w:left="120" w:right="320" w:firstLine="440"/>
        <w:spacing w:after="0" w:line="273" w:lineRule="auto"/>
        <w:rPr>
          <w:sz w:val="20"/>
          <w:szCs w:val="20"/>
          <w:color w:val="auto"/>
        </w:rPr>
      </w:pPr>
      <w:r>
        <w:rPr>
          <w:rFonts w:ascii="Arial" w:cs="Arial" w:eastAsia="Arial" w:hAnsi="Arial"/>
          <w:sz w:val="17"/>
          <w:szCs w:val="17"/>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b w:val="1"/>
          <w:bCs w:val="1"/>
          <w:i w:val="1"/>
          <w:iCs w:val="1"/>
          <w:color w:val="auto"/>
        </w:rPr>
        <w:t xml:space="preserve">Adjustments to Conversion Price. </w:t>
      </w:r>
      <w:r>
        <w:rPr>
          <w:rFonts w:ascii="Arial" w:cs="Arial" w:eastAsia="Arial" w:hAnsi="Arial"/>
          <w:sz w:val="18"/>
          <w:szCs w:val="18"/>
          <w:color w:val="auto"/>
        </w:rPr>
        <w:t>Under Section 305 of the Code, holders of preferred shares may be deemed to have received a constructive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8"/>
          <w:szCs w:val="18"/>
          <w:i w:val="1"/>
          <w:iCs w:val="1"/>
          <w:color w:val="auto"/>
        </w:rPr>
        <w:t>bona fide</w:t>
      </w:r>
      <w:r>
        <w:rPr>
          <w:rFonts w:ascii="Arial" w:cs="Arial" w:eastAsia="Arial" w:hAnsi="Arial"/>
          <w:sz w:val="18"/>
          <w:szCs w:val="18"/>
          <w:color w:val="auto"/>
        </w:rPr>
        <w:t>, reasonable adjustment formula. In such a case, if a nonqualifying adjustment were made, the holders of preferred shares might be deemed to have received a taxable stock dividend.</w:t>
      </w:r>
    </w:p>
    <w:p>
      <w:pPr>
        <w:spacing w:after="0" w:line="19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or preferred shares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Medicare Tax on Unearned Income. </w:t>
      </w:r>
      <w:r>
        <w:rPr>
          <w:rFonts w:ascii="Arial" w:cs="Arial" w:eastAsia="Arial" w:hAnsi="Arial"/>
          <w:sz w:val="18"/>
          <w:szCs w:val="18"/>
          <w:color w:val="auto"/>
        </w:rPr>
        <w:t>Certain taxable U.S. shareholders who are individuals, estates or trusts are subject to a 3.8% Medicare tax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or a portion of their “net investment income,” which may include all or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8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Current Tax Rates. </w:t>
      </w:r>
      <w:r>
        <w:rPr>
          <w:rFonts w:ascii="Arial" w:cs="Arial" w:eastAsia="Arial" w:hAnsi="Arial"/>
          <w:sz w:val="17"/>
          <w:szCs w:val="17"/>
          <w:color w:val="auto"/>
        </w:rPr>
        <w:t>The maximum tax rate on the long-term capital gains of domestic non-corporate taxpayers is 20%. The maximum tax rate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after 2017 and prior to 2026, generally non-corporate shareholders are allowed to deduct 20% of the aggregate amount of ordinary dividends distributed by us, subject to certain limitations. Further, with respect to non-corporate taxpayers, the lower qualified dividend income/capital gains tax rate (at a maximum of 20%) does generally apply to:</w:t>
      </w:r>
    </w:p>
    <w:p>
      <w:pPr>
        <w:spacing w:after="0" w:line="83"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1080" w:right="700" w:hanging="532"/>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be 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100"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1080" w:right="220" w:hanging="532"/>
        <w:spacing w:after="0" w:line="342"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b w:val="1"/>
          <w:bCs w:val="1"/>
          <w:i w:val="1"/>
          <w:iCs w:val="1"/>
          <w:color w:val="auto"/>
        </w:rPr>
        <w:t xml:space="preserve">Ordinary Dividends. </w:t>
      </w:r>
      <w:r>
        <w:rPr>
          <w:rFonts w:ascii="Arial" w:cs="Arial" w:eastAsia="Arial" w:hAnsi="Arial"/>
          <w:sz w:val="16"/>
          <w:szCs w:val="16"/>
          <w:color w:val="auto"/>
        </w:rPr>
        <w:t>A non-U.S. shareholder that receives a distribution that is not attributable to gain from our sale or exchange of “U.S. real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74"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profits 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92" w:lineRule="exact"/>
        <w:rPr>
          <w:sz w:val="20"/>
          <w:szCs w:val="20"/>
          <w:color w:val="auto"/>
        </w:rPr>
      </w:pPr>
    </w:p>
    <w:p>
      <w:pPr>
        <w:ind w:left="120" w:right="420" w:firstLine="440"/>
        <w:spacing w:after="0" w:line="273" w:lineRule="auto"/>
        <w:rPr>
          <w:sz w:val="20"/>
          <w:szCs w:val="20"/>
          <w:color w:val="auto"/>
        </w:rPr>
      </w:pPr>
      <w:r>
        <w:rPr>
          <w:rFonts w:ascii="Arial" w:cs="Arial" w:eastAsia="Arial" w:hAnsi="Arial"/>
          <w:sz w:val="17"/>
          <w:szCs w:val="17"/>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78"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b w:val="1"/>
          <w:bCs w:val="1"/>
          <w:i w:val="1"/>
          <w:iCs w:val="1"/>
          <w:color w:val="auto"/>
        </w:rPr>
        <w:t xml:space="preserve">Capital Gain Dividends. </w:t>
      </w:r>
      <w:r>
        <w:rPr>
          <w:rFonts w:ascii="Arial" w:cs="Arial" w:eastAsia="Arial" w:hAnsi="Arial"/>
          <w:sz w:val="16"/>
          <w:szCs w:val="16"/>
          <w:color w:val="auto"/>
        </w:rPr>
        <w:t>Provided that a particular class of our shares is “regularly traded” on an established securities market in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and 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5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of 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66"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we are a “domestically controlled REIT.” A “domestically controlled REIT” is a REIT in which at all times during a specified testing period non-U.S. persons held, directly or indirectly, less than 50% in value of our shares (after applying specified presumptions regarding the ownership of our shares).</w:t>
      </w:r>
    </w:p>
    <w:p>
      <w:pPr>
        <w:spacing w:after="0" w:line="2"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72"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w:t>
      </w:r>
    </w:p>
    <w:p>
      <w:pPr>
        <w:spacing w:after="0" w:line="2" w:lineRule="exact"/>
        <w:rPr>
          <w:sz w:val="20"/>
          <w:szCs w:val="20"/>
          <w:color w:val="auto"/>
        </w:rPr>
      </w:pPr>
    </w:p>
    <w:p>
      <w:pPr>
        <w:ind w:left="120" w:hanging="4"/>
        <w:spacing w:after="0" w:line="252" w:lineRule="auto"/>
        <w:tabs>
          <w:tab w:leader="none" w:pos="37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94"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b w:val="1"/>
          <w:bCs w:val="1"/>
          <w:i w:val="1"/>
          <w:iCs w:val="1"/>
          <w:color w:val="auto"/>
        </w:rPr>
        <w:t xml:space="preserve">Wash Sales. </w:t>
      </w:r>
      <w:r>
        <w:rPr>
          <w:rFonts w:ascii="Arial" w:cs="Arial" w:eastAsia="Arial" w:hAnsi="Arial"/>
          <w:sz w:val="17"/>
          <w:szCs w:val="17"/>
          <w:color w:val="auto"/>
        </w:rPr>
        <w:t>In general, special wash sale rules apply if a shareholder owning more than 5% of our common or preferred shares avoids a taxable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Conversion of Preferred Shares to Common Shares. </w:t>
      </w:r>
      <w:r>
        <w:rPr>
          <w:rFonts w:ascii="Arial" w:cs="Arial" w:eastAsia="Arial" w:hAnsi="Arial"/>
          <w:sz w:val="18"/>
          <w:szCs w:val="18"/>
          <w:color w:val="auto"/>
        </w:rPr>
        <w:t>The conversion of preferred shares into our common shares may be a taxable exchange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84"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Non-U.S. shareholders should consult with their tax advisors regarding the federal income tax consequences of any transaction by which such non-U.S. shareholder exchanges our common shares received on a conversion of preferred shares for cash or other property.</w:t>
      </w:r>
    </w:p>
    <w:p>
      <w:pPr>
        <w:spacing w:after="0" w:line="14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100"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9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i w:val="1"/>
          <w:iCs w:val="1"/>
          <w:color w:val="auto"/>
        </w:rPr>
        <w:t xml:space="preserve">Reporting and Withholding on Foreign Financial Accounts. </w:t>
      </w:r>
      <w:r>
        <w:rPr>
          <w:rFonts w:ascii="Arial" w:cs="Arial" w:eastAsia="Arial" w:hAnsi="Arial"/>
          <w:sz w:val="17"/>
          <w:szCs w:val="17"/>
          <w:color w:val="auto"/>
        </w:rPr>
        <w:t>Certain foreign financial institutions and non-financial foreign entities are subject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2018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State and Local Taxes. </w:t>
      </w:r>
      <w:r>
        <w:rPr>
          <w:rFonts w:ascii="Arial" w:cs="Arial" w:eastAsia="Arial" w:hAnsi="Arial"/>
          <w:sz w:val="18"/>
          <w:szCs w:val="18"/>
          <w:color w:val="auto"/>
        </w:rPr>
        <w:t>We and/or you may be subject to state and local tax in various states and localities, including those states and localities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8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b w:val="1"/>
          <w:bCs w:val="1"/>
          <w:i w:val="1"/>
          <w:iCs w:val="1"/>
          <w:color w:val="auto"/>
        </w:rPr>
        <w:t xml:space="preserve">Changes to Tax Laws and Regulations. </w:t>
      </w:r>
      <w:r>
        <w:rPr>
          <w:rFonts w:ascii="Arial" w:cs="Arial" w:eastAsia="Arial" w:hAnsi="Arial"/>
          <w:sz w:val="16"/>
          <w:szCs w:val="16"/>
          <w:color w:val="auto"/>
        </w:rPr>
        <w:t>The rules dealing with federal income taxation are subject to revision by the U.S. Congress, the IRS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U.S. Department of the 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substantial December 2017 amendments to the Code.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sell the securities being offered by this prospectus in one or more of the following ways from time to time: (1) through underwriters or dealers; (2) through agents; (3) in “at the market offerings” to or through a market maker or into an existing trading market or securities exchange or otherwise; (4) 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1080" w:right="160" w:hanging="532"/>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65"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2"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72"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0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2017, filed with the SEC on February 13, 2018;</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Our </w:t>
      </w:r>
      <w:hyperlink r:id="rId109">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2018 Annual Meeting of Shareholders, filed with the SEC on March 23, 2018;</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110">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quarter ended March 31, 2018, filed with the SEC on May 2, 2018;</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111">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May 4, 2018;</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Description of our common shares contained in the Registration Statement on </w:t>
      </w:r>
      <w:hyperlink r:id="rId112">
        <w:r>
          <w:rPr>
            <w:rFonts w:ascii="Arial" w:cs="Arial" w:eastAsia="Arial" w:hAnsi="Arial"/>
            <w:sz w:val="17"/>
            <w:szCs w:val="17"/>
            <w:u w:val="single" w:color="auto"/>
            <w:color w:val="0000EE"/>
          </w:rPr>
          <w:t>Form 8-A/A</w:t>
        </w:r>
      </w:hyperlink>
      <w:r>
        <w:rPr>
          <w:rFonts w:ascii="Arial" w:cs="Arial" w:eastAsia="Arial" w:hAnsi="Arial"/>
          <w:sz w:val="17"/>
          <w:szCs w:val="17"/>
          <w:color w:val="auto"/>
        </w:rPr>
        <w:t>, filed with the SEC on June 6, 2002; and</w:t>
      </w:r>
    </w:p>
    <w:p>
      <w:pPr>
        <w:spacing w:after="0" w:line="142" w:lineRule="exact"/>
        <w:rPr>
          <w:rFonts w:ascii="Arial" w:cs="Arial" w:eastAsia="Arial" w:hAnsi="Arial"/>
          <w:sz w:val="17"/>
          <w:szCs w:val="17"/>
          <w:color w:val="auto"/>
        </w:rPr>
      </w:pPr>
    </w:p>
    <w:p>
      <w:pPr>
        <w:ind w:left="1080" w:right="260" w:hanging="532"/>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Description of our Series C preferred shares contained in the Registration Statement on </w:t>
      </w:r>
      <w:hyperlink r:id="rId113">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September 29, 2017.</w:t>
      </w:r>
    </w:p>
    <w:p>
      <w:pPr>
        <w:spacing w:after="0" w:line="170" w:lineRule="exact"/>
        <w:rPr>
          <w:rFonts w:ascii="Arial" w:cs="Arial" w:eastAsia="Arial" w:hAnsi="Arial"/>
          <w:sz w:val="17"/>
          <w:szCs w:val="17"/>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7"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340360</wp:posOffset>
            </wp:positionV>
            <wp:extent cx="1920240" cy="5746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192024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80"/>
        <w:spacing w:after="0"/>
        <w:rPr>
          <w:sz w:val="20"/>
          <w:szCs w:val="20"/>
          <w:color w:val="auto"/>
        </w:rPr>
      </w:pPr>
      <w:r>
        <w:rPr>
          <w:rFonts w:ascii="Arial" w:cs="Arial" w:eastAsia="Arial" w:hAnsi="Arial"/>
          <w:sz w:val="25"/>
          <w:szCs w:val="25"/>
          <w:b w:val="1"/>
          <w:bCs w:val="1"/>
          <w:color w:val="00B050"/>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406400</wp:posOffset>
            </wp:positionV>
            <wp:extent cx="1474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249555</wp:posOffset>
            </wp:positionV>
            <wp:extent cx="1474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80"/>
        <w:spacing w:after="0"/>
        <w:rPr>
          <w:sz w:val="20"/>
          <w:szCs w:val="20"/>
          <w:color w:val="auto"/>
        </w:rPr>
      </w:pPr>
      <w:r>
        <w:rPr>
          <w:rFonts w:ascii="Arial" w:cs="Arial" w:eastAsia="Arial" w:hAnsi="Arial"/>
          <w:sz w:val="29"/>
          <w:szCs w:val="29"/>
          <w:b w:val="1"/>
          <w:bCs w:val="1"/>
          <w:color w:val="auto"/>
        </w:rPr>
        <w:t>BofA Securities</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Deutsche Bank Securities</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J.P. Morgan</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Wells Fargo Securities</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Citigroup</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Jefferies</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US Bancorp</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Regions Securities LLC</w:t>
      </w:r>
    </w:p>
    <w:p>
      <w:pPr>
        <w:spacing w:after="0" w:line="135"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Scotiabank</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TD Securities</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Truist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408940</wp:posOffset>
            </wp:positionV>
            <wp:extent cx="1474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00"/>
        <w:spacing w:after="0"/>
        <w:tabs>
          <w:tab w:leader="none" w:pos="5780" w:val="left"/>
        </w:tabs>
        <w:rPr>
          <w:sz w:val="20"/>
          <w:szCs w:val="20"/>
          <w:color w:val="auto"/>
        </w:rPr>
      </w:pPr>
      <w:r>
        <w:rPr>
          <w:rFonts w:ascii="Arial" w:cs="Arial" w:eastAsia="Arial" w:hAnsi="Arial"/>
          <w:sz w:val="18"/>
          <w:szCs w:val="18"/>
          <w:b w:val="1"/>
          <w:bCs w:val="1"/>
          <w:color w:val="auto"/>
        </w:rPr>
        <w:t>October</w:t>
      </w:r>
      <w:r>
        <w:rPr>
          <w:sz w:val="20"/>
          <w:szCs w:val="20"/>
          <w:color w:val="auto"/>
        </w:rPr>
        <w:tab/>
      </w:r>
      <w:r>
        <w:rPr>
          <w:rFonts w:ascii="Arial" w:cs="Arial" w:eastAsia="Arial" w:hAnsi="Arial"/>
          <w:sz w:val="16"/>
          <w:szCs w:val="16"/>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1"/>
      <w:numFmt w:val="decimal"/>
      <w:start w:val="20"/>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1)"/>
      <w:numFmt w:val="decimal"/>
      <w:start w:val="30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1)"/>
      <w:numFmt w:val="decimal"/>
      <w:start w:val="3"/>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1)"/>
      <w:numFmt w:val="lowerRoman"/>
      <w:start w:val="3"/>
    </w:lvl>
  </w:abstractNum>
  <w:abstractNum w:abstractNumId="8">
    <w:nsid w:val="39386575"/>
    <w:multiLevelType w:val="hybridMultilevel"/>
    <w:lvl w:ilvl="0">
      <w:lvlJc w:val="left"/>
      <w:lvlText w:val="(%1)"/>
      <w:numFmt w:val="lowerRoman"/>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1)"/>
      <w:numFmt w:val="decimal"/>
      <w:start w:val="4"/>
    </w:lvl>
  </w:abstractNum>
  <w:abstractNum w:abstractNumId="11">
    <w:nsid w:val="235BA861"/>
    <w:multiLevelType w:val="hybridMultilevel"/>
    <w:lvl w:ilvl="0">
      <w:lvlJc w:val="left"/>
      <w:lvlText w:val="%1."/>
      <w:numFmt w:val="decimal"/>
      <w:start w:val="1"/>
    </w:lvl>
  </w:abstractNum>
  <w:abstractNum w:abstractNumId="12">
    <w:nsid w:val="47398C89"/>
    <w:multiLevelType w:val="hybridMultilevel"/>
    <w:lvl w:ilvl="0">
      <w:lvlJc w:val="left"/>
      <w:lvlText w:val="(%1)"/>
      <w:numFmt w:val="lowerLetter"/>
      <w:start w:val="1"/>
    </w:lvl>
  </w:abstractNum>
  <w:abstractNum w:abstractNumId="13">
    <w:nsid w:val="354FE9F9"/>
    <w:multiLevelType w:val="hybridMultilevel"/>
    <w:lvl w:ilvl="0">
      <w:lvlJc w:val="left"/>
      <w:lvlText w:val="%1."/>
      <w:numFmt w:val="decimal"/>
      <w:start w:val="5"/>
    </w:lvl>
  </w:abstractNum>
  <w:abstractNum w:abstractNumId="14">
    <w:nsid w:val="15B5AF5C"/>
    <w:multiLevelType w:val="hybridMultilevel"/>
    <w:lvl w:ilvl="0">
      <w:lvlJc w:val="left"/>
      <w:lvlText w:val="(%1)"/>
      <w:numFmt w:val="lowerLetter"/>
      <w:start w:val="1"/>
    </w:lvl>
  </w:abstractNum>
  <w:abstractNum w:abstractNumId="15">
    <w:nsid w:val="741226BB"/>
    <w:multiLevelType w:val="hybridMultilevel"/>
    <w:lvl w:ilvl="0">
      <w:lvlJc w:val="left"/>
      <w:lvlText w:val="(%1)"/>
      <w:numFmt w:val="lowerLetter"/>
      <w:start w:val="1"/>
    </w:lvl>
  </w:abstractNum>
  <w:abstractNum w:abstractNumId="16">
    <w:nsid w:val="D34B6A8"/>
    <w:multiLevelType w:val="hybridMultilevel"/>
    <w:lvl w:ilvl="0">
      <w:lvlJc w:val="left"/>
      <w:lvlText w:val="(%1)"/>
      <w:numFmt w:val="lowerLetter"/>
      <w:start w:val="2"/>
    </w:lvl>
  </w:abstractNum>
  <w:abstractNum w:abstractNumId="17">
    <w:nsid w:val="10233C99"/>
    <w:multiLevelType w:val="hybridMultilevel"/>
    <w:lvl w:ilvl="0">
      <w:lvlJc w:val="left"/>
      <w:lvlText w:val="(%1)"/>
      <w:numFmt w:val="decimal"/>
      <w:start w:val="2"/>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lvl w:ilvl="1">
      <w:lvlJc w:val="left"/>
      <w:lvlText w:val="•"/>
      <w:numFmt w:val="bullet"/>
      <w:start w:val="1"/>
    </w:lvl>
  </w:abstractNum>
  <w:abstractNum w:abstractNumId="21">
    <w:nsid w:val="77AE35EB"/>
    <w:multiLevelType w:val="hybridMultilevel"/>
    <w:lvl w:ilvl="0">
      <w:lvlJc w:val="left"/>
      <w:lvlText w:val="•"/>
      <w:numFmt w:val="bullet"/>
      <w:start w:val="1"/>
    </w:lvl>
    <w:lvl w:ilvl="1">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1)"/>
      <w:numFmt w:val="lowerLetter"/>
      <w:start w:val="2"/>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1)"/>
      <w:numFmt w:val="decimal"/>
      <w:start w:val="301"/>
    </w:lvl>
  </w:abstractNum>
  <w:abstractNum w:abstractNumId="29">
    <w:nsid w:val="1F48EAA1"/>
    <w:multiLevelType w:val="hybridMultilevel"/>
    <w:lvl w:ilvl="0">
      <w:lvlJc w:val="left"/>
      <w:lvlText w:val="(%1)"/>
      <w:numFmt w:val="lowerLetter"/>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lvl w:ilvl="1">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lvl w:ilvl="1">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1."/>
      <w:numFmt w:val="decimal"/>
      <w:start w:val="1"/>
    </w:lvl>
  </w:abstractNum>
  <w:abstractNum w:abstractNumId="51">
    <w:nsid w:val="A0382C5"/>
    <w:multiLevelType w:val="hybridMultilevel"/>
    <w:lvl w:ilvl="0">
      <w:lvlJc w:val="left"/>
      <w:lvlText w:val="(%1)"/>
      <w:numFmt w:val="lowerLetter"/>
      <w:start w:val="1"/>
    </w:lvl>
  </w:abstractNum>
  <w:abstractNum w:abstractNumId="52">
    <w:nsid w:val="8F2B15E"/>
    <w:multiLevelType w:val="hybridMultilevel"/>
    <w:lvl w:ilvl="0">
      <w:lvlJc w:val="left"/>
      <w:lvlText w:val="%1."/>
      <w:numFmt w:val="decimal"/>
      <w:start w:val="5"/>
    </w:lvl>
  </w:abstractNum>
  <w:abstractNum w:abstractNumId="53">
    <w:nsid w:val="1A32234B"/>
    <w:multiLevelType w:val="hybridMultilevel"/>
    <w:lvl w:ilvl="0">
      <w:lvlJc w:val="left"/>
      <w:lvlText w:val="(%1)"/>
      <w:numFmt w:val="lowerLetter"/>
      <w:start w:val="1"/>
    </w:lvl>
  </w:abstractNum>
  <w:abstractNum w:abstractNumId="54">
    <w:nsid w:val="3B0FD379"/>
    <w:multiLevelType w:val="hybridMultilevel"/>
    <w:lvl w:ilvl="0">
      <w:lvlJc w:val="left"/>
      <w:lvlText w:val="(%1)"/>
      <w:numFmt w:val="lowerLetter"/>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lvl w:ilvl="1">
      <w:lvlJc w:val="left"/>
      <w:lvlText w:val="•"/>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lvl w:ilvl="1">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
      <w:numFmt w:val="bullet"/>
      <w:start w:val="1"/>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
      <w:numFmt w:val="bullet"/>
      <w:start w:val="1"/>
    </w:lvl>
  </w:abstractNum>
  <w:abstractNum w:abstractNumId="71">
    <w:nsid w:val="1716703B"/>
    <w:multiLevelType w:val="hybridMultilevel"/>
    <w:lvl w:ilvl="0">
      <w:lvlJc w:val="left"/>
      <w:lvlText w:val="•"/>
      <w:numFmt w:val="bullet"/>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
      <w:numFmt w:val="bullet"/>
      <w:start w:val="1"/>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
      <w:numFmt w:val="bullet"/>
      <w:start w:val="1"/>
    </w:lvl>
  </w:abstractNum>
  <w:abstractNum w:abstractNumId="76">
    <w:nsid w:val="2DF6D648"/>
    <w:multiLevelType w:val="hybridMultilevel"/>
    <w:lvl w:ilvl="0">
      <w:lvlJc w:val="left"/>
      <w:lvlText w:val="•"/>
      <w:numFmt w:val="bullet"/>
      <w:start w:val="1"/>
    </w:lvl>
  </w:abstractNum>
  <w:abstractNum w:abstractNumId="77">
    <w:nsid w:val="46B7D447"/>
    <w:multiLevelType w:val="hybridMultilevel"/>
    <w:lvl w:ilvl="0">
      <w:lvlJc w:val="left"/>
      <w:lvlText w:val="•"/>
      <w:numFmt w:val="bullet"/>
      <w:start w:val="1"/>
    </w:lvl>
    <w:lvl w:ilvl="1">
      <w:lvlJc w:val="left"/>
      <w:lvlText w:val="•"/>
      <w:numFmt w:val="bullet"/>
      <w:start w:val="1"/>
    </w:lvl>
  </w:abstractNum>
  <w:abstractNum w:abstractNumId="78">
    <w:nsid w:val="4A2AC315"/>
    <w:multiLevelType w:val="hybridMultilevel"/>
    <w:lvl w:ilvl="0">
      <w:lvlJc w:val="left"/>
      <w:lvlText w:val="•"/>
      <w:numFmt w:val="bullet"/>
      <w:start w:val="1"/>
    </w:lvl>
  </w:abstractNum>
  <w:abstractNum w:abstractNumId="79">
    <w:nsid w:val="39EE015C"/>
    <w:multiLevelType w:val="hybridMultilevel"/>
    <w:lvl w:ilvl="0">
      <w:lvlJc w:val="left"/>
      <w:lvlText w:val="•"/>
      <w:numFmt w:val="bullet"/>
      <w:start w:val="1"/>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
      <w:numFmt w:val="bullet"/>
      <w:start w:val="1"/>
    </w:lvl>
    <w:lvl w:ilvl="1">
      <w:lvlJc w:val="left"/>
      <w:lvlText w:val="•"/>
      <w:numFmt w:val="bullet"/>
      <w:start w:val="1"/>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
      <w:numFmt w:val="bullet"/>
      <w:start w:val="1"/>
    </w:lvl>
  </w:abstractNum>
  <w:abstractNum w:abstractNumId="85">
    <w:nsid w:val="7F01579B"/>
    <w:multiLevelType w:val="hybridMultilevel"/>
    <w:lvl w:ilvl="0">
      <w:lvlJc w:val="left"/>
      <w:lvlText w:val="•"/>
      <w:numFmt w:val="bullet"/>
      <w:start w:val="1"/>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1."/>
      <w:numFmt w:val="decimal"/>
      <w:start w:val="1"/>
    </w:lvl>
  </w:abstractNum>
  <w:abstractNum w:abstractNumId="88">
    <w:nsid w:val="5FB8370B"/>
    <w:multiLevelType w:val="hybridMultilevel"/>
    <w:lvl w:ilvl="0">
      <w:lvlJc w:val="left"/>
      <w:lvlText w:val="•"/>
      <w:numFmt w:val="bullet"/>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
      <w:numFmt w:val="bullet"/>
      <w:start w:val="1"/>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
      <w:numFmt w:val="bullet"/>
      <w:start w:val="1"/>
    </w:lvl>
  </w:abstractNum>
  <w:abstractNum w:abstractNumId="93">
    <w:nsid w:val="7672BD23"/>
    <w:multiLevelType w:val="hybridMultilevel"/>
    <w:lvl w:ilvl="0">
      <w:lvlJc w:val="left"/>
      <w:lvlText w:val="(%1)"/>
      <w:numFmt w:val="lowerRoman"/>
      <w:start w:val="3"/>
    </w:lvl>
  </w:abstractNum>
  <w:abstractNum w:abstractNumId="94">
    <w:nsid w:val="6FC75AF8"/>
    <w:multiLevelType w:val="hybridMultilevel"/>
    <w:lvl w:ilvl="0">
      <w:lvlJc w:val="left"/>
      <w:lvlText w:val="•"/>
      <w:numFmt w:val="bullet"/>
      <w:start w:val="1"/>
    </w:lvl>
    <w:lvl w:ilvl="1">
      <w:lvlJc w:val="left"/>
      <w:lvlText w:val="•"/>
      <w:numFmt w:val="bullet"/>
      <w:start w:val="1"/>
    </w:lvl>
  </w:abstractNum>
  <w:abstractNum w:abstractNumId="95">
    <w:nsid w:val="6A5F7029"/>
    <w:multiLevelType w:val="hybridMultilevel"/>
    <w:lvl w:ilvl="0">
      <w:lvlJc w:val="left"/>
      <w:lvlText w:val="•"/>
      <w:numFmt w:val="bullet"/>
      <w:start w:val="1"/>
    </w:lvl>
    <w:lvl w:ilvl="1">
      <w:lvlJc w:val="left"/>
      <w:lvlText w:val="(%2)"/>
      <w:numFmt w:val="lowerRoman"/>
      <w:start w:val="2"/>
    </w:lvl>
  </w:abstractNum>
  <w:abstractNum w:abstractNumId="96">
    <w:nsid w:val="7D5E18F8"/>
    <w:multiLevelType w:val="hybridMultilevel"/>
    <w:lvl w:ilvl="0">
      <w:lvlJc w:val="left"/>
      <w:lvlText w:val="•"/>
      <w:numFmt w:val="bullet"/>
      <w:start w:val="1"/>
    </w:lvl>
    <w:lvl w:ilvl="1">
      <w:lvlJc w:val="left"/>
      <w:lvlText w:val="(%2)"/>
      <w:numFmt w:val="lowerRoman"/>
      <w:start w:val="5"/>
    </w:lvl>
  </w:abstractNum>
  <w:abstractNum w:abstractNumId="97">
    <w:nsid w:val="5F3534A4"/>
    <w:multiLevelType w:val="hybridMultilevel"/>
    <w:lvl w:ilvl="0">
      <w:lvlJc w:val="left"/>
      <w:lvlText w:val="•"/>
      <w:numFmt w:val="bullet"/>
      <w:start w:val="1"/>
    </w:lvl>
  </w:abstractNum>
  <w:abstractNum w:abstractNumId="98">
    <w:nsid w:val="73A1821B"/>
    <w:multiLevelType w:val="hybridMultilevel"/>
    <w:lvl w:ilvl="0">
      <w:lvlJc w:val="left"/>
      <w:lvlText w:val="•"/>
      <w:numFmt w:val="bullet"/>
      <w:start w:val="1"/>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1)"/>
      <w:numFmt w:val="decimal"/>
      <w:start w:val="2"/>
    </w:lvl>
  </w:abstractNum>
  <w:abstractNum w:abstractNumId="101">
    <w:nsid w:val="3FA62ACA"/>
    <w:multiLevelType w:val="hybridMultilevel"/>
    <w:lvl w:ilvl="0">
      <w:lvlJc w:val="left"/>
      <w:lvlText w:val="•"/>
      <w:numFmt w:val="bullet"/>
      <w:start w:val="1"/>
    </w:lvl>
  </w:abstractNum>
  <w:abstractNum w:abstractNumId="102">
    <w:nsid w:val="14FCE74E"/>
    <w:multiLevelType w:val="hybridMultilevel"/>
    <w:lvl w:ilvl="0">
      <w:lvlJc w:val="left"/>
      <w:lvlText w:val="•"/>
      <w:numFmt w:val="bullet"/>
      <w:start w:val="1"/>
    </w:lvl>
  </w:abstractNum>
  <w:abstractNum w:abstractNumId="103">
    <w:nsid w:val="6A3DD3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jpe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jpe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5" Type="http://schemas.openxmlformats.org/officeDocument/2006/relationships/hyperlink" Target="http://www.sec.gov/ix?doc=/Archives/edgar/data/34903/000003490320000008/frt-1231201910k.htm" TargetMode="External"/><Relationship Id="rId16" Type="http://schemas.openxmlformats.org/officeDocument/2006/relationships/hyperlink" Target="http://www.sec.gov/ix?doc=/Archives/edgar/data/34903/000003490320000031/frt-06302020x10q.htm" TargetMode="External"/><Relationship Id="rId108" Type="http://schemas.openxmlformats.org/officeDocument/2006/relationships/hyperlink" Target="http://www.sec.gov/Archives/edgar/data/34903/000003490318000009/frt-1231201710k.htm" TargetMode="External"/><Relationship Id="rId109" Type="http://schemas.openxmlformats.org/officeDocument/2006/relationships/hyperlink" Target="http://www.sec.gov/Archives/edgar/data/34903/000119312518093016/d501572ddef14a.htm" TargetMode="External"/><Relationship Id="rId110" Type="http://schemas.openxmlformats.org/officeDocument/2006/relationships/hyperlink" Target="http://www.sec.gov/Archives/edgar/data/34903/000003490318000016/frt-03312018x10q.htm" TargetMode="External"/><Relationship Id="rId111" Type="http://schemas.openxmlformats.org/officeDocument/2006/relationships/hyperlink" Target="http://www.sec.gov/Archives/edgar/data/34903/000003490318000018/frt-050420188kdocument.htm" TargetMode="External"/><Relationship Id="rId112" Type="http://schemas.openxmlformats.org/officeDocument/2006/relationships/hyperlink" Target="http://www.sec.gov/Archives/edgar/data/34903/000092838502002234/d8a12ba.txt" TargetMode="External"/><Relationship Id="rId113" Type="http://schemas.openxmlformats.org/officeDocument/2006/relationships/hyperlink" Target="http://www.sec.gov/Archives/edgar/data/34903/000119312517299279/d45358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2020-10-08T08:18:42Z</dcterms:created>
  <dcterms:modified xsi:type="dcterms:W3CDTF">2020-10-08T08:18:42Z</dcterms:modified>
</cp:coreProperties>
</file>